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5D28F" w14:textId="77777777" w:rsidR="00635769" w:rsidRPr="0069391C" w:rsidRDefault="00635769" w:rsidP="0069391C">
      <w:pPr>
        <w:spacing w:after="0" w:line="240" w:lineRule="auto"/>
        <w:jc w:val="center"/>
        <w:rPr>
          <w:rFonts w:cstheme="minorHAnsi"/>
          <w:sz w:val="24"/>
          <w:szCs w:val="24"/>
        </w:rPr>
      </w:pPr>
      <w:r w:rsidRPr="0069391C">
        <w:rPr>
          <w:noProof/>
          <w:sz w:val="24"/>
          <w:szCs w:val="24"/>
          <w:lang w:eastAsia="cs-CZ"/>
        </w:rPr>
        <w:drawing>
          <wp:anchor distT="0" distB="0" distL="114300" distR="114300" simplePos="0" relativeHeight="251658240" behindDoc="0" locked="0" layoutInCell="1" allowOverlap="1" wp14:anchorId="5D4EA9ED" wp14:editId="2DD9D226">
            <wp:simplePos x="0" y="0"/>
            <wp:positionH relativeFrom="margin">
              <wp:posOffset>2479040</wp:posOffset>
            </wp:positionH>
            <wp:positionV relativeFrom="paragraph">
              <wp:posOffset>0</wp:posOffset>
            </wp:positionV>
            <wp:extent cx="792480" cy="559435"/>
            <wp:effectExtent l="0" t="0" r="762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2480" cy="559435"/>
                    </a:xfrm>
                    <a:prstGeom prst="rect">
                      <a:avLst/>
                    </a:prstGeom>
                    <a:noFill/>
                  </pic:spPr>
                </pic:pic>
              </a:graphicData>
            </a:graphic>
            <wp14:sizeRelV relativeFrom="margin">
              <wp14:pctHeight>0</wp14:pctHeight>
            </wp14:sizeRelV>
          </wp:anchor>
        </w:drawing>
      </w:r>
    </w:p>
    <w:p w14:paraId="6CBBAF02" w14:textId="77777777" w:rsidR="00635769" w:rsidRPr="0069391C" w:rsidRDefault="00635769" w:rsidP="0069391C">
      <w:pPr>
        <w:spacing w:after="0" w:line="240" w:lineRule="auto"/>
        <w:jc w:val="center"/>
        <w:rPr>
          <w:rFonts w:cstheme="minorHAnsi"/>
          <w:sz w:val="24"/>
          <w:szCs w:val="24"/>
        </w:rPr>
      </w:pPr>
    </w:p>
    <w:p w14:paraId="7735D1B1" w14:textId="77777777" w:rsidR="0069391C" w:rsidRPr="0069391C" w:rsidRDefault="0069391C" w:rsidP="0069391C">
      <w:pPr>
        <w:spacing w:after="0" w:line="240" w:lineRule="auto"/>
        <w:jc w:val="center"/>
        <w:rPr>
          <w:rFonts w:cstheme="minorHAnsi"/>
          <w:sz w:val="24"/>
          <w:szCs w:val="24"/>
        </w:rPr>
      </w:pPr>
    </w:p>
    <w:p w14:paraId="66BA57C7" w14:textId="77777777" w:rsidR="00036DCF" w:rsidRPr="00635769" w:rsidRDefault="00036DCF" w:rsidP="00A20F64">
      <w:pPr>
        <w:spacing w:after="0" w:line="240" w:lineRule="auto"/>
        <w:jc w:val="center"/>
        <w:rPr>
          <w:b/>
          <w:sz w:val="32"/>
          <w:szCs w:val="32"/>
        </w:rPr>
      </w:pPr>
      <w:r w:rsidRPr="00EC3A0D">
        <w:rPr>
          <w:rFonts w:cstheme="minorHAnsi"/>
          <w:b/>
          <w:sz w:val="28"/>
          <w:szCs w:val="28"/>
        </w:rPr>
        <w:t>Kontrolní závěr z kontrolní akce</w:t>
      </w:r>
    </w:p>
    <w:p w14:paraId="15C65D77" w14:textId="77777777" w:rsidR="004F2B40" w:rsidRDefault="004F2B40" w:rsidP="00A20F64">
      <w:pPr>
        <w:spacing w:after="0" w:line="240" w:lineRule="auto"/>
        <w:jc w:val="center"/>
      </w:pPr>
    </w:p>
    <w:p w14:paraId="75FC4E7B" w14:textId="77777777" w:rsidR="00036DCF" w:rsidRPr="00EC3A0D" w:rsidRDefault="00284276" w:rsidP="00A20F64">
      <w:pPr>
        <w:spacing w:after="0" w:line="240" w:lineRule="auto"/>
        <w:jc w:val="center"/>
        <w:rPr>
          <w:rFonts w:cstheme="minorHAnsi"/>
          <w:b/>
          <w:sz w:val="28"/>
          <w:szCs w:val="28"/>
        </w:rPr>
      </w:pPr>
      <w:r>
        <w:rPr>
          <w:rFonts w:cstheme="minorHAnsi"/>
          <w:b/>
          <w:sz w:val="28"/>
          <w:szCs w:val="28"/>
        </w:rPr>
        <w:t>2</w:t>
      </w:r>
      <w:r w:rsidR="00A015DF">
        <w:rPr>
          <w:rFonts w:cstheme="minorHAnsi"/>
          <w:b/>
          <w:sz w:val="28"/>
          <w:szCs w:val="28"/>
        </w:rPr>
        <w:t>2</w:t>
      </w:r>
      <w:r w:rsidR="00036DCF" w:rsidRPr="00EC3A0D">
        <w:rPr>
          <w:rFonts w:cstheme="minorHAnsi"/>
          <w:b/>
          <w:sz w:val="28"/>
          <w:szCs w:val="28"/>
        </w:rPr>
        <w:t>/</w:t>
      </w:r>
      <w:r w:rsidR="00A015DF">
        <w:rPr>
          <w:rFonts w:cstheme="minorHAnsi"/>
          <w:b/>
          <w:sz w:val="28"/>
          <w:szCs w:val="28"/>
        </w:rPr>
        <w:t>10</w:t>
      </w:r>
    </w:p>
    <w:p w14:paraId="6B5BC3FC" w14:textId="77777777" w:rsidR="00036DCF" w:rsidRDefault="00036DCF" w:rsidP="00A20F64">
      <w:pPr>
        <w:spacing w:after="0" w:line="240" w:lineRule="auto"/>
        <w:jc w:val="center"/>
      </w:pPr>
    </w:p>
    <w:p w14:paraId="3A7A8BC4" w14:textId="77777777" w:rsidR="00284276" w:rsidRPr="00EC3A0D" w:rsidRDefault="00644729" w:rsidP="0069391C">
      <w:pPr>
        <w:spacing w:after="0" w:line="240" w:lineRule="auto"/>
        <w:jc w:val="center"/>
        <w:rPr>
          <w:rFonts w:cstheme="minorHAnsi"/>
          <w:b/>
          <w:sz w:val="28"/>
          <w:szCs w:val="28"/>
        </w:rPr>
      </w:pPr>
      <w:bookmarkStart w:id="0" w:name="_Hlk116561145"/>
      <w:r w:rsidRPr="00644729">
        <w:rPr>
          <w:rFonts w:cstheme="minorHAnsi"/>
          <w:b/>
          <w:sz w:val="28"/>
          <w:szCs w:val="28"/>
        </w:rPr>
        <w:t>Peněžní prostředky státního rozpočtu a Evropské unie určené na realizaci a</w:t>
      </w:r>
      <w:r w:rsidR="00A17DC9">
        <w:rPr>
          <w:rFonts w:cstheme="minorHAnsi"/>
          <w:b/>
          <w:sz w:val="28"/>
          <w:szCs w:val="28"/>
        </w:rPr>
        <w:t> </w:t>
      </w:r>
      <w:r w:rsidRPr="00644729">
        <w:rPr>
          <w:rFonts w:cstheme="minorHAnsi"/>
          <w:b/>
          <w:sz w:val="28"/>
          <w:szCs w:val="28"/>
        </w:rPr>
        <w:t>implementaci genderových auditů</w:t>
      </w:r>
      <w:bookmarkEnd w:id="0"/>
    </w:p>
    <w:p w14:paraId="0A50A35E" w14:textId="77777777" w:rsidR="00F11C48" w:rsidRDefault="00F11C48" w:rsidP="0069391C">
      <w:pPr>
        <w:pStyle w:val="KPnormalni"/>
        <w:spacing w:before="0" w:after="0"/>
      </w:pPr>
    </w:p>
    <w:p w14:paraId="5297F35C" w14:textId="77777777" w:rsidR="0069391C" w:rsidRPr="004F2B40" w:rsidRDefault="0069391C" w:rsidP="0069391C">
      <w:pPr>
        <w:pStyle w:val="KPnormalni"/>
        <w:spacing w:before="0" w:after="0"/>
      </w:pPr>
    </w:p>
    <w:p w14:paraId="2A6002B0" w14:textId="77777777" w:rsidR="00036DCF" w:rsidRPr="004F2B40" w:rsidRDefault="00036DCF" w:rsidP="0069391C">
      <w:pPr>
        <w:pStyle w:val="KPnormalni"/>
        <w:spacing w:before="0" w:after="0"/>
      </w:pPr>
      <w:r w:rsidRPr="004F2B40">
        <w:t>Kontrolní akce byla zařazena do plánu kontrolní činnosti Nejvyššího kontrolního úřadu (dále také „NKÚ“) na rok 20</w:t>
      </w:r>
      <w:r w:rsidR="00284276">
        <w:t>2</w:t>
      </w:r>
      <w:r w:rsidR="00A015DF">
        <w:t>2</w:t>
      </w:r>
      <w:r w:rsidRPr="004F2B40">
        <w:t xml:space="preserve"> pod číslem </w:t>
      </w:r>
      <w:r w:rsidR="00284276">
        <w:t>2</w:t>
      </w:r>
      <w:r w:rsidR="00A015DF">
        <w:t>2</w:t>
      </w:r>
      <w:r w:rsidRPr="004F2B40">
        <w:t>/</w:t>
      </w:r>
      <w:r w:rsidR="00A015DF">
        <w:t>10</w:t>
      </w:r>
      <w:r w:rsidRPr="004F2B40">
        <w:t>. Kontrolní akci řídil a kontrolní závěr vypracoval člen</w:t>
      </w:r>
      <w:r w:rsidR="00F755F0">
        <w:t> </w:t>
      </w:r>
      <w:r w:rsidRPr="004F2B40">
        <w:t>NKÚ Ing. </w:t>
      </w:r>
      <w:r w:rsidR="00A015DF">
        <w:t>Stanislav Koucký</w:t>
      </w:r>
      <w:r w:rsidRPr="004F2B40">
        <w:t>.</w:t>
      </w:r>
    </w:p>
    <w:p w14:paraId="4053F3DA" w14:textId="77777777" w:rsidR="00036DCF" w:rsidRPr="004F2B40" w:rsidRDefault="00036DCF" w:rsidP="0069391C">
      <w:pPr>
        <w:pStyle w:val="KPnormalni"/>
        <w:spacing w:before="0" w:after="0"/>
      </w:pPr>
    </w:p>
    <w:p w14:paraId="6FBECAD5" w14:textId="77777777" w:rsidR="00284276" w:rsidRPr="00284276" w:rsidRDefault="006D4737" w:rsidP="0069391C">
      <w:pPr>
        <w:pStyle w:val="KPnormalni"/>
        <w:spacing w:before="0" w:after="0"/>
        <w:rPr>
          <w:bCs/>
        </w:rPr>
      </w:pPr>
      <w:bookmarkStart w:id="1" w:name="_Hlk97728612"/>
      <w:r w:rsidRPr="006D4737">
        <w:rPr>
          <w:bCs/>
        </w:rPr>
        <w:t xml:space="preserve">Cílem kontroly bylo </w:t>
      </w:r>
      <w:r>
        <w:rPr>
          <w:bCs/>
        </w:rPr>
        <w:t>p</w:t>
      </w:r>
      <w:r w:rsidR="002E4243" w:rsidRPr="002E4243">
        <w:rPr>
          <w:bCs/>
        </w:rPr>
        <w:t>rověřit, zda kontrolované osoby poskytují a čerpají peněžní prostředky státního rozpočtu a Evropské unie na genderové audity a jejich implementaci účelně, hospodárně a v souladu s právními předpisy.</w:t>
      </w:r>
      <w:bookmarkEnd w:id="1"/>
    </w:p>
    <w:p w14:paraId="05784904" w14:textId="77777777" w:rsidR="00284276" w:rsidRDefault="00284276" w:rsidP="0069391C">
      <w:pPr>
        <w:spacing w:after="0" w:line="240" w:lineRule="auto"/>
        <w:jc w:val="both"/>
        <w:rPr>
          <w:rFonts w:ascii="Calibri" w:hAnsi="Calibri" w:cs="Calibri"/>
          <w:bCs/>
          <w:sz w:val="24"/>
          <w:szCs w:val="24"/>
        </w:rPr>
      </w:pPr>
    </w:p>
    <w:p w14:paraId="7295C6D6" w14:textId="77777777" w:rsidR="00F11C48" w:rsidRPr="004F2B40" w:rsidRDefault="00022CA4" w:rsidP="0069391C">
      <w:pPr>
        <w:spacing w:after="0" w:line="240" w:lineRule="auto"/>
        <w:jc w:val="both"/>
        <w:rPr>
          <w:rFonts w:ascii="Calibri" w:hAnsi="Calibri" w:cs="Calibri"/>
          <w:b/>
          <w:sz w:val="24"/>
          <w:szCs w:val="24"/>
        </w:rPr>
      </w:pPr>
      <w:r w:rsidRPr="004F2B40">
        <w:rPr>
          <w:rFonts w:ascii="Calibri" w:hAnsi="Calibri" w:cs="Calibri"/>
          <w:b/>
          <w:sz w:val="24"/>
          <w:szCs w:val="24"/>
        </w:rPr>
        <w:t>Kontrolované osoby</w:t>
      </w:r>
      <w:r w:rsidR="00036DCF" w:rsidRPr="004F2B40">
        <w:rPr>
          <w:rFonts w:ascii="Calibri" w:hAnsi="Calibri" w:cs="Calibri"/>
          <w:b/>
          <w:sz w:val="24"/>
          <w:szCs w:val="24"/>
        </w:rPr>
        <w:t>:</w:t>
      </w:r>
    </w:p>
    <w:p w14:paraId="76F9FC45" w14:textId="77777777" w:rsidR="0045046D" w:rsidRDefault="0045046D" w:rsidP="00756254">
      <w:pPr>
        <w:pStyle w:val="KPodrazka1"/>
      </w:pPr>
      <w:r>
        <w:t>Ministerstvo práce a sociálních věcí (dále také „MPSV“);</w:t>
      </w:r>
    </w:p>
    <w:p w14:paraId="6F4FDF12" w14:textId="7353EC7C" w:rsidR="0045046D" w:rsidRPr="00284276" w:rsidRDefault="0045046D" w:rsidP="00756254">
      <w:pPr>
        <w:pStyle w:val="KPodrazka1"/>
      </w:pPr>
      <w:r>
        <w:t xml:space="preserve">vybraní příjemci podpory: </w:t>
      </w:r>
      <w:r w:rsidR="003A2684" w:rsidRPr="00511C70">
        <w:t>Asociace českých nábytkářů, Praha</w:t>
      </w:r>
      <w:r w:rsidR="003A2684">
        <w:t xml:space="preserve">; </w:t>
      </w:r>
      <w:r w:rsidR="003A2684" w:rsidRPr="00511C70">
        <w:t>AQUA Program s.r.o., Ohrazenice;</w:t>
      </w:r>
      <w:r w:rsidR="003A2684">
        <w:t xml:space="preserve"> </w:t>
      </w:r>
      <w:r w:rsidR="003A2684" w:rsidRPr="00511C70">
        <w:t>BARVY FRAMAR s.r.o., Praha;</w:t>
      </w:r>
      <w:r w:rsidR="003A2684">
        <w:t xml:space="preserve"> </w:t>
      </w:r>
      <w:r w:rsidR="003A2684" w:rsidRPr="00511C70">
        <w:t>DOPRAVNÍ PODNIK měst Mostu a Litvínova, a.s., Most;</w:t>
      </w:r>
      <w:r w:rsidR="003A2684">
        <w:t xml:space="preserve"> </w:t>
      </w:r>
      <w:r w:rsidR="003A2684" w:rsidRPr="00511C70">
        <w:t xml:space="preserve">Gender </w:t>
      </w:r>
      <w:proofErr w:type="spellStart"/>
      <w:r w:rsidR="003A2684" w:rsidRPr="00511C70">
        <w:t>studies</w:t>
      </w:r>
      <w:proofErr w:type="spellEnd"/>
      <w:r w:rsidR="003A2684" w:rsidRPr="00511C70">
        <w:t>, o.p.s., Praha;</w:t>
      </w:r>
      <w:r w:rsidR="003A2684">
        <w:t xml:space="preserve"> </w:t>
      </w:r>
      <w:r w:rsidR="003A2684" w:rsidRPr="00511C70">
        <w:t xml:space="preserve">Gut </w:t>
      </w:r>
      <w:proofErr w:type="spellStart"/>
      <w:r w:rsidR="003A2684" w:rsidRPr="00511C70">
        <w:t>alimentari</w:t>
      </w:r>
      <w:proofErr w:type="spellEnd"/>
      <w:r w:rsidR="003A2684" w:rsidRPr="00511C70">
        <w:t xml:space="preserve"> s.r.o., Most;</w:t>
      </w:r>
      <w:r w:rsidR="003A2684">
        <w:t xml:space="preserve"> </w:t>
      </w:r>
      <w:r w:rsidR="003A2684" w:rsidRPr="00511C70">
        <w:t>INESAN, s.r.o., Praha;</w:t>
      </w:r>
      <w:r w:rsidR="003A2684">
        <w:t xml:space="preserve"> </w:t>
      </w:r>
      <w:r w:rsidR="003A2684" w:rsidRPr="00511C70">
        <w:t>MEPCO, s.r.o., Praha;</w:t>
      </w:r>
      <w:r w:rsidR="003A2684">
        <w:t xml:space="preserve"> </w:t>
      </w:r>
      <w:r w:rsidR="003A2684" w:rsidRPr="00511C70">
        <w:t>Moderní škola s.r.o., Otice;</w:t>
      </w:r>
      <w:r w:rsidR="003A2684">
        <w:t xml:space="preserve"> </w:t>
      </w:r>
      <w:r w:rsidR="00511C70" w:rsidRPr="00511C70">
        <w:t xml:space="preserve">Modrý Maják, z. s., Otrokovice; PP Projekty s.r.o., Most; </w:t>
      </w:r>
      <w:r w:rsidR="003A2684" w:rsidRPr="00511C70">
        <w:t xml:space="preserve">SUTOR </w:t>
      </w:r>
      <w:proofErr w:type="spellStart"/>
      <w:r w:rsidR="003A2684" w:rsidRPr="00511C70">
        <w:t>Global</w:t>
      </w:r>
      <w:proofErr w:type="spellEnd"/>
      <w:r w:rsidR="003A2684" w:rsidRPr="00511C70">
        <w:t xml:space="preserve"> s. r. o., Most;</w:t>
      </w:r>
      <w:r w:rsidR="003A2684">
        <w:t xml:space="preserve"> </w:t>
      </w:r>
      <w:r w:rsidR="00511C70" w:rsidRPr="00511C70">
        <w:t>TRUHLAŘÍK s.r.o., Kojetice; YABOK s.r.o., Milovice.</w:t>
      </w:r>
    </w:p>
    <w:p w14:paraId="662DA70E" w14:textId="77777777" w:rsidR="00284276" w:rsidRDefault="00284276" w:rsidP="0069391C">
      <w:pPr>
        <w:pStyle w:val="KPnormalni"/>
        <w:spacing w:before="0" w:after="0"/>
      </w:pPr>
    </w:p>
    <w:p w14:paraId="006EA51F" w14:textId="77777777" w:rsidR="00036DCF" w:rsidRPr="004F2B40" w:rsidRDefault="003165DA" w:rsidP="0069391C">
      <w:pPr>
        <w:pStyle w:val="KPnormalni"/>
        <w:spacing w:before="0" w:after="0"/>
      </w:pPr>
      <w:r w:rsidRPr="004F2B40">
        <w:t xml:space="preserve">Kontrolováno bylo období </w:t>
      </w:r>
      <w:r w:rsidR="001660DA">
        <w:t xml:space="preserve">od roku </w:t>
      </w:r>
      <w:r w:rsidRPr="004F2B40">
        <w:t>201</w:t>
      </w:r>
      <w:r w:rsidR="00485496">
        <w:t>4</w:t>
      </w:r>
      <w:r w:rsidR="001660DA">
        <w:t xml:space="preserve"> do roku </w:t>
      </w:r>
      <w:r w:rsidR="00036DCF" w:rsidRPr="004F2B40">
        <w:t>20</w:t>
      </w:r>
      <w:r w:rsidR="00284276">
        <w:t>2</w:t>
      </w:r>
      <w:r w:rsidR="0045046D">
        <w:t>1</w:t>
      </w:r>
      <w:r w:rsidRPr="004F2B40">
        <w:t>, v případě věcných souvislostí i období předcházející a</w:t>
      </w:r>
      <w:r w:rsidR="00713844">
        <w:t> </w:t>
      </w:r>
      <w:r w:rsidRPr="004F2B40">
        <w:t>následující</w:t>
      </w:r>
      <w:r w:rsidR="00036DCF" w:rsidRPr="004F2B40">
        <w:t>.</w:t>
      </w:r>
    </w:p>
    <w:p w14:paraId="2FC1525B" w14:textId="77777777" w:rsidR="00036DCF" w:rsidRPr="004F2B40" w:rsidRDefault="00036DCF" w:rsidP="0069391C">
      <w:pPr>
        <w:pStyle w:val="KPnormalni"/>
        <w:spacing w:before="0" w:after="0"/>
      </w:pPr>
    </w:p>
    <w:p w14:paraId="26813A76" w14:textId="77777777" w:rsidR="00036DCF" w:rsidRPr="004F2B40" w:rsidRDefault="00036DCF" w:rsidP="0069391C">
      <w:pPr>
        <w:pStyle w:val="KPnormalni"/>
        <w:spacing w:before="0" w:after="0"/>
      </w:pPr>
      <w:r w:rsidRPr="004F2B40">
        <w:t xml:space="preserve">Kontrola byla prováděna </w:t>
      </w:r>
      <w:r w:rsidR="003165DA" w:rsidRPr="004F2B40">
        <w:t>u kontrolovaných osob</w:t>
      </w:r>
      <w:r w:rsidRPr="004F2B40">
        <w:t xml:space="preserve"> v době </w:t>
      </w:r>
      <w:r w:rsidRPr="00656227">
        <w:t xml:space="preserve">od </w:t>
      </w:r>
      <w:r w:rsidR="00F16FE4">
        <w:t>dubna</w:t>
      </w:r>
      <w:r w:rsidR="0045046D">
        <w:t xml:space="preserve"> 202</w:t>
      </w:r>
      <w:r w:rsidR="00485496">
        <w:t>2</w:t>
      </w:r>
      <w:r w:rsidR="00284276" w:rsidRPr="00656227">
        <w:t xml:space="preserve"> </w:t>
      </w:r>
      <w:r w:rsidRPr="00656227">
        <w:t xml:space="preserve">do </w:t>
      </w:r>
      <w:r w:rsidR="00485496">
        <w:t>října</w:t>
      </w:r>
      <w:r w:rsidR="003165DA" w:rsidRPr="00656227">
        <w:t xml:space="preserve"> </w:t>
      </w:r>
      <w:r w:rsidRPr="00656227">
        <w:t>20</w:t>
      </w:r>
      <w:r w:rsidR="00284276" w:rsidRPr="00656227">
        <w:t>2</w:t>
      </w:r>
      <w:r w:rsidR="0045046D">
        <w:t>2</w:t>
      </w:r>
      <w:r w:rsidRPr="004F2B40">
        <w:t>.</w:t>
      </w:r>
    </w:p>
    <w:p w14:paraId="46AC9832" w14:textId="77777777" w:rsidR="00F11C48" w:rsidRPr="004F2B40" w:rsidRDefault="00F11C48" w:rsidP="0069391C">
      <w:pPr>
        <w:pStyle w:val="KPnormalni"/>
        <w:spacing w:before="0" w:after="0"/>
      </w:pPr>
    </w:p>
    <w:p w14:paraId="665797C2" w14:textId="3C0D3684" w:rsidR="00036DCF" w:rsidRPr="004F2B40" w:rsidRDefault="00036DCF" w:rsidP="00A20F64">
      <w:pPr>
        <w:spacing w:line="240" w:lineRule="auto"/>
        <w:jc w:val="both"/>
        <w:rPr>
          <w:rFonts w:ascii="Calibri" w:hAnsi="Calibri" w:cs="Calibri"/>
          <w:sz w:val="24"/>
          <w:szCs w:val="24"/>
        </w:rPr>
      </w:pPr>
      <w:r w:rsidRPr="004F2B40">
        <w:rPr>
          <w:rFonts w:ascii="Calibri" w:hAnsi="Calibri" w:cs="Calibri"/>
          <w:b/>
          <w:bCs/>
          <w:i/>
          <w:iCs/>
          <w:spacing w:val="60"/>
          <w:sz w:val="24"/>
          <w:szCs w:val="24"/>
        </w:rPr>
        <w:t>Kolegium</w:t>
      </w:r>
      <w:r w:rsidRPr="004F2B40">
        <w:rPr>
          <w:rFonts w:ascii="Calibri" w:hAnsi="Calibri" w:cs="Calibri"/>
          <w:b/>
          <w:bCs/>
          <w:i/>
          <w:iCs/>
          <w:sz w:val="24"/>
          <w:szCs w:val="24"/>
        </w:rPr>
        <w:t xml:space="preserve">   </w:t>
      </w:r>
      <w:r w:rsidRPr="004F2B40">
        <w:rPr>
          <w:rFonts w:ascii="Calibri" w:hAnsi="Calibri" w:cs="Calibri"/>
          <w:b/>
          <w:bCs/>
          <w:i/>
          <w:iCs/>
          <w:spacing w:val="60"/>
          <w:sz w:val="24"/>
          <w:szCs w:val="24"/>
        </w:rPr>
        <w:t>NKÚ</w:t>
      </w:r>
      <w:r w:rsidRPr="004F2B40">
        <w:rPr>
          <w:rFonts w:ascii="Calibri" w:hAnsi="Calibri" w:cs="Calibri"/>
          <w:sz w:val="24"/>
          <w:szCs w:val="24"/>
        </w:rPr>
        <w:t xml:space="preserve">   </w:t>
      </w:r>
      <w:r w:rsidRPr="00646562">
        <w:rPr>
          <w:rFonts w:ascii="Calibri" w:hAnsi="Calibri" w:cs="Calibri"/>
          <w:sz w:val="24"/>
          <w:szCs w:val="24"/>
        </w:rPr>
        <w:t>na svém</w:t>
      </w:r>
      <w:r w:rsidR="001C5850" w:rsidRPr="00646562">
        <w:rPr>
          <w:rFonts w:ascii="Calibri" w:hAnsi="Calibri" w:cs="Calibri"/>
          <w:sz w:val="24"/>
          <w:szCs w:val="24"/>
        </w:rPr>
        <w:t xml:space="preserve"> </w:t>
      </w:r>
      <w:r w:rsidR="00A56EF2">
        <w:rPr>
          <w:rFonts w:ascii="Calibri" w:hAnsi="Calibri" w:cs="Calibri"/>
          <w:sz w:val="24"/>
          <w:szCs w:val="24"/>
        </w:rPr>
        <w:t>IV</w:t>
      </w:r>
      <w:r w:rsidRPr="00646562">
        <w:rPr>
          <w:rFonts w:ascii="Calibri" w:hAnsi="Calibri" w:cs="Calibri"/>
          <w:sz w:val="24"/>
          <w:szCs w:val="24"/>
        </w:rPr>
        <w:t>. jednání</w:t>
      </w:r>
      <w:r w:rsidRPr="004F2B40">
        <w:rPr>
          <w:rFonts w:ascii="Calibri" w:hAnsi="Calibri" w:cs="Calibri"/>
          <w:sz w:val="24"/>
          <w:szCs w:val="24"/>
        </w:rPr>
        <w:t xml:space="preserve">, které se konalo </w:t>
      </w:r>
      <w:r w:rsidRPr="00213627">
        <w:rPr>
          <w:rFonts w:ascii="Calibri" w:hAnsi="Calibri" w:cs="Calibri"/>
          <w:sz w:val="24"/>
          <w:szCs w:val="24"/>
        </w:rPr>
        <w:t>dne</w:t>
      </w:r>
      <w:r w:rsidR="001A0B55" w:rsidRPr="00213627">
        <w:rPr>
          <w:rFonts w:ascii="Calibri" w:hAnsi="Calibri" w:cs="Calibri"/>
          <w:sz w:val="24"/>
          <w:szCs w:val="24"/>
        </w:rPr>
        <w:t xml:space="preserve"> </w:t>
      </w:r>
      <w:r w:rsidR="00213627" w:rsidRPr="00213627">
        <w:rPr>
          <w:rFonts w:ascii="Calibri" w:hAnsi="Calibri" w:cs="Calibri"/>
          <w:sz w:val="24"/>
          <w:szCs w:val="24"/>
        </w:rPr>
        <w:t>27. února 2023</w:t>
      </w:r>
      <w:r w:rsidR="001A0B55" w:rsidRPr="00213627">
        <w:rPr>
          <w:rFonts w:ascii="Calibri" w:hAnsi="Calibri" w:cs="Calibri"/>
          <w:sz w:val="24"/>
          <w:szCs w:val="24"/>
        </w:rPr>
        <w:t>,</w:t>
      </w:r>
    </w:p>
    <w:p w14:paraId="4965CAB0" w14:textId="74BD8C2A" w:rsidR="00036DCF" w:rsidRPr="004F2B40" w:rsidRDefault="00036DCF" w:rsidP="00A20F64">
      <w:pPr>
        <w:spacing w:line="240" w:lineRule="auto"/>
        <w:jc w:val="both"/>
        <w:rPr>
          <w:rFonts w:ascii="Calibri" w:hAnsi="Calibri" w:cs="Calibri"/>
          <w:sz w:val="24"/>
          <w:szCs w:val="24"/>
        </w:rPr>
      </w:pPr>
      <w:r w:rsidRPr="004F2B40">
        <w:rPr>
          <w:rFonts w:ascii="Calibri" w:hAnsi="Calibri" w:cs="Calibri"/>
          <w:b/>
          <w:bCs/>
          <w:i/>
          <w:iCs/>
          <w:spacing w:val="60"/>
          <w:sz w:val="24"/>
          <w:szCs w:val="24"/>
        </w:rPr>
        <w:t>schválilo</w:t>
      </w:r>
      <w:r w:rsidRPr="004F2B40">
        <w:rPr>
          <w:rFonts w:ascii="Calibri" w:hAnsi="Calibri" w:cs="Calibri"/>
          <w:sz w:val="24"/>
          <w:szCs w:val="24"/>
        </w:rPr>
        <w:t xml:space="preserve">   usnesením č.</w:t>
      </w:r>
      <w:r w:rsidR="001A0B55">
        <w:rPr>
          <w:rFonts w:ascii="Calibri" w:hAnsi="Calibri" w:cs="Calibri"/>
          <w:sz w:val="24"/>
          <w:szCs w:val="24"/>
        </w:rPr>
        <w:t xml:space="preserve"> </w:t>
      </w:r>
      <w:r w:rsidR="00C31B66">
        <w:rPr>
          <w:rFonts w:ascii="Calibri" w:hAnsi="Calibri" w:cs="Calibri"/>
          <w:sz w:val="24"/>
          <w:szCs w:val="24"/>
        </w:rPr>
        <w:t>5</w:t>
      </w:r>
      <w:r w:rsidR="001A0B55" w:rsidRPr="00213627">
        <w:rPr>
          <w:rFonts w:ascii="Calibri" w:hAnsi="Calibri" w:cs="Calibri"/>
          <w:sz w:val="24"/>
          <w:szCs w:val="24"/>
        </w:rPr>
        <w:t>/</w:t>
      </w:r>
      <w:r w:rsidR="00213627" w:rsidRPr="00213627">
        <w:rPr>
          <w:rFonts w:ascii="Calibri" w:hAnsi="Calibri" w:cs="Calibri"/>
          <w:sz w:val="24"/>
          <w:szCs w:val="24"/>
        </w:rPr>
        <w:t>IV</w:t>
      </w:r>
      <w:r w:rsidR="00B121DC" w:rsidRPr="00213627">
        <w:rPr>
          <w:rFonts w:cstheme="minorHAnsi"/>
          <w:sz w:val="24"/>
        </w:rPr>
        <w:t>/</w:t>
      </w:r>
      <w:r w:rsidR="00213627" w:rsidRPr="00213627">
        <w:rPr>
          <w:rFonts w:cstheme="minorHAnsi"/>
          <w:sz w:val="24"/>
        </w:rPr>
        <w:t>2023</w:t>
      </w:r>
    </w:p>
    <w:p w14:paraId="611D9A47" w14:textId="77777777" w:rsidR="004F2B40" w:rsidRDefault="00036DCF" w:rsidP="00124B87">
      <w:pPr>
        <w:spacing w:line="240" w:lineRule="auto"/>
        <w:jc w:val="both"/>
        <w:rPr>
          <w:rFonts w:ascii="Calibri" w:hAnsi="Calibri" w:cs="Calibri"/>
          <w:sz w:val="24"/>
          <w:szCs w:val="24"/>
        </w:rPr>
      </w:pPr>
      <w:r w:rsidRPr="004F2B40">
        <w:rPr>
          <w:rFonts w:ascii="Calibri" w:hAnsi="Calibri" w:cs="Calibri"/>
          <w:b/>
          <w:bCs/>
          <w:i/>
          <w:iCs/>
          <w:spacing w:val="60"/>
          <w:sz w:val="24"/>
          <w:szCs w:val="24"/>
        </w:rPr>
        <w:t>kontrolní</w:t>
      </w:r>
      <w:r w:rsidRPr="004F2B40">
        <w:rPr>
          <w:rFonts w:ascii="Calibri" w:hAnsi="Calibri" w:cs="Calibri"/>
          <w:b/>
          <w:bCs/>
          <w:i/>
          <w:iCs/>
          <w:sz w:val="24"/>
          <w:szCs w:val="24"/>
        </w:rPr>
        <w:t xml:space="preserve">   </w:t>
      </w:r>
      <w:r w:rsidRPr="004F2B40">
        <w:rPr>
          <w:rFonts w:ascii="Calibri" w:hAnsi="Calibri" w:cs="Calibri"/>
          <w:b/>
          <w:bCs/>
          <w:i/>
          <w:iCs/>
          <w:spacing w:val="60"/>
          <w:sz w:val="24"/>
          <w:szCs w:val="24"/>
        </w:rPr>
        <w:t>závěr</w:t>
      </w:r>
      <w:r w:rsidRPr="004F2B40">
        <w:rPr>
          <w:rFonts w:ascii="Calibri" w:hAnsi="Calibri" w:cs="Calibri"/>
          <w:sz w:val="24"/>
          <w:szCs w:val="24"/>
        </w:rPr>
        <w:t xml:space="preserve">   v tomto znění:</w:t>
      </w:r>
    </w:p>
    <w:p w14:paraId="47B4758D" w14:textId="77777777" w:rsidR="0069391C" w:rsidRDefault="0069391C">
      <w:pPr>
        <w:rPr>
          <w:rFonts w:ascii="Calibri" w:hAnsi="Calibri" w:cs="Calibri"/>
          <w:sz w:val="24"/>
          <w:szCs w:val="24"/>
        </w:rPr>
      </w:pPr>
      <w:r>
        <w:rPr>
          <w:rFonts w:ascii="Calibri" w:hAnsi="Calibri" w:cs="Calibri"/>
          <w:sz w:val="24"/>
          <w:szCs w:val="24"/>
        </w:rPr>
        <w:br w:type="page"/>
      </w:r>
    </w:p>
    <w:p w14:paraId="0053EB0C" w14:textId="11888C29" w:rsidR="006828C4" w:rsidRDefault="006828C4">
      <w:pPr>
        <w:rPr>
          <w:color w:val="FFFFFF" w:themeColor="background1"/>
          <w:sz w:val="16"/>
          <w:szCs w:val="16"/>
        </w:rPr>
      </w:pPr>
      <w:r>
        <w:rPr>
          <w:noProof/>
        </w:rPr>
        <w:lastRenderedPageBreak/>
        <mc:AlternateContent>
          <mc:Choice Requires="wpg">
            <w:drawing>
              <wp:anchor distT="0" distB="0" distL="114300" distR="114300" simplePos="0" relativeHeight="251660288" behindDoc="0" locked="0" layoutInCell="1" allowOverlap="1" wp14:anchorId="0179541A" wp14:editId="7FB3ABCB">
                <wp:simplePos x="0" y="0"/>
                <wp:positionH relativeFrom="column">
                  <wp:posOffset>24332</wp:posOffset>
                </wp:positionH>
                <wp:positionV relativeFrom="paragraph">
                  <wp:posOffset>248069</wp:posOffset>
                </wp:positionV>
                <wp:extent cx="5776595" cy="7901480"/>
                <wp:effectExtent l="0" t="0" r="0" b="4445"/>
                <wp:wrapNone/>
                <wp:docPr id="199" name="Skupina 199"/>
                <wp:cNvGraphicFramePr/>
                <a:graphic xmlns:a="http://schemas.openxmlformats.org/drawingml/2006/main">
                  <a:graphicData uri="http://schemas.microsoft.com/office/word/2010/wordprocessingGroup">
                    <wpg:wgp>
                      <wpg:cNvGrpSpPr/>
                      <wpg:grpSpPr>
                        <a:xfrm>
                          <a:off x="0" y="0"/>
                          <a:ext cx="5776595" cy="7901480"/>
                          <a:chOff x="19457" y="-38912"/>
                          <a:chExt cx="5777106" cy="7901816"/>
                        </a:xfrm>
                      </wpg:grpSpPr>
                      <wpg:grpSp>
                        <wpg:cNvPr id="203" name="Skupina 203"/>
                        <wpg:cNvGrpSpPr/>
                        <wpg:grpSpPr>
                          <a:xfrm>
                            <a:off x="73998" y="1775944"/>
                            <a:ext cx="5526406" cy="434340"/>
                            <a:chOff x="0" y="0"/>
                            <a:chExt cx="5526406" cy="434340"/>
                          </a:xfrm>
                        </wpg:grpSpPr>
                        <wps:wsp>
                          <wps:cNvPr id="204" name="Obdélník: se zakulacenými rohy 204"/>
                          <wps:cNvSpPr/>
                          <wps:spPr>
                            <a:xfrm>
                              <a:off x="1585666" y="0"/>
                              <a:ext cx="3940740" cy="43434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F0455" w14:textId="77777777" w:rsidR="003D48B4" w:rsidRDefault="003D48B4" w:rsidP="006828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Obdélník 205"/>
                          <wps:cNvSpPr/>
                          <wps:spPr>
                            <a:xfrm>
                              <a:off x="0" y="0"/>
                              <a:ext cx="1679848" cy="434340"/>
                            </a:xfrm>
                            <a:prstGeom prst="rect">
                              <a:avLst/>
                            </a:prstGeom>
                            <a:solidFill>
                              <a:srgbClr val="CCD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6" name="Skupina 206"/>
                        <wpg:cNvGrpSpPr/>
                        <wpg:grpSpPr>
                          <a:xfrm>
                            <a:off x="68712" y="861544"/>
                            <a:ext cx="5507990" cy="861060"/>
                            <a:chOff x="0" y="0"/>
                            <a:chExt cx="5508443" cy="861531"/>
                          </a:xfrm>
                        </wpg:grpSpPr>
                        <wps:wsp>
                          <wps:cNvPr id="207" name="Obdélník: se zakulacenými rohy 207"/>
                          <wps:cNvSpPr/>
                          <wps:spPr>
                            <a:xfrm>
                              <a:off x="3530" y="0"/>
                              <a:ext cx="5504913" cy="860425"/>
                            </a:xfrm>
                            <a:prstGeom prst="round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5F0DF" w14:textId="77777777" w:rsidR="003D48B4" w:rsidRDefault="003D48B4" w:rsidP="006828C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Obdélník: se zakulacenými rohy 208"/>
                          <wps:cNvSpPr/>
                          <wps:spPr>
                            <a:xfrm>
                              <a:off x="1045028" y="158873"/>
                              <a:ext cx="4463415" cy="702658"/>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bdélník 209"/>
                          <wps:cNvSpPr/>
                          <wps:spPr>
                            <a:xfrm>
                              <a:off x="0" y="427191"/>
                              <a:ext cx="1679848" cy="434340"/>
                            </a:xfrm>
                            <a:prstGeom prst="rect">
                              <a:avLst/>
                            </a:prstGeom>
                            <a:solidFill>
                              <a:srgbClr val="CCD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Obdélník 210"/>
                          <wps:cNvSpPr/>
                          <wps:spPr>
                            <a:xfrm>
                              <a:off x="3531" y="158786"/>
                              <a:ext cx="5500552" cy="268318"/>
                            </a:xfrm>
                            <a:prstGeom prst="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 name="Skupina 211"/>
                        <wpg:cNvGrpSpPr/>
                        <wpg:grpSpPr>
                          <a:xfrm>
                            <a:off x="68712" y="2272786"/>
                            <a:ext cx="5526513" cy="434340"/>
                            <a:chOff x="0" y="0"/>
                            <a:chExt cx="5526513" cy="434340"/>
                          </a:xfrm>
                        </wpg:grpSpPr>
                        <wps:wsp>
                          <wps:cNvPr id="212" name="Obdélník: se zakulacenými rohy 212"/>
                          <wps:cNvSpPr/>
                          <wps:spPr>
                            <a:xfrm>
                              <a:off x="1062681" y="0"/>
                              <a:ext cx="4463832" cy="43434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Obdélník 213"/>
                          <wps:cNvSpPr/>
                          <wps:spPr>
                            <a:xfrm>
                              <a:off x="0" y="0"/>
                              <a:ext cx="1679848" cy="434340"/>
                            </a:xfrm>
                            <a:prstGeom prst="rect">
                              <a:avLst/>
                            </a:prstGeom>
                            <a:solidFill>
                              <a:srgbClr val="CCD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4" name="Skupina 214"/>
                        <wpg:cNvGrpSpPr/>
                        <wpg:grpSpPr>
                          <a:xfrm>
                            <a:off x="73998" y="2764342"/>
                            <a:ext cx="5526513" cy="434340"/>
                            <a:chOff x="0" y="0"/>
                            <a:chExt cx="5526513" cy="434340"/>
                          </a:xfrm>
                        </wpg:grpSpPr>
                        <wps:wsp>
                          <wps:cNvPr id="215" name="Obdélník: se zakulacenými rohy 215"/>
                          <wps:cNvSpPr/>
                          <wps:spPr>
                            <a:xfrm>
                              <a:off x="1062681" y="0"/>
                              <a:ext cx="4463832" cy="43434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Obdélník 216"/>
                          <wps:cNvSpPr/>
                          <wps:spPr>
                            <a:xfrm>
                              <a:off x="0" y="0"/>
                              <a:ext cx="1679848" cy="434340"/>
                            </a:xfrm>
                            <a:prstGeom prst="rect">
                              <a:avLst/>
                            </a:prstGeom>
                            <a:solidFill>
                              <a:srgbClr val="CCD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8" name="Skupina 218"/>
                        <wpg:cNvGrpSpPr/>
                        <wpg:grpSpPr>
                          <a:xfrm>
                            <a:off x="73998" y="3255898"/>
                            <a:ext cx="5526513" cy="434340"/>
                            <a:chOff x="0" y="0"/>
                            <a:chExt cx="5526513" cy="434340"/>
                          </a:xfrm>
                        </wpg:grpSpPr>
                        <wps:wsp>
                          <wps:cNvPr id="219" name="Obdélník: se zakulacenými rohy 219"/>
                          <wps:cNvSpPr/>
                          <wps:spPr>
                            <a:xfrm>
                              <a:off x="1062681" y="0"/>
                              <a:ext cx="4463832" cy="43434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Obdélník 220"/>
                          <wps:cNvSpPr/>
                          <wps:spPr>
                            <a:xfrm>
                              <a:off x="0" y="0"/>
                              <a:ext cx="1679848" cy="434340"/>
                            </a:xfrm>
                            <a:prstGeom prst="rect">
                              <a:avLst/>
                            </a:prstGeom>
                            <a:solidFill>
                              <a:srgbClr val="CCD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1" name="Skupina 221"/>
                        <wpg:cNvGrpSpPr/>
                        <wpg:grpSpPr>
                          <a:xfrm>
                            <a:off x="68712" y="3932448"/>
                            <a:ext cx="5504669" cy="1084925"/>
                            <a:chOff x="0" y="0"/>
                            <a:chExt cx="5504669" cy="1084925"/>
                          </a:xfrm>
                        </wpg:grpSpPr>
                        <wps:wsp>
                          <wps:cNvPr id="222" name="Obdélník: se zakulacenými rohy 222"/>
                          <wps:cNvSpPr/>
                          <wps:spPr>
                            <a:xfrm>
                              <a:off x="0" y="0"/>
                              <a:ext cx="5504403" cy="1082040"/>
                            </a:xfrm>
                            <a:prstGeom prst="roundRect">
                              <a:avLst/>
                            </a:prstGeom>
                            <a:solidFill>
                              <a:srgbClr val="0045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Obdélník: se zakulacenými rohy 223"/>
                          <wps:cNvSpPr/>
                          <wps:spPr>
                            <a:xfrm>
                              <a:off x="1041254" y="200851"/>
                              <a:ext cx="4463415" cy="883533"/>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Obdélník 224"/>
                          <wps:cNvSpPr/>
                          <wps:spPr>
                            <a:xfrm>
                              <a:off x="0" y="428130"/>
                              <a:ext cx="1675130" cy="656795"/>
                            </a:xfrm>
                            <a:prstGeom prst="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Obdélník 225"/>
                          <wps:cNvSpPr/>
                          <wps:spPr>
                            <a:xfrm>
                              <a:off x="0" y="200851"/>
                              <a:ext cx="5504180" cy="229483"/>
                            </a:xfrm>
                            <a:prstGeom prst="rect">
                              <a:avLst/>
                            </a:prstGeom>
                            <a:solidFill>
                              <a:srgbClr val="0045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6" name="Skupina 226"/>
                        <wpg:cNvGrpSpPr/>
                        <wpg:grpSpPr>
                          <a:xfrm>
                            <a:off x="68712" y="5084698"/>
                            <a:ext cx="5531205" cy="645160"/>
                            <a:chOff x="0" y="0"/>
                            <a:chExt cx="5531205" cy="645160"/>
                          </a:xfrm>
                        </wpg:grpSpPr>
                        <wps:wsp>
                          <wps:cNvPr id="227" name="Obdélník: se zakulacenými rohy 227"/>
                          <wps:cNvSpPr/>
                          <wps:spPr>
                            <a:xfrm>
                              <a:off x="3530" y="0"/>
                              <a:ext cx="5527675" cy="64516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Obdélník 228"/>
                          <wps:cNvSpPr/>
                          <wps:spPr>
                            <a:xfrm>
                              <a:off x="0" y="0"/>
                              <a:ext cx="1675130" cy="645160"/>
                            </a:xfrm>
                            <a:prstGeom prst="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9" name="Skupina 229"/>
                        <wpg:cNvGrpSpPr/>
                        <wpg:grpSpPr>
                          <a:xfrm>
                            <a:off x="73998" y="5803533"/>
                            <a:ext cx="5531205" cy="645160"/>
                            <a:chOff x="0" y="0"/>
                            <a:chExt cx="5531205" cy="645160"/>
                          </a:xfrm>
                        </wpg:grpSpPr>
                        <wps:wsp>
                          <wps:cNvPr id="230" name="Obdélník: se zakulacenými rohy 230"/>
                          <wps:cNvSpPr/>
                          <wps:spPr>
                            <a:xfrm>
                              <a:off x="3530" y="0"/>
                              <a:ext cx="5527675" cy="64516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Obdélník 231"/>
                          <wps:cNvSpPr/>
                          <wps:spPr>
                            <a:xfrm>
                              <a:off x="0" y="0"/>
                              <a:ext cx="1675130" cy="645160"/>
                            </a:xfrm>
                            <a:prstGeom prst="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2" name="Skupina 232"/>
                        <wpg:cNvGrpSpPr/>
                        <wpg:grpSpPr>
                          <a:xfrm>
                            <a:off x="79284" y="6506511"/>
                            <a:ext cx="5531205" cy="645160"/>
                            <a:chOff x="0" y="0"/>
                            <a:chExt cx="5531205" cy="645160"/>
                          </a:xfrm>
                        </wpg:grpSpPr>
                        <wps:wsp>
                          <wps:cNvPr id="233" name="Obdélník: se zakulacenými rohy 233"/>
                          <wps:cNvSpPr/>
                          <wps:spPr>
                            <a:xfrm>
                              <a:off x="3530" y="0"/>
                              <a:ext cx="5527675" cy="64516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Obdélník 234"/>
                          <wps:cNvSpPr/>
                          <wps:spPr>
                            <a:xfrm>
                              <a:off x="0" y="0"/>
                              <a:ext cx="1675130" cy="645160"/>
                            </a:xfrm>
                            <a:prstGeom prst="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5" name="Skupina 235"/>
                        <wpg:cNvGrpSpPr/>
                        <wpg:grpSpPr>
                          <a:xfrm>
                            <a:off x="79284" y="7209489"/>
                            <a:ext cx="5531205" cy="645160"/>
                            <a:chOff x="0" y="0"/>
                            <a:chExt cx="5531205" cy="645160"/>
                          </a:xfrm>
                        </wpg:grpSpPr>
                        <wps:wsp>
                          <wps:cNvPr id="236" name="Obdélník: se zakulacenými rohy 236"/>
                          <wps:cNvSpPr/>
                          <wps:spPr>
                            <a:xfrm>
                              <a:off x="3530" y="0"/>
                              <a:ext cx="5527675" cy="645160"/>
                            </a:xfrm>
                            <a:prstGeom prst="round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bdélník 237"/>
                          <wps:cNvSpPr/>
                          <wps:spPr>
                            <a:xfrm>
                              <a:off x="0" y="0"/>
                              <a:ext cx="1675130" cy="645160"/>
                            </a:xfrm>
                            <a:prstGeom prst="rect">
                              <a:avLst/>
                            </a:prstGeom>
                            <a:solidFill>
                              <a:srgbClr val="669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8" name="Textové pole 2"/>
                        <wps:cNvSpPr txBox="1">
                          <a:spLocks noChangeArrowheads="1"/>
                        </wps:cNvSpPr>
                        <wps:spPr bwMode="auto">
                          <a:xfrm>
                            <a:off x="19457" y="-38912"/>
                            <a:ext cx="5777106" cy="853440"/>
                          </a:xfrm>
                          <a:prstGeom prst="rect">
                            <a:avLst/>
                          </a:prstGeom>
                          <a:noFill/>
                          <a:ln w="9525">
                            <a:noFill/>
                            <a:miter lim="800000"/>
                            <a:headEnd/>
                            <a:tailEnd/>
                          </a:ln>
                        </wps:spPr>
                        <wps:txbx>
                          <w:txbxContent>
                            <w:p w14:paraId="02165323" w14:textId="77777777" w:rsidR="003D48B4" w:rsidRPr="00FB3F2C" w:rsidRDefault="003D48B4" w:rsidP="006828C4">
                              <w:pPr>
                                <w:rPr>
                                  <w:rFonts w:cstheme="minorHAnsi"/>
                                  <w:b/>
                                  <w:bCs/>
                                  <w:color w:val="464646"/>
                                  <w:sz w:val="37"/>
                                  <w:szCs w:val="37"/>
                                  <w:shd w:val="clear" w:color="auto" w:fill="FFFFFF"/>
                                </w:rPr>
                              </w:pPr>
                              <w:r w:rsidRPr="00FB3F2C">
                                <w:rPr>
                                  <w:rFonts w:cstheme="minorHAnsi"/>
                                  <w:b/>
                                  <w:bCs/>
                                  <w:color w:val="464646"/>
                                  <w:sz w:val="37"/>
                                  <w:szCs w:val="37"/>
                                  <w:shd w:val="clear" w:color="auto" w:fill="FFFFFF"/>
                                </w:rPr>
                                <w:t xml:space="preserve">Peněžní prostředky státního rozpočtu a Evropské unie </w:t>
                              </w:r>
                              <w:r w:rsidRPr="00FB3F2C">
                                <w:rPr>
                                  <w:rFonts w:cstheme="minorHAnsi"/>
                                  <w:b/>
                                  <w:bCs/>
                                  <w:color w:val="464646"/>
                                  <w:sz w:val="37"/>
                                  <w:szCs w:val="37"/>
                                  <w:shd w:val="clear" w:color="auto" w:fill="FFFFFF"/>
                                </w:rPr>
                                <w:br/>
                                <w:t>určené na realizaci a implementaci genderových auditů</w:t>
                              </w:r>
                            </w:p>
                            <w:p w14:paraId="2D801B11"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39" name="Textové pole 2"/>
                        <wps:cNvSpPr txBox="1">
                          <a:spLocks noChangeArrowheads="1"/>
                        </wps:cNvSpPr>
                        <wps:spPr bwMode="auto">
                          <a:xfrm>
                            <a:off x="116282" y="919685"/>
                            <a:ext cx="1337244" cy="290705"/>
                          </a:xfrm>
                          <a:prstGeom prst="rect">
                            <a:avLst/>
                          </a:prstGeom>
                          <a:noFill/>
                          <a:ln w="9525">
                            <a:noFill/>
                            <a:miter lim="800000"/>
                            <a:headEnd/>
                            <a:tailEnd/>
                          </a:ln>
                        </wps:spPr>
                        <wps:txbx>
                          <w:txbxContent>
                            <w:p w14:paraId="269B1B3E" w14:textId="77777777" w:rsidR="003D48B4" w:rsidRPr="00EA5880" w:rsidRDefault="003D48B4" w:rsidP="006828C4">
                              <w:pPr>
                                <w:rPr>
                                  <w:rStyle w:val="Zdraznn"/>
                                  <w:rFonts w:cstheme="minorHAnsi"/>
                                  <w:b/>
                                  <w:i w:val="0"/>
                                  <w:color w:val="FFFFFF" w:themeColor="background1"/>
                                  <w:sz w:val="30"/>
                                  <w:szCs w:val="30"/>
                                </w:rPr>
                              </w:pPr>
                              <w:r w:rsidRPr="00EA5880">
                                <w:rPr>
                                  <w:rStyle w:val="Zdraznn"/>
                                  <w:rFonts w:cstheme="minorHAnsi"/>
                                  <w:b/>
                                  <w:i w:val="0"/>
                                  <w:color w:val="FFFFFF" w:themeColor="background1"/>
                                  <w:sz w:val="30"/>
                                  <w:szCs w:val="30"/>
                                </w:rPr>
                                <w:t>Základní fakta</w:t>
                              </w:r>
                            </w:p>
                            <w:p w14:paraId="2770EF9E"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40" name="Textové pole 2"/>
                        <wps:cNvSpPr txBox="1">
                          <a:spLocks noChangeArrowheads="1"/>
                        </wps:cNvSpPr>
                        <wps:spPr bwMode="auto">
                          <a:xfrm>
                            <a:off x="95265" y="1358386"/>
                            <a:ext cx="1574800" cy="290195"/>
                          </a:xfrm>
                          <a:prstGeom prst="rect">
                            <a:avLst/>
                          </a:prstGeom>
                          <a:noFill/>
                          <a:ln w="9525">
                            <a:noFill/>
                            <a:miter lim="800000"/>
                            <a:headEnd/>
                            <a:tailEnd/>
                          </a:ln>
                        </wps:spPr>
                        <wps:txbx>
                          <w:txbxContent>
                            <w:p w14:paraId="32A54EED" w14:textId="77777777" w:rsidR="003D48B4" w:rsidRPr="00EA5880" w:rsidRDefault="003D48B4" w:rsidP="006828C4">
                              <w:pPr>
                                <w:jc w:val="center"/>
                                <w:rPr>
                                  <w:rStyle w:val="Zdraznn"/>
                                  <w:rFonts w:cstheme="minorHAnsi"/>
                                  <w:i w:val="0"/>
                                  <w:sz w:val="26"/>
                                  <w:szCs w:val="26"/>
                                </w:rPr>
                              </w:pPr>
                              <w:r w:rsidRPr="00EA5880">
                                <w:rPr>
                                  <w:rStyle w:val="Zdraznn"/>
                                  <w:rFonts w:cstheme="minorHAnsi"/>
                                  <w:i w:val="0"/>
                                  <w:sz w:val="26"/>
                                  <w:szCs w:val="26"/>
                                </w:rPr>
                                <w:t>29. místo z 35 zemí</w:t>
                              </w:r>
                            </w:p>
                            <w:p w14:paraId="0AD19B5D" w14:textId="77777777" w:rsidR="003D48B4" w:rsidRPr="00FB3F2C" w:rsidRDefault="003D48B4" w:rsidP="006828C4">
                              <w:pPr>
                                <w:jc w:val="center"/>
                                <w:rPr>
                                  <w:sz w:val="35"/>
                                  <w:szCs w:val="35"/>
                                </w:rPr>
                              </w:pPr>
                            </w:p>
                          </w:txbxContent>
                        </wps:txbx>
                        <wps:bodyPr rot="0" vert="horz" wrap="square" lIns="91440" tIns="45720" rIns="91440" bIns="45720" anchor="t" anchorCtr="0">
                          <a:noAutofit/>
                        </wps:bodyPr>
                      </wps:wsp>
                      <wps:wsp>
                        <wps:cNvPr id="241" name="Textové pole 2"/>
                        <wps:cNvSpPr txBox="1">
                          <a:spLocks noChangeArrowheads="1"/>
                        </wps:cNvSpPr>
                        <wps:spPr bwMode="auto">
                          <a:xfrm>
                            <a:off x="1807658" y="1289674"/>
                            <a:ext cx="3635860" cy="431825"/>
                          </a:xfrm>
                          <a:prstGeom prst="rect">
                            <a:avLst/>
                          </a:prstGeom>
                          <a:noFill/>
                          <a:ln w="9525">
                            <a:noFill/>
                            <a:miter lim="800000"/>
                            <a:headEnd/>
                            <a:tailEnd/>
                          </a:ln>
                        </wps:spPr>
                        <wps:txbx>
                          <w:txbxContent>
                            <w:p w14:paraId="2641FA48" w14:textId="77777777" w:rsidR="003D48B4" w:rsidRPr="00EA5880" w:rsidRDefault="003D48B4" w:rsidP="006828C4">
                              <w:pPr>
                                <w:rPr>
                                  <w:sz w:val="20"/>
                                  <w:szCs w:val="20"/>
                                </w:rPr>
                              </w:pPr>
                              <w:r w:rsidRPr="00EA5880">
                                <w:rPr>
                                  <w:rStyle w:val="Zdraznn"/>
                                  <w:rFonts w:cstheme="minorHAnsi"/>
                                  <w:i w:val="0"/>
                                  <w:sz w:val="20"/>
                                  <w:szCs w:val="20"/>
                                </w:rPr>
                                <w:t>Pozice ČR v žebříčku evropských států z pohledu existujících genderových nerovností.</w:t>
                              </w:r>
                            </w:p>
                          </w:txbxContent>
                        </wps:txbx>
                        <wps:bodyPr rot="0" vert="horz" wrap="square" lIns="91440" tIns="45720" rIns="91440" bIns="45720" anchor="t" anchorCtr="0">
                          <a:noAutofit/>
                        </wps:bodyPr>
                      </wps:wsp>
                      <wps:wsp>
                        <wps:cNvPr id="242" name="Textové pole 2"/>
                        <wps:cNvSpPr txBox="1">
                          <a:spLocks noChangeArrowheads="1"/>
                        </wps:cNvSpPr>
                        <wps:spPr bwMode="auto">
                          <a:xfrm>
                            <a:off x="100551" y="1844656"/>
                            <a:ext cx="1574800" cy="290195"/>
                          </a:xfrm>
                          <a:prstGeom prst="rect">
                            <a:avLst/>
                          </a:prstGeom>
                          <a:noFill/>
                          <a:ln w="9525">
                            <a:noFill/>
                            <a:miter lim="800000"/>
                            <a:headEnd/>
                            <a:tailEnd/>
                          </a:ln>
                        </wps:spPr>
                        <wps:txbx>
                          <w:txbxContent>
                            <w:p w14:paraId="4C2B582C" w14:textId="77777777" w:rsidR="003D48B4" w:rsidRPr="00EA5880" w:rsidRDefault="003D48B4" w:rsidP="006828C4">
                              <w:pPr>
                                <w:jc w:val="center"/>
                                <w:rPr>
                                  <w:rStyle w:val="Zdraznn"/>
                                  <w:rFonts w:cstheme="minorHAnsi"/>
                                  <w:i w:val="0"/>
                                  <w:sz w:val="26"/>
                                  <w:szCs w:val="26"/>
                                </w:rPr>
                              </w:pPr>
                              <w:r>
                                <w:rPr>
                                  <w:rStyle w:val="Zdraznn"/>
                                  <w:rFonts w:cstheme="minorHAnsi"/>
                                  <w:i w:val="0"/>
                                  <w:sz w:val="26"/>
                                  <w:szCs w:val="26"/>
                                </w:rPr>
                                <w:t>19 mil. Kč</w:t>
                              </w:r>
                            </w:p>
                            <w:p w14:paraId="35E27CC8"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43" name="Textové pole 2"/>
                        <wps:cNvSpPr txBox="1">
                          <a:spLocks noChangeArrowheads="1"/>
                        </wps:cNvSpPr>
                        <wps:spPr bwMode="auto">
                          <a:xfrm>
                            <a:off x="1807658" y="1775944"/>
                            <a:ext cx="3635375" cy="431800"/>
                          </a:xfrm>
                          <a:prstGeom prst="rect">
                            <a:avLst/>
                          </a:prstGeom>
                          <a:noFill/>
                          <a:ln w="9525">
                            <a:noFill/>
                            <a:miter lim="800000"/>
                            <a:headEnd/>
                            <a:tailEnd/>
                          </a:ln>
                        </wps:spPr>
                        <wps:txbx>
                          <w:txbxContent>
                            <w:p w14:paraId="4CD9D49B" w14:textId="77777777" w:rsidR="003D48B4" w:rsidRPr="00EA5880" w:rsidRDefault="003D48B4" w:rsidP="006828C4">
                              <w:pPr>
                                <w:rPr>
                                  <w:sz w:val="20"/>
                                  <w:szCs w:val="20"/>
                                </w:rPr>
                              </w:pPr>
                              <w:r w:rsidRPr="0080123A">
                                <w:rPr>
                                  <w:rStyle w:val="Zdraznn"/>
                                  <w:rFonts w:cstheme="minorHAnsi"/>
                                  <w:i w:val="0"/>
                                  <w:sz w:val="20"/>
                                  <w:szCs w:val="20"/>
                                </w:rPr>
                                <w:t>Prostředky OPZ</w:t>
                              </w:r>
                              <w:r w:rsidRPr="0080123A">
                                <w:rPr>
                                  <w:rStyle w:val="Zdraznn"/>
                                  <w:rFonts w:cstheme="minorHAnsi"/>
                                  <w:i w:val="0"/>
                                  <w:sz w:val="20"/>
                                  <w:szCs w:val="20"/>
                                  <w:vertAlign w:val="superscript"/>
                                </w:rPr>
                                <w:t>1</w:t>
                              </w:r>
                              <w:r w:rsidRPr="0080123A">
                                <w:rPr>
                                  <w:rStyle w:val="Zdraznn"/>
                                  <w:rFonts w:cstheme="minorHAnsi"/>
                                  <w:i w:val="0"/>
                                  <w:sz w:val="20"/>
                                  <w:szCs w:val="20"/>
                                </w:rPr>
                                <w:t xml:space="preserve"> a státního rozpočtu vydané na podporu realizace genderových auditů.</w:t>
                              </w:r>
                            </w:p>
                          </w:txbxContent>
                        </wps:txbx>
                        <wps:bodyPr rot="0" vert="horz" wrap="square" lIns="91440" tIns="45720" rIns="91440" bIns="45720" anchor="t" anchorCtr="0">
                          <a:noAutofit/>
                        </wps:bodyPr>
                      </wps:wsp>
                      <wps:wsp>
                        <wps:cNvPr id="244" name="Textové pole 2"/>
                        <wps:cNvSpPr txBox="1">
                          <a:spLocks noChangeArrowheads="1"/>
                        </wps:cNvSpPr>
                        <wps:spPr bwMode="auto">
                          <a:xfrm>
                            <a:off x="100551" y="2341498"/>
                            <a:ext cx="1574800" cy="290195"/>
                          </a:xfrm>
                          <a:prstGeom prst="rect">
                            <a:avLst/>
                          </a:prstGeom>
                          <a:noFill/>
                          <a:ln w="9525">
                            <a:noFill/>
                            <a:miter lim="800000"/>
                            <a:headEnd/>
                            <a:tailEnd/>
                          </a:ln>
                        </wps:spPr>
                        <wps:txbx>
                          <w:txbxContent>
                            <w:p w14:paraId="5BBE10E1" w14:textId="77777777" w:rsidR="003D48B4" w:rsidRPr="00EA5880" w:rsidRDefault="003D48B4" w:rsidP="006828C4">
                              <w:pPr>
                                <w:jc w:val="center"/>
                                <w:rPr>
                                  <w:rStyle w:val="Zdraznn"/>
                                  <w:rFonts w:cstheme="minorHAnsi"/>
                                  <w:i w:val="0"/>
                                  <w:sz w:val="26"/>
                                  <w:szCs w:val="26"/>
                                </w:rPr>
                              </w:pPr>
                              <w:r>
                                <w:rPr>
                                  <w:rStyle w:val="Zdraznn"/>
                                  <w:rFonts w:cstheme="minorHAnsi"/>
                                  <w:i w:val="0"/>
                                  <w:sz w:val="26"/>
                                  <w:szCs w:val="26"/>
                                </w:rPr>
                                <w:t>23</w:t>
                              </w:r>
                            </w:p>
                            <w:p w14:paraId="259A6806"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45" name="Textové pole 2"/>
                        <wps:cNvSpPr txBox="1">
                          <a:spLocks noChangeArrowheads="1"/>
                        </wps:cNvSpPr>
                        <wps:spPr bwMode="auto">
                          <a:xfrm>
                            <a:off x="1807658" y="2272786"/>
                            <a:ext cx="3635860" cy="431825"/>
                          </a:xfrm>
                          <a:prstGeom prst="rect">
                            <a:avLst/>
                          </a:prstGeom>
                          <a:noFill/>
                          <a:ln w="9525">
                            <a:noFill/>
                            <a:miter lim="800000"/>
                            <a:headEnd/>
                            <a:tailEnd/>
                          </a:ln>
                        </wps:spPr>
                        <wps:txbx>
                          <w:txbxContent>
                            <w:p w14:paraId="2F957151" w14:textId="77777777" w:rsidR="003D48B4" w:rsidRPr="00EA5880" w:rsidRDefault="003D48B4" w:rsidP="006828C4">
                              <w:pPr>
                                <w:rPr>
                                  <w:sz w:val="20"/>
                                  <w:szCs w:val="20"/>
                                </w:rPr>
                              </w:pPr>
                              <w:r w:rsidRPr="0080123A">
                                <w:rPr>
                                  <w:rStyle w:val="Zdraznn"/>
                                  <w:rFonts w:cstheme="minorHAnsi"/>
                                  <w:i w:val="0"/>
                                  <w:sz w:val="20"/>
                                  <w:szCs w:val="20"/>
                                </w:rPr>
                                <w:t>Počet podpořených projektů na podporu realizace genderových auditů.</w:t>
                              </w:r>
                            </w:p>
                          </w:txbxContent>
                        </wps:txbx>
                        <wps:bodyPr rot="0" vert="horz" wrap="square" lIns="91440" tIns="45720" rIns="91440" bIns="45720" anchor="t" anchorCtr="0">
                          <a:noAutofit/>
                        </wps:bodyPr>
                      </wps:wsp>
                      <wps:wsp>
                        <wps:cNvPr id="246" name="Textové pole 2"/>
                        <wps:cNvSpPr txBox="1">
                          <a:spLocks noChangeArrowheads="1"/>
                        </wps:cNvSpPr>
                        <wps:spPr bwMode="auto">
                          <a:xfrm>
                            <a:off x="100551" y="2833054"/>
                            <a:ext cx="1574800" cy="290195"/>
                          </a:xfrm>
                          <a:prstGeom prst="rect">
                            <a:avLst/>
                          </a:prstGeom>
                          <a:noFill/>
                          <a:ln w="9525">
                            <a:noFill/>
                            <a:miter lim="800000"/>
                            <a:headEnd/>
                            <a:tailEnd/>
                          </a:ln>
                        </wps:spPr>
                        <wps:txbx>
                          <w:txbxContent>
                            <w:p w14:paraId="132900AD" w14:textId="77777777" w:rsidR="003D48B4" w:rsidRPr="00EA5880" w:rsidRDefault="003D48B4" w:rsidP="006828C4">
                              <w:pPr>
                                <w:jc w:val="center"/>
                                <w:rPr>
                                  <w:rStyle w:val="Zdraznn"/>
                                  <w:rFonts w:cstheme="minorHAnsi"/>
                                  <w:i w:val="0"/>
                                  <w:sz w:val="26"/>
                                  <w:szCs w:val="26"/>
                                </w:rPr>
                              </w:pPr>
                              <w:r>
                                <w:rPr>
                                  <w:rStyle w:val="Zdraznn"/>
                                  <w:rFonts w:cstheme="minorHAnsi"/>
                                  <w:i w:val="0"/>
                                  <w:sz w:val="26"/>
                                  <w:szCs w:val="26"/>
                                </w:rPr>
                                <w:t>101 mil. Kč</w:t>
                              </w:r>
                            </w:p>
                            <w:p w14:paraId="270BB4EE"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47" name="Textové pole 2"/>
                        <wps:cNvSpPr txBox="1">
                          <a:spLocks noChangeArrowheads="1"/>
                        </wps:cNvSpPr>
                        <wps:spPr bwMode="auto">
                          <a:xfrm>
                            <a:off x="1807658" y="2764342"/>
                            <a:ext cx="3635860" cy="431825"/>
                          </a:xfrm>
                          <a:prstGeom prst="rect">
                            <a:avLst/>
                          </a:prstGeom>
                          <a:noFill/>
                          <a:ln w="9525">
                            <a:noFill/>
                            <a:miter lim="800000"/>
                            <a:headEnd/>
                            <a:tailEnd/>
                          </a:ln>
                        </wps:spPr>
                        <wps:txbx>
                          <w:txbxContent>
                            <w:p w14:paraId="0728DE43" w14:textId="77777777" w:rsidR="003D48B4" w:rsidRPr="00EA5880" w:rsidRDefault="003D48B4" w:rsidP="006828C4">
                              <w:pPr>
                                <w:rPr>
                                  <w:sz w:val="20"/>
                                  <w:szCs w:val="20"/>
                                </w:rPr>
                              </w:pPr>
                              <w:r w:rsidRPr="0080123A">
                                <w:rPr>
                                  <w:rStyle w:val="Zdraznn"/>
                                  <w:rFonts w:cstheme="minorHAnsi"/>
                                  <w:i w:val="0"/>
                                  <w:sz w:val="20"/>
                                  <w:szCs w:val="20"/>
                                </w:rPr>
                                <w:t>Prostředky OPZ a státního rozpočtu vydané na podporu implementace genderových auditů.</w:t>
                              </w:r>
                            </w:p>
                          </w:txbxContent>
                        </wps:txbx>
                        <wps:bodyPr rot="0" vert="horz" wrap="square" lIns="91440" tIns="45720" rIns="91440" bIns="45720" anchor="t" anchorCtr="0">
                          <a:noAutofit/>
                        </wps:bodyPr>
                      </wps:wsp>
                      <wps:wsp>
                        <wps:cNvPr id="248" name="Textové pole 2"/>
                        <wps:cNvSpPr txBox="1">
                          <a:spLocks noChangeArrowheads="1"/>
                        </wps:cNvSpPr>
                        <wps:spPr bwMode="auto">
                          <a:xfrm>
                            <a:off x="100551" y="3324610"/>
                            <a:ext cx="1574800" cy="290195"/>
                          </a:xfrm>
                          <a:prstGeom prst="rect">
                            <a:avLst/>
                          </a:prstGeom>
                          <a:noFill/>
                          <a:ln w="9525">
                            <a:noFill/>
                            <a:miter lim="800000"/>
                            <a:headEnd/>
                            <a:tailEnd/>
                          </a:ln>
                        </wps:spPr>
                        <wps:txbx>
                          <w:txbxContent>
                            <w:p w14:paraId="45E374F9" w14:textId="77777777" w:rsidR="003D48B4" w:rsidRPr="006828C4" w:rsidRDefault="003D48B4" w:rsidP="006828C4">
                              <w:pPr>
                                <w:jc w:val="center"/>
                                <w:rPr>
                                  <w:rStyle w:val="Zdraznn"/>
                                  <w:rFonts w:cstheme="minorHAnsi"/>
                                  <w:i w:val="0"/>
                                  <w:sz w:val="26"/>
                                  <w:szCs w:val="26"/>
                                </w:rPr>
                              </w:pPr>
                              <w:r w:rsidRPr="006828C4">
                                <w:rPr>
                                  <w:rStyle w:val="Zdraznn"/>
                                  <w:rFonts w:cstheme="minorHAnsi"/>
                                  <w:i w:val="0"/>
                                  <w:sz w:val="26"/>
                                  <w:szCs w:val="26"/>
                                </w:rPr>
                                <w:t>45</w:t>
                              </w:r>
                            </w:p>
                            <w:p w14:paraId="420B5CFB"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49" name="Textové pole 2"/>
                        <wps:cNvSpPr txBox="1">
                          <a:spLocks noChangeArrowheads="1"/>
                        </wps:cNvSpPr>
                        <wps:spPr bwMode="auto">
                          <a:xfrm>
                            <a:off x="1807658" y="3324610"/>
                            <a:ext cx="3635375" cy="290195"/>
                          </a:xfrm>
                          <a:prstGeom prst="rect">
                            <a:avLst/>
                          </a:prstGeom>
                          <a:noFill/>
                          <a:ln w="9525">
                            <a:noFill/>
                            <a:miter lim="800000"/>
                            <a:headEnd/>
                            <a:tailEnd/>
                          </a:ln>
                        </wps:spPr>
                        <wps:txbx>
                          <w:txbxContent>
                            <w:p w14:paraId="48FAF1EF" w14:textId="77777777" w:rsidR="003D48B4" w:rsidRPr="00EA5880" w:rsidRDefault="003D48B4" w:rsidP="006828C4">
                              <w:pPr>
                                <w:rPr>
                                  <w:sz w:val="20"/>
                                  <w:szCs w:val="20"/>
                                </w:rPr>
                              </w:pPr>
                              <w:r w:rsidRPr="0080123A">
                                <w:rPr>
                                  <w:rStyle w:val="Zdraznn"/>
                                  <w:rFonts w:cstheme="minorHAnsi"/>
                                  <w:i w:val="0"/>
                                  <w:sz w:val="20"/>
                                  <w:szCs w:val="20"/>
                                </w:rPr>
                                <w:t>Počet podpořených projektů implementace genderových auditů.</w:t>
                              </w:r>
                            </w:p>
                          </w:txbxContent>
                        </wps:txbx>
                        <wps:bodyPr rot="0" vert="horz" wrap="square" lIns="91440" tIns="45720" rIns="91440" bIns="45720" anchor="t" anchorCtr="0">
                          <a:noAutofit/>
                        </wps:bodyPr>
                      </wps:wsp>
                      <wps:wsp>
                        <wps:cNvPr id="250" name="Textové pole 2"/>
                        <wps:cNvSpPr txBox="1">
                          <a:spLocks noChangeArrowheads="1"/>
                        </wps:cNvSpPr>
                        <wps:spPr bwMode="auto">
                          <a:xfrm>
                            <a:off x="116282" y="3980018"/>
                            <a:ext cx="2082507" cy="364248"/>
                          </a:xfrm>
                          <a:prstGeom prst="rect">
                            <a:avLst/>
                          </a:prstGeom>
                          <a:noFill/>
                          <a:ln w="9525">
                            <a:noFill/>
                            <a:miter lim="800000"/>
                            <a:headEnd/>
                            <a:tailEnd/>
                          </a:ln>
                        </wps:spPr>
                        <wps:txbx>
                          <w:txbxContent>
                            <w:p w14:paraId="5E20351D" w14:textId="77777777" w:rsidR="003D48B4" w:rsidRPr="00EA5880" w:rsidRDefault="003D48B4" w:rsidP="006828C4">
                              <w:pPr>
                                <w:rPr>
                                  <w:rStyle w:val="Zdraznn"/>
                                  <w:rFonts w:cstheme="minorHAnsi"/>
                                  <w:b/>
                                  <w:i w:val="0"/>
                                  <w:color w:val="FFFFFF" w:themeColor="background1"/>
                                  <w:sz w:val="34"/>
                                  <w:szCs w:val="34"/>
                                </w:rPr>
                              </w:pPr>
                              <w:r w:rsidRPr="00EA5880">
                                <w:rPr>
                                  <w:rStyle w:val="Zdraznn"/>
                                  <w:rFonts w:cstheme="minorHAnsi"/>
                                  <w:b/>
                                  <w:i w:val="0"/>
                                  <w:color w:val="FFFFFF" w:themeColor="background1"/>
                                  <w:sz w:val="34"/>
                                  <w:szCs w:val="34"/>
                                </w:rPr>
                                <w:t>Zjištění z kontroly</w:t>
                              </w:r>
                            </w:p>
                            <w:p w14:paraId="14A28AD4" w14:textId="77777777" w:rsidR="003D48B4" w:rsidRPr="00EA5880" w:rsidRDefault="003D48B4" w:rsidP="006828C4">
                              <w:pPr>
                                <w:rPr>
                                  <w:sz w:val="34"/>
                                  <w:szCs w:val="34"/>
                                </w:rPr>
                              </w:pPr>
                            </w:p>
                          </w:txbxContent>
                        </wps:txbx>
                        <wps:bodyPr rot="0" vert="horz" wrap="square" lIns="91440" tIns="45720" rIns="91440" bIns="45720" anchor="t" anchorCtr="0">
                          <a:noAutofit/>
                        </wps:bodyPr>
                      </wps:wsp>
                      <wps:wsp>
                        <wps:cNvPr id="251" name="Textové pole 2"/>
                        <wps:cNvSpPr txBox="1">
                          <a:spLocks noChangeArrowheads="1"/>
                        </wps:cNvSpPr>
                        <wps:spPr bwMode="auto">
                          <a:xfrm>
                            <a:off x="116282" y="4487431"/>
                            <a:ext cx="1574800" cy="398780"/>
                          </a:xfrm>
                          <a:prstGeom prst="rect">
                            <a:avLst/>
                          </a:prstGeom>
                          <a:noFill/>
                          <a:ln w="9525">
                            <a:noFill/>
                            <a:miter lim="800000"/>
                            <a:headEnd/>
                            <a:tailEnd/>
                          </a:ln>
                        </wps:spPr>
                        <wps:txbx>
                          <w:txbxContent>
                            <w:p w14:paraId="3AB4B312" w14:textId="77777777" w:rsidR="003D48B4" w:rsidRPr="0080123A" w:rsidRDefault="003D48B4" w:rsidP="006828C4">
                              <w:pPr>
                                <w:jc w:val="center"/>
                                <w:rPr>
                                  <w:rStyle w:val="Zdraznn"/>
                                  <w:rFonts w:cstheme="minorHAnsi"/>
                                  <w:b/>
                                  <w:i w:val="0"/>
                                  <w:color w:val="FFFFFF" w:themeColor="background1"/>
                                  <w:sz w:val="36"/>
                                  <w:szCs w:val="32"/>
                                </w:rPr>
                              </w:pPr>
                              <w:r w:rsidRPr="0080123A">
                                <w:rPr>
                                  <w:rStyle w:val="Zdraznn"/>
                                  <w:rFonts w:cstheme="minorHAnsi"/>
                                  <w:b/>
                                  <w:i w:val="0"/>
                                  <w:color w:val="FFFFFF" w:themeColor="background1"/>
                                  <w:sz w:val="36"/>
                                  <w:szCs w:val="32"/>
                                </w:rPr>
                                <w:t>8 %</w:t>
                              </w:r>
                            </w:p>
                            <w:p w14:paraId="41467B07"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52" name="Textové pole 2"/>
                        <wps:cNvSpPr txBox="1">
                          <a:spLocks noChangeArrowheads="1"/>
                        </wps:cNvSpPr>
                        <wps:spPr bwMode="auto">
                          <a:xfrm>
                            <a:off x="1807658" y="4455718"/>
                            <a:ext cx="3635375" cy="459842"/>
                          </a:xfrm>
                          <a:prstGeom prst="rect">
                            <a:avLst/>
                          </a:prstGeom>
                          <a:noFill/>
                          <a:ln w="9525">
                            <a:noFill/>
                            <a:miter lim="800000"/>
                            <a:headEnd/>
                            <a:tailEnd/>
                          </a:ln>
                        </wps:spPr>
                        <wps:txbx>
                          <w:txbxContent>
                            <w:p w14:paraId="47EA8BF1" w14:textId="77777777" w:rsidR="003D48B4" w:rsidRPr="0080123A" w:rsidRDefault="003D48B4" w:rsidP="006828C4">
                              <w:pPr>
                                <w:rPr>
                                  <w:rFonts w:cstheme="minorHAnsi"/>
                                  <w:iCs/>
                                  <w:szCs w:val="20"/>
                                </w:rPr>
                              </w:pPr>
                              <w:r w:rsidRPr="0080123A">
                                <w:rPr>
                                  <w:rStyle w:val="Zdraznn"/>
                                  <w:rFonts w:cstheme="minorHAnsi"/>
                                  <w:i w:val="0"/>
                                  <w:szCs w:val="20"/>
                                </w:rPr>
                                <w:t xml:space="preserve">Podíl veřejných prostředků, které přispěly k účelu podpory </w:t>
                              </w:r>
                              <w:r w:rsidRPr="0080123A">
                                <w:rPr>
                                  <w:rStyle w:val="Zdraznn"/>
                                  <w:rFonts w:cstheme="minorHAnsi"/>
                                  <w:i w:val="0"/>
                                  <w:szCs w:val="20"/>
                                </w:rPr>
                                <w:br/>
                                <w:t xml:space="preserve">ve všech klíčových </w:t>
                              </w:r>
                              <w:r>
                                <w:rPr>
                                  <w:rStyle w:val="Zdraznn"/>
                                  <w:rFonts w:cstheme="minorHAnsi"/>
                                  <w:i w:val="0"/>
                                  <w:szCs w:val="20"/>
                                </w:rPr>
                                <w:t>oblastech</w:t>
                              </w:r>
                              <w:r w:rsidRPr="0080123A">
                                <w:rPr>
                                  <w:rStyle w:val="Zdraznn"/>
                                  <w:rFonts w:cstheme="minorHAnsi"/>
                                  <w:i w:val="0"/>
                                  <w:szCs w:val="20"/>
                                </w:rPr>
                                <w:t xml:space="preserve"> genderové nerovnosti.</w:t>
                              </w:r>
                            </w:p>
                          </w:txbxContent>
                        </wps:txbx>
                        <wps:bodyPr rot="0" vert="horz" wrap="square" lIns="91440" tIns="45720" rIns="91440" bIns="45720" anchor="t" anchorCtr="0">
                          <a:noAutofit/>
                        </wps:bodyPr>
                      </wps:wsp>
                      <wps:wsp>
                        <wps:cNvPr id="253" name="Textové pole 2"/>
                        <wps:cNvSpPr txBox="1">
                          <a:spLocks noChangeArrowheads="1"/>
                        </wps:cNvSpPr>
                        <wps:spPr bwMode="auto">
                          <a:xfrm>
                            <a:off x="116282" y="5200980"/>
                            <a:ext cx="1574800" cy="398780"/>
                          </a:xfrm>
                          <a:prstGeom prst="rect">
                            <a:avLst/>
                          </a:prstGeom>
                          <a:noFill/>
                          <a:ln w="9525">
                            <a:noFill/>
                            <a:miter lim="800000"/>
                            <a:headEnd/>
                            <a:tailEnd/>
                          </a:ln>
                        </wps:spPr>
                        <wps:txbx>
                          <w:txbxContent>
                            <w:p w14:paraId="0C077292"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54</w:t>
                              </w:r>
                              <w:r w:rsidRPr="0080123A">
                                <w:rPr>
                                  <w:rStyle w:val="Zdraznn"/>
                                  <w:rFonts w:cstheme="minorHAnsi"/>
                                  <w:b/>
                                  <w:i w:val="0"/>
                                  <w:color w:val="FFFFFF" w:themeColor="background1"/>
                                  <w:sz w:val="36"/>
                                  <w:szCs w:val="32"/>
                                </w:rPr>
                                <w:t xml:space="preserve"> %</w:t>
                              </w:r>
                            </w:p>
                            <w:p w14:paraId="14C31299"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54" name="Textové pole 2"/>
                        <wps:cNvSpPr txBox="1">
                          <a:spLocks noChangeArrowheads="1"/>
                        </wps:cNvSpPr>
                        <wps:spPr bwMode="auto">
                          <a:xfrm>
                            <a:off x="1807658" y="5163981"/>
                            <a:ext cx="3635375" cy="480695"/>
                          </a:xfrm>
                          <a:prstGeom prst="rect">
                            <a:avLst/>
                          </a:prstGeom>
                          <a:noFill/>
                          <a:ln w="9525">
                            <a:noFill/>
                            <a:miter lim="800000"/>
                            <a:headEnd/>
                            <a:tailEnd/>
                          </a:ln>
                        </wps:spPr>
                        <wps:txbx>
                          <w:txbxContent>
                            <w:p w14:paraId="1AAD3CF8" w14:textId="77777777" w:rsidR="003D48B4" w:rsidRPr="0080123A" w:rsidRDefault="003D48B4" w:rsidP="006828C4">
                              <w:pPr>
                                <w:rPr>
                                  <w:szCs w:val="20"/>
                                </w:rPr>
                              </w:pPr>
                              <w:r w:rsidRPr="0080123A">
                                <w:rPr>
                                  <w:rStyle w:val="Zdraznn"/>
                                  <w:rFonts w:cstheme="minorHAnsi"/>
                                  <w:i w:val="0"/>
                                  <w:szCs w:val="20"/>
                                </w:rPr>
                                <w:t>Podíl auditovaných organizací, jejichž totožnost nebyla MPSV při hodnocení žádostí o podporu známa.</w:t>
                              </w:r>
                            </w:p>
                          </w:txbxContent>
                        </wps:txbx>
                        <wps:bodyPr rot="0" vert="horz" wrap="square" lIns="91440" tIns="45720" rIns="91440" bIns="45720" anchor="t" anchorCtr="0">
                          <a:noAutofit/>
                        </wps:bodyPr>
                      </wps:wsp>
                      <wps:wsp>
                        <wps:cNvPr id="255" name="Textové pole 2"/>
                        <wps:cNvSpPr txBox="1">
                          <a:spLocks noChangeArrowheads="1"/>
                        </wps:cNvSpPr>
                        <wps:spPr bwMode="auto">
                          <a:xfrm>
                            <a:off x="116282" y="5930386"/>
                            <a:ext cx="1574800" cy="398780"/>
                          </a:xfrm>
                          <a:prstGeom prst="rect">
                            <a:avLst/>
                          </a:prstGeom>
                          <a:noFill/>
                          <a:ln w="9525">
                            <a:noFill/>
                            <a:miter lim="800000"/>
                            <a:headEnd/>
                            <a:tailEnd/>
                          </a:ln>
                        </wps:spPr>
                        <wps:txbx>
                          <w:txbxContent>
                            <w:p w14:paraId="0308B137"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14</w:t>
                              </w:r>
                              <w:r w:rsidRPr="0080123A">
                                <w:rPr>
                                  <w:rStyle w:val="Zdraznn"/>
                                  <w:rFonts w:cstheme="minorHAnsi"/>
                                  <w:b/>
                                  <w:i w:val="0"/>
                                  <w:color w:val="FFFFFF" w:themeColor="background1"/>
                                  <w:sz w:val="36"/>
                                  <w:szCs w:val="32"/>
                                </w:rPr>
                                <w:t xml:space="preserve"> %</w:t>
                              </w:r>
                            </w:p>
                            <w:p w14:paraId="7F834A84"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56" name="Textové pole 2"/>
                        <wps:cNvSpPr txBox="1">
                          <a:spLocks noChangeArrowheads="1"/>
                        </wps:cNvSpPr>
                        <wps:spPr bwMode="auto">
                          <a:xfrm>
                            <a:off x="1807658" y="5893387"/>
                            <a:ext cx="3635375" cy="485775"/>
                          </a:xfrm>
                          <a:prstGeom prst="rect">
                            <a:avLst/>
                          </a:prstGeom>
                          <a:noFill/>
                          <a:ln w="9525">
                            <a:noFill/>
                            <a:miter lim="800000"/>
                            <a:headEnd/>
                            <a:tailEnd/>
                          </a:ln>
                        </wps:spPr>
                        <wps:txbx>
                          <w:txbxContent>
                            <w:p w14:paraId="6ACEAB5B" w14:textId="77777777" w:rsidR="003D48B4" w:rsidRPr="0080123A" w:rsidRDefault="003D48B4" w:rsidP="006828C4">
                              <w:pPr>
                                <w:rPr>
                                  <w:szCs w:val="20"/>
                                </w:rPr>
                              </w:pPr>
                              <w:r w:rsidRPr="0080123A">
                                <w:rPr>
                                  <w:rStyle w:val="Zdraznn"/>
                                  <w:rFonts w:cstheme="minorHAnsi"/>
                                  <w:i w:val="0"/>
                                  <w:szCs w:val="20"/>
                                </w:rPr>
                                <w:t>Podíl auditovaných organizací, které prokazatelně pokračovaly v implementaci opatření.</w:t>
                              </w:r>
                            </w:p>
                          </w:txbxContent>
                        </wps:txbx>
                        <wps:bodyPr rot="0" vert="horz" wrap="square" lIns="91440" tIns="45720" rIns="91440" bIns="45720" anchor="t" anchorCtr="0">
                          <a:noAutofit/>
                        </wps:bodyPr>
                      </wps:wsp>
                      <wps:wsp>
                        <wps:cNvPr id="257" name="Textové pole 2"/>
                        <wps:cNvSpPr txBox="1">
                          <a:spLocks noChangeArrowheads="1"/>
                        </wps:cNvSpPr>
                        <wps:spPr bwMode="auto">
                          <a:xfrm>
                            <a:off x="116282" y="6622793"/>
                            <a:ext cx="1574800" cy="398780"/>
                          </a:xfrm>
                          <a:prstGeom prst="rect">
                            <a:avLst/>
                          </a:prstGeom>
                          <a:noFill/>
                          <a:ln w="9525">
                            <a:noFill/>
                            <a:miter lim="800000"/>
                            <a:headEnd/>
                            <a:tailEnd/>
                          </a:ln>
                        </wps:spPr>
                        <wps:txbx>
                          <w:txbxContent>
                            <w:p w14:paraId="1590A724"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14 z 51</w:t>
                              </w:r>
                            </w:p>
                            <w:p w14:paraId="6968C4E6"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58" name="Textové pole 2"/>
                        <wps:cNvSpPr txBox="1">
                          <a:spLocks noChangeArrowheads="1"/>
                        </wps:cNvSpPr>
                        <wps:spPr bwMode="auto">
                          <a:xfrm>
                            <a:off x="1807658" y="6501225"/>
                            <a:ext cx="3635375" cy="653415"/>
                          </a:xfrm>
                          <a:prstGeom prst="rect">
                            <a:avLst/>
                          </a:prstGeom>
                          <a:noFill/>
                          <a:ln w="9525">
                            <a:noFill/>
                            <a:miter lim="800000"/>
                            <a:headEnd/>
                            <a:tailEnd/>
                          </a:ln>
                        </wps:spPr>
                        <wps:txbx>
                          <w:txbxContent>
                            <w:p w14:paraId="7356ADED" w14:textId="77777777" w:rsidR="003D48B4" w:rsidRPr="0080123A" w:rsidRDefault="003D48B4" w:rsidP="006828C4">
                              <w:pPr>
                                <w:rPr>
                                  <w:szCs w:val="20"/>
                                </w:rPr>
                              </w:pPr>
                              <w:r w:rsidRPr="0080123A">
                                <w:rPr>
                                  <w:rStyle w:val="Zdraznn"/>
                                  <w:rFonts w:cstheme="minorHAnsi"/>
                                  <w:i w:val="0"/>
                                  <w:szCs w:val="20"/>
                                </w:rPr>
                                <w:t>Počet auditovaných osob, u kterých realizátor genderového auditu prokazatelně nehodnotil oblast odměňování, přestože měl povinnost ji auditovat.</w:t>
                              </w:r>
                            </w:p>
                          </w:txbxContent>
                        </wps:txbx>
                        <wps:bodyPr rot="0" vert="horz" wrap="square" lIns="91440" tIns="45720" rIns="91440" bIns="45720" anchor="t" anchorCtr="0">
                          <a:noAutofit/>
                        </wps:bodyPr>
                      </wps:wsp>
                      <wps:wsp>
                        <wps:cNvPr id="259" name="Textové pole 2"/>
                        <wps:cNvSpPr txBox="1">
                          <a:spLocks noChangeArrowheads="1"/>
                        </wps:cNvSpPr>
                        <wps:spPr bwMode="auto">
                          <a:xfrm>
                            <a:off x="116282" y="7336342"/>
                            <a:ext cx="1574800" cy="398780"/>
                          </a:xfrm>
                          <a:prstGeom prst="rect">
                            <a:avLst/>
                          </a:prstGeom>
                          <a:noFill/>
                          <a:ln w="9525">
                            <a:noFill/>
                            <a:miter lim="800000"/>
                            <a:headEnd/>
                            <a:tailEnd/>
                          </a:ln>
                        </wps:spPr>
                        <wps:txbx>
                          <w:txbxContent>
                            <w:p w14:paraId="5F5B5F65"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56</w:t>
                              </w:r>
                              <w:r w:rsidRPr="0080123A">
                                <w:rPr>
                                  <w:rStyle w:val="Zdraznn"/>
                                  <w:rFonts w:cstheme="minorHAnsi"/>
                                  <w:b/>
                                  <w:i w:val="0"/>
                                  <w:color w:val="FFFFFF" w:themeColor="background1"/>
                                  <w:sz w:val="36"/>
                                  <w:szCs w:val="32"/>
                                </w:rPr>
                                <w:t xml:space="preserve"> %</w:t>
                              </w:r>
                            </w:p>
                            <w:p w14:paraId="4F67A119" w14:textId="77777777" w:rsidR="003D48B4" w:rsidRPr="00FB3F2C" w:rsidRDefault="003D48B4" w:rsidP="006828C4">
                              <w:pPr>
                                <w:rPr>
                                  <w:sz w:val="35"/>
                                  <w:szCs w:val="35"/>
                                </w:rPr>
                              </w:pPr>
                            </w:p>
                          </w:txbxContent>
                        </wps:txbx>
                        <wps:bodyPr rot="0" vert="horz" wrap="square" lIns="91440" tIns="45720" rIns="91440" bIns="45720" anchor="t" anchorCtr="0">
                          <a:noAutofit/>
                        </wps:bodyPr>
                      </wps:wsp>
                      <wps:wsp>
                        <wps:cNvPr id="260" name="Textové pole 2"/>
                        <wps:cNvSpPr txBox="1">
                          <a:spLocks noChangeArrowheads="1"/>
                        </wps:cNvSpPr>
                        <wps:spPr bwMode="auto">
                          <a:xfrm>
                            <a:off x="1807658" y="7209489"/>
                            <a:ext cx="3635375" cy="653415"/>
                          </a:xfrm>
                          <a:prstGeom prst="rect">
                            <a:avLst/>
                          </a:prstGeom>
                          <a:noFill/>
                          <a:ln w="9525">
                            <a:noFill/>
                            <a:miter lim="800000"/>
                            <a:headEnd/>
                            <a:tailEnd/>
                          </a:ln>
                        </wps:spPr>
                        <wps:txbx>
                          <w:txbxContent>
                            <w:p w14:paraId="559C1C24" w14:textId="77777777" w:rsidR="003D48B4" w:rsidRPr="0080123A" w:rsidRDefault="003D48B4" w:rsidP="006828C4">
                              <w:pPr>
                                <w:rPr>
                                  <w:rFonts w:cstheme="minorHAnsi"/>
                                  <w:iCs/>
                                </w:rPr>
                              </w:pPr>
                              <w:r w:rsidRPr="0080123A">
                                <w:rPr>
                                  <w:rStyle w:val="Zdraznn"/>
                                  <w:rFonts w:cstheme="minorHAnsi"/>
                                  <w:i w:val="0"/>
                                </w:rPr>
                                <w:t xml:space="preserve">Podíl projektů, u kterých se stejná osoba podílela na formulaci opatření k odstranění genderové nerovnosti, </w:t>
                              </w:r>
                              <w:r>
                                <w:rPr>
                                  <w:rStyle w:val="Zdraznn"/>
                                  <w:rFonts w:cstheme="minorHAnsi"/>
                                  <w:i w:val="0"/>
                                </w:rPr>
                                <w:br/>
                              </w:r>
                              <w:r w:rsidRPr="0080123A">
                                <w:rPr>
                                  <w:rStyle w:val="Zdraznn"/>
                                  <w:rFonts w:cstheme="minorHAnsi"/>
                                  <w:i w:val="0"/>
                                </w:rPr>
                                <w:t>jejich administraci i ověření jejich splnění.</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179541A" id="Skupina 199" o:spid="_x0000_s1026" style="position:absolute;margin-left:1.9pt;margin-top:19.55pt;width:454.85pt;height:622.15pt;z-index:251660288;mso-height-relative:margin" coordorigin="194,-389" coordsize="57771,7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">
                <v:group id="Skupina 203" o:spid="_x0000_s1027" style="position:absolute;left:739;top:17759;width:55265;height:4343" coordsize="55264,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roundrect id="Obdélník: se zakulacenými rohy 204" o:spid="_x0000_s1028" style="position:absolute;left:15856;width:39408;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" fillcolor="#e5e5e5" stroked="f" strokeweight="1pt">
                    <v:stroke joinstyle="miter"/>
                    <v:textbox>
                      <w:txbxContent>
                        <w:p w14:paraId="248F0455" w14:textId="77777777" w:rsidR="003D48B4" w:rsidRDefault="003D48B4" w:rsidP="006828C4"/>
                      </w:txbxContent>
                    </v:textbox>
                  </v:roundrect>
                  <v:rect id="Obdélník 205" o:spid="_x0000_s1029" style="position:absolute;width:16798;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" fillcolor="#ccdaea" stroked="f" strokeweight="1pt"/>
                </v:group>
                <v:group id="Skupina 206" o:spid="_x0000_s1030" style="position:absolute;left:687;top:8615;width:55080;height:8611" coordsize="55084,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oundrect id="Obdélník: se zakulacenými rohy 207" o:spid="_x0000_s1031" style="position:absolute;left:35;width:55049;height:86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" fillcolor="#6690c0" stroked="f" strokeweight="1pt">
                    <v:stroke joinstyle="miter"/>
                    <v:textbox>
                      <w:txbxContent>
                        <w:p w14:paraId="1DA5F0DF" w14:textId="77777777" w:rsidR="003D48B4" w:rsidRDefault="003D48B4" w:rsidP="006828C4"/>
                      </w:txbxContent>
                    </v:textbox>
                  </v:roundrect>
                  <v:roundrect id="Obdélník: se zakulacenými rohy 208" o:spid="_x0000_s1032" style="position:absolute;left:10450;top:1588;width:44634;height:70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" fillcolor="#e5e5e5" stroked="f" strokeweight="1pt">
                    <v:stroke joinstyle="miter"/>
                  </v:roundrect>
                  <v:rect id="Obdélník 209" o:spid="_x0000_s1033" style="position:absolute;top:4271;width:16798;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" fillcolor="#ccdaea" stroked="f" strokeweight="1pt"/>
                  <v:rect id="Obdélník 210" o:spid="_x0000_s1034" style="position:absolute;left:35;top:1587;width:55005;height:2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" fillcolor="#6690c0" stroked="f" strokeweight="1pt"/>
                </v:group>
                <v:group id="Skupina 211" o:spid="_x0000_s1035" style="position:absolute;left:687;top:22727;width:55265;height:4344" coordsize="5526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oundrect id="Obdélník: se zakulacenými rohy 212" o:spid="_x0000_s1036" style="position:absolute;left:10626;width:44639;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" fillcolor="#e5e5e5" stroked="f" strokeweight="1pt">
                    <v:stroke joinstyle="miter"/>
                  </v:roundrect>
                  <v:rect id="Obdélník 213" o:spid="_x0000_s1037" style="position:absolute;width:16798;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" fillcolor="#ccdaea" stroked="f" strokeweight="1pt"/>
                </v:group>
                <v:group id="Skupina 214" o:spid="_x0000_s1038" style="position:absolute;left:739;top:27643;width:55266;height:4343" coordsize="5526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roundrect id="Obdélník: se zakulacenými rohy 215" o:spid="_x0000_s1039" style="position:absolute;left:10626;width:44639;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" fillcolor="#e5e5e5" stroked="f" strokeweight="1pt">
                    <v:stroke joinstyle="miter"/>
                  </v:roundrect>
                  <v:rect id="Obdélník 216" o:spid="_x0000_s1040" style="position:absolute;width:16798;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" fillcolor="#ccdaea" stroked="f" strokeweight="1pt"/>
                </v:group>
                <v:group id="Skupina 218" o:spid="_x0000_s1041" style="position:absolute;left:739;top:32558;width:55266;height:4344" coordsize="55265,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roundrect id="Obdélník: se zakulacenými rohy 219" o:spid="_x0000_s1042" style="position:absolute;left:10626;width:44639;height:4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" fillcolor="#e5e5e5" stroked="f" strokeweight="1pt">
                    <v:stroke joinstyle="miter"/>
                  </v:roundrect>
                  <v:rect id="Obdélník 220" o:spid="_x0000_s1043" style="position:absolute;width:16798;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" fillcolor="#ccdaea" stroked="f" strokeweight="1pt"/>
                </v:group>
                <v:group id="Skupina 221" o:spid="_x0000_s1044" style="position:absolute;left:687;top:39324;width:55046;height:10849" coordsize="55046,1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roundrect id="Obdélník: se zakulacenými rohy 222" o:spid="_x0000_s1045" style="position:absolute;width:55044;height:10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" fillcolor="#004595" stroked="f" strokeweight="1pt">
                    <v:stroke joinstyle="miter"/>
                  </v:roundrect>
                  <v:roundrect id="Obdélník: se zakulacenými rohy 223" o:spid="_x0000_s1046" style="position:absolute;left:10412;top:2008;width:44634;height:8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" fillcolor="#e5e5e5" stroked="f" strokeweight="1pt">
                    <v:stroke joinstyle="miter"/>
                  </v:roundrect>
                  <v:rect id="Obdélník 224" o:spid="_x0000_s1047" style="position:absolute;top:4281;width:16751;height:6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" fillcolor="#6690c0" stroked="f" strokeweight="1pt"/>
                  <v:rect id="Obdélník 225" o:spid="_x0000_s1048" style="position:absolute;top:2008;width:55041;height:2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" fillcolor="#004595" stroked="f" strokeweight="1pt"/>
                </v:group>
                <v:group id="Skupina 226" o:spid="_x0000_s1049" style="position:absolute;left:687;top:50846;width:55312;height:6452" coordsize="5531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roundrect id="Obdélník: se zakulacenými rohy 227" o:spid="_x0000_s1050" style="position:absolute;left:35;width:55277;height:6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" fillcolor="#e5e5e5" stroked="f" strokeweight="1pt">
                    <v:stroke joinstyle="miter"/>
                  </v:roundrect>
                  <v:rect id="Obdélník 228" o:spid="_x0000_s1051" style="position:absolute;width:16751;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" fillcolor="#6690c0" stroked="f" strokeweight="1pt"/>
                </v:group>
                <v:group id="Skupina 229" o:spid="_x0000_s1052" style="position:absolute;left:739;top:58035;width:55313;height:6451" coordsize="5531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roundrect id="Obdélník: se zakulacenými rohy 230" o:spid="_x0000_s1053" style="position:absolute;left:35;width:55277;height:6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" fillcolor="#e5e5e5" stroked="f" strokeweight="1pt">
                    <v:stroke joinstyle="miter"/>
                  </v:roundrect>
                  <v:rect id="Obdélník 231" o:spid="_x0000_s1054" style="position:absolute;width:16751;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" fillcolor="#6690c0" stroked="f" strokeweight="1pt"/>
                </v:group>
                <v:group id="Skupina 232" o:spid="_x0000_s1055" style="position:absolute;left:792;top:65065;width:55312;height:6451" coordsize="5531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oundrect id="Obdélník: se zakulacenými rohy 233" o:spid="_x0000_s1056" style="position:absolute;left:35;width:55277;height:6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" fillcolor="#e5e5e5" stroked="f" strokeweight="1pt">
                    <v:stroke joinstyle="miter"/>
                  </v:roundrect>
                  <v:rect id="Obdélník 234" o:spid="_x0000_s1057" style="position:absolute;width:16751;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" fillcolor="#6690c0" stroked="f" strokeweight="1pt"/>
                </v:group>
                <v:group id="Skupina 235" o:spid="_x0000_s1058" style="position:absolute;left:792;top:72094;width:55312;height:6452" coordsize="5531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oundrect id="Obdélník: se zakulacenými rohy 236" o:spid="_x0000_s1059" style="position:absolute;left:35;width:55277;height:6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" fillcolor="#e5e5e5" stroked="f" strokeweight="1pt">
                    <v:stroke joinstyle="miter"/>
                  </v:roundrect>
                  <v:rect id="Obdélník 237" o:spid="_x0000_s1060" style="position:absolute;width:16751;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" fillcolor="#6690c0" stroked="f" strokeweight="1pt"/>
                </v:group>
                <v:shapetype id="_x0000_t202" coordsize="21600,21600" o:spt="202" path="m,l,21600r21600,l21600,xe">
                  <v:stroke joinstyle="miter"/>
                  <v:path gradientshapeok="t" o:connecttype="rect"/>
                </v:shapetype>
                <v:shape id="Textové pole 2" o:spid="_x0000_s1061" type="#_x0000_t202" style="position:absolute;left:194;top:-389;width:57771;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14:paraId="02165323" w14:textId="77777777" w:rsidR="003D48B4" w:rsidRPr="00FB3F2C" w:rsidRDefault="003D48B4" w:rsidP="006828C4">
                        <w:pPr>
                          <w:rPr>
                            <w:rFonts w:cstheme="minorHAnsi"/>
                            <w:b/>
                            <w:bCs/>
                            <w:color w:val="464646"/>
                            <w:sz w:val="37"/>
                            <w:szCs w:val="37"/>
                            <w:shd w:val="clear" w:color="auto" w:fill="FFFFFF"/>
                          </w:rPr>
                        </w:pPr>
                        <w:r w:rsidRPr="00FB3F2C">
                          <w:rPr>
                            <w:rFonts w:cstheme="minorHAnsi"/>
                            <w:b/>
                            <w:bCs/>
                            <w:color w:val="464646"/>
                            <w:sz w:val="37"/>
                            <w:szCs w:val="37"/>
                            <w:shd w:val="clear" w:color="auto" w:fill="FFFFFF"/>
                          </w:rPr>
                          <w:t xml:space="preserve">Peněžní prostředky státního rozpočtu a Evropské unie </w:t>
                        </w:r>
                        <w:r w:rsidRPr="00FB3F2C">
                          <w:rPr>
                            <w:rFonts w:cstheme="minorHAnsi"/>
                            <w:b/>
                            <w:bCs/>
                            <w:color w:val="464646"/>
                            <w:sz w:val="37"/>
                            <w:szCs w:val="37"/>
                            <w:shd w:val="clear" w:color="auto" w:fill="FFFFFF"/>
                          </w:rPr>
                          <w:br/>
                          <w:t>určené na realizaci a implementaci genderových auditů</w:t>
                        </w:r>
                      </w:p>
                      <w:p w14:paraId="2D801B11" w14:textId="77777777" w:rsidR="003D48B4" w:rsidRPr="00FB3F2C" w:rsidRDefault="003D48B4" w:rsidP="006828C4">
                        <w:pPr>
                          <w:rPr>
                            <w:sz w:val="35"/>
                            <w:szCs w:val="35"/>
                          </w:rPr>
                        </w:pPr>
                      </w:p>
                    </w:txbxContent>
                  </v:textbox>
                </v:shape>
                <v:shape id="Textové pole 2" o:spid="_x0000_s1062" type="#_x0000_t202" style="position:absolute;left:1162;top:9196;width:13373;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14:paraId="269B1B3E" w14:textId="77777777" w:rsidR="003D48B4" w:rsidRPr="00EA5880" w:rsidRDefault="003D48B4" w:rsidP="006828C4">
                        <w:pPr>
                          <w:rPr>
                            <w:rStyle w:val="Zdraznn"/>
                            <w:rFonts w:cstheme="minorHAnsi"/>
                            <w:b/>
                            <w:i w:val="0"/>
                            <w:color w:val="FFFFFF" w:themeColor="background1"/>
                            <w:sz w:val="30"/>
                            <w:szCs w:val="30"/>
                          </w:rPr>
                        </w:pPr>
                        <w:r w:rsidRPr="00EA5880">
                          <w:rPr>
                            <w:rStyle w:val="Zdraznn"/>
                            <w:rFonts w:cstheme="minorHAnsi"/>
                            <w:b/>
                            <w:i w:val="0"/>
                            <w:color w:val="FFFFFF" w:themeColor="background1"/>
                            <w:sz w:val="30"/>
                            <w:szCs w:val="30"/>
                          </w:rPr>
                          <w:t>Základní fakta</w:t>
                        </w:r>
                      </w:p>
                      <w:p w14:paraId="2770EF9E" w14:textId="77777777" w:rsidR="003D48B4" w:rsidRPr="00FB3F2C" w:rsidRDefault="003D48B4" w:rsidP="006828C4">
                        <w:pPr>
                          <w:rPr>
                            <w:sz w:val="35"/>
                            <w:szCs w:val="35"/>
                          </w:rPr>
                        </w:pPr>
                      </w:p>
                    </w:txbxContent>
                  </v:textbox>
                </v:shape>
                <v:shape id="Textové pole 2" o:spid="_x0000_s1063" type="#_x0000_t202" style="position:absolute;left:952;top:13583;width:1574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14:paraId="32A54EED" w14:textId="77777777" w:rsidR="003D48B4" w:rsidRPr="00EA5880" w:rsidRDefault="003D48B4" w:rsidP="006828C4">
                        <w:pPr>
                          <w:jc w:val="center"/>
                          <w:rPr>
                            <w:rStyle w:val="Zdraznn"/>
                            <w:rFonts w:cstheme="minorHAnsi"/>
                            <w:i w:val="0"/>
                            <w:sz w:val="26"/>
                            <w:szCs w:val="26"/>
                          </w:rPr>
                        </w:pPr>
                        <w:r w:rsidRPr="00EA5880">
                          <w:rPr>
                            <w:rStyle w:val="Zdraznn"/>
                            <w:rFonts w:cstheme="minorHAnsi"/>
                            <w:i w:val="0"/>
                            <w:sz w:val="26"/>
                            <w:szCs w:val="26"/>
                          </w:rPr>
                          <w:t>29. místo z 35 zemí</w:t>
                        </w:r>
                      </w:p>
                      <w:p w14:paraId="0AD19B5D" w14:textId="77777777" w:rsidR="003D48B4" w:rsidRPr="00FB3F2C" w:rsidRDefault="003D48B4" w:rsidP="006828C4">
                        <w:pPr>
                          <w:jc w:val="center"/>
                          <w:rPr>
                            <w:sz w:val="35"/>
                            <w:szCs w:val="35"/>
                          </w:rPr>
                        </w:pPr>
                      </w:p>
                    </w:txbxContent>
                  </v:textbox>
                </v:shape>
                <v:shape id="Textové pole 2" o:spid="_x0000_s1064" type="#_x0000_t202" style="position:absolute;left:18076;top:12896;width:3635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14:paraId="2641FA48" w14:textId="77777777" w:rsidR="003D48B4" w:rsidRPr="00EA5880" w:rsidRDefault="003D48B4" w:rsidP="006828C4">
                        <w:pPr>
                          <w:rPr>
                            <w:sz w:val="20"/>
                            <w:szCs w:val="20"/>
                          </w:rPr>
                        </w:pPr>
                        <w:r w:rsidRPr="00EA5880">
                          <w:rPr>
                            <w:rStyle w:val="Zdraznn"/>
                            <w:rFonts w:cstheme="minorHAnsi"/>
                            <w:i w:val="0"/>
                            <w:sz w:val="20"/>
                            <w:szCs w:val="20"/>
                          </w:rPr>
                          <w:t>Pozice ČR v žebříčku evropských států z pohledu existujících genderových nerovností.</w:t>
                        </w:r>
                      </w:p>
                    </w:txbxContent>
                  </v:textbox>
                </v:shape>
                <v:shape id="Textové pole 2" o:spid="_x0000_s1065" type="#_x0000_t202" style="position:absolute;left:1005;top:18446;width:1574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4C2B582C" w14:textId="77777777" w:rsidR="003D48B4" w:rsidRPr="00EA5880" w:rsidRDefault="003D48B4" w:rsidP="006828C4">
                        <w:pPr>
                          <w:jc w:val="center"/>
                          <w:rPr>
                            <w:rStyle w:val="Zdraznn"/>
                            <w:rFonts w:cstheme="minorHAnsi"/>
                            <w:i w:val="0"/>
                            <w:sz w:val="26"/>
                            <w:szCs w:val="26"/>
                          </w:rPr>
                        </w:pPr>
                        <w:r>
                          <w:rPr>
                            <w:rStyle w:val="Zdraznn"/>
                            <w:rFonts w:cstheme="minorHAnsi"/>
                            <w:i w:val="0"/>
                            <w:sz w:val="26"/>
                            <w:szCs w:val="26"/>
                          </w:rPr>
                          <w:t>19 mil. Kč</w:t>
                        </w:r>
                      </w:p>
                      <w:p w14:paraId="35E27CC8" w14:textId="77777777" w:rsidR="003D48B4" w:rsidRPr="00FB3F2C" w:rsidRDefault="003D48B4" w:rsidP="006828C4">
                        <w:pPr>
                          <w:rPr>
                            <w:sz w:val="35"/>
                            <w:szCs w:val="35"/>
                          </w:rPr>
                        </w:pPr>
                      </w:p>
                    </w:txbxContent>
                  </v:textbox>
                </v:shape>
                <v:shape id="Textové pole 2" o:spid="_x0000_s1066" type="#_x0000_t202" style="position:absolute;left:18076;top:17759;width:3635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4CD9D49B" w14:textId="77777777" w:rsidR="003D48B4" w:rsidRPr="00EA5880" w:rsidRDefault="003D48B4" w:rsidP="006828C4">
                        <w:pPr>
                          <w:rPr>
                            <w:sz w:val="20"/>
                            <w:szCs w:val="20"/>
                          </w:rPr>
                        </w:pPr>
                        <w:r w:rsidRPr="0080123A">
                          <w:rPr>
                            <w:rStyle w:val="Zdraznn"/>
                            <w:rFonts w:cstheme="minorHAnsi"/>
                            <w:i w:val="0"/>
                            <w:sz w:val="20"/>
                            <w:szCs w:val="20"/>
                          </w:rPr>
                          <w:t>Prostředky OPZ</w:t>
                        </w:r>
                        <w:r w:rsidRPr="0080123A">
                          <w:rPr>
                            <w:rStyle w:val="Zdraznn"/>
                            <w:rFonts w:cstheme="minorHAnsi"/>
                            <w:i w:val="0"/>
                            <w:sz w:val="20"/>
                            <w:szCs w:val="20"/>
                            <w:vertAlign w:val="superscript"/>
                          </w:rPr>
                          <w:t>1</w:t>
                        </w:r>
                        <w:r w:rsidRPr="0080123A">
                          <w:rPr>
                            <w:rStyle w:val="Zdraznn"/>
                            <w:rFonts w:cstheme="minorHAnsi"/>
                            <w:i w:val="0"/>
                            <w:sz w:val="20"/>
                            <w:szCs w:val="20"/>
                          </w:rPr>
                          <w:t xml:space="preserve"> a státního rozpočtu vydané na podporu realizace genderových auditů.</w:t>
                        </w:r>
                      </w:p>
                    </w:txbxContent>
                  </v:textbox>
                </v:shape>
                <v:shape id="Textové pole 2" o:spid="_x0000_s1067" type="#_x0000_t202" style="position:absolute;left:1005;top:23414;width:1574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5BBE10E1" w14:textId="77777777" w:rsidR="003D48B4" w:rsidRPr="00EA5880" w:rsidRDefault="003D48B4" w:rsidP="006828C4">
                        <w:pPr>
                          <w:jc w:val="center"/>
                          <w:rPr>
                            <w:rStyle w:val="Zdraznn"/>
                            <w:rFonts w:cstheme="minorHAnsi"/>
                            <w:i w:val="0"/>
                            <w:sz w:val="26"/>
                            <w:szCs w:val="26"/>
                          </w:rPr>
                        </w:pPr>
                        <w:r>
                          <w:rPr>
                            <w:rStyle w:val="Zdraznn"/>
                            <w:rFonts w:cstheme="minorHAnsi"/>
                            <w:i w:val="0"/>
                            <w:sz w:val="26"/>
                            <w:szCs w:val="26"/>
                          </w:rPr>
                          <w:t>23</w:t>
                        </w:r>
                      </w:p>
                      <w:p w14:paraId="259A6806" w14:textId="77777777" w:rsidR="003D48B4" w:rsidRPr="00FB3F2C" w:rsidRDefault="003D48B4" w:rsidP="006828C4">
                        <w:pPr>
                          <w:rPr>
                            <w:sz w:val="35"/>
                            <w:szCs w:val="35"/>
                          </w:rPr>
                        </w:pPr>
                      </w:p>
                    </w:txbxContent>
                  </v:textbox>
                </v:shape>
                <v:shape id="Textové pole 2" o:spid="_x0000_s1068" type="#_x0000_t202" style="position:absolute;left:18076;top:22727;width:36359;height:4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2F957151" w14:textId="77777777" w:rsidR="003D48B4" w:rsidRPr="00EA5880" w:rsidRDefault="003D48B4" w:rsidP="006828C4">
                        <w:pPr>
                          <w:rPr>
                            <w:sz w:val="20"/>
                            <w:szCs w:val="20"/>
                          </w:rPr>
                        </w:pPr>
                        <w:r w:rsidRPr="0080123A">
                          <w:rPr>
                            <w:rStyle w:val="Zdraznn"/>
                            <w:rFonts w:cstheme="minorHAnsi"/>
                            <w:i w:val="0"/>
                            <w:sz w:val="20"/>
                            <w:szCs w:val="20"/>
                          </w:rPr>
                          <w:t>Počet podpořených projektů na podporu realizace genderových auditů.</w:t>
                        </w:r>
                      </w:p>
                    </w:txbxContent>
                  </v:textbox>
                </v:shape>
                <v:shape id="Textové pole 2" o:spid="_x0000_s1069" type="#_x0000_t202" style="position:absolute;left:1005;top:28330;width:1574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132900AD" w14:textId="77777777" w:rsidR="003D48B4" w:rsidRPr="00EA5880" w:rsidRDefault="003D48B4" w:rsidP="006828C4">
                        <w:pPr>
                          <w:jc w:val="center"/>
                          <w:rPr>
                            <w:rStyle w:val="Zdraznn"/>
                            <w:rFonts w:cstheme="minorHAnsi"/>
                            <w:i w:val="0"/>
                            <w:sz w:val="26"/>
                            <w:szCs w:val="26"/>
                          </w:rPr>
                        </w:pPr>
                        <w:r>
                          <w:rPr>
                            <w:rStyle w:val="Zdraznn"/>
                            <w:rFonts w:cstheme="minorHAnsi"/>
                            <w:i w:val="0"/>
                            <w:sz w:val="26"/>
                            <w:szCs w:val="26"/>
                          </w:rPr>
                          <w:t>101 mil. Kč</w:t>
                        </w:r>
                      </w:p>
                      <w:p w14:paraId="270BB4EE" w14:textId="77777777" w:rsidR="003D48B4" w:rsidRPr="00FB3F2C" w:rsidRDefault="003D48B4" w:rsidP="006828C4">
                        <w:pPr>
                          <w:rPr>
                            <w:sz w:val="35"/>
                            <w:szCs w:val="35"/>
                          </w:rPr>
                        </w:pPr>
                      </w:p>
                    </w:txbxContent>
                  </v:textbox>
                </v:shape>
                <v:shape id="Textové pole 2" o:spid="_x0000_s1070" type="#_x0000_t202" style="position:absolute;left:18076;top:27643;width:3635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0728DE43" w14:textId="77777777" w:rsidR="003D48B4" w:rsidRPr="00EA5880" w:rsidRDefault="003D48B4" w:rsidP="006828C4">
                        <w:pPr>
                          <w:rPr>
                            <w:sz w:val="20"/>
                            <w:szCs w:val="20"/>
                          </w:rPr>
                        </w:pPr>
                        <w:r w:rsidRPr="0080123A">
                          <w:rPr>
                            <w:rStyle w:val="Zdraznn"/>
                            <w:rFonts w:cstheme="minorHAnsi"/>
                            <w:i w:val="0"/>
                            <w:sz w:val="20"/>
                            <w:szCs w:val="20"/>
                          </w:rPr>
                          <w:t>Prostředky OPZ a státního rozpočtu vydané na podporu implementace genderových auditů.</w:t>
                        </w:r>
                      </w:p>
                    </w:txbxContent>
                  </v:textbox>
                </v:shape>
                <v:shape id="Textové pole 2" o:spid="_x0000_s1071" type="#_x0000_t202" style="position:absolute;left:1005;top:33246;width:1574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45E374F9" w14:textId="77777777" w:rsidR="003D48B4" w:rsidRPr="006828C4" w:rsidRDefault="003D48B4" w:rsidP="006828C4">
                        <w:pPr>
                          <w:jc w:val="center"/>
                          <w:rPr>
                            <w:rStyle w:val="Zdraznn"/>
                            <w:rFonts w:cstheme="minorHAnsi"/>
                            <w:i w:val="0"/>
                            <w:sz w:val="26"/>
                            <w:szCs w:val="26"/>
                          </w:rPr>
                        </w:pPr>
                        <w:r w:rsidRPr="006828C4">
                          <w:rPr>
                            <w:rStyle w:val="Zdraznn"/>
                            <w:rFonts w:cstheme="minorHAnsi"/>
                            <w:i w:val="0"/>
                            <w:sz w:val="26"/>
                            <w:szCs w:val="26"/>
                          </w:rPr>
                          <w:t>45</w:t>
                        </w:r>
                      </w:p>
                      <w:p w14:paraId="420B5CFB" w14:textId="77777777" w:rsidR="003D48B4" w:rsidRPr="00FB3F2C" w:rsidRDefault="003D48B4" w:rsidP="006828C4">
                        <w:pPr>
                          <w:rPr>
                            <w:sz w:val="35"/>
                            <w:szCs w:val="35"/>
                          </w:rPr>
                        </w:pPr>
                      </w:p>
                    </w:txbxContent>
                  </v:textbox>
                </v:shape>
                <v:shape id="Textové pole 2" o:spid="_x0000_s1072" type="#_x0000_t202" style="position:absolute;left:18076;top:33246;width:3635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14:paraId="48FAF1EF" w14:textId="77777777" w:rsidR="003D48B4" w:rsidRPr="00EA5880" w:rsidRDefault="003D48B4" w:rsidP="006828C4">
                        <w:pPr>
                          <w:rPr>
                            <w:sz w:val="20"/>
                            <w:szCs w:val="20"/>
                          </w:rPr>
                        </w:pPr>
                        <w:r w:rsidRPr="0080123A">
                          <w:rPr>
                            <w:rStyle w:val="Zdraznn"/>
                            <w:rFonts w:cstheme="minorHAnsi"/>
                            <w:i w:val="0"/>
                            <w:sz w:val="20"/>
                            <w:szCs w:val="20"/>
                          </w:rPr>
                          <w:t>Počet podpořených projektů implementace genderových auditů.</w:t>
                        </w:r>
                      </w:p>
                    </w:txbxContent>
                  </v:textbox>
                </v:shape>
                <v:shape id="Textové pole 2" o:spid="_x0000_s1073" type="#_x0000_t202" style="position:absolute;left:1162;top:39800;width:20825;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5E20351D" w14:textId="77777777" w:rsidR="003D48B4" w:rsidRPr="00EA5880" w:rsidRDefault="003D48B4" w:rsidP="006828C4">
                        <w:pPr>
                          <w:rPr>
                            <w:rStyle w:val="Zdraznn"/>
                            <w:rFonts w:cstheme="minorHAnsi"/>
                            <w:b/>
                            <w:i w:val="0"/>
                            <w:color w:val="FFFFFF" w:themeColor="background1"/>
                            <w:sz w:val="34"/>
                            <w:szCs w:val="34"/>
                          </w:rPr>
                        </w:pPr>
                        <w:r w:rsidRPr="00EA5880">
                          <w:rPr>
                            <w:rStyle w:val="Zdraznn"/>
                            <w:rFonts w:cstheme="minorHAnsi"/>
                            <w:b/>
                            <w:i w:val="0"/>
                            <w:color w:val="FFFFFF" w:themeColor="background1"/>
                            <w:sz w:val="34"/>
                            <w:szCs w:val="34"/>
                          </w:rPr>
                          <w:t>Zjištění z kontroly</w:t>
                        </w:r>
                      </w:p>
                      <w:p w14:paraId="14A28AD4" w14:textId="77777777" w:rsidR="003D48B4" w:rsidRPr="00EA5880" w:rsidRDefault="003D48B4" w:rsidP="006828C4">
                        <w:pPr>
                          <w:rPr>
                            <w:sz w:val="34"/>
                            <w:szCs w:val="34"/>
                          </w:rPr>
                        </w:pPr>
                      </w:p>
                    </w:txbxContent>
                  </v:textbox>
                </v:shape>
                <v:shape id="Textové pole 2" o:spid="_x0000_s1074" type="#_x0000_t202" style="position:absolute;left:1162;top:44874;width:1574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3AB4B312" w14:textId="77777777" w:rsidR="003D48B4" w:rsidRPr="0080123A" w:rsidRDefault="003D48B4" w:rsidP="006828C4">
                        <w:pPr>
                          <w:jc w:val="center"/>
                          <w:rPr>
                            <w:rStyle w:val="Zdraznn"/>
                            <w:rFonts w:cstheme="minorHAnsi"/>
                            <w:b/>
                            <w:i w:val="0"/>
                            <w:color w:val="FFFFFF" w:themeColor="background1"/>
                            <w:sz w:val="36"/>
                            <w:szCs w:val="32"/>
                          </w:rPr>
                        </w:pPr>
                        <w:r w:rsidRPr="0080123A">
                          <w:rPr>
                            <w:rStyle w:val="Zdraznn"/>
                            <w:rFonts w:cstheme="minorHAnsi"/>
                            <w:b/>
                            <w:i w:val="0"/>
                            <w:color w:val="FFFFFF" w:themeColor="background1"/>
                            <w:sz w:val="36"/>
                            <w:szCs w:val="32"/>
                          </w:rPr>
                          <w:t>8 %</w:t>
                        </w:r>
                      </w:p>
                      <w:p w14:paraId="41467B07" w14:textId="77777777" w:rsidR="003D48B4" w:rsidRPr="00FB3F2C" w:rsidRDefault="003D48B4" w:rsidP="006828C4">
                        <w:pPr>
                          <w:rPr>
                            <w:sz w:val="35"/>
                            <w:szCs w:val="35"/>
                          </w:rPr>
                        </w:pPr>
                      </w:p>
                    </w:txbxContent>
                  </v:textbox>
                </v:shape>
                <v:shape id="Textové pole 2" o:spid="_x0000_s1075" type="#_x0000_t202" style="position:absolute;left:18076;top:44557;width:3635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47EA8BF1" w14:textId="77777777" w:rsidR="003D48B4" w:rsidRPr="0080123A" w:rsidRDefault="003D48B4" w:rsidP="006828C4">
                        <w:pPr>
                          <w:rPr>
                            <w:rFonts w:cstheme="minorHAnsi"/>
                            <w:iCs/>
                            <w:szCs w:val="20"/>
                          </w:rPr>
                        </w:pPr>
                        <w:r w:rsidRPr="0080123A">
                          <w:rPr>
                            <w:rStyle w:val="Zdraznn"/>
                            <w:rFonts w:cstheme="minorHAnsi"/>
                            <w:i w:val="0"/>
                            <w:szCs w:val="20"/>
                          </w:rPr>
                          <w:t xml:space="preserve">Podíl veřejných prostředků, které přispěly k účelu podpory </w:t>
                        </w:r>
                        <w:r w:rsidRPr="0080123A">
                          <w:rPr>
                            <w:rStyle w:val="Zdraznn"/>
                            <w:rFonts w:cstheme="minorHAnsi"/>
                            <w:i w:val="0"/>
                            <w:szCs w:val="20"/>
                          </w:rPr>
                          <w:br/>
                          <w:t xml:space="preserve">ve všech klíčových </w:t>
                        </w:r>
                        <w:r>
                          <w:rPr>
                            <w:rStyle w:val="Zdraznn"/>
                            <w:rFonts w:cstheme="minorHAnsi"/>
                            <w:i w:val="0"/>
                            <w:szCs w:val="20"/>
                          </w:rPr>
                          <w:t>oblastech</w:t>
                        </w:r>
                        <w:r w:rsidRPr="0080123A">
                          <w:rPr>
                            <w:rStyle w:val="Zdraznn"/>
                            <w:rFonts w:cstheme="minorHAnsi"/>
                            <w:i w:val="0"/>
                            <w:szCs w:val="20"/>
                          </w:rPr>
                          <w:t xml:space="preserve"> genderové nerovnosti.</w:t>
                        </w:r>
                      </w:p>
                    </w:txbxContent>
                  </v:textbox>
                </v:shape>
                <v:shape id="Textové pole 2" o:spid="_x0000_s1076" type="#_x0000_t202" style="position:absolute;left:1162;top:52009;width:1574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0C077292"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54</w:t>
                        </w:r>
                        <w:r w:rsidRPr="0080123A">
                          <w:rPr>
                            <w:rStyle w:val="Zdraznn"/>
                            <w:rFonts w:cstheme="minorHAnsi"/>
                            <w:b/>
                            <w:i w:val="0"/>
                            <w:color w:val="FFFFFF" w:themeColor="background1"/>
                            <w:sz w:val="36"/>
                            <w:szCs w:val="32"/>
                          </w:rPr>
                          <w:t xml:space="preserve"> %</w:t>
                        </w:r>
                      </w:p>
                      <w:p w14:paraId="14C31299" w14:textId="77777777" w:rsidR="003D48B4" w:rsidRPr="00FB3F2C" w:rsidRDefault="003D48B4" w:rsidP="006828C4">
                        <w:pPr>
                          <w:rPr>
                            <w:sz w:val="35"/>
                            <w:szCs w:val="35"/>
                          </w:rPr>
                        </w:pPr>
                      </w:p>
                    </w:txbxContent>
                  </v:textbox>
                </v:shape>
                <v:shape id="Textové pole 2" o:spid="_x0000_s1077" type="#_x0000_t202" style="position:absolute;left:18076;top:51639;width:36354;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1AAD3CF8" w14:textId="77777777" w:rsidR="003D48B4" w:rsidRPr="0080123A" w:rsidRDefault="003D48B4" w:rsidP="006828C4">
                        <w:pPr>
                          <w:rPr>
                            <w:szCs w:val="20"/>
                          </w:rPr>
                        </w:pPr>
                        <w:r w:rsidRPr="0080123A">
                          <w:rPr>
                            <w:rStyle w:val="Zdraznn"/>
                            <w:rFonts w:cstheme="minorHAnsi"/>
                            <w:i w:val="0"/>
                            <w:szCs w:val="20"/>
                          </w:rPr>
                          <w:t>Podíl auditovaných organizací, jejichž totožnost nebyla MPSV při hodnocení žádostí o podporu známa.</w:t>
                        </w:r>
                      </w:p>
                    </w:txbxContent>
                  </v:textbox>
                </v:shape>
                <v:shape id="Textové pole 2" o:spid="_x0000_s1078" type="#_x0000_t202" style="position:absolute;left:1162;top:59303;width:1574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" filled="f" stroked="f">
                  <v:textbox>
                    <w:txbxContent>
                      <w:p w14:paraId="0308B137"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14</w:t>
                        </w:r>
                        <w:r w:rsidRPr="0080123A">
                          <w:rPr>
                            <w:rStyle w:val="Zdraznn"/>
                            <w:rFonts w:cstheme="minorHAnsi"/>
                            <w:b/>
                            <w:i w:val="0"/>
                            <w:color w:val="FFFFFF" w:themeColor="background1"/>
                            <w:sz w:val="36"/>
                            <w:szCs w:val="32"/>
                          </w:rPr>
                          <w:t xml:space="preserve"> %</w:t>
                        </w:r>
                      </w:p>
                      <w:p w14:paraId="7F834A84" w14:textId="77777777" w:rsidR="003D48B4" w:rsidRPr="00FB3F2C" w:rsidRDefault="003D48B4" w:rsidP="006828C4">
                        <w:pPr>
                          <w:rPr>
                            <w:sz w:val="35"/>
                            <w:szCs w:val="35"/>
                          </w:rPr>
                        </w:pPr>
                      </w:p>
                    </w:txbxContent>
                  </v:textbox>
                </v:shape>
                <v:shape id="Textové pole 2" o:spid="_x0000_s1079" type="#_x0000_t202" style="position:absolute;left:18076;top:58933;width:36354;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xu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LC7Uw8AnL9BwAA//8DAFBLAQItABQABgAIAAAAIQDb4fbL7gAAAIUBAAATAAAAAAAAAAAA&#10;AAAAAAAAAABbQ29udGVudF9UeXBlc10ueG1sUEsBAi0AFAAGAAgAAAAhAFr0LFu/AAAAFQEAAAsA&#10;AAAAAAAAAAAAAAAAHwEAAF9yZWxzLy5yZWxzUEsBAi0AFAAGAAgAAAAhAMRjbG7EAAAA3AAAAA8A&#10;AAAAAAAAAAAAAAAABwIAAGRycy9kb3ducmV2LnhtbFBLBQYAAAAAAwADALcAAAD4AgAAAAA=&#10;" filled="f" stroked="f">
                  <v:textbox>
                    <w:txbxContent>
                      <w:p w14:paraId="6ACEAB5B" w14:textId="77777777" w:rsidR="003D48B4" w:rsidRPr="0080123A" w:rsidRDefault="003D48B4" w:rsidP="006828C4">
                        <w:pPr>
                          <w:rPr>
                            <w:szCs w:val="20"/>
                          </w:rPr>
                        </w:pPr>
                        <w:r w:rsidRPr="0080123A">
                          <w:rPr>
                            <w:rStyle w:val="Zdraznn"/>
                            <w:rFonts w:cstheme="minorHAnsi"/>
                            <w:i w:val="0"/>
                            <w:szCs w:val="20"/>
                          </w:rPr>
                          <w:t>Podíl auditovaných organizací, které prokazatelně pokračovaly v implementaci opatření.</w:t>
                        </w:r>
                      </w:p>
                    </w:txbxContent>
                  </v:textbox>
                </v:shape>
                <v:shape id="Textové pole 2" o:spid="_x0000_s1080" type="#_x0000_t202" style="position:absolute;left:1162;top:66227;width:1574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" filled="f" stroked="f">
                  <v:textbox>
                    <w:txbxContent>
                      <w:p w14:paraId="1590A724"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14 z 51</w:t>
                        </w:r>
                      </w:p>
                      <w:p w14:paraId="6968C4E6" w14:textId="77777777" w:rsidR="003D48B4" w:rsidRPr="00FB3F2C" w:rsidRDefault="003D48B4" w:rsidP="006828C4">
                        <w:pPr>
                          <w:rPr>
                            <w:sz w:val="35"/>
                            <w:szCs w:val="35"/>
                          </w:rPr>
                        </w:pPr>
                      </w:p>
                    </w:txbxContent>
                  </v:textbox>
                </v:shape>
                <v:shape id="Textové pole 2" o:spid="_x0000_s1081" type="#_x0000_t202" style="position:absolute;left:18076;top:65012;width:36354;height:6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7356ADED" w14:textId="77777777" w:rsidR="003D48B4" w:rsidRPr="0080123A" w:rsidRDefault="003D48B4" w:rsidP="006828C4">
                        <w:pPr>
                          <w:rPr>
                            <w:szCs w:val="20"/>
                          </w:rPr>
                        </w:pPr>
                        <w:r w:rsidRPr="0080123A">
                          <w:rPr>
                            <w:rStyle w:val="Zdraznn"/>
                            <w:rFonts w:cstheme="minorHAnsi"/>
                            <w:i w:val="0"/>
                            <w:szCs w:val="20"/>
                          </w:rPr>
                          <w:t>Počet auditovaných osob, u kterých realizátor genderového auditu prokazatelně nehodnotil oblast odměňování, přestože měl povinnost ji auditovat.</w:t>
                        </w:r>
                      </w:p>
                    </w:txbxContent>
                  </v:textbox>
                </v:shape>
                <v:shape id="Textové pole 2" o:spid="_x0000_s1082" type="#_x0000_t202" style="position:absolute;left:1162;top:73363;width:15748;height:3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" filled="f" stroked="f">
                  <v:textbox>
                    <w:txbxContent>
                      <w:p w14:paraId="5F5B5F65" w14:textId="77777777" w:rsidR="003D48B4" w:rsidRPr="0080123A" w:rsidRDefault="003D48B4" w:rsidP="006828C4">
                        <w:pPr>
                          <w:jc w:val="center"/>
                          <w:rPr>
                            <w:rStyle w:val="Zdraznn"/>
                            <w:rFonts w:cstheme="minorHAnsi"/>
                            <w:b/>
                            <w:i w:val="0"/>
                            <w:color w:val="FFFFFF" w:themeColor="background1"/>
                            <w:sz w:val="36"/>
                            <w:szCs w:val="32"/>
                          </w:rPr>
                        </w:pPr>
                        <w:r>
                          <w:rPr>
                            <w:rStyle w:val="Zdraznn"/>
                            <w:rFonts w:cstheme="minorHAnsi"/>
                            <w:b/>
                            <w:i w:val="0"/>
                            <w:color w:val="FFFFFF" w:themeColor="background1"/>
                            <w:sz w:val="36"/>
                            <w:szCs w:val="32"/>
                          </w:rPr>
                          <w:t>56</w:t>
                        </w:r>
                        <w:r w:rsidRPr="0080123A">
                          <w:rPr>
                            <w:rStyle w:val="Zdraznn"/>
                            <w:rFonts w:cstheme="minorHAnsi"/>
                            <w:b/>
                            <w:i w:val="0"/>
                            <w:color w:val="FFFFFF" w:themeColor="background1"/>
                            <w:sz w:val="36"/>
                            <w:szCs w:val="32"/>
                          </w:rPr>
                          <w:t xml:space="preserve"> %</w:t>
                        </w:r>
                      </w:p>
                      <w:p w14:paraId="4F67A119" w14:textId="77777777" w:rsidR="003D48B4" w:rsidRPr="00FB3F2C" w:rsidRDefault="003D48B4" w:rsidP="006828C4">
                        <w:pPr>
                          <w:rPr>
                            <w:sz w:val="35"/>
                            <w:szCs w:val="35"/>
                          </w:rPr>
                        </w:pPr>
                      </w:p>
                    </w:txbxContent>
                  </v:textbox>
                </v:shape>
                <v:shape id="Textové pole 2" o:spid="_x0000_s1083" type="#_x0000_t202" style="position:absolute;left:18076;top:72094;width:36354;height:6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" filled="f" stroked="f">
                  <v:textbox>
                    <w:txbxContent>
                      <w:p w14:paraId="559C1C24" w14:textId="77777777" w:rsidR="003D48B4" w:rsidRPr="0080123A" w:rsidRDefault="003D48B4" w:rsidP="006828C4">
                        <w:pPr>
                          <w:rPr>
                            <w:rFonts w:cstheme="minorHAnsi"/>
                            <w:iCs/>
                          </w:rPr>
                        </w:pPr>
                        <w:r w:rsidRPr="0080123A">
                          <w:rPr>
                            <w:rStyle w:val="Zdraznn"/>
                            <w:rFonts w:cstheme="minorHAnsi"/>
                            <w:i w:val="0"/>
                          </w:rPr>
                          <w:t xml:space="preserve">Podíl projektů, u kterých se stejná osoba podílela na formulaci opatření k odstranění genderové nerovnosti, </w:t>
                        </w:r>
                        <w:r>
                          <w:rPr>
                            <w:rStyle w:val="Zdraznn"/>
                            <w:rFonts w:cstheme="minorHAnsi"/>
                            <w:i w:val="0"/>
                          </w:rPr>
                          <w:br/>
                        </w:r>
                        <w:r w:rsidRPr="0080123A">
                          <w:rPr>
                            <w:rStyle w:val="Zdraznn"/>
                            <w:rFonts w:cstheme="minorHAnsi"/>
                            <w:i w:val="0"/>
                          </w:rPr>
                          <w:t>jejich administraci i ověření jejich splnění.</w:t>
                        </w:r>
                      </w:p>
                    </w:txbxContent>
                  </v:textbox>
                </v:shape>
              </v:group>
            </w:pict>
          </mc:Fallback>
        </mc:AlternateContent>
      </w:r>
      <w:r w:rsidR="002905B0" w:rsidRPr="002905B0">
        <w:rPr>
          <w:color w:val="FFFFFF" w:themeColor="background1"/>
          <w:vertAlign w:val="superscript"/>
        </w:rPr>
        <w:t>O</w:t>
      </w:r>
      <w:r w:rsidR="002905B0" w:rsidRPr="002905B0">
        <w:rPr>
          <w:rStyle w:val="Znakapoznpodarou"/>
          <w:color w:val="FFFFFF" w:themeColor="background1"/>
          <w:sz w:val="16"/>
          <w:szCs w:val="16"/>
        </w:rPr>
        <w:footnoteReference w:id="2"/>
      </w:r>
      <w:r w:rsidR="003A2684" w:rsidRPr="002905B0">
        <w:rPr>
          <w:color w:val="FFFFFF" w:themeColor="background1"/>
          <w:sz w:val="16"/>
          <w:szCs w:val="16"/>
        </w:rPr>
        <w:t xml:space="preserve"> </w:t>
      </w:r>
    </w:p>
    <w:p w14:paraId="54837A6E" w14:textId="02CE5D57" w:rsidR="00117BE4" w:rsidRPr="001F7007" w:rsidRDefault="006828C4">
      <w:pPr>
        <w:rPr>
          <w:color w:val="FFFFFF" w:themeColor="background1"/>
          <w:sz w:val="16"/>
          <w:szCs w:val="16"/>
        </w:rPr>
      </w:pPr>
      <w:r>
        <w:rPr>
          <w:color w:val="FFFFFF" w:themeColor="background1"/>
          <w:sz w:val="16"/>
          <w:szCs w:val="16"/>
        </w:rPr>
        <w:br w:type="page"/>
      </w:r>
    </w:p>
    <w:p w14:paraId="52FCB9C8" w14:textId="77777777" w:rsidR="000309B6" w:rsidRPr="00485496" w:rsidRDefault="000309B6" w:rsidP="005D4738">
      <w:pPr>
        <w:pStyle w:val="Nadpismsk"/>
        <w:keepNext/>
      </w:pPr>
      <w:r w:rsidRPr="00485496">
        <w:lastRenderedPageBreak/>
        <w:t>Shrnutí a vyhodnocení</w:t>
      </w:r>
    </w:p>
    <w:p w14:paraId="4470161B" w14:textId="7BDEB7DE" w:rsidR="00FB6957" w:rsidRDefault="00E6047F" w:rsidP="00DA5431">
      <w:pPr>
        <w:pStyle w:val="JK1"/>
        <w:tabs>
          <w:tab w:val="clear" w:pos="567"/>
        </w:tabs>
        <w:ind w:left="426" w:hanging="426"/>
      </w:pPr>
      <w:r w:rsidRPr="00C6554A">
        <w:t xml:space="preserve">NKÚ provedl kontrolu </w:t>
      </w:r>
      <w:r>
        <w:t xml:space="preserve">peněžních </w:t>
      </w:r>
      <w:r w:rsidRPr="00C6554A">
        <w:t xml:space="preserve">prostředků </w:t>
      </w:r>
      <w:r w:rsidR="00BF4587">
        <w:t xml:space="preserve">státního rozpočtu a rozpočtu Evropské </w:t>
      </w:r>
      <w:r w:rsidR="00A57DE6">
        <w:br/>
      </w:r>
      <w:r w:rsidR="00BF4587">
        <w:t>unie (dále také „EU“)</w:t>
      </w:r>
      <w:r w:rsidRPr="00C6554A">
        <w:t xml:space="preserve"> vynakládaných </w:t>
      </w:r>
      <w:r w:rsidR="00D451DA" w:rsidRPr="00C6554A">
        <w:t>v</w:t>
      </w:r>
      <w:r w:rsidR="00A57DE6">
        <w:t xml:space="preserve"> </w:t>
      </w:r>
      <w:r w:rsidR="00D451DA" w:rsidRPr="00C6554A">
        <w:t>rámci programového období 2014–2020</w:t>
      </w:r>
      <w:r w:rsidR="00D451DA">
        <w:t xml:space="preserve"> </w:t>
      </w:r>
      <w:r w:rsidR="00A57DE6">
        <w:br/>
      </w:r>
      <w:r w:rsidRPr="00C6554A">
        <w:t>z</w:t>
      </w:r>
      <w:r w:rsidR="00A57DE6">
        <w:t xml:space="preserve"> </w:t>
      </w:r>
      <w:r w:rsidR="002C7699" w:rsidRPr="00731936">
        <w:t>o</w:t>
      </w:r>
      <w:r w:rsidRPr="00731936">
        <w:t>peračního programu</w:t>
      </w:r>
      <w:r w:rsidRPr="00C6554A">
        <w:t xml:space="preserve"> </w:t>
      </w:r>
      <w:r w:rsidRPr="00C6554A">
        <w:rPr>
          <w:i/>
        </w:rPr>
        <w:t>Zaměstnanost</w:t>
      </w:r>
      <w:r w:rsidR="00497BB0">
        <w:rPr>
          <w:i/>
        </w:rPr>
        <w:t xml:space="preserve"> </w:t>
      </w:r>
      <w:r w:rsidR="00497BB0" w:rsidRPr="00B813A1">
        <w:rPr>
          <w:i/>
        </w:rPr>
        <w:t>2014–2020</w:t>
      </w:r>
      <w:r w:rsidRPr="00C6554A">
        <w:rPr>
          <w:i/>
        </w:rPr>
        <w:t xml:space="preserve"> </w:t>
      </w:r>
      <w:r w:rsidRPr="00C6554A">
        <w:t>(dále také „OPZ“) na</w:t>
      </w:r>
      <w:r w:rsidR="00666F35">
        <w:t xml:space="preserve"> </w:t>
      </w:r>
      <w:r w:rsidRPr="00C6554A">
        <w:t xml:space="preserve">podporu </w:t>
      </w:r>
      <w:r w:rsidR="00A015DF">
        <w:t>genderových auditů</w:t>
      </w:r>
      <w:r w:rsidR="003D4399">
        <w:t xml:space="preserve"> </w:t>
      </w:r>
      <w:r w:rsidR="003D4399" w:rsidRPr="00C6554A">
        <w:t>(dále také „</w:t>
      </w:r>
      <w:r w:rsidR="003D4399">
        <w:t>GA</w:t>
      </w:r>
      <w:r w:rsidR="003D4399" w:rsidRPr="00C6554A">
        <w:t>“)</w:t>
      </w:r>
      <w:r w:rsidR="00A015DF">
        <w:t xml:space="preserve"> a implementaci jejich doporučení</w:t>
      </w:r>
      <w:r w:rsidR="003D4399">
        <w:t xml:space="preserve"> </w:t>
      </w:r>
      <w:r w:rsidR="003D4399" w:rsidRPr="00C6554A">
        <w:t>(dále také „</w:t>
      </w:r>
      <w:r w:rsidR="003D4399">
        <w:t>IGA</w:t>
      </w:r>
      <w:r w:rsidR="003D4399" w:rsidRPr="00C6554A">
        <w:t>“)</w:t>
      </w:r>
      <w:r w:rsidRPr="00C6554A">
        <w:t>.</w:t>
      </w:r>
      <w:r w:rsidR="00EC41D2">
        <w:t xml:space="preserve"> V rámci OPZ </w:t>
      </w:r>
      <w:r w:rsidR="006A0785">
        <w:t xml:space="preserve">poskytlo MPSV </w:t>
      </w:r>
      <w:r w:rsidR="00EC41D2">
        <w:t xml:space="preserve">dotace na podporu </w:t>
      </w:r>
      <w:r w:rsidR="003D4399">
        <w:t>GA</w:t>
      </w:r>
      <w:r w:rsidR="00EC41D2">
        <w:t xml:space="preserve"> ve výši </w:t>
      </w:r>
      <w:r w:rsidR="00847AF9">
        <w:t xml:space="preserve">cca </w:t>
      </w:r>
      <w:r w:rsidR="006A0785">
        <w:t>19</w:t>
      </w:r>
      <w:r w:rsidR="006A0785" w:rsidRPr="00F2524B">
        <w:t xml:space="preserve"> </w:t>
      </w:r>
      <w:r w:rsidR="00D65A8D">
        <w:t xml:space="preserve">mil. </w:t>
      </w:r>
      <w:r w:rsidR="00893796">
        <w:t xml:space="preserve">Kč </w:t>
      </w:r>
      <w:r w:rsidR="003D4399">
        <w:t xml:space="preserve">a </w:t>
      </w:r>
      <w:r w:rsidR="00C81D50">
        <w:t xml:space="preserve">na podporu </w:t>
      </w:r>
      <w:r w:rsidR="003D4399">
        <w:t>IGA</w:t>
      </w:r>
      <w:r w:rsidR="00893796">
        <w:t xml:space="preserve"> ve výši </w:t>
      </w:r>
      <w:r w:rsidR="00847AF9">
        <w:t xml:space="preserve">cca </w:t>
      </w:r>
      <w:r w:rsidR="006A0785">
        <w:t xml:space="preserve">101 </w:t>
      </w:r>
      <w:r w:rsidR="00D65A8D">
        <w:t>mil.</w:t>
      </w:r>
      <w:r w:rsidR="00893796" w:rsidRPr="00893796">
        <w:t xml:space="preserve"> </w:t>
      </w:r>
      <w:r w:rsidR="00893796">
        <w:t>Kč.</w:t>
      </w:r>
    </w:p>
    <w:p w14:paraId="1B0CEB98" w14:textId="6DCCF667" w:rsidR="00EC74A2" w:rsidRDefault="007B385E" w:rsidP="00DA5431">
      <w:pPr>
        <w:pStyle w:val="JK1"/>
        <w:tabs>
          <w:tab w:val="clear" w:pos="567"/>
        </w:tabs>
        <w:ind w:left="426" w:hanging="426"/>
      </w:pPr>
      <w:r w:rsidRPr="006D4737">
        <w:rPr>
          <w:bCs/>
        </w:rPr>
        <w:t xml:space="preserve">Cílem kontroly bylo </w:t>
      </w:r>
      <w:r>
        <w:rPr>
          <w:bCs/>
        </w:rPr>
        <w:t>p</w:t>
      </w:r>
      <w:r w:rsidRPr="002E4243">
        <w:rPr>
          <w:bCs/>
        </w:rPr>
        <w:t>rověřit, zda kontrolované osoby poskytují a čerpají peněžní prostředky státního rozpočtu a E</w:t>
      </w:r>
      <w:r w:rsidR="00FF0996">
        <w:rPr>
          <w:bCs/>
        </w:rPr>
        <w:t>U</w:t>
      </w:r>
      <w:r w:rsidRPr="002E4243">
        <w:rPr>
          <w:bCs/>
        </w:rPr>
        <w:t xml:space="preserve"> na genderové audity a implementaci </w:t>
      </w:r>
      <w:r w:rsidR="00C81D50" w:rsidRPr="002E4243">
        <w:rPr>
          <w:bCs/>
        </w:rPr>
        <w:t xml:space="preserve">jejich </w:t>
      </w:r>
      <w:r w:rsidR="00C81D50">
        <w:rPr>
          <w:bCs/>
        </w:rPr>
        <w:t xml:space="preserve">doporučení </w:t>
      </w:r>
      <w:r w:rsidRPr="002E4243">
        <w:rPr>
          <w:bCs/>
        </w:rPr>
        <w:t>účelně, hospodárně a v souladu s právními předpisy.</w:t>
      </w:r>
      <w:r w:rsidR="00EC74A2" w:rsidRPr="008A4590">
        <w:t xml:space="preserve"> Kontrola byla provedena u MPSV, kde</w:t>
      </w:r>
      <w:r w:rsidR="00261858">
        <w:t xml:space="preserve"> </w:t>
      </w:r>
      <w:r w:rsidR="00EC74A2" w:rsidRPr="008A4590">
        <w:t>se zaměřila na</w:t>
      </w:r>
      <w:r w:rsidR="00E25F54">
        <w:t xml:space="preserve"> </w:t>
      </w:r>
      <w:r w:rsidR="003D4399">
        <w:t>jeho</w:t>
      </w:r>
      <w:r w:rsidR="00EC74A2" w:rsidRPr="008A4590">
        <w:t xml:space="preserve"> činnost </w:t>
      </w:r>
      <w:r w:rsidR="00117BE4">
        <w:t>v pozici</w:t>
      </w:r>
      <w:r w:rsidR="00EC74A2" w:rsidRPr="008A4590">
        <w:t xml:space="preserve"> řídicí</w:t>
      </w:r>
      <w:r w:rsidR="003D4399">
        <w:t>ho</w:t>
      </w:r>
      <w:r w:rsidR="00EC74A2" w:rsidRPr="008A4590">
        <w:t xml:space="preserve"> orgán</w:t>
      </w:r>
      <w:r w:rsidR="003D4399">
        <w:t>u</w:t>
      </w:r>
      <w:r w:rsidR="00EC74A2" w:rsidRPr="008A4590">
        <w:t xml:space="preserve"> </w:t>
      </w:r>
      <w:r w:rsidR="003D4399">
        <w:t>OPZ</w:t>
      </w:r>
      <w:r w:rsidR="00EC74A2" w:rsidRPr="008A4590">
        <w:t xml:space="preserve">, </w:t>
      </w:r>
      <w:r w:rsidR="00094684">
        <w:t xml:space="preserve">a </w:t>
      </w:r>
      <w:r w:rsidR="00EC74A2" w:rsidRPr="008A4590">
        <w:t>dále u 1</w:t>
      </w:r>
      <w:r w:rsidR="003D4399">
        <w:t>4</w:t>
      </w:r>
      <w:r w:rsidR="00EC74A2" w:rsidRPr="008A4590">
        <w:t xml:space="preserve"> vybraných příjemců, u nichž byla prověřena realizace</w:t>
      </w:r>
      <w:r w:rsidR="00666F35">
        <w:t xml:space="preserve"> </w:t>
      </w:r>
      <w:r w:rsidR="00EC74A2" w:rsidRPr="008A4590">
        <w:t>1</w:t>
      </w:r>
      <w:r w:rsidR="003D4399">
        <w:t>4</w:t>
      </w:r>
      <w:r w:rsidR="00EC74A2" w:rsidRPr="008A4590">
        <w:t xml:space="preserve"> projektů schválených k</w:t>
      </w:r>
      <w:r w:rsidR="00C92CEE">
        <w:t> </w:t>
      </w:r>
      <w:r w:rsidR="00EC74A2" w:rsidRPr="008A4590">
        <w:t>podpoře</w:t>
      </w:r>
      <w:r w:rsidR="00C92CEE">
        <w:t xml:space="preserve">, přičemž se jednalo o </w:t>
      </w:r>
      <w:r w:rsidR="002B3F9A">
        <w:t>pět</w:t>
      </w:r>
      <w:r w:rsidR="00C92CEE">
        <w:t xml:space="preserve"> projektů realizace GA a </w:t>
      </w:r>
      <w:r w:rsidR="002B3F9A">
        <w:t>devět</w:t>
      </w:r>
      <w:r w:rsidR="00C92CEE">
        <w:t xml:space="preserve"> projektů IGA</w:t>
      </w:r>
      <w:r w:rsidR="00EC74A2" w:rsidRPr="008A4590">
        <w:t>.</w:t>
      </w:r>
      <w:r w:rsidR="006F7F25" w:rsidRPr="006F7F25">
        <w:t xml:space="preserve"> </w:t>
      </w:r>
    </w:p>
    <w:p w14:paraId="59B6DB44" w14:textId="3C2E394F" w:rsidR="00334572" w:rsidRPr="00E70331" w:rsidRDefault="008935FB" w:rsidP="00334572">
      <w:pPr>
        <w:pStyle w:val="JK1"/>
        <w:tabs>
          <w:tab w:val="clear" w:pos="567"/>
        </w:tabs>
        <w:ind w:left="426" w:hanging="426"/>
        <w:rPr>
          <w:b/>
          <w:bCs/>
        </w:rPr>
      </w:pPr>
      <w:r>
        <w:rPr>
          <w:b/>
          <w:bCs/>
        </w:rPr>
        <w:t>Kontrolované p</w:t>
      </w:r>
      <w:r w:rsidR="00736536" w:rsidRPr="00736536">
        <w:rPr>
          <w:b/>
          <w:bCs/>
        </w:rPr>
        <w:t>eněžní prostředky</w:t>
      </w:r>
      <w:r w:rsidR="00736536" w:rsidRPr="00736536" w:rsidDel="008935FB">
        <w:rPr>
          <w:b/>
          <w:bCs/>
        </w:rPr>
        <w:t xml:space="preserve"> </w:t>
      </w:r>
      <w:r w:rsidR="00736536" w:rsidRPr="00736536">
        <w:rPr>
          <w:b/>
          <w:bCs/>
        </w:rPr>
        <w:t>jen v nevýznamném rozsahu přispěly k</w:t>
      </w:r>
      <w:r w:rsidR="006A3DF0">
        <w:rPr>
          <w:b/>
          <w:bCs/>
        </w:rPr>
        <w:t xml:space="preserve"> </w:t>
      </w:r>
      <w:r w:rsidR="002D2553">
        <w:rPr>
          <w:b/>
          <w:bCs/>
        </w:rPr>
        <w:t xml:space="preserve">naplnění </w:t>
      </w:r>
      <w:r w:rsidR="00736536" w:rsidRPr="00736536">
        <w:rPr>
          <w:b/>
          <w:bCs/>
        </w:rPr>
        <w:t>účelu podpory, tedy ke snížení rozdílů v odměňování, snížení vertikální</w:t>
      </w:r>
      <w:r w:rsidR="0097633D">
        <w:rPr>
          <w:rStyle w:val="Znakapoznpodarou"/>
          <w:b/>
          <w:bCs/>
        </w:rPr>
        <w:footnoteReference w:id="3"/>
      </w:r>
      <w:r w:rsidR="00736536" w:rsidRPr="00736536">
        <w:rPr>
          <w:b/>
          <w:bCs/>
        </w:rPr>
        <w:t xml:space="preserve"> nebo horizontální</w:t>
      </w:r>
      <w:r w:rsidR="001A07E6">
        <w:rPr>
          <w:rStyle w:val="Znakapoznpodarou"/>
          <w:b/>
          <w:bCs/>
        </w:rPr>
        <w:footnoteReference w:id="4"/>
      </w:r>
      <w:r w:rsidR="00736536" w:rsidRPr="00736536">
        <w:rPr>
          <w:b/>
          <w:bCs/>
        </w:rPr>
        <w:t xml:space="preserve"> segregace žen a mužů na trhu práce, usnadnění slučitelnosti pracovního a</w:t>
      </w:r>
      <w:r w:rsidR="004F274A">
        <w:rPr>
          <w:b/>
          <w:bCs/>
        </w:rPr>
        <w:t> </w:t>
      </w:r>
      <w:r w:rsidR="00736536" w:rsidRPr="00736536">
        <w:rPr>
          <w:b/>
          <w:bCs/>
        </w:rPr>
        <w:t xml:space="preserve">soukromého života a ke snížení rizika obtěžování na pracovišti. </w:t>
      </w:r>
      <w:r w:rsidR="00C83C6A">
        <w:rPr>
          <w:b/>
          <w:bCs/>
        </w:rPr>
        <w:t xml:space="preserve">Pouze 8 % </w:t>
      </w:r>
      <w:r w:rsidR="00C83C6A" w:rsidRPr="00C83C6A">
        <w:rPr>
          <w:b/>
          <w:bCs/>
        </w:rPr>
        <w:t xml:space="preserve">kontrolovaných veřejných prostředků </w:t>
      </w:r>
      <w:r w:rsidR="00C83C6A">
        <w:rPr>
          <w:b/>
          <w:bCs/>
        </w:rPr>
        <w:t>naplnilo</w:t>
      </w:r>
      <w:r w:rsidR="00A57DE6">
        <w:rPr>
          <w:b/>
          <w:bCs/>
        </w:rPr>
        <w:t xml:space="preserve"> </w:t>
      </w:r>
      <w:r w:rsidR="00C83C6A" w:rsidRPr="00C83C6A">
        <w:rPr>
          <w:b/>
          <w:bCs/>
        </w:rPr>
        <w:t xml:space="preserve">účel podpory ve všech klíčových </w:t>
      </w:r>
      <w:r w:rsidR="00C81D50">
        <w:rPr>
          <w:b/>
          <w:bCs/>
        </w:rPr>
        <w:t>oblastech</w:t>
      </w:r>
      <w:r w:rsidR="00C81D50" w:rsidRPr="00C83C6A">
        <w:rPr>
          <w:b/>
          <w:bCs/>
        </w:rPr>
        <w:t xml:space="preserve"> </w:t>
      </w:r>
      <w:r w:rsidR="00C83C6A" w:rsidRPr="00C83C6A">
        <w:rPr>
          <w:b/>
          <w:bCs/>
        </w:rPr>
        <w:t>genderové nerovnosti</w:t>
      </w:r>
      <w:r w:rsidR="00C83C6A">
        <w:rPr>
          <w:b/>
          <w:bCs/>
        </w:rPr>
        <w:t>.</w:t>
      </w:r>
      <w:r w:rsidR="00C83C6A" w:rsidRPr="00C83C6A">
        <w:rPr>
          <w:b/>
          <w:bCs/>
        </w:rPr>
        <w:t xml:space="preserve"> </w:t>
      </w:r>
      <w:r w:rsidR="00C83C6A">
        <w:rPr>
          <w:b/>
          <w:bCs/>
        </w:rPr>
        <w:t xml:space="preserve">Projekty </w:t>
      </w:r>
      <w:r w:rsidR="00ED655A">
        <w:rPr>
          <w:b/>
          <w:bCs/>
        </w:rPr>
        <w:t>převážně</w:t>
      </w:r>
      <w:r w:rsidR="00ED655A" w:rsidRPr="00736536">
        <w:rPr>
          <w:b/>
          <w:bCs/>
        </w:rPr>
        <w:t xml:space="preserve"> </w:t>
      </w:r>
      <w:r w:rsidR="00C83C6A">
        <w:rPr>
          <w:b/>
          <w:bCs/>
        </w:rPr>
        <w:t>směřovaly</w:t>
      </w:r>
      <w:r w:rsidR="00736536" w:rsidRPr="00736536">
        <w:rPr>
          <w:b/>
          <w:bCs/>
        </w:rPr>
        <w:t xml:space="preserve"> k</w:t>
      </w:r>
      <w:r w:rsidR="00666F35">
        <w:rPr>
          <w:b/>
          <w:bCs/>
        </w:rPr>
        <w:t xml:space="preserve"> </w:t>
      </w:r>
      <w:r w:rsidR="00736536" w:rsidRPr="00736536">
        <w:rPr>
          <w:b/>
          <w:bCs/>
        </w:rPr>
        <w:t>šíření informovanosti o problematice genderové rovnosti a k vytvoření interních předpisů u některých zaměstnavatelů.</w:t>
      </w:r>
      <w:r w:rsidR="00390352" w:rsidRPr="00390352">
        <w:rPr>
          <w:rFonts w:asciiTheme="minorHAnsi" w:eastAsiaTheme="minorHAnsi" w:hAnsiTheme="minorHAnsi" w:cstheme="minorBidi"/>
          <w:b/>
          <w:bCs/>
          <w:color w:val="auto"/>
          <w:sz w:val="22"/>
          <w:szCs w:val="22"/>
          <w:lang w:eastAsia="en-US"/>
        </w:rPr>
        <w:t xml:space="preserve"> </w:t>
      </w:r>
      <w:r w:rsidR="00390352" w:rsidRPr="00390352">
        <w:rPr>
          <w:b/>
          <w:bCs/>
        </w:rPr>
        <w:t>Vzhledem k</w:t>
      </w:r>
      <w:r w:rsidR="00390352">
        <w:rPr>
          <w:b/>
          <w:bCs/>
        </w:rPr>
        <w:t xml:space="preserve"> nevhodnému nastavení podmínek </w:t>
      </w:r>
      <w:r w:rsidR="00ED655A">
        <w:rPr>
          <w:b/>
          <w:bCs/>
        </w:rPr>
        <w:t xml:space="preserve">ze strany poskytovatele </w:t>
      </w:r>
      <w:r w:rsidR="00390352" w:rsidRPr="00390352">
        <w:rPr>
          <w:b/>
          <w:bCs/>
        </w:rPr>
        <w:t>neexist</w:t>
      </w:r>
      <w:r w:rsidR="00390352">
        <w:rPr>
          <w:b/>
          <w:bCs/>
        </w:rPr>
        <w:t>ovaly</w:t>
      </w:r>
      <w:r w:rsidR="00390352" w:rsidRPr="00390352">
        <w:rPr>
          <w:b/>
          <w:bCs/>
        </w:rPr>
        <w:t xml:space="preserve"> doklad</w:t>
      </w:r>
      <w:r w:rsidR="00390352">
        <w:rPr>
          <w:b/>
          <w:bCs/>
        </w:rPr>
        <w:t>y</w:t>
      </w:r>
      <w:r w:rsidR="00390352" w:rsidRPr="00390352">
        <w:rPr>
          <w:b/>
          <w:bCs/>
        </w:rPr>
        <w:t xml:space="preserve"> </w:t>
      </w:r>
      <w:r w:rsidR="00A57DE6">
        <w:rPr>
          <w:b/>
          <w:bCs/>
        </w:rPr>
        <w:br/>
      </w:r>
      <w:r w:rsidR="00390352" w:rsidRPr="00390352">
        <w:rPr>
          <w:b/>
          <w:bCs/>
        </w:rPr>
        <w:t>o</w:t>
      </w:r>
      <w:r w:rsidR="00A57DE6">
        <w:rPr>
          <w:b/>
          <w:bCs/>
        </w:rPr>
        <w:t xml:space="preserve"> </w:t>
      </w:r>
      <w:r w:rsidR="00390352" w:rsidRPr="00390352">
        <w:rPr>
          <w:b/>
          <w:bCs/>
        </w:rPr>
        <w:t>kvalitě a rozsahu provedených prací u příjemců podpory</w:t>
      </w:r>
      <w:r w:rsidR="00C81D50">
        <w:rPr>
          <w:b/>
          <w:bCs/>
        </w:rPr>
        <w:t>,</w:t>
      </w:r>
      <w:r w:rsidR="00390352" w:rsidRPr="00390352">
        <w:rPr>
          <w:b/>
          <w:bCs/>
        </w:rPr>
        <w:t xml:space="preserve"> </w:t>
      </w:r>
      <w:r w:rsidR="00390352">
        <w:rPr>
          <w:b/>
          <w:bCs/>
        </w:rPr>
        <w:t xml:space="preserve">a </w:t>
      </w:r>
      <w:r w:rsidR="00390352" w:rsidRPr="00390352">
        <w:rPr>
          <w:b/>
          <w:bCs/>
        </w:rPr>
        <w:t xml:space="preserve">nelze </w:t>
      </w:r>
      <w:r w:rsidR="00C81D50">
        <w:rPr>
          <w:b/>
          <w:bCs/>
        </w:rPr>
        <w:t>tudíž</w:t>
      </w:r>
      <w:r w:rsidR="00390352">
        <w:rPr>
          <w:b/>
          <w:bCs/>
        </w:rPr>
        <w:t xml:space="preserve"> </w:t>
      </w:r>
      <w:r w:rsidR="00390352" w:rsidRPr="00390352">
        <w:rPr>
          <w:b/>
          <w:bCs/>
        </w:rPr>
        <w:t>hodnotit hospodárnost vynaložených prostředků.</w:t>
      </w:r>
    </w:p>
    <w:p w14:paraId="5706B09E" w14:textId="1D591790" w:rsidR="00D2180C" w:rsidRDefault="00AC5C53" w:rsidP="00334572">
      <w:pPr>
        <w:pStyle w:val="JK1"/>
        <w:numPr>
          <w:ilvl w:val="0"/>
          <w:numId w:val="0"/>
        </w:numPr>
        <w:tabs>
          <w:tab w:val="clear" w:pos="567"/>
        </w:tabs>
        <w:ind w:left="426"/>
        <w:rPr>
          <w:b/>
          <w:bCs/>
        </w:rPr>
      </w:pPr>
      <w:r w:rsidRPr="00AC5C53">
        <w:rPr>
          <w:b/>
          <w:bCs/>
        </w:rPr>
        <w:t xml:space="preserve">MPSV nastavilo podmínky </w:t>
      </w:r>
      <w:r w:rsidR="00975DB9">
        <w:rPr>
          <w:b/>
          <w:bCs/>
        </w:rPr>
        <w:t xml:space="preserve">pro nakládání s </w:t>
      </w:r>
      <w:r w:rsidR="00334572" w:rsidRPr="00E70331">
        <w:rPr>
          <w:b/>
          <w:bCs/>
        </w:rPr>
        <w:t>dotac</w:t>
      </w:r>
      <w:r w:rsidR="00975DB9">
        <w:rPr>
          <w:b/>
          <w:bCs/>
        </w:rPr>
        <w:t>emi</w:t>
      </w:r>
      <w:r w:rsidR="00334572" w:rsidRPr="00E70331">
        <w:rPr>
          <w:b/>
          <w:bCs/>
        </w:rPr>
        <w:t xml:space="preserve"> </w:t>
      </w:r>
      <w:r w:rsidRPr="00AC5C53">
        <w:rPr>
          <w:b/>
          <w:bCs/>
        </w:rPr>
        <w:t xml:space="preserve">tak, že </w:t>
      </w:r>
      <w:r w:rsidR="00ED655A">
        <w:rPr>
          <w:b/>
          <w:bCs/>
        </w:rPr>
        <w:t>příjemci</w:t>
      </w:r>
      <w:r w:rsidRPr="00AC5C53">
        <w:rPr>
          <w:b/>
          <w:bCs/>
        </w:rPr>
        <w:t xml:space="preserve"> </w:t>
      </w:r>
      <w:r w:rsidR="00ED655A">
        <w:rPr>
          <w:b/>
          <w:bCs/>
        </w:rPr>
        <w:t>mohli</w:t>
      </w:r>
      <w:r w:rsidR="00ED655A" w:rsidRPr="00E70331">
        <w:rPr>
          <w:b/>
          <w:bCs/>
        </w:rPr>
        <w:t xml:space="preserve"> </w:t>
      </w:r>
      <w:r w:rsidR="00334572" w:rsidRPr="00E70331">
        <w:rPr>
          <w:b/>
          <w:bCs/>
        </w:rPr>
        <w:t xml:space="preserve">čerpat </w:t>
      </w:r>
      <w:r w:rsidR="008223A8" w:rsidRPr="00E70331">
        <w:rPr>
          <w:b/>
          <w:bCs/>
        </w:rPr>
        <w:t>dotace,</w:t>
      </w:r>
      <w:r w:rsidR="00334572" w:rsidRPr="00E70331">
        <w:rPr>
          <w:b/>
          <w:bCs/>
        </w:rPr>
        <w:t xml:space="preserve"> </w:t>
      </w:r>
      <w:r w:rsidR="000E5140">
        <w:rPr>
          <w:b/>
          <w:bCs/>
        </w:rPr>
        <w:t>aniž by</w:t>
      </w:r>
      <w:r w:rsidR="00334572" w:rsidRPr="00E70331">
        <w:rPr>
          <w:b/>
          <w:bCs/>
        </w:rPr>
        <w:t xml:space="preserve"> bylo zřejmé, jakých měřitelných cílů </w:t>
      </w:r>
      <w:r w:rsidR="00C81D50">
        <w:rPr>
          <w:b/>
          <w:bCs/>
        </w:rPr>
        <w:t>chtějí</w:t>
      </w:r>
      <w:r w:rsidR="00ED655A">
        <w:rPr>
          <w:b/>
          <w:bCs/>
        </w:rPr>
        <w:t xml:space="preserve"> </w:t>
      </w:r>
      <w:r w:rsidR="00334572" w:rsidRPr="00E70331">
        <w:rPr>
          <w:b/>
          <w:bCs/>
        </w:rPr>
        <w:t>poskyt</w:t>
      </w:r>
      <w:r w:rsidR="00ED655A">
        <w:rPr>
          <w:b/>
          <w:bCs/>
        </w:rPr>
        <w:t>nut</w:t>
      </w:r>
      <w:r w:rsidR="00334572" w:rsidRPr="00E70331">
        <w:rPr>
          <w:b/>
          <w:bCs/>
        </w:rPr>
        <w:t xml:space="preserve">ou podporou dosáhnout. </w:t>
      </w:r>
      <w:r w:rsidR="00157AA0" w:rsidRPr="00157AA0">
        <w:rPr>
          <w:b/>
          <w:bCs/>
        </w:rPr>
        <w:t>MPSV nesled</w:t>
      </w:r>
      <w:r w:rsidR="00ED655A">
        <w:rPr>
          <w:b/>
          <w:bCs/>
        </w:rPr>
        <w:t>ovalo</w:t>
      </w:r>
      <w:r w:rsidR="00157AA0" w:rsidRPr="00157AA0">
        <w:rPr>
          <w:b/>
          <w:bCs/>
        </w:rPr>
        <w:t xml:space="preserve"> skutečný přínos poskytovaných dotací ke snižování rozdílů v postavení žen a</w:t>
      </w:r>
      <w:r w:rsidR="004869A6">
        <w:rPr>
          <w:b/>
          <w:bCs/>
        </w:rPr>
        <w:t> </w:t>
      </w:r>
      <w:r w:rsidR="00157AA0" w:rsidRPr="00157AA0">
        <w:rPr>
          <w:b/>
          <w:bCs/>
        </w:rPr>
        <w:t>mužů na trhu práce.</w:t>
      </w:r>
      <w:r w:rsidR="00334572" w:rsidRPr="00E70331">
        <w:rPr>
          <w:b/>
          <w:bCs/>
        </w:rPr>
        <w:t xml:space="preserve"> </w:t>
      </w:r>
      <w:r w:rsidR="00D2180C" w:rsidRPr="00E70331">
        <w:rPr>
          <w:b/>
          <w:bCs/>
        </w:rPr>
        <w:t xml:space="preserve">MPSV </w:t>
      </w:r>
      <w:r w:rsidR="00D2180C">
        <w:rPr>
          <w:b/>
          <w:bCs/>
        </w:rPr>
        <w:t xml:space="preserve">v rámci své činnosti </w:t>
      </w:r>
      <w:r w:rsidR="00D2180C" w:rsidRPr="00E70331">
        <w:rPr>
          <w:b/>
          <w:bCs/>
        </w:rPr>
        <w:t>nenaplň</w:t>
      </w:r>
      <w:r w:rsidR="00ED655A">
        <w:rPr>
          <w:b/>
          <w:bCs/>
        </w:rPr>
        <w:t>ovalo</w:t>
      </w:r>
      <w:r w:rsidR="00D2180C" w:rsidRPr="00E70331">
        <w:rPr>
          <w:b/>
          <w:bCs/>
        </w:rPr>
        <w:t xml:space="preserve"> povinnost soustavně vyhodnocovat efektivnost vynakládání výdajů ve své rozpočtové kapitole.</w:t>
      </w:r>
    </w:p>
    <w:p w14:paraId="36B29356" w14:textId="7DE9A495" w:rsidR="00E70331" w:rsidRPr="00E70331" w:rsidRDefault="00AC5C53" w:rsidP="00334572">
      <w:pPr>
        <w:pStyle w:val="JK1"/>
        <w:numPr>
          <w:ilvl w:val="0"/>
          <w:numId w:val="0"/>
        </w:numPr>
        <w:tabs>
          <w:tab w:val="clear" w:pos="567"/>
        </w:tabs>
        <w:ind w:left="426"/>
        <w:rPr>
          <w:b/>
          <w:bCs/>
        </w:rPr>
      </w:pPr>
      <w:r w:rsidRPr="00AC5C53">
        <w:rPr>
          <w:b/>
          <w:bCs/>
        </w:rPr>
        <w:t>Podmínky</w:t>
      </w:r>
      <w:r w:rsidR="00993585">
        <w:rPr>
          <w:b/>
          <w:bCs/>
        </w:rPr>
        <w:t xml:space="preserve">, které </w:t>
      </w:r>
      <w:r w:rsidR="00993585" w:rsidRPr="00AC5C53">
        <w:rPr>
          <w:b/>
          <w:bCs/>
        </w:rPr>
        <w:t>nastav</w:t>
      </w:r>
      <w:r w:rsidR="00993585">
        <w:rPr>
          <w:b/>
          <w:bCs/>
        </w:rPr>
        <w:t>ilo</w:t>
      </w:r>
      <w:r w:rsidR="00993585" w:rsidRPr="00AC5C53">
        <w:rPr>
          <w:b/>
          <w:bCs/>
        </w:rPr>
        <w:t xml:space="preserve"> </w:t>
      </w:r>
      <w:r w:rsidRPr="00AC5C53">
        <w:rPr>
          <w:b/>
          <w:bCs/>
        </w:rPr>
        <w:t>MPSV</w:t>
      </w:r>
      <w:r w:rsidR="00993585">
        <w:rPr>
          <w:b/>
          <w:bCs/>
        </w:rPr>
        <w:t>,</w:t>
      </w:r>
      <w:r w:rsidRPr="00AC5C53">
        <w:rPr>
          <w:b/>
          <w:bCs/>
        </w:rPr>
        <w:t xml:space="preserve"> </w:t>
      </w:r>
      <w:r w:rsidR="000E5140" w:rsidRPr="00AC5C53">
        <w:rPr>
          <w:b/>
          <w:bCs/>
        </w:rPr>
        <w:t>umožň</w:t>
      </w:r>
      <w:r w:rsidR="000E5140">
        <w:rPr>
          <w:b/>
          <w:bCs/>
        </w:rPr>
        <w:t>ovaly</w:t>
      </w:r>
      <w:r w:rsidR="00334572" w:rsidRPr="00E70331">
        <w:rPr>
          <w:b/>
          <w:bCs/>
        </w:rPr>
        <w:t xml:space="preserve">, </w:t>
      </w:r>
      <w:r w:rsidR="00ED655A">
        <w:rPr>
          <w:b/>
          <w:bCs/>
        </w:rPr>
        <w:t>aby</w:t>
      </w:r>
      <w:r w:rsidR="00ED655A" w:rsidRPr="00E70331">
        <w:rPr>
          <w:b/>
          <w:bCs/>
        </w:rPr>
        <w:t xml:space="preserve"> </w:t>
      </w:r>
      <w:r w:rsidR="00993585">
        <w:rPr>
          <w:b/>
          <w:bCs/>
        </w:rPr>
        <w:t xml:space="preserve">rozsah </w:t>
      </w:r>
      <w:r w:rsidR="00334572" w:rsidRPr="00E70331">
        <w:rPr>
          <w:b/>
          <w:bCs/>
        </w:rPr>
        <w:t>opatření k</w:t>
      </w:r>
      <w:r w:rsidR="00E70331" w:rsidRPr="00E70331">
        <w:rPr>
          <w:b/>
          <w:bCs/>
        </w:rPr>
        <w:t xml:space="preserve"> vyrovnávání </w:t>
      </w:r>
      <w:r w:rsidR="00ED655A">
        <w:rPr>
          <w:b/>
          <w:bCs/>
        </w:rPr>
        <w:t xml:space="preserve">genderových </w:t>
      </w:r>
      <w:r w:rsidR="00E70331" w:rsidRPr="00E70331">
        <w:rPr>
          <w:b/>
          <w:bCs/>
        </w:rPr>
        <w:t>rozdílů</w:t>
      </w:r>
      <w:r w:rsidR="00334572" w:rsidRPr="00E70331">
        <w:rPr>
          <w:b/>
          <w:bCs/>
        </w:rPr>
        <w:t xml:space="preserve"> </w:t>
      </w:r>
      <w:r w:rsidR="00993585">
        <w:rPr>
          <w:b/>
          <w:bCs/>
        </w:rPr>
        <w:t xml:space="preserve">určoval </w:t>
      </w:r>
      <w:r w:rsidR="00334572" w:rsidRPr="00E70331">
        <w:rPr>
          <w:b/>
          <w:bCs/>
        </w:rPr>
        <w:t xml:space="preserve">ten, u koho </w:t>
      </w:r>
      <w:r w:rsidR="00993585">
        <w:rPr>
          <w:b/>
          <w:bCs/>
        </w:rPr>
        <w:t>byla</w:t>
      </w:r>
      <w:r w:rsidR="00334572" w:rsidRPr="00E70331">
        <w:rPr>
          <w:b/>
          <w:bCs/>
        </w:rPr>
        <w:t xml:space="preserve"> </w:t>
      </w:r>
      <w:r w:rsidR="00993585">
        <w:rPr>
          <w:b/>
          <w:bCs/>
        </w:rPr>
        <w:t xml:space="preserve">opatření </w:t>
      </w:r>
      <w:r w:rsidR="00993585" w:rsidRPr="00E70331">
        <w:rPr>
          <w:b/>
          <w:bCs/>
        </w:rPr>
        <w:t>realizován</w:t>
      </w:r>
      <w:r w:rsidR="00993585">
        <w:rPr>
          <w:b/>
          <w:bCs/>
        </w:rPr>
        <w:t>a</w:t>
      </w:r>
      <w:r w:rsidR="00334572" w:rsidRPr="00E70331">
        <w:rPr>
          <w:b/>
          <w:bCs/>
        </w:rPr>
        <w:t>.</w:t>
      </w:r>
      <w:r w:rsidR="00E70331" w:rsidRPr="00E70331">
        <w:rPr>
          <w:b/>
          <w:bCs/>
        </w:rPr>
        <w:t xml:space="preserve"> </w:t>
      </w:r>
      <w:r w:rsidR="00AD48B6">
        <w:rPr>
          <w:b/>
          <w:bCs/>
        </w:rPr>
        <w:t>NKÚ zjistil paradoxní situace, kdy auditované organizace</w:t>
      </w:r>
      <w:r w:rsidR="002665D0">
        <w:rPr>
          <w:b/>
          <w:bCs/>
        </w:rPr>
        <w:t>, které se dobrovolně genderovému auditu podrobily s cílem výsledky auditu dále využít</w:t>
      </w:r>
      <w:r w:rsidR="00426C12">
        <w:rPr>
          <w:b/>
          <w:bCs/>
        </w:rPr>
        <w:t xml:space="preserve"> k dosažení spravedlivého odměňování</w:t>
      </w:r>
      <w:r w:rsidR="002665D0">
        <w:rPr>
          <w:b/>
          <w:bCs/>
        </w:rPr>
        <w:t xml:space="preserve">, odmítly auditorům poskytnout informace o výši odměn na jednotlivých pracovních pozicích. </w:t>
      </w:r>
      <w:r w:rsidR="00E70331" w:rsidRPr="00E70331">
        <w:rPr>
          <w:b/>
          <w:bCs/>
        </w:rPr>
        <w:t>Vzdělávací</w:t>
      </w:r>
      <w:r w:rsidR="00334572" w:rsidRPr="00E70331">
        <w:rPr>
          <w:b/>
          <w:bCs/>
        </w:rPr>
        <w:t xml:space="preserve"> </w:t>
      </w:r>
      <w:r w:rsidR="00E70331" w:rsidRPr="00E70331">
        <w:rPr>
          <w:b/>
          <w:bCs/>
        </w:rPr>
        <w:t>a</w:t>
      </w:r>
      <w:r w:rsidR="00334572" w:rsidRPr="00E70331">
        <w:rPr>
          <w:b/>
          <w:bCs/>
        </w:rPr>
        <w:t xml:space="preserve">ktivity, které </w:t>
      </w:r>
      <w:r w:rsidR="00C81D50" w:rsidRPr="00E70331">
        <w:rPr>
          <w:b/>
          <w:bCs/>
        </w:rPr>
        <w:t xml:space="preserve">MPSV </w:t>
      </w:r>
      <w:r w:rsidR="00334572" w:rsidRPr="00E70331">
        <w:rPr>
          <w:b/>
          <w:bCs/>
        </w:rPr>
        <w:t>v rámci implementace propl</w:t>
      </w:r>
      <w:r w:rsidR="00ED655A">
        <w:rPr>
          <w:b/>
          <w:bCs/>
        </w:rPr>
        <w:t>atilo</w:t>
      </w:r>
      <w:r w:rsidR="00334572" w:rsidRPr="00E70331">
        <w:rPr>
          <w:b/>
          <w:bCs/>
        </w:rPr>
        <w:t>, nem</w:t>
      </w:r>
      <w:r w:rsidR="00ED655A">
        <w:rPr>
          <w:b/>
          <w:bCs/>
        </w:rPr>
        <w:t>ěly</w:t>
      </w:r>
      <w:r w:rsidR="00334572" w:rsidRPr="00E70331">
        <w:rPr>
          <w:b/>
          <w:bCs/>
        </w:rPr>
        <w:t xml:space="preserve"> v řadě případů souvislost s</w:t>
      </w:r>
      <w:r w:rsidR="00FC0390">
        <w:rPr>
          <w:b/>
          <w:bCs/>
        </w:rPr>
        <w:t> </w:t>
      </w:r>
      <w:r w:rsidR="00334572" w:rsidRPr="00E70331">
        <w:rPr>
          <w:b/>
          <w:bCs/>
        </w:rPr>
        <w:t>gen</w:t>
      </w:r>
      <w:r w:rsidR="00745934">
        <w:rPr>
          <w:b/>
          <w:bCs/>
        </w:rPr>
        <w:t>d</w:t>
      </w:r>
      <w:r w:rsidR="00334572" w:rsidRPr="00E70331">
        <w:rPr>
          <w:b/>
          <w:bCs/>
        </w:rPr>
        <w:t>erovou problematikou a týka</w:t>
      </w:r>
      <w:r w:rsidR="00ED655A">
        <w:rPr>
          <w:b/>
          <w:bCs/>
        </w:rPr>
        <w:t>ly</w:t>
      </w:r>
      <w:r w:rsidR="00334572" w:rsidRPr="00E70331">
        <w:rPr>
          <w:b/>
          <w:bCs/>
        </w:rPr>
        <w:t xml:space="preserve"> se spíš</w:t>
      </w:r>
      <w:r w:rsidR="00B30A69">
        <w:rPr>
          <w:b/>
          <w:bCs/>
        </w:rPr>
        <w:t>e</w:t>
      </w:r>
      <w:r w:rsidR="00334572" w:rsidRPr="00E70331">
        <w:rPr>
          <w:b/>
          <w:bCs/>
        </w:rPr>
        <w:t xml:space="preserve"> profesního vzdělávání. </w:t>
      </w:r>
    </w:p>
    <w:p w14:paraId="7BCB2055" w14:textId="41B4A7EA" w:rsidR="00334572" w:rsidRPr="00E70331" w:rsidRDefault="00C81D50" w:rsidP="00334572">
      <w:pPr>
        <w:pStyle w:val="JK1"/>
        <w:numPr>
          <w:ilvl w:val="0"/>
          <w:numId w:val="0"/>
        </w:numPr>
        <w:tabs>
          <w:tab w:val="clear" w:pos="567"/>
        </w:tabs>
        <w:ind w:left="426"/>
        <w:rPr>
          <w:b/>
          <w:bCs/>
        </w:rPr>
      </w:pPr>
      <w:r>
        <w:rPr>
          <w:b/>
          <w:bCs/>
        </w:rPr>
        <w:t>U</w:t>
      </w:r>
      <w:r w:rsidRPr="00E70331">
        <w:rPr>
          <w:b/>
          <w:bCs/>
        </w:rPr>
        <w:t xml:space="preserve"> </w:t>
      </w:r>
      <w:r>
        <w:rPr>
          <w:b/>
          <w:bCs/>
        </w:rPr>
        <w:t>čtyř</w:t>
      </w:r>
      <w:r w:rsidRPr="00E70331">
        <w:rPr>
          <w:b/>
          <w:bCs/>
        </w:rPr>
        <w:t xml:space="preserve"> projektů zjistil </w:t>
      </w:r>
      <w:r w:rsidR="00334572" w:rsidRPr="00E70331">
        <w:rPr>
          <w:b/>
          <w:bCs/>
        </w:rPr>
        <w:t>NKÚ nezpůsobilé výdaje v souhrnné výši 1,6 mil. Kč</w:t>
      </w:r>
      <w:r w:rsidR="00334572" w:rsidRPr="00E70331" w:rsidDel="00D2180C">
        <w:rPr>
          <w:b/>
          <w:bCs/>
        </w:rPr>
        <w:t>.</w:t>
      </w:r>
    </w:p>
    <w:p w14:paraId="3AA451C5" w14:textId="77777777" w:rsidR="003003FE" w:rsidRPr="00E745C9" w:rsidRDefault="003003FE" w:rsidP="00516357">
      <w:pPr>
        <w:pStyle w:val="JK1"/>
        <w:keepNext/>
        <w:keepLines/>
        <w:tabs>
          <w:tab w:val="clear" w:pos="567"/>
        </w:tabs>
        <w:ind w:left="426" w:hanging="426"/>
      </w:pPr>
      <w:r w:rsidRPr="00E745C9">
        <w:lastRenderedPageBreak/>
        <w:t>Toto celkové zhodnocení se opírá o následující hlavní zjištění z kontroly:</w:t>
      </w:r>
    </w:p>
    <w:p w14:paraId="4CE1B3D4" w14:textId="4A9A9433" w:rsidR="00D46E94" w:rsidRDefault="00D46E94" w:rsidP="00516357">
      <w:pPr>
        <w:pStyle w:val="JK1"/>
        <w:keepNext/>
        <w:keepLines/>
        <w:numPr>
          <w:ilvl w:val="0"/>
          <w:numId w:val="13"/>
        </w:numPr>
      </w:pPr>
      <w:r>
        <w:t>MPSV poskyt</w:t>
      </w:r>
      <w:r w:rsidR="00FE4E86">
        <w:t>ova</w:t>
      </w:r>
      <w:r>
        <w:t xml:space="preserve">lo </w:t>
      </w:r>
      <w:r w:rsidR="00FE4E86">
        <w:t>dotace</w:t>
      </w:r>
      <w:r>
        <w:t xml:space="preserve"> bez znalosti </w:t>
      </w:r>
      <w:r w:rsidR="00A5355B">
        <w:t xml:space="preserve">potřeb </w:t>
      </w:r>
      <w:r w:rsidR="003A39D3">
        <w:t xml:space="preserve">konkrétních </w:t>
      </w:r>
      <w:r>
        <w:t>auditovaných organizací</w:t>
      </w:r>
      <w:r w:rsidR="00AC2C1B">
        <w:t xml:space="preserve"> (dále také „AO“)</w:t>
      </w:r>
      <w:r>
        <w:t xml:space="preserve"> </w:t>
      </w:r>
      <w:r w:rsidR="00A5355B">
        <w:t>v oblasti genderové rovnosti</w:t>
      </w:r>
      <w:r w:rsidR="0056081E">
        <w:t xml:space="preserve"> </w:t>
      </w:r>
      <w:r w:rsidR="006F28FE" w:rsidRPr="00DA620B">
        <w:t>(viz 4.</w:t>
      </w:r>
      <w:r w:rsidR="00FB1838">
        <w:t>1</w:t>
      </w:r>
      <w:r w:rsidR="006F28FE" w:rsidRPr="00DA620B">
        <w:t xml:space="preserve"> až 4.</w:t>
      </w:r>
      <w:r w:rsidR="00FB1838">
        <w:t>5</w:t>
      </w:r>
      <w:r w:rsidR="006F28FE" w:rsidRPr="00DA620B">
        <w:t>)</w:t>
      </w:r>
      <w:r w:rsidR="00C81D50">
        <w:t>.</w:t>
      </w:r>
    </w:p>
    <w:p w14:paraId="09BCADE0" w14:textId="0373FE00" w:rsidR="00D46E94" w:rsidRDefault="00D46E94" w:rsidP="00D46E94">
      <w:pPr>
        <w:pStyle w:val="JK1"/>
        <w:numPr>
          <w:ilvl w:val="0"/>
          <w:numId w:val="13"/>
        </w:numPr>
      </w:pPr>
      <w:r>
        <w:t xml:space="preserve">GA neobsahovaly všechny </w:t>
      </w:r>
      <w:r w:rsidR="00A5355B">
        <w:t>oblasti auditu</w:t>
      </w:r>
      <w:r>
        <w:t xml:space="preserve">, které dle </w:t>
      </w:r>
      <w:r w:rsidR="00A5355B" w:rsidRPr="000609E4">
        <w:rPr>
          <w:i/>
        </w:rPr>
        <w:t>S</w:t>
      </w:r>
      <w:r w:rsidRPr="000609E4">
        <w:rPr>
          <w:i/>
        </w:rPr>
        <w:t>tandardu</w:t>
      </w:r>
      <w:r w:rsidR="00A5355B" w:rsidRPr="000609E4">
        <w:rPr>
          <w:i/>
        </w:rPr>
        <w:t xml:space="preserve"> </w:t>
      </w:r>
      <w:r w:rsidR="007F48CF" w:rsidRPr="000609E4">
        <w:rPr>
          <w:i/>
        </w:rPr>
        <w:t>genderového auditu</w:t>
      </w:r>
      <w:r w:rsidR="007F48CF">
        <w:t xml:space="preserve"> </w:t>
      </w:r>
      <w:r w:rsidR="00A5355B">
        <w:t xml:space="preserve">obsahovat </w:t>
      </w:r>
      <w:r>
        <w:t>měly</w:t>
      </w:r>
      <w:r w:rsidR="001D21E5">
        <w:t>,</w:t>
      </w:r>
      <w:r>
        <w:t xml:space="preserve"> ani neuváděly důvody pro </w:t>
      </w:r>
      <w:proofErr w:type="spellStart"/>
      <w:r>
        <w:t>neauditování</w:t>
      </w:r>
      <w:proofErr w:type="spellEnd"/>
      <w:r>
        <w:t xml:space="preserve"> těchto </w:t>
      </w:r>
      <w:r w:rsidR="00C53FD4">
        <w:t>oblastí,</w:t>
      </w:r>
      <w:r>
        <w:t xml:space="preserve"> </w:t>
      </w:r>
      <w:r w:rsidR="00A5355B">
        <w:t>a</w:t>
      </w:r>
      <w:r w:rsidR="00A57DE6">
        <w:t xml:space="preserve"> </w:t>
      </w:r>
      <w:r w:rsidR="00A5355B">
        <w:t>přesto byly dotace vyplaceny v plném rozsahu (</w:t>
      </w:r>
      <w:r>
        <w:t>viz 4.</w:t>
      </w:r>
      <w:r w:rsidR="00FB1838">
        <w:t>6</w:t>
      </w:r>
      <w:r>
        <w:t xml:space="preserve"> až 4.</w:t>
      </w:r>
      <w:r w:rsidR="00FB1838">
        <w:t>7</w:t>
      </w:r>
      <w:r w:rsidR="00A5355B">
        <w:t>)</w:t>
      </w:r>
      <w:r w:rsidR="00C81D50">
        <w:t>.</w:t>
      </w:r>
    </w:p>
    <w:p w14:paraId="26672665" w14:textId="19AF4FA9" w:rsidR="004C2564" w:rsidRDefault="005334A6" w:rsidP="004C2564">
      <w:pPr>
        <w:pStyle w:val="JK1"/>
        <w:numPr>
          <w:ilvl w:val="0"/>
          <w:numId w:val="13"/>
        </w:numPr>
      </w:pPr>
      <w:r>
        <w:t>Zpravidla nebyla auditována o</w:t>
      </w:r>
      <w:r w:rsidR="004C2564">
        <w:t xml:space="preserve">blast rovného odměňování, případně byla auditována </w:t>
      </w:r>
      <w:r>
        <w:t>pouze</w:t>
      </w:r>
      <w:r w:rsidR="004C2564" w:rsidDel="002B01BA">
        <w:t xml:space="preserve"> </w:t>
      </w:r>
      <w:r w:rsidR="002B01BA">
        <w:t xml:space="preserve">na základě subjektivního vnímání aspektů rovnosti zaměstnanci, nikoli </w:t>
      </w:r>
      <w:r w:rsidR="004C2564">
        <w:t>na základě reálných dat o mzdových nebo platových poměrech na konkrétních pracovních pozicích</w:t>
      </w:r>
      <w:r w:rsidR="004C2564" w:rsidDel="002B01BA">
        <w:t xml:space="preserve"> </w:t>
      </w:r>
      <w:r w:rsidR="004C2564">
        <w:t>(viz 4.</w:t>
      </w:r>
      <w:r w:rsidR="00FB1838">
        <w:t>8</w:t>
      </w:r>
      <w:r w:rsidR="004C2564">
        <w:t xml:space="preserve"> až 4.1</w:t>
      </w:r>
      <w:r w:rsidR="00FB1838">
        <w:t>1</w:t>
      </w:r>
      <w:r w:rsidR="004C2564">
        <w:t>)</w:t>
      </w:r>
      <w:r w:rsidR="00C81D50">
        <w:t>.</w:t>
      </w:r>
    </w:p>
    <w:p w14:paraId="5E38B71F" w14:textId="525C3192" w:rsidR="004C2564" w:rsidRDefault="005D71C5" w:rsidP="004C2564">
      <w:pPr>
        <w:pStyle w:val="JK1"/>
        <w:numPr>
          <w:ilvl w:val="0"/>
          <w:numId w:val="13"/>
        </w:numPr>
      </w:pPr>
      <w:r>
        <w:t>Proved</w:t>
      </w:r>
      <w:r w:rsidR="00904170">
        <w:t>e</w:t>
      </w:r>
      <w:r>
        <w:t>né GA u</w:t>
      </w:r>
      <w:r w:rsidR="00ED75DC">
        <w:t xml:space="preserve"> většiny zaměstnavatelů z kontrolovaného vzorku </w:t>
      </w:r>
      <w:r w:rsidR="00ED655A">
        <w:t xml:space="preserve">nezjistily </w:t>
      </w:r>
      <w:r w:rsidR="00ED75DC">
        <w:t>významné genderové nerovnosti. Tato skutečnost mohla být příčinou rozhodnutí auditovaných organizací nepokračovat v implementaci opatření k</w:t>
      </w:r>
      <w:r w:rsidR="00A57DE6">
        <w:t xml:space="preserve"> </w:t>
      </w:r>
      <w:r w:rsidR="00ED75DC">
        <w:t>napravení genderových nerovností. Z</w:t>
      </w:r>
      <w:r w:rsidR="00A57DE6">
        <w:t xml:space="preserve"> </w:t>
      </w:r>
      <w:r w:rsidR="00ED75DC">
        <w:t>dat MPSV vyplývá, že</w:t>
      </w:r>
      <w:r w:rsidR="004C2564" w:rsidDel="00ED75DC">
        <w:t xml:space="preserve"> </w:t>
      </w:r>
      <w:r w:rsidR="00ED75DC">
        <w:t>v</w:t>
      </w:r>
      <w:r w:rsidR="00A57DE6">
        <w:t xml:space="preserve"> </w:t>
      </w:r>
      <w:r w:rsidR="00ED75DC">
        <w:t>implementaci opatření prokazatelně pokračovalo pouze</w:t>
      </w:r>
      <w:r w:rsidR="004C2564">
        <w:t xml:space="preserve"> 14 % auditovaných organizací (viz 4.1</w:t>
      </w:r>
      <w:r w:rsidR="00FB1838">
        <w:t>2</w:t>
      </w:r>
      <w:r w:rsidR="004C2564">
        <w:t xml:space="preserve"> až 4.</w:t>
      </w:r>
      <w:r w:rsidR="00FB1838">
        <w:t>14</w:t>
      </w:r>
      <w:r w:rsidR="004C2564">
        <w:t>)</w:t>
      </w:r>
      <w:r w:rsidR="00C81D50">
        <w:t>.</w:t>
      </w:r>
    </w:p>
    <w:p w14:paraId="40D61693" w14:textId="40A356E9" w:rsidR="004C2564" w:rsidRDefault="004C2564" w:rsidP="004C2564">
      <w:pPr>
        <w:pStyle w:val="JK1"/>
        <w:numPr>
          <w:ilvl w:val="0"/>
          <w:numId w:val="13"/>
        </w:numPr>
      </w:pPr>
      <w:r>
        <w:t xml:space="preserve">Opatření vyplývající z GA se týkala především úpravy vnitřních předpisů a zvyšování povědomí o genderové problematice u příjemců a jen v nevýznamné míře </w:t>
      </w:r>
      <w:r w:rsidR="005D71C5">
        <w:t>směřovala</w:t>
      </w:r>
      <w:r>
        <w:t xml:space="preserve"> ke skutečnému </w:t>
      </w:r>
      <w:r w:rsidRPr="00C53FD4">
        <w:t>snížení rozdílů v odměňování, snížení vertikální nebo horizontální segregace žen a mužů, usnadnění slučitelnosti pracovního a</w:t>
      </w:r>
      <w:r>
        <w:t> </w:t>
      </w:r>
      <w:r w:rsidRPr="00C53FD4">
        <w:t>soukromého života a ke snížení rizika obtěžování na pracovišti</w:t>
      </w:r>
      <w:r w:rsidR="0056081E">
        <w:t xml:space="preserve">. NKÚ vyhodnotil, že </w:t>
      </w:r>
      <w:r w:rsidR="005D71C5">
        <w:t xml:space="preserve">pouze </w:t>
      </w:r>
      <w:r w:rsidR="0056081E" w:rsidRPr="008C4729">
        <w:t>8 % kontrolovaných veřejných prostředků naplnilo</w:t>
      </w:r>
      <w:r w:rsidR="005E4173">
        <w:t xml:space="preserve"> </w:t>
      </w:r>
      <w:r w:rsidR="0056081E" w:rsidRPr="008C4729">
        <w:t xml:space="preserve">účel podpory ve všech klíčových </w:t>
      </w:r>
      <w:r w:rsidR="005E4173">
        <w:t>oblastech</w:t>
      </w:r>
      <w:r w:rsidR="005E4173" w:rsidRPr="008C4729">
        <w:t xml:space="preserve"> </w:t>
      </w:r>
      <w:r w:rsidR="0056081E" w:rsidRPr="008C4729">
        <w:t>genderové nerovnosti</w:t>
      </w:r>
      <w:r>
        <w:t xml:space="preserve"> (viz 4.</w:t>
      </w:r>
      <w:r w:rsidR="00FB1838">
        <w:t>15</w:t>
      </w:r>
      <w:r>
        <w:t xml:space="preserve"> až 4.</w:t>
      </w:r>
      <w:r w:rsidR="00FB1838">
        <w:t>17</w:t>
      </w:r>
      <w:r>
        <w:t>)</w:t>
      </w:r>
      <w:r w:rsidR="00C81D50">
        <w:t>.</w:t>
      </w:r>
    </w:p>
    <w:p w14:paraId="702CD7F9" w14:textId="75F26B19" w:rsidR="0056081E" w:rsidRDefault="00ED75DC" w:rsidP="004C2564">
      <w:pPr>
        <w:pStyle w:val="JK1"/>
        <w:numPr>
          <w:ilvl w:val="0"/>
          <w:numId w:val="13"/>
        </w:numPr>
      </w:pPr>
      <w:r>
        <w:t>Vybrané projekty IGA trvaly minimálně 24</w:t>
      </w:r>
      <w:r w:rsidR="008C4729">
        <w:t> </w:t>
      </w:r>
      <w:r>
        <w:t>měsíců. Nejdéle realizovaný projekt trval 36 měsíců</w:t>
      </w:r>
      <w:r w:rsidR="00A7695F">
        <w:t xml:space="preserve">, </w:t>
      </w:r>
      <w:r w:rsidR="005D71C5">
        <w:t xml:space="preserve">bylo na něj vynaloženo </w:t>
      </w:r>
      <w:r w:rsidR="00A7695F">
        <w:t>téměř 5 mil. Kč a</w:t>
      </w:r>
      <w:r w:rsidR="00A57DE6">
        <w:t xml:space="preserve"> </w:t>
      </w:r>
      <w:r w:rsidR="00A7695F">
        <w:t>v</w:t>
      </w:r>
      <w:r w:rsidR="00A57DE6">
        <w:t xml:space="preserve"> </w:t>
      </w:r>
      <w:r w:rsidR="00A7695F">
        <w:t xml:space="preserve">přepočtu na plné úvazky zaměstnal </w:t>
      </w:r>
      <w:r w:rsidR="005D71C5">
        <w:t xml:space="preserve">téměř </w:t>
      </w:r>
      <w:r w:rsidR="00A7695F">
        <w:t>dva zaměst</w:t>
      </w:r>
      <w:r w:rsidR="008223A8">
        <w:t>n</w:t>
      </w:r>
      <w:r w:rsidR="00A7695F">
        <w:t>ance příjemce. V</w:t>
      </w:r>
      <w:r w:rsidR="00A57DE6">
        <w:t xml:space="preserve"> </w:t>
      </w:r>
      <w:r w:rsidR="00A7695F">
        <w:t>době podání žádosti o podporu přitom měla podpořená společnost pouze 10</w:t>
      </w:r>
      <w:r w:rsidR="008C4729">
        <w:t> </w:t>
      </w:r>
      <w:r w:rsidR="00A7695F">
        <w:t xml:space="preserve">zaměstnanců (viz </w:t>
      </w:r>
      <w:r w:rsidR="0078693A">
        <w:t>4.</w:t>
      </w:r>
      <w:r w:rsidR="00FB1838">
        <w:t>18</w:t>
      </w:r>
      <w:r w:rsidR="0078693A">
        <w:t xml:space="preserve"> a </w:t>
      </w:r>
      <w:r w:rsidR="00A7695F">
        <w:t xml:space="preserve">příklad č. </w:t>
      </w:r>
      <w:r w:rsidR="00FB1838">
        <w:t>8</w:t>
      </w:r>
      <w:r w:rsidR="00A7695F">
        <w:t>)</w:t>
      </w:r>
      <w:r w:rsidR="00C81D50">
        <w:t>.</w:t>
      </w:r>
    </w:p>
    <w:p w14:paraId="03664BBE" w14:textId="7A629C8A" w:rsidR="0078693A" w:rsidRDefault="005334A6" w:rsidP="004C2564">
      <w:pPr>
        <w:pStyle w:val="JK1"/>
        <w:numPr>
          <w:ilvl w:val="0"/>
          <w:numId w:val="13"/>
        </w:numPr>
      </w:pPr>
      <w:r>
        <w:t>V rámci vybraného vzorku projektů GA byl zjištěn případ, kdy genderové audity prováděly osoby, u kterých nebylo možné prokázat</w:t>
      </w:r>
      <w:r w:rsidRPr="005334A6">
        <w:t xml:space="preserve"> splnění </w:t>
      </w:r>
      <w:r>
        <w:t xml:space="preserve">požadovaných </w:t>
      </w:r>
      <w:r w:rsidRPr="005334A6">
        <w:t>kvalifikačních požadavků</w:t>
      </w:r>
      <w:r>
        <w:t xml:space="preserve"> na výkon této činnosti (viz 4.</w:t>
      </w:r>
      <w:r w:rsidR="00FB1838">
        <w:t xml:space="preserve">19 </w:t>
      </w:r>
      <w:r>
        <w:t>a</w:t>
      </w:r>
      <w:r w:rsidR="00FB1838">
        <w:t>ž</w:t>
      </w:r>
      <w:r>
        <w:t xml:space="preserve"> 4.</w:t>
      </w:r>
      <w:r w:rsidR="00FB1838">
        <w:t>20)</w:t>
      </w:r>
      <w:r w:rsidR="00C81D50">
        <w:t>.</w:t>
      </w:r>
    </w:p>
    <w:p w14:paraId="06747B3D" w14:textId="5386432A" w:rsidR="0078693A" w:rsidRDefault="0078693A" w:rsidP="004C2564">
      <w:pPr>
        <w:pStyle w:val="JK1"/>
        <w:numPr>
          <w:ilvl w:val="0"/>
          <w:numId w:val="13"/>
        </w:numPr>
      </w:pPr>
      <w:r>
        <w:t xml:space="preserve">Genderové audity </w:t>
      </w:r>
      <w:r w:rsidR="008D12BA">
        <w:t xml:space="preserve">často </w:t>
      </w:r>
      <w:r>
        <w:t>r</w:t>
      </w:r>
      <w:r w:rsidRPr="00EC174D">
        <w:t>ealiz</w:t>
      </w:r>
      <w:r>
        <w:t>ovali auditoři propojení s</w:t>
      </w:r>
      <w:r w:rsidRPr="00EC174D">
        <w:t xml:space="preserve"> </w:t>
      </w:r>
      <w:r>
        <w:t>auditovanými organizacemi. NKÚ zjistil případy, kdy se stejná</w:t>
      </w:r>
      <w:r w:rsidRPr="00CB353B">
        <w:t xml:space="preserve"> osoba </w:t>
      </w:r>
      <w:r>
        <w:t xml:space="preserve">účastnila auditu, </w:t>
      </w:r>
      <w:r w:rsidR="0023488E">
        <w:t>v</w:t>
      </w:r>
      <w:r w:rsidR="00A57DE6">
        <w:t xml:space="preserve"> </w:t>
      </w:r>
      <w:r w:rsidR="0023488E">
        <w:t>jehož rámci byla provedena</w:t>
      </w:r>
      <w:r>
        <w:t xml:space="preserve"> analýz</w:t>
      </w:r>
      <w:r w:rsidR="0023488E">
        <w:t>a</w:t>
      </w:r>
      <w:r>
        <w:t xml:space="preserve"> fungování příjemce z pohledu genderové rovnosti, </w:t>
      </w:r>
      <w:proofErr w:type="spellStart"/>
      <w:r>
        <w:t>spolu</w:t>
      </w:r>
      <w:r w:rsidRPr="00CB353B">
        <w:t>navrhovala</w:t>
      </w:r>
      <w:proofErr w:type="spellEnd"/>
      <w:r w:rsidRPr="00CB353B">
        <w:t xml:space="preserve"> opatření</w:t>
      </w:r>
      <w:r>
        <w:t xml:space="preserve"> k řešení odhalených nedostatků a slabých míst</w:t>
      </w:r>
      <w:r w:rsidRPr="00CB353B">
        <w:t>, podílela se na činnostech souvisejících s realizací opatření</w:t>
      </w:r>
      <w:r>
        <w:t xml:space="preserve"> vybraných </w:t>
      </w:r>
      <w:r w:rsidR="00BE784F">
        <w:t xml:space="preserve">příjemcem k realizaci </w:t>
      </w:r>
      <w:r>
        <w:t>v rámci projekt</w:t>
      </w:r>
      <w:r w:rsidR="005334A6">
        <w:t>ů</w:t>
      </w:r>
      <w:r>
        <w:t xml:space="preserve"> </w:t>
      </w:r>
      <w:proofErr w:type="gramStart"/>
      <w:r w:rsidR="005334A6">
        <w:t>IGA</w:t>
      </w:r>
      <w:proofErr w:type="gramEnd"/>
      <w:r w:rsidRPr="00CB353B">
        <w:t xml:space="preserve"> a nakonec se </w:t>
      </w:r>
      <w:r>
        <w:t>účastnila</w:t>
      </w:r>
      <w:r w:rsidRPr="00CB353B">
        <w:t xml:space="preserve"> </w:t>
      </w:r>
      <w:r w:rsidR="005D71C5">
        <w:t xml:space="preserve">i </w:t>
      </w:r>
      <w:r w:rsidRPr="00CB353B">
        <w:t xml:space="preserve">hodnocení úspěšnosti projektu, </w:t>
      </w:r>
      <w:r>
        <w:t>do kterého byla zapojena</w:t>
      </w:r>
      <w:r w:rsidR="005334A6">
        <w:t xml:space="preserve"> (viz 4.</w:t>
      </w:r>
      <w:r w:rsidR="00FB1838">
        <w:t>2</w:t>
      </w:r>
      <w:r w:rsidR="005334A6">
        <w:t>1 až 4.</w:t>
      </w:r>
      <w:r w:rsidR="00FB1838">
        <w:t>2</w:t>
      </w:r>
      <w:r w:rsidR="005334A6">
        <w:t>3)</w:t>
      </w:r>
      <w:r w:rsidR="00C81D50">
        <w:t>.</w:t>
      </w:r>
    </w:p>
    <w:p w14:paraId="3DA88404" w14:textId="3254FA9E" w:rsidR="00212C7D" w:rsidRDefault="00212C7D" w:rsidP="004C2564">
      <w:pPr>
        <w:pStyle w:val="JK1"/>
        <w:numPr>
          <w:ilvl w:val="0"/>
          <w:numId w:val="13"/>
        </w:numPr>
      </w:pPr>
      <w:r>
        <w:t xml:space="preserve">MPSV nestanovilo jednoznačné podmínky pro způsobilost výdajů. NKÚ </w:t>
      </w:r>
      <w:r w:rsidR="00BF4C51">
        <w:t>zjistil např. případy</w:t>
      </w:r>
      <w:r>
        <w:t xml:space="preserve">, </w:t>
      </w:r>
      <w:r w:rsidR="00BF4C51">
        <w:t>kdy</w:t>
      </w:r>
      <w:r>
        <w:t xml:space="preserve"> </w:t>
      </w:r>
      <w:r w:rsidRPr="001A3416">
        <w:t>MPSV akceptov</w:t>
      </w:r>
      <w:r>
        <w:t>alo jako způsobilé projektové aktivity i taková školení,</w:t>
      </w:r>
      <w:r w:rsidRPr="001A3416">
        <w:t xml:space="preserve"> která ne</w:t>
      </w:r>
      <w:r>
        <w:t>byla</w:t>
      </w:r>
      <w:r w:rsidRPr="001A3416">
        <w:t xml:space="preserve"> pro cílovou skupinu zaměstnanců potřebná a využitelná</w:t>
      </w:r>
      <w:r w:rsidR="00BF4C51">
        <w:t xml:space="preserve">. </w:t>
      </w:r>
      <w:r w:rsidR="00FD2C06">
        <w:t>P</w:t>
      </w:r>
      <w:r>
        <w:t xml:space="preserve">eněžní </w:t>
      </w:r>
      <w:r w:rsidRPr="001A3416">
        <w:t xml:space="preserve">prostředky </w:t>
      </w:r>
      <w:r>
        <w:t>použité k jejich úhradě</w:t>
      </w:r>
      <w:r w:rsidRPr="001A3416">
        <w:t xml:space="preserve"> </w:t>
      </w:r>
      <w:r w:rsidR="00FD2C06">
        <w:t xml:space="preserve">nelze </w:t>
      </w:r>
      <w:r w:rsidRPr="001A3416">
        <w:t>hodnotit jako účeln</w:t>
      </w:r>
      <w:r>
        <w:t>ě vynaložené</w:t>
      </w:r>
      <w:r w:rsidR="00BF4C51">
        <w:t xml:space="preserve"> </w:t>
      </w:r>
      <w:r>
        <w:t>(viz 4.24 až 4.27)</w:t>
      </w:r>
      <w:r w:rsidR="00C81D50">
        <w:t>.</w:t>
      </w:r>
    </w:p>
    <w:p w14:paraId="04DD516B" w14:textId="33CE7718" w:rsidR="00D46E94" w:rsidRDefault="00985BCF" w:rsidP="00D46E94">
      <w:pPr>
        <w:pStyle w:val="JK1"/>
        <w:numPr>
          <w:ilvl w:val="0"/>
          <w:numId w:val="13"/>
        </w:numPr>
      </w:pPr>
      <w:r>
        <w:t xml:space="preserve">Pravidla nastavená </w:t>
      </w:r>
      <w:r w:rsidR="002264B2">
        <w:t xml:space="preserve">Ministerstvem práce a sociálních věcí </w:t>
      </w:r>
      <w:r>
        <w:t xml:space="preserve">umožňovala, </w:t>
      </w:r>
      <w:r w:rsidR="000E2EDA">
        <w:t>aby</w:t>
      </w:r>
      <w:r>
        <w:t xml:space="preserve"> příjemci v</w:t>
      </w:r>
      <w:r w:rsidR="00E82215" w:rsidRPr="00E82215">
        <w:t xml:space="preserve"> řadě případů nevedli záznamy o rozsahu a kvalitě vykonaných prací</w:t>
      </w:r>
      <w:r w:rsidR="00BF4C51">
        <w:t>.</w:t>
      </w:r>
      <w:r w:rsidR="00B7526C">
        <w:t xml:space="preserve"> </w:t>
      </w:r>
      <w:r w:rsidR="00AF35E5">
        <w:t>Z důvodu absence těchto informací není možné provádět hodnocení hospodárnosti vynaložených peněžních prostředků poskytnutých z veřejných zdrojů na realizaci</w:t>
      </w:r>
      <w:r w:rsidR="00B7526C">
        <w:t xml:space="preserve"> </w:t>
      </w:r>
      <w:r w:rsidR="007D2250">
        <w:t xml:space="preserve">těchto prací </w:t>
      </w:r>
      <w:r w:rsidR="00B7526C">
        <w:t>(viz 4.</w:t>
      </w:r>
      <w:r w:rsidR="00DA620B">
        <w:t>2</w:t>
      </w:r>
      <w:r w:rsidR="00FB1838">
        <w:t>8</w:t>
      </w:r>
      <w:r w:rsidR="00B7526C">
        <w:t xml:space="preserve"> až 4.</w:t>
      </w:r>
      <w:r w:rsidR="00DA620B">
        <w:t>3</w:t>
      </w:r>
      <w:r w:rsidR="00FB1838">
        <w:t>0</w:t>
      </w:r>
      <w:r w:rsidR="00B7526C">
        <w:t>)</w:t>
      </w:r>
      <w:r w:rsidR="007D2250">
        <w:t>.</w:t>
      </w:r>
    </w:p>
    <w:p w14:paraId="39891FAF" w14:textId="1F4A4F3B" w:rsidR="00232084" w:rsidRDefault="00232084" w:rsidP="00232084">
      <w:pPr>
        <w:pStyle w:val="JK1"/>
        <w:numPr>
          <w:ilvl w:val="0"/>
          <w:numId w:val="13"/>
        </w:numPr>
      </w:pPr>
      <w:r>
        <w:t>M</w:t>
      </w:r>
      <w:r w:rsidRPr="00232084">
        <w:t xml:space="preserve">PSV nenastavilo specifické indikátory k vyhodnocení výsledků </w:t>
      </w:r>
      <w:r>
        <w:t xml:space="preserve">a </w:t>
      </w:r>
      <w:r w:rsidR="007D2250" w:rsidRPr="00232084">
        <w:t xml:space="preserve">nemonitorovalo </w:t>
      </w:r>
      <w:r w:rsidRPr="00232084">
        <w:t>systematicky</w:t>
      </w:r>
      <w:r w:rsidR="007D2250">
        <w:t>,</w:t>
      </w:r>
      <w:r w:rsidRPr="00232084">
        <w:t xml:space="preserve"> </w:t>
      </w:r>
      <w:r w:rsidR="007D2250">
        <w:t>jaký je vliv poskytnutých prostředků na vývoj</w:t>
      </w:r>
      <w:r w:rsidRPr="00232084">
        <w:t xml:space="preserve"> v </w:t>
      </w:r>
      <w:r w:rsidR="00036625" w:rsidRPr="00232084">
        <w:t>oblast</w:t>
      </w:r>
      <w:r w:rsidR="00036625">
        <w:t>ech</w:t>
      </w:r>
      <w:r w:rsidRPr="00232084">
        <w:t xml:space="preserve"> rovného odměňování, snižování horizontální nebo vertikální segregace žen a mužů na pracovních pozicích nebo snižování rizika obtěžování na pracovištích. </w:t>
      </w:r>
      <w:r>
        <w:t xml:space="preserve">Uvedené skutečnosti zamýšlí MPSV hodnotit prostřednictvím evaluace, přičemž za jejího realizátora vybralo příjemce, jehož projekt je </w:t>
      </w:r>
      <w:r w:rsidR="00823ABC">
        <w:t xml:space="preserve">uveden výše </w:t>
      </w:r>
      <w:r>
        <w:t>v</w:t>
      </w:r>
      <w:r w:rsidR="007D2250">
        <w:t xml:space="preserve"> </w:t>
      </w:r>
      <w:r>
        <w:t xml:space="preserve">písm. </w:t>
      </w:r>
      <w:r w:rsidR="003A39D3" w:rsidRPr="00723F33">
        <w:t>f</w:t>
      </w:r>
      <w:r>
        <w:t>) (viz 4.3</w:t>
      </w:r>
      <w:r w:rsidR="00FB1838">
        <w:t>1</w:t>
      </w:r>
      <w:r>
        <w:t xml:space="preserve"> a</w:t>
      </w:r>
      <w:r w:rsidR="007D2250">
        <w:t> </w:t>
      </w:r>
      <w:r>
        <w:t>4.3</w:t>
      </w:r>
      <w:r w:rsidR="00FB1838">
        <w:t>2</w:t>
      </w:r>
      <w:r>
        <w:t>).</w:t>
      </w:r>
    </w:p>
    <w:p w14:paraId="5C913DAF" w14:textId="77777777" w:rsidR="00AF35E5" w:rsidRDefault="00AF35E5" w:rsidP="00B06761">
      <w:pPr>
        <w:pStyle w:val="JK1"/>
        <w:numPr>
          <w:ilvl w:val="0"/>
          <w:numId w:val="0"/>
        </w:numPr>
        <w:ind w:left="720" w:hanging="360"/>
      </w:pPr>
    </w:p>
    <w:p w14:paraId="4AF85CDB" w14:textId="77777777" w:rsidR="00A5355B" w:rsidRDefault="00A5355B" w:rsidP="00A5355B">
      <w:pPr>
        <w:pStyle w:val="JK1"/>
        <w:numPr>
          <w:ilvl w:val="0"/>
          <w:numId w:val="0"/>
        </w:numPr>
        <w:ind w:left="1080"/>
      </w:pPr>
    </w:p>
    <w:p w14:paraId="350F282F" w14:textId="77777777" w:rsidR="006A6BA0" w:rsidRPr="00232EB7" w:rsidRDefault="006A6BA0" w:rsidP="005D4738">
      <w:pPr>
        <w:pStyle w:val="Nadpismsk"/>
        <w:keepNext/>
      </w:pPr>
      <w:r w:rsidRPr="00232EB7">
        <w:t>Informace o kontrolované oblasti</w:t>
      </w:r>
    </w:p>
    <w:p w14:paraId="218558C2" w14:textId="04B69379" w:rsidR="00473BB6" w:rsidRDefault="00E51D68" w:rsidP="0064714D">
      <w:pPr>
        <w:pStyle w:val="JK2"/>
        <w:tabs>
          <w:tab w:val="clear" w:pos="567"/>
          <w:tab w:val="left" w:pos="426"/>
        </w:tabs>
      </w:pPr>
      <w:r>
        <w:t xml:space="preserve">Dle </w:t>
      </w:r>
      <w:r w:rsidR="0043044D">
        <w:t>údajů z</w:t>
      </w:r>
      <w:r>
        <w:t xml:space="preserve"> </w:t>
      </w:r>
      <w:proofErr w:type="spellStart"/>
      <w:r w:rsidRPr="000609E4">
        <w:rPr>
          <w:i/>
        </w:rPr>
        <w:t>Global</w:t>
      </w:r>
      <w:proofErr w:type="spellEnd"/>
      <w:r w:rsidRPr="000609E4">
        <w:rPr>
          <w:i/>
        </w:rPr>
        <w:t xml:space="preserve"> Gender Gap Report 2022</w:t>
      </w:r>
      <w:r w:rsidR="00036625">
        <w:rPr>
          <w:rStyle w:val="Znakapoznpodarou"/>
        </w:rPr>
        <w:footnoteReference w:id="5"/>
      </w:r>
      <w:r>
        <w:t xml:space="preserve"> v</w:t>
      </w:r>
      <w:r w:rsidR="00473BB6" w:rsidRPr="00473BB6">
        <w:t> ČR i přes řadu legislativních i</w:t>
      </w:r>
      <w:r w:rsidR="00A62C7D">
        <w:t> </w:t>
      </w:r>
      <w:r w:rsidR="00473BB6" w:rsidRPr="00473BB6">
        <w:t xml:space="preserve">nelegislativních opatření </w:t>
      </w:r>
      <w:r w:rsidR="00C25F33" w:rsidRPr="00473BB6">
        <w:t xml:space="preserve">přetrvávají </w:t>
      </w:r>
      <w:r w:rsidR="00473BB6" w:rsidRPr="00473BB6">
        <w:t xml:space="preserve">genderové nerovnosti, které zasahují do všech oblastí společenského života. </w:t>
      </w:r>
      <w:r>
        <w:t xml:space="preserve">ČR obsadila </w:t>
      </w:r>
      <w:r w:rsidR="00037D8A">
        <w:t>v tomto</w:t>
      </w:r>
      <w:r>
        <w:t xml:space="preserve"> srovnání </w:t>
      </w:r>
      <w:r w:rsidR="00037D8A">
        <w:t xml:space="preserve">v </w:t>
      </w:r>
      <w:r w:rsidR="00224CBB">
        <w:t>segmentu</w:t>
      </w:r>
      <w:r>
        <w:t xml:space="preserve"> evropských zemí celkové </w:t>
      </w:r>
      <w:r w:rsidR="005E4CA2">
        <w:br/>
      </w:r>
      <w:r>
        <w:t>29.</w:t>
      </w:r>
      <w:r w:rsidR="005E4CA2">
        <w:t xml:space="preserve"> </w:t>
      </w:r>
      <w:r>
        <w:t>místo z</w:t>
      </w:r>
      <w:r w:rsidR="005E4CA2">
        <w:t xml:space="preserve"> </w:t>
      </w:r>
      <w:r>
        <w:t>35 sledovaných zemí.</w:t>
      </w:r>
      <w:r w:rsidR="00AF23C7">
        <w:t xml:space="preserve"> </w:t>
      </w:r>
      <w:r w:rsidR="00A70FDB">
        <w:t xml:space="preserve">Vývoj </w:t>
      </w:r>
      <w:r w:rsidR="00473BB6" w:rsidRPr="00473BB6">
        <w:t>postavení ČR v </w:t>
      </w:r>
      <w:r w:rsidR="00C81F5F">
        <w:t xml:space="preserve">globálním měřítku </w:t>
      </w:r>
      <w:r w:rsidR="00473BB6" w:rsidRPr="00473BB6">
        <w:t>v některých sledovaných oblastech genderové nerovnosti v</w:t>
      </w:r>
      <w:r w:rsidR="00A70FDB">
        <w:t> </w:t>
      </w:r>
      <w:r w:rsidR="00473BB6" w:rsidRPr="00473BB6">
        <w:t>čase</w:t>
      </w:r>
      <w:r w:rsidR="00A70FDB">
        <w:t xml:space="preserve"> obsahuje tabulka č. 1</w:t>
      </w:r>
      <w:r w:rsidR="00473BB6" w:rsidRPr="00473BB6">
        <w:t>.</w:t>
      </w:r>
      <w:r w:rsidR="001B116A">
        <w:t xml:space="preserve"> </w:t>
      </w:r>
      <w:r w:rsidR="00C81F5F" w:rsidRPr="00C81F5F">
        <w:t>Z</w:t>
      </w:r>
      <w:r w:rsidR="00C81F5F">
        <w:t>e srovnání</w:t>
      </w:r>
      <w:r w:rsidR="00C81F5F" w:rsidRPr="00C81F5F">
        <w:t xml:space="preserve"> mj. vyplývá, že v ČR </w:t>
      </w:r>
      <w:r w:rsidR="00037D8A">
        <w:t xml:space="preserve">dlouhodobě </w:t>
      </w:r>
      <w:r w:rsidR="00C81F5F" w:rsidRPr="00C81F5F">
        <w:t xml:space="preserve">existuje významná nerovnost </w:t>
      </w:r>
      <w:r w:rsidR="00665836">
        <w:t xml:space="preserve">na trhu práce spočívající </w:t>
      </w:r>
      <w:r w:rsidR="00C81F5F" w:rsidRPr="00C81F5F">
        <w:t>v</w:t>
      </w:r>
      <w:r w:rsidR="00665836">
        <w:t> rozdílech v </w:t>
      </w:r>
      <w:r w:rsidR="00C81F5F" w:rsidRPr="00C81F5F">
        <w:t>odměňování mužů a žen za stejnou práci.</w:t>
      </w:r>
      <w:r w:rsidR="00C81F5F">
        <w:t xml:space="preserve"> </w:t>
      </w:r>
    </w:p>
    <w:p w14:paraId="13AAE179" w14:textId="77777777" w:rsidR="00473BB6" w:rsidRPr="00727D31" w:rsidRDefault="00473BB6" w:rsidP="00473BB6">
      <w:pPr>
        <w:keepNext/>
        <w:tabs>
          <w:tab w:val="right" w:pos="9072"/>
        </w:tabs>
        <w:spacing w:after="40" w:line="240" w:lineRule="auto"/>
        <w:jc w:val="both"/>
        <w:rPr>
          <w:rFonts w:ascii="Calibri" w:hAnsi="Calibri" w:cs="Calibri"/>
          <w:b/>
          <w:color w:val="000000" w:themeColor="text1"/>
          <w:sz w:val="24"/>
          <w:szCs w:val="24"/>
        </w:rPr>
      </w:pPr>
      <w:r w:rsidRPr="00727D31">
        <w:rPr>
          <w:rFonts w:ascii="Calibri" w:hAnsi="Calibri" w:cs="Calibri"/>
          <w:b/>
          <w:color w:val="000000" w:themeColor="text1"/>
          <w:sz w:val="24"/>
          <w:szCs w:val="24"/>
        </w:rPr>
        <w:t xml:space="preserve">Tabulka č. </w:t>
      </w:r>
      <w:r>
        <w:rPr>
          <w:rFonts w:ascii="Calibri" w:hAnsi="Calibri" w:cs="Calibri"/>
          <w:b/>
          <w:color w:val="000000" w:themeColor="text1"/>
          <w:sz w:val="24"/>
          <w:szCs w:val="24"/>
        </w:rPr>
        <w:t>1</w:t>
      </w:r>
      <w:r w:rsidRPr="00727D31">
        <w:rPr>
          <w:rFonts w:ascii="Calibri" w:hAnsi="Calibri" w:cs="Calibri"/>
          <w:b/>
          <w:color w:val="000000" w:themeColor="text1"/>
          <w:sz w:val="24"/>
          <w:szCs w:val="24"/>
        </w:rPr>
        <w:t xml:space="preserve">: Vybrané ukazatele </w:t>
      </w:r>
      <w:proofErr w:type="spellStart"/>
      <w:r w:rsidRPr="000609E4">
        <w:rPr>
          <w:rFonts w:ascii="Calibri" w:hAnsi="Calibri" w:cs="Calibri"/>
          <w:b/>
          <w:color w:val="000000" w:themeColor="text1"/>
          <w:sz w:val="24"/>
          <w:szCs w:val="24"/>
        </w:rPr>
        <w:t>Global</w:t>
      </w:r>
      <w:proofErr w:type="spellEnd"/>
      <w:r w:rsidRPr="000609E4">
        <w:rPr>
          <w:rFonts w:ascii="Calibri" w:hAnsi="Calibri" w:cs="Calibri"/>
          <w:b/>
          <w:color w:val="000000" w:themeColor="text1"/>
          <w:sz w:val="24"/>
          <w:szCs w:val="24"/>
        </w:rPr>
        <w:t xml:space="preserve"> Gender Gap Report</w:t>
      </w:r>
      <w:r w:rsidRPr="00727D31">
        <w:rPr>
          <w:rFonts w:ascii="Calibri" w:hAnsi="Calibri" w:cs="Calibri"/>
          <w:b/>
          <w:color w:val="000000" w:themeColor="text1"/>
          <w:sz w:val="24"/>
          <w:szCs w:val="24"/>
        </w:rPr>
        <w:t xml:space="preserve"> </w:t>
      </w:r>
      <w:r w:rsidR="006D1942">
        <w:rPr>
          <w:rFonts w:ascii="Calibri" w:hAnsi="Calibri" w:cs="Calibri"/>
          <w:b/>
          <w:color w:val="000000" w:themeColor="text1"/>
          <w:sz w:val="24"/>
          <w:szCs w:val="24"/>
        </w:rPr>
        <w:t>za</w:t>
      </w:r>
      <w:r w:rsidRPr="00727D31">
        <w:rPr>
          <w:rFonts w:ascii="Calibri" w:hAnsi="Calibri" w:cs="Calibri"/>
          <w:b/>
          <w:color w:val="000000" w:themeColor="text1"/>
          <w:sz w:val="24"/>
          <w:szCs w:val="24"/>
        </w:rPr>
        <w:t xml:space="preserve"> ČR </w:t>
      </w:r>
      <w:r w:rsidR="006D1942">
        <w:rPr>
          <w:rFonts w:ascii="Calibri" w:hAnsi="Calibri" w:cs="Calibri"/>
          <w:b/>
          <w:color w:val="000000" w:themeColor="text1"/>
          <w:sz w:val="24"/>
          <w:szCs w:val="24"/>
        </w:rPr>
        <w:t>v letech</w:t>
      </w:r>
      <w:r w:rsidRPr="00727D31">
        <w:rPr>
          <w:rFonts w:ascii="Calibri" w:hAnsi="Calibri" w:cs="Calibri"/>
          <w:b/>
          <w:color w:val="000000" w:themeColor="text1"/>
          <w:sz w:val="24"/>
          <w:szCs w:val="24"/>
        </w:rPr>
        <w:t xml:space="preserve"> 2014, 2020 a 2022</w:t>
      </w:r>
    </w:p>
    <w:tbl>
      <w:tblPr>
        <w:tblW w:w="0" w:type="auto"/>
        <w:tblCellMar>
          <w:left w:w="70" w:type="dxa"/>
          <w:right w:w="70" w:type="dxa"/>
        </w:tblCellMar>
        <w:tblLook w:val="04A0" w:firstRow="1" w:lastRow="0" w:firstColumn="1" w:lastColumn="0" w:noHBand="0" w:noVBand="1"/>
      </w:tblPr>
      <w:tblGrid>
        <w:gridCol w:w="2701"/>
        <w:gridCol w:w="681"/>
        <w:gridCol w:w="1413"/>
        <w:gridCol w:w="707"/>
        <w:gridCol w:w="1467"/>
        <w:gridCol w:w="681"/>
        <w:gridCol w:w="1402"/>
      </w:tblGrid>
      <w:tr w:rsidR="006D1942" w:rsidRPr="00605DCA" w14:paraId="131CED04" w14:textId="77777777" w:rsidTr="00021C8B">
        <w:trPr>
          <w:trHeight w:val="304"/>
          <w:tblHeader/>
        </w:trPr>
        <w:tc>
          <w:tcPr>
            <w:tcW w:w="2702" w:type="dxa"/>
            <w:vMerge w:val="restart"/>
            <w:tcBorders>
              <w:top w:val="single" w:sz="8" w:space="0" w:color="auto"/>
              <w:left w:val="single" w:sz="8" w:space="0" w:color="auto"/>
              <w:bottom w:val="single" w:sz="8" w:space="0" w:color="000000"/>
              <w:right w:val="single" w:sz="8" w:space="0" w:color="auto"/>
            </w:tcBorders>
            <w:shd w:val="clear" w:color="auto" w:fill="E5F1FF"/>
            <w:noWrap/>
            <w:vAlign w:val="center"/>
            <w:hideMark/>
          </w:tcPr>
          <w:p w14:paraId="1D988E04" w14:textId="77777777" w:rsidR="00473BB6" w:rsidRPr="00605DCA" w:rsidRDefault="00473BB6"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Ukazatel</w:t>
            </w:r>
          </w:p>
        </w:tc>
        <w:tc>
          <w:tcPr>
            <w:tcW w:w="2093" w:type="dxa"/>
            <w:gridSpan w:val="2"/>
            <w:tcBorders>
              <w:top w:val="single" w:sz="8" w:space="0" w:color="auto"/>
              <w:left w:val="nil"/>
              <w:bottom w:val="single" w:sz="4" w:space="0" w:color="auto"/>
              <w:right w:val="single" w:sz="4" w:space="0" w:color="000000"/>
            </w:tcBorders>
            <w:shd w:val="clear" w:color="auto" w:fill="E5F1FF"/>
            <w:noWrap/>
            <w:vAlign w:val="center"/>
            <w:hideMark/>
          </w:tcPr>
          <w:p w14:paraId="008CE5A1" w14:textId="77777777" w:rsidR="00473BB6" w:rsidRPr="00605DCA" w:rsidRDefault="00473BB6" w:rsidP="00021C8B">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2014</w:t>
            </w:r>
          </w:p>
        </w:tc>
        <w:tc>
          <w:tcPr>
            <w:tcW w:w="2175" w:type="dxa"/>
            <w:gridSpan w:val="2"/>
            <w:tcBorders>
              <w:top w:val="single" w:sz="8" w:space="0" w:color="auto"/>
              <w:left w:val="nil"/>
              <w:bottom w:val="single" w:sz="4" w:space="0" w:color="auto"/>
              <w:right w:val="single" w:sz="4" w:space="0" w:color="000000"/>
            </w:tcBorders>
            <w:shd w:val="clear" w:color="auto" w:fill="E5F1FF"/>
            <w:noWrap/>
            <w:vAlign w:val="center"/>
            <w:hideMark/>
          </w:tcPr>
          <w:p w14:paraId="3852117A" w14:textId="77777777" w:rsidR="00473BB6" w:rsidRPr="00605DCA" w:rsidRDefault="00473BB6" w:rsidP="00021C8B">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2020</w:t>
            </w:r>
          </w:p>
        </w:tc>
        <w:tc>
          <w:tcPr>
            <w:tcW w:w="2082" w:type="dxa"/>
            <w:gridSpan w:val="2"/>
            <w:tcBorders>
              <w:top w:val="single" w:sz="8" w:space="0" w:color="auto"/>
              <w:left w:val="nil"/>
              <w:bottom w:val="single" w:sz="4" w:space="0" w:color="auto"/>
              <w:right w:val="single" w:sz="8" w:space="0" w:color="000000"/>
            </w:tcBorders>
            <w:shd w:val="clear" w:color="auto" w:fill="E5F1FF"/>
            <w:noWrap/>
            <w:vAlign w:val="center"/>
            <w:hideMark/>
          </w:tcPr>
          <w:p w14:paraId="3F7553CE" w14:textId="77777777" w:rsidR="00473BB6" w:rsidRPr="00605DCA" w:rsidRDefault="00473BB6" w:rsidP="00021C8B">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2022</w:t>
            </w:r>
          </w:p>
        </w:tc>
      </w:tr>
      <w:tr w:rsidR="00736536" w:rsidRPr="00605DCA" w14:paraId="76AA303C" w14:textId="77777777" w:rsidTr="00382D13">
        <w:trPr>
          <w:trHeight w:val="319"/>
          <w:tblHeader/>
        </w:trPr>
        <w:tc>
          <w:tcPr>
            <w:tcW w:w="2702" w:type="dxa"/>
            <w:vMerge/>
            <w:tcBorders>
              <w:top w:val="single" w:sz="8" w:space="0" w:color="auto"/>
              <w:left w:val="single" w:sz="8" w:space="0" w:color="auto"/>
              <w:bottom w:val="single" w:sz="8" w:space="0" w:color="000000"/>
              <w:right w:val="single" w:sz="8" w:space="0" w:color="auto"/>
            </w:tcBorders>
            <w:shd w:val="clear" w:color="auto" w:fill="E5F1FF"/>
            <w:vAlign w:val="center"/>
            <w:hideMark/>
          </w:tcPr>
          <w:p w14:paraId="57BD6A80" w14:textId="77777777" w:rsidR="00473BB6" w:rsidRPr="00605DCA" w:rsidRDefault="00473BB6" w:rsidP="00382D13">
            <w:pPr>
              <w:keepNext/>
              <w:keepLines/>
              <w:spacing w:after="0" w:line="240" w:lineRule="auto"/>
              <w:rPr>
                <w:rFonts w:ascii="Calibri" w:eastAsia="Times New Roman" w:hAnsi="Calibri" w:cs="Calibri"/>
                <w:b/>
                <w:bCs/>
                <w:color w:val="000000"/>
                <w:sz w:val="20"/>
                <w:szCs w:val="20"/>
                <w:lang w:eastAsia="cs-CZ"/>
              </w:rPr>
            </w:pPr>
          </w:p>
        </w:tc>
        <w:tc>
          <w:tcPr>
            <w:tcW w:w="679" w:type="dxa"/>
            <w:tcBorders>
              <w:top w:val="nil"/>
              <w:left w:val="nil"/>
              <w:bottom w:val="single" w:sz="8" w:space="0" w:color="auto"/>
              <w:right w:val="single" w:sz="4" w:space="0" w:color="auto"/>
            </w:tcBorders>
            <w:shd w:val="clear" w:color="auto" w:fill="E5F1FF"/>
            <w:noWrap/>
            <w:vAlign w:val="center"/>
            <w:hideMark/>
          </w:tcPr>
          <w:p w14:paraId="18AB853F" w14:textId="77777777" w:rsidR="00473BB6" w:rsidRPr="00605DCA" w:rsidRDefault="00473BB6"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Pořadí</w:t>
            </w:r>
            <w:r w:rsidR="006D1942" w:rsidRPr="00605DCA">
              <w:rPr>
                <w:rFonts w:ascii="Calibri" w:eastAsia="Times New Roman" w:hAnsi="Calibri" w:cs="Calibri"/>
                <w:b/>
                <w:bCs/>
                <w:color w:val="000000"/>
                <w:sz w:val="20"/>
                <w:szCs w:val="20"/>
                <w:lang w:eastAsia="cs-CZ"/>
              </w:rPr>
              <w:t xml:space="preserve"> ČR</w:t>
            </w:r>
          </w:p>
        </w:tc>
        <w:tc>
          <w:tcPr>
            <w:tcW w:w="1414" w:type="dxa"/>
            <w:tcBorders>
              <w:top w:val="nil"/>
              <w:left w:val="nil"/>
              <w:bottom w:val="single" w:sz="8" w:space="0" w:color="auto"/>
              <w:right w:val="single" w:sz="4" w:space="0" w:color="auto"/>
            </w:tcBorders>
            <w:shd w:val="clear" w:color="auto" w:fill="E5F1FF"/>
            <w:noWrap/>
            <w:vAlign w:val="center"/>
            <w:hideMark/>
          </w:tcPr>
          <w:p w14:paraId="07238613" w14:textId="77777777" w:rsidR="00473BB6" w:rsidRPr="00605DCA" w:rsidRDefault="001B116A"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Celkový počet hodnocených zemí</w:t>
            </w:r>
          </w:p>
        </w:tc>
        <w:tc>
          <w:tcPr>
            <w:tcW w:w="707" w:type="dxa"/>
            <w:tcBorders>
              <w:top w:val="nil"/>
              <w:left w:val="nil"/>
              <w:bottom w:val="single" w:sz="8" w:space="0" w:color="auto"/>
              <w:right w:val="single" w:sz="4" w:space="0" w:color="auto"/>
            </w:tcBorders>
            <w:shd w:val="clear" w:color="auto" w:fill="E5F1FF"/>
            <w:noWrap/>
            <w:vAlign w:val="center"/>
            <w:hideMark/>
          </w:tcPr>
          <w:p w14:paraId="78DB459D" w14:textId="77777777" w:rsidR="00473BB6" w:rsidRPr="00605DCA" w:rsidRDefault="00473BB6"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Pořadí</w:t>
            </w:r>
            <w:r w:rsidR="006D1942" w:rsidRPr="00605DCA">
              <w:rPr>
                <w:rFonts w:ascii="Calibri" w:eastAsia="Times New Roman" w:hAnsi="Calibri" w:cs="Calibri"/>
                <w:b/>
                <w:bCs/>
                <w:color w:val="000000"/>
                <w:sz w:val="20"/>
                <w:szCs w:val="20"/>
                <w:lang w:eastAsia="cs-CZ"/>
              </w:rPr>
              <w:t xml:space="preserve"> </w:t>
            </w:r>
            <w:r w:rsidR="00736536">
              <w:rPr>
                <w:rFonts w:ascii="Calibri" w:eastAsia="Times New Roman" w:hAnsi="Calibri" w:cs="Calibri"/>
                <w:b/>
                <w:bCs/>
                <w:color w:val="000000"/>
                <w:sz w:val="20"/>
                <w:szCs w:val="20"/>
                <w:lang w:eastAsia="cs-CZ"/>
              </w:rPr>
              <w:t>ČR</w:t>
            </w:r>
          </w:p>
        </w:tc>
        <w:tc>
          <w:tcPr>
            <w:tcW w:w="1468" w:type="dxa"/>
            <w:tcBorders>
              <w:top w:val="nil"/>
              <w:left w:val="nil"/>
              <w:bottom w:val="single" w:sz="8" w:space="0" w:color="auto"/>
              <w:right w:val="single" w:sz="4" w:space="0" w:color="auto"/>
            </w:tcBorders>
            <w:shd w:val="clear" w:color="auto" w:fill="E5F1FF"/>
            <w:noWrap/>
            <w:vAlign w:val="center"/>
            <w:hideMark/>
          </w:tcPr>
          <w:p w14:paraId="0F0A9984" w14:textId="77777777" w:rsidR="00473BB6" w:rsidRPr="00605DCA" w:rsidRDefault="001B116A"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Celkový počet hodnocených zemí</w:t>
            </w:r>
          </w:p>
        </w:tc>
        <w:tc>
          <w:tcPr>
            <w:tcW w:w="679" w:type="dxa"/>
            <w:tcBorders>
              <w:top w:val="nil"/>
              <w:left w:val="nil"/>
              <w:bottom w:val="single" w:sz="8" w:space="0" w:color="auto"/>
              <w:right w:val="single" w:sz="4" w:space="0" w:color="auto"/>
            </w:tcBorders>
            <w:shd w:val="clear" w:color="auto" w:fill="E5F1FF"/>
            <w:noWrap/>
            <w:vAlign w:val="center"/>
            <w:hideMark/>
          </w:tcPr>
          <w:p w14:paraId="24B00BA3" w14:textId="77777777" w:rsidR="00473BB6" w:rsidRPr="00605DCA" w:rsidRDefault="00473BB6"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Pořadí</w:t>
            </w:r>
            <w:r w:rsidR="001B116A" w:rsidRPr="00605DCA">
              <w:rPr>
                <w:rFonts w:ascii="Calibri" w:eastAsia="Times New Roman" w:hAnsi="Calibri" w:cs="Calibri"/>
                <w:b/>
                <w:bCs/>
                <w:color w:val="000000"/>
                <w:sz w:val="20"/>
                <w:szCs w:val="20"/>
                <w:lang w:eastAsia="cs-CZ"/>
              </w:rPr>
              <w:t xml:space="preserve"> ČR</w:t>
            </w:r>
          </w:p>
        </w:tc>
        <w:tc>
          <w:tcPr>
            <w:tcW w:w="1403" w:type="dxa"/>
            <w:tcBorders>
              <w:top w:val="nil"/>
              <w:left w:val="nil"/>
              <w:bottom w:val="single" w:sz="8" w:space="0" w:color="auto"/>
              <w:right w:val="single" w:sz="8" w:space="0" w:color="auto"/>
            </w:tcBorders>
            <w:shd w:val="clear" w:color="auto" w:fill="E5F1FF"/>
            <w:noWrap/>
            <w:vAlign w:val="center"/>
          </w:tcPr>
          <w:p w14:paraId="10BB25EA" w14:textId="77777777" w:rsidR="00473BB6" w:rsidRPr="00605DCA" w:rsidRDefault="001B116A" w:rsidP="00382D13">
            <w:pPr>
              <w:keepNext/>
              <w:keepLines/>
              <w:spacing w:after="0" w:line="240" w:lineRule="auto"/>
              <w:jc w:val="center"/>
              <w:rPr>
                <w:rFonts w:ascii="Calibri" w:eastAsia="Times New Roman" w:hAnsi="Calibri" w:cs="Calibri"/>
                <w:b/>
                <w:bCs/>
                <w:color w:val="000000"/>
                <w:sz w:val="20"/>
                <w:szCs w:val="20"/>
                <w:lang w:eastAsia="cs-CZ"/>
              </w:rPr>
            </w:pPr>
            <w:r w:rsidRPr="00605DCA">
              <w:rPr>
                <w:rFonts w:ascii="Calibri" w:eastAsia="Times New Roman" w:hAnsi="Calibri" w:cs="Calibri"/>
                <w:b/>
                <w:bCs/>
                <w:color w:val="000000"/>
                <w:sz w:val="20"/>
                <w:szCs w:val="20"/>
                <w:lang w:eastAsia="cs-CZ"/>
              </w:rPr>
              <w:t>Celkový počet hodnocených zemí</w:t>
            </w:r>
          </w:p>
        </w:tc>
      </w:tr>
      <w:tr w:rsidR="00736536" w:rsidRPr="00605DCA" w14:paraId="67527478" w14:textId="77777777" w:rsidTr="00736536">
        <w:trPr>
          <w:trHeight w:val="304"/>
        </w:trPr>
        <w:tc>
          <w:tcPr>
            <w:tcW w:w="2702" w:type="dxa"/>
            <w:tcBorders>
              <w:top w:val="nil"/>
              <w:left w:val="single" w:sz="8" w:space="0" w:color="auto"/>
              <w:bottom w:val="nil"/>
              <w:right w:val="single" w:sz="8" w:space="0" w:color="auto"/>
            </w:tcBorders>
            <w:shd w:val="clear" w:color="auto" w:fill="auto"/>
            <w:noWrap/>
            <w:vAlign w:val="center"/>
            <w:hideMark/>
          </w:tcPr>
          <w:p w14:paraId="7A0970C5"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Celkové srovnání</w:t>
            </w:r>
            <w:r w:rsidRPr="00605DCA">
              <w:rPr>
                <w:rStyle w:val="Znakapoznpodarou"/>
                <w:rFonts w:ascii="Calibri" w:eastAsia="Times New Roman" w:hAnsi="Calibri" w:cs="Calibri"/>
                <w:color w:val="000000"/>
                <w:sz w:val="20"/>
                <w:szCs w:val="20"/>
                <w:lang w:eastAsia="cs-CZ"/>
              </w:rPr>
              <w:footnoteReference w:id="6"/>
            </w:r>
          </w:p>
        </w:tc>
        <w:tc>
          <w:tcPr>
            <w:tcW w:w="679" w:type="dxa"/>
            <w:tcBorders>
              <w:top w:val="nil"/>
              <w:left w:val="nil"/>
              <w:bottom w:val="nil"/>
              <w:right w:val="single" w:sz="4" w:space="0" w:color="auto"/>
            </w:tcBorders>
            <w:shd w:val="clear" w:color="auto" w:fill="auto"/>
            <w:noWrap/>
            <w:vAlign w:val="center"/>
            <w:hideMark/>
          </w:tcPr>
          <w:p w14:paraId="573822E3"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96</w:t>
            </w:r>
            <w:r w:rsidR="00A94365" w:rsidRPr="00605DCA">
              <w:rPr>
                <w:rFonts w:ascii="Calibri" w:eastAsia="Times New Roman" w:hAnsi="Calibri" w:cs="Calibri"/>
                <w:color w:val="000000"/>
                <w:sz w:val="20"/>
                <w:szCs w:val="20"/>
                <w:lang w:eastAsia="cs-CZ"/>
              </w:rPr>
              <w:t>.</w:t>
            </w:r>
          </w:p>
        </w:tc>
        <w:tc>
          <w:tcPr>
            <w:tcW w:w="1414" w:type="dxa"/>
            <w:vMerge w:val="restart"/>
            <w:tcBorders>
              <w:top w:val="nil"/>
              <w:left w:val="nil"/>
              <w:right w:val="single" w:sz="4" w:space="0" w:color="auto"/>
            </w:tcBorders>
            <w:shd w:val="clear" w:color="auto" w:fill="auto"/>
            <w:noWrap/>
            <w:vAlign w:val="center"/>
          </w:tcPr>
          <w:p w14:paraId="1F9F38E8"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142</w:t>
            </w:r>
          </w:p>
        </w:tc>
        <w:tc>
          <w:tcPr>
            <w:tcW w:w="707" w:type="dxa"/>
            <w:tcBorders>
              <w:top w:val="nil"/>
              <w:left w:val="nil"/>
              <w:bottom w:val="nil"/>
              <w:right w:val="single" w:sz="4" w:space="0" w:color="auto"/>
            </w:tcBorders>
            <w:shd w:val="clear" w:color="auto" w:fill="auto"/>
            <w:noWrap/>
            <w:vAlign w:val="center"/>
            <w:hideMark/>
          </w:tcPr>
          <w:p w14:paraId="3A56D8F9"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78</w:t>
            </w:r>
            <w:r w:rsidR="00A94365" w:rsidRPr="00605DCA">
              <w:rPr>
                <w:rFonts w:ascii="Calibri" w:eastAsia="Times New Roman" w:hAnsi="Calibri" w:cs="Calibri"/>
                <w:color w:val="000000"/>
                <w:sz w:val="20"/>
                <w:szCs w:val="20"/>
                <w:lang w:eastAsia="cs-CZ"/>
              </w:rPr>
              <w:t>.</w:t>
            </w:r>
          </w:p>
        </w:tc>
        <w:tc>
          <w:tcPr>
            <w:tcW w:w="1468" w:type="dxa"/>
            <w:vMerge w:val="restart"/>
            <w:tcBorders>
              <w:top w:val="nil"/>
              <w:left w:val="nil"/>
              <w:right w:val="single" w:sz="4" w:space="0" w:color="auto"/>
            </w:tcBorders>
            <w:shd w:val="clear" w:color="auto" w:fill="auto"/>
            <w:noWrap/>
            <w:vAlign w:val="center"/>
          </w:tcPr>
          <w:p w14:paraId="30CEA73E" w14:textId="77777777" w:rsidR="0099338B" w:rsidRPr="00605DCA" w:rsidRDefault="00825734"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153</w:t>
            </w:r>
          </w:p>
        </w:tc>
        <w:tc>
          <w:tcPr>
            <w:tcW w:w="679" w:type="dxa"/>
            <w:tcBorders>
              <w:top w:val="nil"/>
              <w:left w:val="nil"/>
              <w:bottom w:val="nil"/>
              <w:right w:val="single" w:sz="4" w:space="0" w:color="auto"/>
            </w:tcBorders>
            <w:shd w:val="clear" w:color="auto" w:fill="auto"/>
            <w:noWrap/>
            <w:vAlign w:val="center"/>
            <w:hideMark/>
          </w:tcPr>
          <w:p w14:paraId="02F2C6C0"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76</w:t>
            </w:r>
            <w:r w:rsidR="00A94365" w:rsidRPr="00605DCA">
              <w:rPr>
                <w:rFonts w:ascii="Calibri" w:eastAsia="Times New Roman" w:hAnsi="Calibri" w:cs="Calibri"/>
                <w:color w:val="000000"/>
                <w:sz w:val="20"/>
                <w:szCs w:val="20"/>
                <w:lang w:eastAsia="cs-CZ"/>
              </w:rPr>
              <w:t>.</w:t>
            </w:r>
          </w:p>
        </w:tc>
        <w:tc>
          <w:tcPr>
            <w:tcW w:w="1403" w:type="dxa"/>
            <w:vMerge w:val="restart"/>
            <w:tcBorders>
              <w:top w:val="nil"/>
              <w:left w:val="nil"/>
              <w:right w:val="single" w:sz="8" w:space="0" w:color="auto"/>
            </w:tcBorders>
            <w:shd w:val="clear" w:color="auto" w:fill="auto"/>
            <w:noWrap/>
            <w:vAlign w:val="center"/>
            <w:hideMark/>
          </w:tcPr>
          <w:p w14:paraId="36BF6355"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146</w:t>
            </w:r>
          </w:p>
        </w:tc>
      </w:tr>
      <w:tr w:rsidR="00736536" w:rsidRPr="00605DCA" w14:paraId="0F0302AC" w14:textId="77777777" w:rsidTr="00736536">
        <w:trPr>
          <w:trHeight w:val="609"/>
        </w:trPr>
        <w:tc>
          <w:tcPr>
            <w:tcW w:w="2702" w:type="dxa"/>
            <w:tcBorders>
              <w:top w:val="nil"/>
              <w:left w:val="single" w:sz="8" w:space="0" w:color="auto"/>
              <w:bottom w:val="nil"/>
              <w:right w:val="single" w:sz="8" w:space="0" w:color="auto"/>
            </w:tcBorders>
            <w:shd w:val="clear" w:color="auto" w:fill="auto"/>
            <w:vAlign w:val="center"/>
            <w:hideMark/>
          </w:tcPr>
          <w:p w14:paraId="614B001A"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Ekonomická participace a</w:t>
            </w:r>
            <w:r w:rsidR="00292A07">
              <w:rPr>
                <w:rFonts w:ascii="Calibri" w:eastAsia="Times New Roman" w:hAnsi="Calibri" w:cs="Calibri"/>
                <w:color w:val="000000"/>
                <w:sz w:val="20"/>
                <w:szCs w:val="20"/>
                <w:lang w:eastAsia="cs-CZ"/>
              </w:rPr>
              <w:t> </w:t>
            </w:r>
            <w:r w:rsidRPr="00605DCA">
              <w:rPr>
                <w:rFonts w:ascii="Calibri" w:eastAsia="Times New Roman" w:hAnsi="Calibri" w:cs="Calibri"/>
                <w:color w:val="000000"/>
                <w:sz w:val="20"/>
                <w:szCs w:val="20"/>
                <w:lang w:eastAsia="cs-CZ"/>
              </w:rPr>
              <w:t>příležitosti</w:t>
            </w:r>
            <w:r w:rsidR="00825734" w:rsidRPr="00605DCA">
              <w:rPr>
                <w:rFonts w:ascii="Calibri" w:eastAsia="Times New Roman" w:hAnsi="Calibri" w:cs="Calibri"/>
                <w:color w:val="000000"/>
                <w:sz w:val="20"/>
                <w:szCs w:val="20"/>
                <w:lang w:eastAsia="cs-CZ"/>
              </w:rPr>
              <w:t xml:space="preserve"> žen</w:t>
            </w:r>
          </w:p>
        </w:tc>
        <w:tc>
          <w:tcPr>
            <w:tcW w:w="679" w:type="dxa"/>
            <w:tcBorders>
              <w:top w:val="nil"/>
              <w:left w:val="nil"/>
              <w:bottom w:val="nil"/>
              <w:right w:val="single" w:sz="4" w:space="0" w:color="auto"/>
            </w:tcBorders>
            <w:shd w:val="clear" w:color="auto" w:fill="auto"/>
            <w:noWrap/>
            <w:vAlign w:val="center"/>
            <w:hideMark/>
          </w:tcPr>
          <w:p w14:paraId="154FBD7D"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100</w:t>
            </w:r>
            <w:r w:rsidR="00A94365" w:rsidRPr="00605DCA">
              <w:rPr>
                <w:rFonts w:ascii="Calibri" w:eastAsia="Times New Roman" w:hAnsi="Calibri" w:cs="Calibri"/>
                <w:color w:val="000000"/>
                <w:sz w:val="20"/>
                <w:szCs w:val="20"/>
                <w:lang w:eastAsia="cs-CZ"/>
              </w:rPr>
              <w:t>.</w:t>
            </w:r>
          </w:p>
        </w:tc>
        <w:tc>
          <w:tcPr>
            <w:tcW w:w="1414" w:type="dxa"/>
            <w:vMerge/>
            <w:tcBorders>
              <w:left w:val="nil"/>
              <w:right w:val="single" w:sz="4" w:space="0" w:color="auto"/>
            </w:tcBorders>
            <w:shd w:val="clear" w:color="auto" w:fill="auto"/>
            <w:noWrap/>
            <w:vAlign w:val="bottom"/>
          </w:tcPr>
          <w:p w14:paraId="2F25284C" w14:textId="77777777" w:rsidR="0099338B" w:rsidRPr="00605DCA" w:rsidRDefault="0099338B" w:rsidP="00382D13">
            <w:pPr>
              <w:keepNext/>
              <w:keepLines/>
              <w:spacing w:after="0" w:line="240" w:lineRule="auto"/>
              <w:jc w:val="right"/>
              <w:rPr>
                <w:rFonts w:ascii="Calibri" w:eastAsia="Times New Roman" w:hAnsi="Calibri" w:cs="Calibri"/>
                <w:color w:val="000000"/>
                <w:sz w:val="20"/>
                <w:szCs w:val="20"/>
                <w:lang w:eastAsia="cs-CZ"/>
              </w:rPr>
            </w:pPr>
          </w:p>
        </w:tc>
        <w:tc>
          <w:tcPr>
            <w:tcW w:w="707" w:type="dxa"/>
            <w:tcBorders>
              <w:top w:val="nil"/>
              <w:left w:val="nil"/>
              <w:bottom w:val="nil"/>
              <w:right w:val="single" w:sz="4" w:space="0" w:color="auto"/>
            </w:tcBorders>
            <w:shd w:val="clear" w:color="auto" w:fill="auto"/>
            <w:noWrap/>
            <w:vAlign w:val="center"/>
            <w:hideMark/>
          </w:tcPr>
          <w:p w14:paraId="3F87B4D1"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87</w:t>
            </w:r>
            <w:r w:rsidR="00A94365" w:rsidRPr="00605DCA">
              <w:rPr>
                <w:rFonts w:ascii="Calibri" w:eastAsia="Times New Roman" w:hAnsi="Calibri" w:cs="Calibri"/>
                <w:color w:val="000000"/>
                <w:sz w:val="20"/>
                <w:szCs w:val="20"/>
                <w:lang w:eastAsia="cs-CZ"/>
              </w:rPr>
              <w:t>.</w:t>
            </w:r>
          </w:p>
        </w:tc>
        <w:tc>
          <w:tcPr>
            <w:tcW w:w="1468" w:type="dxa"/>
            <w:vMerge/>
            <w:tcBorders>
              <w:left w:val="nil"/>
              <w:right w:val="single" w:sz="4" w:space="0" w:color="auto"/>
            </w:tcBorders>
            <w:shd w:val="clear" w:color="auto" w:fill="auto"/>
            <w:noWrap/>
            <w:vAlign w:val="bottom"/>
          </w:tcPr>
          <w:p w14:paraId="54307B29" w14:textId="77777777" w:rsidR="0099338B" w:rsidRPr="00605DCA" w:rsidRDefault="0099338B" w:rsidP="00382D13">
            <w:pPr>
              <w:keepNext/>
              <w:keepLines/>
              <w:spacing w:after="0" w:line="240" w:lineRule="auto"/>
              <w:jc w:val="right"/>
              <w:rPr>
                <w:rFonts w:ascii="Calibri" w:eastAsia="Times New Roman" w:hAnsi="Calibri" w:cs="Calibri"/>
                <w:color w:val="000000"/>
                <w:sz w:val="20"/>
                <w:szCs w:val="20"/>
                <w:lang w:eastAsia="cs-CZ"/>
              </w:rPr>
            </w:pPr>
          </w:p>
        </w:tc>
        <w:tc>
          <w:tcPr>
            <w:tcW w:w="679" w:type="dxa"/>
            <w:tcBorders>
              <w:top w:val="nil"/>
              <w:left w:val="nil"/>
              <w:bottom w:val="nil"/>
              <w:right w:val="single" w:sz="4" w:space="0" w:color="auto"/>
            </w:tcBorders>
            <w:shd w:val="clear" w:color="auto" w:fill="auto"/>
            <w:noWrap/>
            <w:vAlign w:val="center"/>
            <w:hideMark/>
          </w:tcPr>
          <w:p w14:paraId="62F1A770"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95</w:t>
            </w:r>
            <w:r w:rsidR="00A94365" w:rsidRPr="00605DCA">
              <w:rPr>
                <w:rFonts w:ascii="Calibri" w:eastAsia="Times New Roman" w:hAnsi="Calibri" w:cs="Calibri"/>
                <w:color w:val="000000"/>
                <w:sz w:val="20"/>
                <w:szCs w:val="20"/>
                <w:lang w:eastAsia="cs-CZ"/>
              </w:rPr>
              <w:t>.</w:t>
            </w:r>
          </w:p>
        </w:tc>
        <w:tc>
          <w:tcPr>
            <w:tcW w:w="1403" w:type="dxa"/>
            <w:vMerge/>
            <w:tcBorders>
              <w:left w:val="nil"/>
              <w:right w:val="single" w:sz="8" w:space="0" w:color="auto"/>
            </w:tcBorders>
            <w:shd w:val="clear" w:color="auto" w:fill="auto"/>
            <w:noWrap/>
            <w:vAlign w:val="center"/>
            <w:hideMark/>
          </w:tcPr>
          <w:p w14:paraId="6BB161D4"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p>
        </w:tc>
      </w:tr>
      <w:tr w:rsidR="00736536" w:rsidRPr="00605DCA" w14:paraId="0E9AC499" w14:textId="77777777" w:rsidTr="00736536">
        <w:trPr>
          <w:trHeight w:val="319"/>
        </w:trPr>
        <w:tc>
          <w:tcPr>
            <w:tcW w:w="2702" w:type="dxa"/>
            <w:tcBorders>
              <w:top w:val="nil"/>
              <w:left w:val="single" w:sz="8" w:space="0" w:color="auto"/>
              <w:bottom w:val="single" w:sz="8" w:space="0" w:color="auto"/>
              <w:right w:val="single" w:sz="8" w:space="0" w:color="auto"/>
            </w:tcBorders>
            <w:shd w:val="clear" w:color="auto" w:fill="auto"/>
            <w:noWrap/>
            <w:vAlign w:val="center"/>
            <w:hideMark/>
          </w:tcPr>
          <w:p w14:paraId="018A2F52"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 xml:space="preserve">Rovnost </w:t>
            </w:r>
            <w:r w:rsidR="00825734" w:rsidRPr="00605DCA">
              <w:rPr>
                <w:rFonts w:ascii="Calibri" w:eastAsia="Times New Roman" w:hAnsi="Calibri" w:cs="Calibri"/>
                <w:color w:val="000000"/>
                <w:sz w:val="20"/>
                <w:szCs w:val="20"/>
                <w:lang w:eastAsia="cs-CZ"/>
              </w:rPr>
              <w:t xml:space="preserve">mezi ženami a muži </w:t>
            </w:r>
            <w:r w:rsidRPr="00605DCA">
              <w:rPr>
                <w:rFonts w:ascii="Calibri" w:eastAsia="Times New Roman" w:hAnsi="Calibri" w:cs="Calibri"/>
                <w:color w:val="000000"/>
                <w:sz w:val="20"/>
                <w:szCs w:val="20"/>
                <w:lang w:eastAsia="cs-CZ"/>
              </w:rPr>
              <w:t>v odměňování za stejnou práci</w:t>
            </w:r>
          </w:p>
        </w:tc>
        <w:tc>
          <w:tcPr>
            <w:tcW w:w="679" w:type="dxa"/>
            <w:tcBorders>
              <w:top w:val="nil"/>
              <w:left w:val="nil"/>
              <w:bottom w:val="single" w:sz="8" w:space="0" w:color="auto"/>
              <w:right w:val="single" w:sz="4" w:space="0" w:color="auto"/>
            </w:tcBorders>
            <w:shd w:val="clear" w:color="auto" w:fill="auto"/>
            <w:noWrap/>
            <w:vAlign w:val="center"/>
            <w:hideMark/>
          </w:tcPr>
          <w:p w14:paraId="2D45FE0F"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119</w:t>
            </w:r>
            <w:r w:rsidR="00A94365" w:rsidRPr="00605DCA">
              <w:rPr>
                <w:rFonts w:ascii="Calibri" w:eastAsia="Times New Roman" w:hAnsi="Calibri" w:cs="Calibri"/>
                <w:color w:val="000000"/>
                <w:sz w:val="20"/>
                <w:szCs w:val="20"/>
                <w:lang w:eastAsia="cs-CZ"/>
              </w:rPr>
              <w:t>.</w:t>
            </w:r>
          </w:p>
        </w:tc>
        <w:tc>
          <w:tcPr>
            <w:tcW w:w="1414" w:type="dxa"/>
            <w:vMerge/>
            <w:tcBorders>
              <w:left w:val="nil"/>
              <w:bottom w:val="single" w:sz="8" w:space="0" w:color="auto"/>
              <w:right w:val="single" w:sz="4" w:space="0" w:color="auto"/>
            </w:tcBorders>
            <w:shd w:val="clear" w:color="auto" w:fill="auto"/>
            <w:noWrap/>
            <w:vAlign w:val="bottom"/>
          </w:tcPr>
          <w:p w14:paraId="713051CD" w14:textId="77777777" w:rsidR="0099338B" w:rsidRPr="00605DCA" w:rsidRDefault="0099338B" w:rsidP="00382D13">
            <w:pPr>
              <w:keepNext/>
              <w:keepLines/>
              <w:spacing w:after="0" w:line="240" w:lineRule="auto"/>
              <w:jc w:val="right"/>
              <w:rPr>
                <w:rFonts w:ascii="Calibri" w:eastAsia="Times New Roman" w:hAnsi="Calibri" w:cs="Calibri"/>
                <w:color w:val="000000"/>
                <w:sz w:val="20"/>
                <w:szCs w:val="20"/>
                <w:lang w:eastAsia="cs-CZ"/>
              </w:rPr>
            </w:pPr>
          </w:p>
        </w:tc>
        <w:tc>
          <w:tcPr>
            <w:tcW w:w="707" w:type="dxa"/>
            <w:tcBorders>
              <w:top w:val="nil"/>
              <w:left w:val="nil"/>
              <w:bottom w:val="single" w:sz="8" w:space="0" w:color="auto"/>
              <w:right w:val="single" w:sz="4" w:space="0" w:color="auto"/>
            </w:tcBorders>
            <w:shd w:val="clear" w:color="auto" w:fill="auto"/>
            <w:noWrap/>
            <w:vAlign w:val="center"/>
            <w:hideMark/>
          </w:tcPr>
          <w:p w14:paraId="65BF0E55"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101</w:t>
            </w:r>
            <w:r w:rsidR="00A94365" w:rsidRPr="00605DCA">
              <w:rPr>
                <w:rFonts w:ascii="Calibri" w:eastAsia="Times New Roman" w:hAnsi="Calibri" w:cs="Calibri"/>
                <w:color w:val="000000"/>
                <w:sz w:val="20"/>
                <w:szCs w:val="20"/>
                <w:lang w:eastAsia="cs-CZ"/>
              </w:rPr>
              <w:t>.</w:t>
            </w:r>
          </w:p>
        </w:tc>
        <w:tc>
          <w:tcPr>
            <w:tcW w:w="1468" w:type="dxa"/>
            <w:vMerge/>
            <w:tcBorders>
              <w:left w:val="nil"/>
              <w:bottom w:val="single" w:sz="8" w:space="0" w:color="auto"/>
              <w:right w:val="single" w:sz="4" w:space="0" w:color="auto"/>
            </w:tcBorders>
            <w:shd w:val="clear" w:color="auto" w:fill="auto"/>
            <w:noWrap/>
            <w:vAlign w:val="bottom"/>
          </w:tcPr>
          <w:p w14:paraId="6D95C7D7" w14:textId="77777777" w:rsidR="0099338B" w:rsidRPr="00605DCA" w:rsidRDefault="0099338B" w:rsidP="00382D13">
            <w:pPr>
              <w:keepNext/>
              <w:keepLines/>
              <w:spacing w:after="0" w:line="240" w:lineRule="auto"/>
              <w:jc w:val="right"/>
              <w:rPr>
                <w:rFonts w:ascii="Calibri" w:eastAsia="Times New Roman" w:hAnsi="Calibri" w:cs="Calibri"/>
                <w:color w:val="000000"/>
                <w:sz w:val="20"/>
                <w:szCs w:val="20"/>
                <w:lang w:eastAsia="cs-CZ"/>
              </w:rPr>
            </w:pPr>
          </w:p>
        </w:tc>
        <w:tc>
          <w:tcPr>
            <w:tcW w:w="679" w:type="dxa"/>
            <w:tcBorders>
              <w:top w:val="nil"/>
              <w:left w:val="nil"/>
              <w:bottom w:val="single" w:sz="8" w:space="0" w:color="auto"/>
              <w:right w:val="single" w:sz="4" w:space="0" w:color="auto"/>
            </w:tcBorders>
            <w:shd w:val="clear" w:color="auto" w:fill="auto"/>
            <w:noWrap/>
            <w:vAlign w:val="center"/>
            <w:hideMark/>
          </w:tcPr>
          <w:p w14:paraId="262071B4"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r w:rsidRPr="00605DCA">
              <w:rPr>
                <w:rFonts w:ascii="Calibri" w:eastAsia="Times New Roman" w:hAnsi="Calibri" w:cs="Calibri"/>
                <w:color w:val="000000"/>
                <w:sz w:val="20"/>
                <w:szCs w:val="20"/>
                <w:lang w:eastAsia="cs-CZ"/>
              </w:rPr>
              <w:t>103</w:t>
            </w:r>
            <w:r w:rsidR="00A94365" w:rsidRPr="00605DCA">
              <w:rPr>
                <w:rFonts w:ascii="Calibri" w:eastAsia="Times New Roman" w:hAnsi="Calibri" w:cs="Calibri"/>
                <w:color w:val="000000"/>
                <w:sz w:val="20"/>
                <w:szCs w:val="20"/>
                <w:lang w:eastAsia="cs-CZ"/>
              </w:rPr>
              <w:t>.</w:t>
            </w:r>
          </w:p>
        </w:tc>
        <w:tc>
          <w:tcPr>
            <w:tcW w:w="1403" w:type="dxa"/>
            <w:vMerge/>
            <w:tcBorders>
              <w:left w:val="nil"/>
              <w:bottom w:val="single" w:sz="8" w:space="0" w:color="auto"/>
              <w:right w:val="single" w:sz="8" w:space="0" w:color="auto"/>
            </w:tcBorders>
            <w:shd w:val="clear" w:color="auto" w:fill="auto"/>
            <w:noWrap/>
            <w:vAlign w:val="center"/>
            <w:hideMark/>
          </w:tcPr>
          <w:p w14:paraId="45B6BDC3" w14:textId="77777777" w:rsidR="0099338B" w:rsidRPr="00605DCA" w:rsidRDefault="0099338B" w:rsidP="00382D13">
            <w:pPr>
              <w:keepNext/>
              <w:keepLines/>
              <w:spacing w:after="0" w:line="240" w:lineRule="auto"/>
              <w:jc w:val="center"/>
              <w:rPr>
                <w:rFonts w:ascii="Calibri" w:eastAsia="Times New Roman" w:hAnsi="Calibri" w:cs="Calibri"/>
                <w:color w:val="000000"/>
                <w:sz w:val="20"/>
                <w:szCs w:val="20"/>
                <w:lang w:eastAsia="cs-CZ"/>
              </w:rPr>
            </w:pPr>
          </w:p>
        </w:tc>
      </w:tr>
    </w:tbl>
    <w:p w14:paraId="6274E47E" w14:textId="6B4442BA" w:rsidR="00473BB6" w:rsidRPr="00473BB6" w:rsidRDefault="00473BB6" w:rsidP="000609E4">
      <w:pPr>
        <w:pStyle w:val="JK2"/>
        <w:numPr>
          <w:ilvl w:val="0"/>
          <w:numId w:val="0"/>
        </w:numPr>
        <w:tabs>
          <w:tab w:val="clear" w:pos="567"/>
          <w:tab w:val="left" w:pos="426"/>
        </w:tabs>
        <w:spacing w:before="0"/>
        <w:ind w:left="567" w:hanging="567"/>
      </w:pPr>
      <w:r w:rsidRPr="00266AD2">
        <w:rPr>
          <w:b/>
          <w:sz w:val="20"/>
          <w:szCs w:val="20"/>
        </w:rPr>
        <w:t xml:space="preserve">Zdroj: </w:t>
      </w:r>
      <w:r w:rsidR="00021C8B">
        <w:rPr>
          <w:b/>
          <w:sz w:val="20"/>
          <w:szCs w:val="20"/>
        </w:rPr>
        <w:tab/>
      </w:r>
      <w:r w:rsidRPr="00266AD2">
        <w:rPr>
          <w:sz w:val="20"/>
          <w:szCs w:val="20"/>
        </w:rPr>
        <w:t>Světové ekonomické fórum</w:t>
      </w:r>
      <w:r w:rsidR="00861B95">
        <w:rPr>
          <w:sz w:val="20"/>
          <w:szCs w:val="20"/>
        </w:rPr>
        <w:t xml:space="preserve"> </w:t>
      </w:r>
      <w:r w:rsidR="004263A9">
        <w:rPr>
          <w:sz w:val="20"/>
          <w:szCs w:val="20"/>
        </w:rPr>
        <w:t>–</w:t>
      </w:r>
      <w:r w:rsidR="00861B95">
        <w:rPr>
          <w:sz w:val="20"/>
          <w:szCs w:val="20"/>
        </w:rPr>
        <w:t xml:space="preserve"> </w:t>
      </w:r>
      <w:proofErr w:type="spellStart"/>
      <w:r w:rsidR="00861B95" w:rsidRPr="000609E4">
        <w:rPr>
          <w:i/>
          <w:sz w:val="20"/>
          <w:szCs w:val="20"/>
        </w:rPr>
        <w:t>Global</w:t>
      </w:r>
      <w:proofErr w:type="spellEnd"/>
      <w:r w:rsidR="00861B95" w:rsidRPr="000609E4">
        <w:rPr>
          <w:i/>
          <w:sz w:val="20"/>
          <w:szCs w:val="20"/>
        </w:rPr>
        <w:t xml:space="preserve"> Gender Gap Report 2014</w:t>
      </w:r>
      <w:r w:rsidR="00861B95" w:rsidRPr="003F395E">
        <w:rPr>
          <w:sz w:val="20"/>
          <w:szCs w:val="20"/>
        </w:rPr>
        <w:t xml:space="preserve">, </w:t>
      </w:r>
      <w:proofErr w:type="spellStart"/>
      <w:r w:rsidR="00861B95" w:rsidRPr="000609E4">
        <w:rPr>
          <w:i/>
          <w:sz w:val="20"/>
          <w:szCs w:val="20"/>
        </w:rPr>
        <w:t>Global</w:t>
      </w:r>
      <w:proofErr w:type="spellEnd"/>
      <w:r w:rsidR="00861B95" w:rsidRPr="000609E4">
        <w:rPr>
          <w:i/>
          <w:sz w:val="20"/>
          <w:szCs w:val="20"/>
        </w:rPr>
        <w:t xml:space="preserve"> Gender Gap Report 2020</w:t>
      </w:r>
      <w:r w:rsidR="00861B95" w:rsidRPr="003F395E">
        <w:rPr>
          <w:sz w:val="20"/>
          <w:szCs w:val="20"/>
        </w:rPr>
        <w:t xml:space="preserve">, </w:t>
      </w:r>
      <w:proofErr w:type="spellStart"/>
      <w:r w:rsidR="00861B95" w:rsidRPr="000609E4">
        <w:rPr>
          <w:i/>
          <w:sz w:val="20"/>
          <w:szCs w:val="20"/>
        </w:rPr>
        <w:t>Global</w:t>
      </w:r>
      <w:proofErr w:type="spellEnd"/>
      <w:r w:rsidR="00861B95" w:rsidRPr="000609E4">
        <w:rPr>
          <w:i/>
          <w:sz w:val="20"/>
          <w:szCs w:val="20"/>
        </w:rPr>
        <w:t xml:space="preserve"> Gender Gap Report 2022</w:t>
      </w:r>
      <w:r w:rsidR="00EF7B26">
        <w:rPr>
          <w:sz w:val="20"/>
          <w:szCs w:val="20"/>
        </w:rPr>
        <w:t>.</w:t>
      </w:r>
    </w:p>
    <w:p w14:paraId="396E977B" w14:textId="3004B704" w:rsidR="00C56BAA" w:rsidRDefault="0074607F" w:rsidP="0064714D">
      <w:pPr>
        <w:pStyle w:val="JK2"/>
        <w:tabs>
          <w:tab w:val="clear" w:pos="567"/>
          <w:tab w:val="left" w:pos="426"/>
        </w:tabs>
      </w:pPr>
      <w:r>
        <w:t>Od roku</w:t>
      </w:r>
      <w:r w:rsidR="004A7318">
        <w:t xml:space="preserve"> </w:t>
      </w:r>
      <w:r w:rsidR="008F7BE3">
        <w:t xml:space="preserve">1998 </w:t>
      </w:r>
      <w:r w:rsidR="00FD6302">
        <w:t xml:space="preserve">vláda </w:t>
      </w:r>
      <w:r w:rsidR="006C41F0">
        <w:t xml:space="preserve">ČR </w:t>
      </w:r>
      <w:r w:rsidR="00094684">
        <w:t>s cílem</w:t>
      </w:r>
      <w:r w:rsidR="00094684" w:rsidRPr="00C56BAA">
        <w:t xml:space="preserve"> prosazov</w:t>
      </w:r>
      <w:r w:rsidR="00094684">
        <w:t>at</w:t>
      </w:r>
      <w:r w:rsidR="00094684" w:rsidRPr="00C56BAA">
        <w:t xml:space="preserve"> rovn</w:t>
      </w:r>
      <w:r w:rsidR="00094684">
        <w:t>é</w:t>
      </w:r>
      <w:r w:rsidR="00094684" w:rsidRPr="00C56BAA">
        <w:t xml:space="preserve"> příležitost</w:t>
      </w:r>
      <w:r w:rsidR="00094684">
        <w:t>i</w:t>
      </w:r>
      <w:r w:rsidR="00094684" w:rsidRPr="00C56BAA">
        <w:t xml:space="preserve"> pro ženy a muže</w:t>
      </w:r>
      <w:r w:rsidR="00094684">
        <w:t xml:space="preserve"> </w:t>
      </w:r>
      <w:r w:rsidR="00FD6302">
        <w:t>schv</w:t>
      </w:r>
      <w:r w:rsidR="00CC26C5">
        <w:t>aluje</w:t>
      </w:r>
      <w:r w:rsidR="00FD6302">
        <w:t xml:space="preserve"> </w:t>
      </w:r>
      <w:r w:rsidR="00CC26C5">
        <w:rPr>
          <w:i/>
        </w:rPr>
        <w:t>a</w:t>
      </w:r>
      <w:r w:rsidR="008F7BE3" w:rsidRPr="002F3DFA">
        <w:rPr>
          <w:i/>
        </w:rPr>
        <w:t>kční plán</w:t>
      </w:r>
      <w:r w:rsidR="00CC26C5">
        <w:rPr>
          <w:i/>
        </w:rPr>
        <w:t>y</w:t>
      </w:r>
      <w:r w:rsidR="008F7BE3" w:rsidRPr="002F3DFA">
        <w:rPr>
          <w:i/>
        </w:rPr>
        <w:t xml:space="preserve"> pro rovnost žen a mužů</w:t>
      </w:r>
      <w:r w:rsidR="008F7BE3">
        <w:rPr>
          <w:rStyle w:val="Znakapoznpodarou"/>
          <w:i/>
        </w:rPr>
        <w:footnoteReference w:id="7"/>
      </w:r>
      <w:r w:rsidR="008F7BE3">
        <w:t>, kter</w:t>
      </w:r>
      <w:r w:rsidR="00CC26C5">
        <w:t>é</w:t>
      </w:r>
      <w:r w:rsidR="008F7BE3">
        <w:t xml:space="preserve"> </w:t>
      </w:r>
      <w:r w:rsidR="0037042E">
        <w:t xml:space="preserve">obvykle s roční frekvencí </w:t>
      </w:r>
      <w:r w:rsidR="008F7BE3">
        <w:t>stanovuj</w:t>
      </w:r>
      <w:r w:rsidR="00CC26C5">
        <w:t>í</w:t>
      </w:r>
      <w:r w:rsidR="008F7BE3">
        <w:t xml:space="preserve"> konkrétní opatření a subjekty</w:t>
      </w:r>
      <w:r w:rsidR="00094684" w:rsidRPr="00094684">
        <w:t xml:space="preserve"> </w:t>
      </w:r>
      <w:r w:rsidR="00094684">
        <w:t>odpovědné za jejich plnění</w:t>
      </w:r>
      <w:r w:rsidR="0037042E">
        <w:t xml:space="preserve">. </w:t>
      </w:r>
      <w:r w:rsidR="00C56BAA" w:rsidRPr="00C56BAA">
        <w:t xml:space="preserve">Od roku 2014 </w:t>
      </w:r>
      <w:r w:rsidR="0037042E">
        <w:t>byl</w:t>
      </w:r>
      <w:r w:rsidR="00CC26C5">
        <w:t>y</w:t>
      </w:r>
      <w:r w:rsidR="0037042E">
        <w:t xml:space="preserve"> t</w:t>
      </w:r>
      <w:r w:rsidR="00CC26C5">
        <w:t>yto</w:t>
      </w:r>
      <w:r w:rsidR="0037042E">
        <w:t xml:space="preserve"> akční plán</w:t>
      </w:r>
      <w:r w:rsidR="00CC26C5">
        <w:t>y</w:t>
      </w:r>
      <w:r w:rsidR="0037042E">
        <w:t xml:space="preserve"> provázán</w:t>
      </w:r>
      <w:r w:rsidR="00CC26C5">
        <w:t>y</w:t>
      </w:r>
      <w:r w:rsidR="0037042E">
        <w:t xml:space="preserve"> s</w:t>
      </w:r>
      <w:r w:rsidR="006C2657">
        <w:t> </w:t>
      </w:r>
      <w:r w:rsidR="002F3DFA">
        <w:t>nově zpracovanou</w:t>
      </w:r>
      <w:r w:rsidR="00C56BAA" w:rsidRPr="00C56BAA">
        <w:t xml:space="preserve"> </w:t>
      </w:r>
      <w:r w:rsidR="00F42F57">
        <w:t xml:space="preserve">dlouhodobou </w:t>
      </w:r>
      <w:r w:rsidR="00C56BAA" w:rsidRPr="002F3DFA">
        <w:rPr>
          <w:i/>
        </w:rPr>
        <w:t>Vládní strategi</w:t>
      </w:r>
      <w:r w:rsidR="00CC26C5">
        <w:rPr>
          <w:i/>
        </w:rPr>
        <w:t>í</w:t>
      </w:r>
      <w:r w:rsidR="00C56BAA" w:rsidRPr="002F3DFA">
        <w:rPr>
          <w:i/>
        </w:rPr>
        <w:t xml:space="preserve"> pro rovnost žen a mužů v České republice na léta 2014</w:t>
      </w:r>
      <w:r w:rsidR="002F3DFA">
        <w:rPr>
          <w:i/>
        </w:rPr>
        <w:t>–</w:t>
      </w:r>
      <w:r w:rsidR="00C56BAA" w:rsidRPr="002F3DFA">
        <w:rPr>
          <w:i/>
        </w:rPr>
        <w:t>2020</w:t>
      </w:r>
      <w:r w:rsidR="00C56BAA" w:rsidRPr="00C56BAA">
        <w:t xml:space="preserve"> </w:t>
      </w:r>
      <w:r w:rsidR="002F3DFA" w:rsidRPr="00C32D77">
        <w:t>(dále též „Strategie“)</w:t>
      </w:r>
      <w:r w:rsidR="003A2684">
        <w:rPr>
          <w:rStyle w:val="Znakapoznpodarou"/>
        </w:rPr>
        <w:footnoteReference w:id="8"/>
      </w:r>
      <w:r w:rsidR="00C56BAA" w:rsidRPr="00C56BAA">
        <w:t xml:space="preserve">, resp. </w:t>
      </w:r>
      <w:r w:rsidR="00F42F57">
        <w:t>dále</w:t>
      </w:r>
      <w:r w:rsidR="00C56BAA" w:rsidRPr="00C56BAA">
        <w:t xml:space="preserve"> rozpracovával</w:t>
      </w:r>
      <w:r w:rsidR="00CC26C5">
        <w:t>y</w:t>
      </w:r>
      <w:r w:rsidR="00C56BAA" w:rsidRPr="00C56BAA">
        <w:t xml:space="preserve"> její cíle do podoby konkrétních opatření</w:t>
      </w:r>
      <w:r w:rsidR="0037042E">
        <w:t>.</w:t>
      </w:r>
    </w:p>
    <w:p w14:paraId="62B61E20" w14:textId="02E8F55F" w:rsidR="006C41F0" w:rsidRDefault="008558F3" w:rsidP="006C41F0">
      <w:pPr>
        <w:pStyle w:val="JK2"/>
      </w:pPr>
      <w:r>
        <w:t>Součástí</w:t>
      </w:r>
      <w:r w:rsidR="00752308">
        <w:t xml:space="preserve"> </w:t>
      </w:r>
      <w:r w:rsidR="00F42F57">
        <w:t>Strategi</w:t>
      </w:r>
      <w:r w:rsidR="002F173B">
        <w:t>e</w:t>
      </w:r>
      <w:r w:rsidR="008F7130">
        <w:t xml:space="preserve"> </w:t>
      </w:r>
      <w:r w:rsidR="00FF7364">
        <w:t xml:space="preserve">je </w:t>
      </w:r>
      <w:r w:rsidR="00094684">
        <w:t xml:space="preserve">oblast </w:t>
      </w:r>
      <w:r w:rsidR="005E4173">
        <w:t xml:space="preserve">3. </w:t>
      </w:r>
      <w:r w:rsidR="00094684" w:rsidRPr="00813EFD">
        <w:rPr>
          <w:i/>
        </w:rPr>
        <w:t>Rovnost žen a mužů na trhu práce a v podnikání</w:t>
      </w:r>
      <w:r w:rsidR="00094684">
        <w:t>, která mj. reflekt</w:t>
      </w:r>
      <w:r w:rsidR="00FF7364">
        <w:t>uje</w:t>
      </w:r>
      <w:r w:rsidR="00094684">
        <w:t xml:space="preserve"> skutečnost, že v ČR je jeden z nejvyšších rozdílů v odměňování žen a mužů v EU. Jedním z</w:t>
      </w:r>
      <w:r>
        <w:t> </w:t>
      </w:r>
      <w:r w:rsidR="00094684">
        <w:t xml:space="preserve">hlavních cílů této oblasti </w:t>
      </w:r>
      <w:r w:rsidR="00FF7364">
        <w:t>je tak</w:t>
      </w:r>
      <w:r w:rsidR="00094684">
        <w:t xml:space="preserve"> posílení ekonomického postavení žen. K dosažení hlavního cíle </w:t>
      </w:r>
      <w:r w:rsidR="00FF7364">
        <w:t>má</w:t>
      </w:r>
      <w:r w:rsidR="00094684">
        <w:t xml:space="preserve"> dojít </w:t>
      </w:r>
      <w:r w:rsidR="005E4173">
        <w:t>pomocí</w:t>
      </w:r>
      <w:r w:rsidR="00094684">
        <w:t xml:space="preserve"> </w:t>
      </w:r>
      <w:r w:rsidR="003004C8">
        <w:t xml:space="preserve">splnění </w:t>
      </w:r>
      <w:r w:rsidR="00094684">
        <w:t>řady dílčích specifických cílů, mezi které patří i</w:t>
      </w:r>
      <w:r w:rsidR="000677D0">
        <w:t> </w:t>
      </w:r>
      <w:r w:rsidR="006C41F0">
        <w:t>„</w:t>
      </w:r>
      <w:r w:rsidR="005E4173" w:rsidRPr="006F1B9E">
        <w:rPr>
          <w:i/>
        </w:rPr>
        <w:t>p</w:t>
      </w:r>
      <w:r w:rsidR="006C41F0" w:rsidRPr="006F1B9E">
        <w:rPr>
          <w:i/>
        </w:rPr>
        <w:t>odpora a zavádění genderových auditů ve veřejné i soukromé sféře a implementace jejich výsledků do chodu organizace</w:t>
      </w:r>
      <w:r w:rsidR="006C41F0">
        <w:t>“</w:t>
      </w:r>
      <w:r w:rsidR="006C41F0">
        <w:rPr>
          <w:rStyle w:val="Znakapoznpodarou"/>
        </w:rPr>
        <w:footnoteReference w:id="9"/>
      </w:r>
      <w:r w:rsidR="006C41F0">
        <w:t>.</w:t>
      </w:r>
    </w:p>
    <w:p w14:paraId="7FAEA6A9" w14:textId="5AF7040B" w:rsidR="006C41F0" w:rsidRDefault="00391515" w:rsidP="006C41F0">
      <w:pPr>
        <w:pStyle w:val="JK2"/>
      </w:pPr>
      <w:r>
        <w:t xml:space="preserve">V říjnu 2015 </w:t>
      </w:r>
      <w:r w:rsidR="006C41F0">
        <w:t>Úřad vlády ČR</w:t>
      </w:r>
      <w:r w:rsidR="006C41F0" w:rsidDel="00FD6302">
        <w:t xml:space="preserve"> </w:t>
      </w:r>
      <w:r w:rsidR="00FD6302">
        <w:t xml:space="preserve">vytvořil </w:t>
      </w:r>
      <w:r w:rsidR="006C41F0" w:rsidRPr="006F1B9E">
        <w:rPr>
          <w:i/>
        </w:rPr>
        <w:t>Standard genderového auditu</w:t>
      </w:r>
      <w:r w:rsidR="00A92177">
        <w:rPr>
          <w:rStyle w:val="Znakapoznpodarou"/>
        </w:rPr>
        <w:footnoteReference w:id="10"/>
      </w:r>
      <w:r>
        <w:t xml:space="preserve"> </w:t>
      </w:r>
      <w:r w:rsidR="005E4173">
        <w:t xml:space="preserve">(dále také „Standard GA“) </w:t>
      </w:r>
      <w:r>
        <w:t>jako jeden z nástrojů, které mohou pomoci zejména zaměstnavatel</w:t>
      </w:r>
      <w:r w:rsidR="00117BE4">
        <w:t>ským subjektům</w:t>
      </w:r>
      <w:r>
        <w:t xml:space="preserve"> identifikovat existující nerovnosti v oblasti trhu práce a podnikání a zjištěné nerovnosti napravit</w:t>
      </w:r>
      <w:r w:rsidR="007A10F3">
        <w:t>.</w:t>
      </w:r>
      <w:r w:rsidR="006C41F0">
        <w:t xml:space="preserve"> </w:t>
      </w:r>
      <w:r>
        <w:t xml:space="preserve">Standard GA jako </w:t>
      </w:r>
      <w:r w:rsidR="00D05EF4">
        <w:t xml:space="preserve">nejzávažnější </w:t>
      </w:r>
      <w:r>
        <w:t xml:space="preserve">existující problémy, které má pomoci na trhu práce v ČR řešit, </w:t>
      </w:r>
      <w:r w:rsidR="00D05EF4">
        <w:t xml:space="preserve">uvádí </w:t>
      </w:r>
      <w:r>
        <w:t xml:space="preserve">nízkou zaměstnanost žen, jeden z nejvyšších rozdílů </w:t>
      </w:r>
      <w:r w:rsidR="005E4173">
        <w:t xml:space="preserve">v EU </w:t>
      </w:r>
      <w:r>
        <w:t>v odměňování žen a</w:t>
      </w:r>
      <w:r w:rsidR="005E4173">
        <w:t> </w:t>
      </w:r>
      <w:r>
        <w:t xml:space="preserve">mužů za stejnou práci či vysokou horizontální a vertikální segregaci </w:t>
      </w:r>
      <w:r w:rsidR="005E4173">
        <w:t xml:space="preserve">na </w:t>
      </w:r>
      <w:r>
        <w:t>trhu práce</w:t>
      </w:r>
      <w:r w:rsidR="00CE3E07">
        <w:t xml:space="preserve">. Standard vznikl v rámci výzvy na zajištění implementace Strategie v programovém období </w:t>
      </w:r>
      <w:r w:rsidR="00CE3E07" w:rsidRPr="00C6554A">
        <w:t>2014–2020</w:t>
      </w:r>
      <w:r w:rsidR="00386F9B">
        <w:rPr>
          <w:rStyle w:val="Znakapoznpodarou"/>
        </w:rPr>
        <w:footnoteReference w:id="11"/>
      </w:r>
      <w:r w:rsidR="00CE3E07">
        <w:t xml:space="preserve">. </w:t>
      </w:r>
    </w:p>
    <w:p w14:paraId="6A3C96F4" w14:textId="32999D57" w:rsidR="006C41F0" w:rsidRDefault="006C41F0" w:rsidP="00B05633">
      <w:pPr>
        <w:pStyle w:val="JK2"/>
      </w:pPr>
      <w:r>
        <w:t>Genderový audit je typem sociálního auditu. Při jeho realizaci mají být analyzovány vnitřní organizační procesy a struktura auditované organizace z genderové perspektivy</w:t>
      </w:r>
      <w:r w:rsidR="000E2292">
        <w:t>. M</w:t>
      </w:r>
      <w:r>
        <w:t xml:space="preserve">ají být zejména identifikovány kritické oblasti a bariéry </w:t>
      </w:r>
      <w:r w:rsidR="005E4173">
        <w:t>pro</w:t>
      </w:r>
      <w:r>
        <w:t xml:space="preserve"> zlepšení fungování organizace v</w:t>
      </w:r>
      <w:r w:rsidR="00A57DE6">
        <w:t> </w:t>
      </w:r>
      <w:r>
        <w:t>otázce genderové rovnosti a doporučena opatření k dosažení pokroku</w:t>
      </w:r>
      <w:r w:rsidR="00431C25">
        <w:t xml:space="preserve"> v</w:t>
      </w:r>
      <w:r w:rsidR="00A62C7D">
        <w:t xml:space="preserve"> </w:t>
      </w:r>
      <w:r w:rsidR="00431C25">
        <w:t>této oblasti</w:t>
      </w:r>
      <w:r>
        <w:t>.</w:t>
      </w:r>
      <w:r w:rsidR="00B750FE">
        <w:t xml:space="preserve"> Standard v tomto smyslu představuje doporučené minimum aktivit, auditovaných oblastí, znalostí a</w:t>
      </w:r>
      <w:r w:rsidR="00A57DE6">
        <w:t xml:space="preserve"> </w:t>
      </w:r>
      <w:r w:rsidR="00B750FE">
        <w:t>zkušeností auditorů apod., které j</w:t>
      </w:r>
      <w:r w:rsidR="005E4173">
        <w:t>e</w:t>
      </w:r>
      <w:r w:rsidR="00B750FE">
        <w:t xml:space="preserve"> při realizaci genderových auditů v</w:t>
      </w:r>
      <w:r w:rsidR="00A57DE6">
        <w:t xml:space="preserve"> </w:t>
      </w:r>
      <w:r w:rsidR="00B750FE">
        <w:t>ČR považován</w:t>
      </w:r>
      <w:r w:rsidR="005E4173">
        <w:t>o</w:t>
      </w:r>
      <w:r w:rsidR="00B750FE">
        <w:t xml:space="preserve"> za nezbytné k</w:t>
      </w:r>
      <w:r w:rsidR="0050757E">
        <w:t> </w:t>
      </w:r>
      <w:r w:rsidR="00B750FE">
        <w:t>tomu</w:t>
      </w:r>
      <w:r w:rsidR="0050757E">
        <w:t>, aby mohl</w:t>
      </w:r>
      <w:r w:rsidR="00C17D76">
        <w:t>y</w:t>
      </w:r>
      <w:r w:rsidR="0050757E">
        <w:t xml:space="preserve"> být </w:t>
      </w:r>
      <w:r w:rsidR="00C17D76">
        <w:t xml:space="preserve">audity </w:t>
      </w:r>
      <w:r w:rsidR="0050757E">
        <w:t>řádně realizován</w:t>
      </w:r>
      <w:r w:rsidR="00C17D76">
        <w:t>y</w:t>
      </w:r>
      <w:r w:rsidR="0050757E">
        <w:t>.</w:t>
      </w:r>
    </w:p>
    <w:p w14:paraId="31780EB2" w14:textId="2B3717DE" w:rsidR="008C1901" w:rsidRDefault="006F38DA" w:rsidP="003E3220">
      <w:pPr>
        <w:pStyle w:val="JK2"/>
      </w:pPr>
      <w:r>
        <w:t>Na podporu genderových auditů a implementac</w:t>
      </w:r>
      <w:r w:rsidR="005E4173">
        <w:t>e</w:t>
      </w:r>
      <w:r>
        <w:t xml:space="preserve"> jejich výsledků do chodu organizací byly v </w:t>
      </w:r>
      <w:r w:rsidR="00C76EE4">
        <w:t>o</w:t>
      </w:r>
      <w:r w:rsidR="001A2A0A">
        <w:t>perační</w:t>
      </w:r>
      <w:r>
        <w:t>m</w:t>
      </w:r>
      <w:r w:rsidR="001A2A0A">
        <w:t xml:space="preserve"> </w:t>
      </w:r>
      <w:r w:rsidR="001A2A0A" w:rsidRPr="006F38DA">
        <w:t>program</w:t>
      </w:r>
      <w:r w:rsidR="00D05EF4">
        <w:t>u</w:t>
      </w:r>
      <w:r w:rsidR="001A2A0A">
        <w:t xml:space="preserve"> </w:t>
      </w:r>
      <w:r w:rsidR="001A2A0A" w:rsidRPr="001766D5">
        <w:rPr>
          <w:i/>
        </w:rPr>
        <w:t>Zaměstnanost 2014–2020</w:t>
      </w:r>
      <w:r w:rsidR="002F3DFA">
        <w:rPr>
          <w:i/>
        </w:rPr>
        <w:t xml:space="preserve"> </w:t>
      </w:r>
      <w:r>
        <w:t xml:space="preserve">vyčleněny peněžní prostředky v rámci výzev </w:t>
      </w:r>
      <w:r w:rsidR="003E3220">
        <w:t xml:space="preserve">č. 03_16_050 a 03_16_051 </w:t>
      </w:r>
      <w:r w:rsidR="003E3220" w:rsidRPr="006F1B9E">
        <w:rPr>
          <w:i/>
        </w:rPr>
        <w:t>Realizace genderových auditů u zaměstnavatelů</w:t>
      </w:r>
      <w:r w:rsidR="003E3220">
        <w:t xml:space="preserve"> (dále též „výzvy č. 50 a 51“ nebo „výzvy GA“) a </w:t>
      </w:r>
      <w:bookmarkStart w:id="2" w:name="_Hlk125644986"/>
      <w:r w:rsidR="003E3220">
        <w:t xml:space="preserve">výzev č. 03_17_130 a 03_17_131 </w:t>
      </w:r>
      <w:r w:rsidR="003E3220" w:rsidRPr="006F1B9E">
        <w:rPr>
          <w:i/>
        </w:rPr>
        <w:t>Implementace doporučení genderového auditu u</w:t>
      </w:r>
      <w:r w:rsidR="00CA25C4" w:rsidRPr="006F1B9E">
        <w:rPr>
          <w:i/>
        </w:rPr>
        <w:t> </w:t>
      </w:r>
      <w:r w:rsidR="003E3220" w:rsidRPr="006F1B9E">
        <w:rPr>
          <w:i/>
        </w:rPr>
        <w:t>zaměstnavatelů</w:t>
      </w:r>
      <w:bookmarkEnd w:id="2"/>
      <w:r w:rsidR="003E3220">
        <w:t xml:space="preserve"> (dále též „výzvy č. 130 a 131“ nebo „výzvy IGA“). </w:t>
      </w:r>
    </w:p>
    <w:p w14:paraId="65D88666" w14:textId="7B9B7344" w:rsidR="008C1901" w:rsidRDefault="004534D9" w:rsidP="003E3220">
      <w:pPr>
        <w:pStyle w:val="JK2"/>
      </w:pPr>
      <w:r>
        <w:t xml:space="preserve">MPSV poskytovalo v rámci výzev GA peněžní prostředky na realizaci genderových auditů, které příjemce mohl provést u sebe i u jiných auditovaných organizací. Poskytnutá výše podpory </w:t>
      </w:r>
      <w:r w:rsidR="00286FBF">
        <w:t xml:space="preserve">v daném projektu </w:t>
      </w:r>
      <w:r>
        <w:t>se odvíjela od mno</w:t>
      </w:r>
      <w:r w:rsidR="00286FBF">
        <w:t>žství AO a počtu jejich zaměstnanců.</w:t>
      </w:r>
      <w:r>
        <w:t xml:space="preserve"> </w:t>
      </w:r>
      <w:r w:rsidR="00286FBF">
        <w:t>Za každou AO</w:t>
      </w:r>
      <w:r w:rsidR="00286FBF">
        <w:rPr>
          <w:rStyle w:val="Znakapoznpodarou"/>
        </w:rPr>
        <w:footnoteReference w:id="12"/>
      </w:r>
      <w:r w:rsidR="00286FBF">
        <w:t xml:space="preserve"> byl příjemce během realizace projektu povinen </w:t>
      </w:r>
      <w:r w:rsidR="001C5FA4">
        <w:t>vy</w:t>
      </w:r>
      <w:r w:rsidR="00286FBF">
        <w:t>pracovat zprávu z genderového auditu, která byla základním požadovaným výstupem projektu.</w:t>
      </w:r>
    </w:p>
    <w:p w14:paraId="3EA8D8B0" w14:textId="12383D87" w:rsidR="002F5717" w:rsidRDefault="00340CD3" w:rsidP="003E3220">
      <w:pPr>
        <w:pStyle w:val="JK2"/>
      </w:pPr>
      <w:r>
        <w:t>V případě výzev IGA byl příjemcem podpory subjekt, který ve své společnosti s alespoň 10 zaměstnanci realizoval během projektu vybraná opatřen</w:t>
      </w:r>
      <w:r w:rsidR="007A54DC">
        <w:t>í</w:t>
      </w:r>
      <w:r>
        <w:t xml:space="preserve"> genderového auditu. Genderový audit, který byl zdrojem doporučení a předkládal se k žádosti o podporu, nesměl být starší než tř</w:t>
      </w:r>
      <w:r w:rsidR="00E2398E">
        <w:t>i roky</w:t>
      </w:r>
      <w:r>
        <w:t>. Příjemce přitom mohl tento genderový audit absolvovat v</w:t>
      </w:r>
      <w:r w:rsidR="00A57DE6">
        <w:t xml:space="preserve"> </w:t>
      </w:r>
      <w:r>
        <w:t>rámci projektu podpořeného ve výzvách GA.</w:t>
      </w:r>
      <w:r>
        <w:rPr>
          <w:rStyle w:val="Znakapoznpodarou"/>
        </w:rPr>
        <w:footnoteReference w:id="13"/>
      </w:r>
      <w:r w:rsidR="009E122F" w:rsidDel="00340CD3">
        <w:t xml:space="preserve"> </w:t>
      </w:r>
      <w:r w:rsidR="004916BE">
        <w:t xml:space="preserve">Nejpozději k datu ukončení projektu </w:t>
      </w:r>
      <w:r w:rsidR="003422A6">
        <w:t>IGA</w:t>
      </w:r>
      <w:r w:rsidR="004916BE">
        <w:t xml:space="preserve"> byl příjemce povinen zajistit </w:t>
      </w:r>
      <w:r w:rsidR="001C5FA4">
        <w:t xml:space="preserve">provedení </w:t>
      </w:r>
      <w:r w:rsidR="004916BE">
        <w:t>nového genderového auditu.</w:t>
      </w:r>
    </w:p>
    <w:p w14:paraId="6E8DA569" w14:textId="77777777" w:rsidR="003E3220" w:rsidRDefault="009E122F" w:rsidP="003E3220">
      <w:pPr>
        <w:pStyle w:val="JK2"/>
      </w:pPr>
      <w:r>
        <w:t>Čerpání peněžních prostředků OPZ na projekty GA a IGA bylo podmíněno dodržením Standardu GA při zpracování genderových auditů využitých pro realizaci projektových aktivit.</w:t>
      </w:r>
      <w:r w:rsidR="004916BE">
        <w:t xml:space="preserve"> Povinnost dodržet Standard GA při provádění genderových auditů tak byla stanovena jak pro genderové audity realizované v rámci projektů GA, tak pro genderové audity zpracované v rámci projektů IGA.</w:t>
      </w:r>
    </w:p>
    <w:p w14:paraId="4B0FA64E" w14:textId="06645F05" w:rsidR="009A6379" w:rsidRDefault="009A6379" w:rsidP="00382D13">
      <w:pPr>
        <w:pStyle w:val="JK2"/>
        <w:keepNext/>
      </w:pPr>
      <w:r>
        <w:t xml:space="preserve">V OPZ, </w:t>
      </w:r>
      <w:r w:rsidR="001C5FA4">
        <w:t>jejž</w:t>
      </w:r>
      <w:r w:rsidR="001A2A0A" w:rsidDel="00296FF1">
        <w:t xml:space="preserve"> </w:t>
      </w:r>
      <w:r w:rsidR="00296FF1">
        <w:t xml:space="preserve">řídí </w:t>
      </w:r>
      <w:r w:rsidR="001A2A0A">
        <w:t>MPSV</w:t>
      </w:r>
      <w:r>
        <w:t>,</w:t>
      </w:r>
      <w:r w:rsidR="00521528" w:rsidRPr="00521528">
        <w:t xml:space="preserve"> </w:t>
      </w:r>
      <w:r>
        <w:t>js</w:t>
      </w:r>
      <w:r w:rsidR="00521528">
        <w:t xml:space="preserve">ou </w:t>
      </w:r>
      <w:r w:rsidR="00521528" w:rsidRPr="00521528">
        <w:t>podrobně popsány cíle a priority, kter</w:t>
      </w:r>
      <w:r w:rsidR="001C5FA4">
        <w:t>ých</w:t>
      </w:r>
      <w:r w:rsidR="00521528" w:rsidRPr="00521528">
        <w:t xml:space="preserve"> chce </w:t>
      </w:r>
      <w:r>
        <w:t>ČR</w:t>
      </w:r>
      <w:r w:rsidR="00521528" w:rsidRPr="00521528">
        <w:t xml:space="preserve"> </w:t>
      </w:r>
      <w:r>
        <w:t xml:space="preserve">s podporou prostředků </w:t>
      </w:r>
      <w:r w:rsidR="00091E35">
        <w:t>e</w:t>
      </w:r>
      <w:r>
        <w:t xml:space="preserve">vropských strukturálních a investičních fondů </w:t>
      </w:r>
      <w:r w:rsidR="00521528" w:rsidRPr="00521528">
        <w:t xml:space="preserve">v oblasti </w:t>
      </w:r>
      <w:r w:rsidR="00521528">
        <w:t xml:space="preserve">zaměstnanosti </w:t>
      </w:r>
      <w:r w:rsidR="00521528" w:rsidRPr="00521528">
        <w:t>dosáhnout</w:t>
      </w:r>
      <w:r w:rsidR="001C5FA4">
        <w:t>;</w:t>
      </w:r>
      <w:r w:rsidR="00521528">
        <w:t xml:space="preserve"> </w:t>
      </w:r>
      <w:r w:rsidR="001C5FA4">
        <w:t xml:space="preserve">programový dokument OPZ </w:t>
      </w:r>
      <w:r w:rsidR="00521528">
        <w:t xml:space="preserve">obsahuje také </w:t>
      </w:r>
      <w:r w:rsidR="00521528" w:rsidRPr="00521528">
        <w:t xml:space="preserve">popis typových aktivit, na které je možné čerpat </w:t>
      </w:r>
      <w:r>
        <w:t xml:space="preserve">alokované </w:t>
      </w:r>
      <w:r w:rsidR="00521528">
        <w:t>peníze</w:t>
      </w:r>
      <w:r w:rsidR="00C17D76">
        <w:t>,</w:t>
      </w:r>
      <w:r w:rsidR="00521528">
        <w:t xml:space="preserve"> a </w:t>
      </w:r>
      <w:r w:rsidR="00521528" w:rsidRPr="00521528">
        <w:t>výč</w:t>
      </w:r>
      <w:r w:rsidR="00521528">
        <w:t>e</w:t>
      </w:r>
      <w:r w:rsidR="00521528" w:rsidRPr="00521528">
        <w:t xml:space="preserve">t </w:t>
      </w:r>
      <w:r w:rsidR="00521528">
        <w:t>osob</w:t>
      </w:r>
      <w:r w:rsidR="00521528" w:rsidRPr="00521528">
        <w:t>, kte</w:t>
      </w:r>
      <w:r w:rsidR="00521528">
        <w:t>ré</w:t>
      </w:r>
      <w:r w:rsidR="00521528" w:rsidRPr="00521528">
        <w:t xml:space="preserve"> mohou o finanční prostředky žádat</w:t>
      </w:r>
      <w:r w:rsidR="0016046D">
        <w:t xml:space="preserve">. </w:t>
      </w:r>
    </w:p>
    <w:p w14:paraId="326BCD3D" w14:textId="77777777" w:rsidR="006F38DA" w:rsidRDefault="00B05633" w:rsidP="00B05633">
      <w:pPr>
        <w:pStyle w:val="JK2"/>
      </w:pPr>
      <w:r>
        <w:t xml:space="preserve">Projekty na podporu GA a IGA byly realizovány v rámci </w:t>
      </w:r>
      <w:r w:rsidRPr="00D849A7">
        <w:t>specifick</w:t>
      </w:r>
      <w:r>
        <w:t>ého</w:t>
      </w:r>
      <w:r w:rsidRPr="00D849A7">
        <w:t xml:space="preserve"> cíl</w:t>
      </w:r>
      <w:r>
        <w:t>e OPZ</w:t>
      </w:r>
      <w:r w:rsidRPr="00D849A7">
        <w:t xml:space="preserve"> 1.2.1 </w:t>
      </w:r>
      <w:r w:rsidRPr="00D849A7">
        <w:rPr>
          <w:i/>
        </w:rPr>
        <w:t>Snížit rozdíly v postavení žen a mužů na trhu práce</w:t>
      </w:r>
      <w:r w:rsidRPr="00D849A7">
        <w:t xml:space="preserve"> (dále také „SC 1.2.1“)</w:t>
      </w:r>
      <w:r>
        <w:t xml:space="preserve">. </w:t>
      </w:r>
      <w:r w:rsidR="0080621A">
        <w:t xml:space="preserve">Tento specifický cíl definuje účel </w:t>
      </w:r>
      <w:r w:rsidR="00F056FE">
        <w:t xml:space="preserve">peněžních prostředků </w:t>
      </w:r>
      <w:r w:rsidR="0080621A">
        <w:t>vynaložených na realizaci těchto projektů.</w:t>
      </w:r>
    </w:p>
    <w:p w14:paraId="6CAD5AE6" w14:textId="539DE655" w:rsidR="007D366C" w:rsidRDefault="0080621A" w:rsidP="0080621A">
      <w:pPr>
        <w:pStyle w:val="JK2"/>
      </w:pPr>
      <w:r w:rsidRPr="0080621A">
        <w:t xml:space="preserve">Text </w:t>
      </w:r>
      <w:r w:rsidR="00091E35">
        <w:t>programového dokumentu</w:t>
      </w:r>
      <w:r w:rsidRPr="0080621A">
        <w:t xml:space="preserve"> OPZ uvádí, že SC 1.2.1 bude naplněn prostřednictvím zlepšení nabídky cenově dostupných a kvalitních zařízení a služeb péče o děti za účelem zvýšení zaměstnanosti pečujících osob a usnadnění slučitelnosti pracovního a soukromého života, podpory vzdělávání žen za účelem zvýšení jejich zaměstnatelnosti po výpadcích v</w:t>
      </w:r>
      <w:r w:rsidR="004F274A">
        <w:t> </w:t>
      </w:r>
      <w:r w:rsidRPr="0080621A">
        <w:t xml:space="preserve">kariéře z důvodu péče o děti či jiné závislé členy rodiny, zvýšení využívání flexibilních forem práce jako jedné z forem podpory slaďování pracovního, soukromého a rodinného života, snížení diskriminace žen na trhu práce a také snížení vertikální i horizontální segregace </w:t>
      </w:r>
      <w:r w:rsidR="001C5FA4">
        <w:t xml:space="preserve">na </w:t>
      </w:r>
      <w:r w:rsidRPr="0080621A">
        <w:t>trhu práce a snížení rozdílů v</w:t>
      </w:r>
      <w:r w:rsidR="009D19B3">
        <w:t> </w:t>
      </w:r>
      <w:r w:rsidRPr="0080621A">
        <w:t>odměňování žen a mužů. Dle programového dokumentu OPZ si dosažení uvedených výsledků, zejména pak v oblasti snižování diskriminace, segregace a</w:t>
      </w:r>
      <w:r w:rsidR="004F274A">
        <w:t> </w:t>
      </w:r>
      <w:r w:rsidRPr="0080621A">
        <w:t>rozdílů v odměňování, vyžádá mj. systémové zaštítění oblasti rovných příležitostí žen a mužů na celostátní úrovni prostřednictvím propagace a zvyšování povědomí o tématu, návrhů legislativních úprav apod.</w:t>
      </w:r>
    </w:p>
    <w:p w14:paraId="51851D2B" w14:textId="77777777" w:rsidR="00D849A7" w:rsidRPr="00D849A7" w:rsidRDefault="00D849A7" w:rsidP="004F274A">
      <w:pPr>
        <w:pStyle w:val="JK2"/>
        <w:keepNext/>
      </w:pPr>
      <w:r w:rsidRPr="00D849A7">
        <w:t xml:space="preserve">Za účelem dosažení tohoto specifického cíle </w:t>
      </w:r>
      <w:r w:rsidR="00855E0B">
        <w:t xml:space="preserve">stanovil </w:t>
      </w:r>
      <w:r w:rsidR="00EC7A30">
        <w:t xml:space="preserve">OPZ </w:t>
      </w:r>
      <w:r w:rsidR="00296FF1">
        <w:t xml:space="preserve">následující </w:t>
      </w:r>
      <w:r w:rsidR="00EC7A30">
        <w:t>po</w:t>
      </w:r>
      <w:r w:rsidR="00A92177">
        <w:t>dporované</w:t>
      </w:r>
      <w:r w:rsidR="00EC7A30">
        <w:t xml:space="preserve"> typy</w:t>
      </w:r>
      <w:r w:rsidRPr="00D849A7">
        <w:t xml:space="preserve"> aktivit</w:t>
      </w:r>
      <w:r w:rsidR="00EC7A30">
        <w:t>, jejichž realizací mělo být specifického cíle dosaženo</w:t>
      </w:r>
      <w:r w:rsidRPr="00D849A7">
        <w:t>:</w:t>
      </w:r>
    </w:p>
    <w:p w14:paraId="7ABCDEF2" w14:textId="77777777" w:rsidR="00D849A7" w:rsidRPr="00D849A7" w:rsidRDefault="00D849A7" w:rsidP="00D849A7">
      <w:pPr>
        <w:numPr>
          <w:ilvl w:val="0"/>
          <w:numId w:val="19"/>
        </w:numPr>
        <w:tabs>
          <w:tab w:val="left" w:pos="426"/>
        </w:tabs>
        <w:spacing w:before="120" w:after="120" w:line="240" w:lineRule="auto"/>
        <w:jc w:val="both"/>
        <w:rPr>
          <w:rFonts w:ascii="Calibri" w:eastAsia="Times New Roman" w:hAnsi="Calibri" w:cs="Times New Roman"/>
          <w:color w:val="000000"/>
          <w:sz w:val="24"/>
          <w:szCs w:val="24"/>
          <w:lang w:eastAsia="cs-CZ"/>
        </w:rPr>
      </w:pPr>
      <w:r w:rsidRPr="00D849A7">
        <w:rPr>
          <w:rFonts w:ascii="Calibri" w:eastAsia="Times New Roman" w:hAnsi="Calibri" w:cs="Times New Roman"/>
          <w:color w:val="000000"/>
          <w:sz w:val="24"/>
          <w:szCs w:val="24"/>
          <w:lang w:eastAsia="cs-CZ"/>
        </w:rPr>
        <w:t>opatření pro odstranění projevů diskriminace na trhu práce na základě pohlaví (včetně vícečetné diskriminace) a pro snížení horizontální a vertikální segregace trhu práce podle pohlaví a rozdílů v odměňování žen a mužů;</w:t>
      </w:r>
    </w:p>
    <w:p w14:paraId="3AC1F26F" w14:textId="77777777" w:rsidR="00D849A7" w:rsidRPr="00D849A7" w:rsidRDefault="00D849A7" w:rsidP="00D849A7">
      <w:pPr>
        <w:numPr>
          <w:ilvl w:val="0"/>
          <w:numId w:val="19"/>
        </w:numPr>
        <w:tabs>
          <w:tab w:val="left" w:pos="426"/>
        </w:tabs>
        <w:spacing w:before="120" w:after="120" w:line="240" w:lineRule="auto"/>
        <w:jc w:val="both"/>
        <w:rPr>
          <w:rFonts w:ascii="Calibri" w:eastAsia="Times New Roman" w:hAnsi="Calibri" w:cs="Times New Roman"/>
          <w:color w:val="000000"/>
          <w:sz w:val="24"/>
          <w:szCs w:val="24"/>
          <w:lang w:eastAsia="cs-CZ"/>
        </w:rPr>
      </w:pPr>
      <w:r w:rsidRPr="00D849A7">
        <w:rPr>
          <w:rFonts w:ascii="Calibri" w:eastAsia="Times New Roman" w:hAnsi="Calibri" w:cs="Times New Roman"/>
          <w:color w:val="000000"/>
          <w:sz w:val="24"/>
          <w:szCs w:val="24"/>
          <w:lang w:eastAsia="cs-CZ"/>
        </w:rPr>
        <w:t>vzdělávání, zvyšování povědomí, poradenství v oblasti rovných příležitostí žen a mužů na trhu práce za účelem odstraňování genderových stereotypů a diskriminace na základě pohlaví;</w:t>
      </w:r>
    </w:p>
    <w:p w14:paraId="3D7E645E" w14:textId="7CC062A2" w:rsidR="005A7E37" w:rsidRPr="003B04F9" w:rsidRDefault="005417DE" w:rsidP="003B04F9">
      <w:pPr>
        <w:numPr>
          <w:ilvl w:val="0"/>
          <w:numId w:val="19"/>
        </w:numPr>
        <w:tabs>
          <w:tab w:val="left" w:pos="426"/>
        </w:tabs>
        <w:spacing w:before="120" w:after="120" w:line="240" w:lineRule="auto"/>
        <w:jc w:val="both"/>
        <w:rPr>
          <w:rFonts w:ascii="Calibri" w:eastAsia="Times New Roman" w:hAnsi="Calibri" w:cs="Times New Roman"/>
          <w:color w:val="000000"/>
          <w:sz w:val="24"/>
          <w:szCs w:val="24"/>
          <w:lang w:eastAsia="cs-CZ"/>
        </w:rPr>
      </w:pPr>
      <w:r w:rsidRPr="00D849A7">
        <w:rPr>
          <w:rFonts w:ascii="Calibri" w:eastAsia="Times New Roman" w:hAnsi="Calibri" w:cs="Times New Roman"/>
          <w:color w:val="000000"/>
          <w:sz w:val="24"/>
          <w:szCs w:val="24"/>
          <w:lang w:eastAsia="cs-CZ"/>
        </w:rPr>
        <w:t>podpo</w:t>
      </w:r>
      <w:r>
        <w:rPr>
          <w:rFonts w:ascii="Calibri" w:eastAsia="Times New Roman" w:hAnsi="Calibri" w:cs="Times New Roman"/>
          <w:color w:val="000000"/>
          <w:sz w:val="24"/>
          <w:szCs w:val="24"/>
          <w:lang w:eastAsia="cs-CZ"/>
        </w:rPr>
        <w:t>ra</w:t>
      </w:r>
      <w:r w:rsidRPr="00D849A7">
        <w:rPr>
          <w:rFonts w:ascii="Calibri" w:eastAsia="Times New Roman" w:hAnsi="Calibri" w:cs="Times New Roman"/>
          <w:color w:val="000000"/>
          <w:sz w:val="24"/>
          <w:szCs w:val="24"/>
          <w:lang w:eastAsia="cs-CZ"/>
        </w:rPr>
        <w:t xml:space="preserve"> </w:t>
      </w:r>
      <w:r w:rsidR="00D849A7" w:rsidRPr="00D849A7">
        <w:rPr>
          <w:rFonts w:ascii="Calibri" w:eastAsia="Times New Roman" w:hAnsi="Calibri" w:cs="Times New Roman"/>
          <w:color w:val="000000"/>
          <w:sz w:val="24"/>
          <w:szCs w:val="24"/>
          <w:lang w:eastAsia="cs-CZ"/>
        </w:rPr>
        <w:t xml:space="preserve">zavádění flexibilních forem práce a jejich využívání v praxi jako nástroje podpory slučitelnosti pracovního a soukromého života – vzdělávání, osvěta </w:t>
      </w:r>
      <w:r w:rsidR="00A57DE6">
        <w:rPr>
          <w:rFonts w:ascii="Calibri" w:eastAsia="Times New Roman" w:hAnsi="Calibri" w:cs="Times New Roman"/>
          <w:color w:val="000000"/>
          <w:sz w:val="24"/>
          <w:szCs w:val="24"/>
          <w:lang w:eastAsia="cs-CZ"/>
        </w:rPr>
        <w:br/>
      </w:r>
      <w:r w:rsidR="00D849A7" w:rsidRPr="00D849A7">
        <w:rPr>
          <w:rFonts w:ascii="Calibri" w:eastAsia="Times New Roman" w:hAnsi="Calibri" w:cs="Times New Roman"/>
          <w:color w:val="000000"/>
          <w:sz w:val="24"/>
          <w:szCs w:val="24"/>
          <w:lang w:eastAsia="cs-CZ"/>
        </w:rPr>
        <w:t>a</w:t>
      </w:r>
      <w:r w:rsidR="00A57DE6">
        <w:rPr>
          <w:rFonts w:ascii="Calibri" w:eastAsia="Times New Roman" w:hAnsi="Calibri" w:cs="Times New Roman"/>
          <w:color w:val="000000"/>
          <w:sz w:val="24"/>
          <w:szCs w:val="24"/>
          <w:lang w:eastAsia="cs-CZ"/>
        </w:rPr>
        <w:t xml:space="preserve"> </w:t>
      </w:r>
      <w:r w:rsidR="00D849A7" w:rsidRPr="00D849A7">
        <w:rPr>
          <w:rFonts w:ascii="Calibri" w:eastAsia="Times New Roman" w:hAnsi="Calibri" w:cs="Times New Roman"/>
          <w:color w:val="000000"/>
          <w:sz w:val="24"/>
          <w:szCs w:val="24"/>
          <w:lang w:eastAsia="cs-CZ"/>
        </w:rPr>
        <w:t>poradenství pro zaměstnavatele v této oblasti a zároveň přím</w:t>
      </w:r>
      <w:r w:rsidR="00311B5C">
        <w:rPr>
          <w:rFonts w:ascii="Calibri" w:eastAsia="Times New Roman" w:hAnsi="Calibri" w:cs="Times New Roman"/>
          <w:color w:val="000000"/>
          <w:sz w:val="24"/>
          <w:szCs w:val="24"/>
          <w:lang w:eastAsia="cs-CZ"/>
        </w:rPr>
        <w:t>á</w:t>
      </w:r>
      <w:r w:rsidR="00D849A7" w:rsidRPr="00D849A7">
        <w:rPr>
          <w:rFonts w:ascii="Calibri" w:eastAsia="Times New Roman" w:hAnsi="Calibri" w:cs="Times New Roman"/>
          <w:color w:val="000000"/>
          <w:sz w:val="24"/>
          <w:szCs w:val="24"/>
          <w:lang w:eastAsia="cs-CZ"/>
        </w:rPr>
        <w:t xml:space="preserve"> finanční podpora flexibilních forem práce pomocí mzdových příspěvků.</w:t>
      </w:r>
    </w:p>
    <w:p w14:paraId="34DD2E09" w14:textId="77777777" w:rsidR="00B05633" w:rsidRPr="00D849A7" w:rsidRDefault="00B05633" w:rsidP="00B05633">
      <w:pPr>
        <w:pStyle w:val="JK2"/>
      </w:pPr>
      <w:r w:rsidRPr="00D849A7">
        <w:t>Podpora z OPZ byla poskytována především formou ex-ante plateb</w:t>
      </w:r>
      <w:r w:rsidRPr="00D849A7">
        <w:rPr>
          <w:vertAlign w:val="superscript"/>
        </w:rPr>
        <w:footnoteReference w:id="14"/>
      </w:r>
      <w:r w:rsidRPr="00D849A7">
        <w:rPr>
          <w:vertAlign w:val="superscript"/>
        </w:rPr>
        <w:t xml:space="preserve"> </w:t>
      </w:r>
      <w:r w:rsidRPr="00D849A7">
        <w:t>s využitím nepřímých nákladů až do výše 25 % rozpočtu</w:t>
      </w:r>
      <w:r w:rsidR="00823ABC">
        <w:t xml:space="preserve"> projektu</w:t>
      </w:r>
      <w:r w:rsidRPr="00D849A7">
        <w:t>. Míra financování z veřejných zdrojů (státního rozpočtu a rozpočtu EU) se lišila v závislosti na typu podpořené organizace.</w:t>
      </w:r>
      <w:r w:rsidRPr="00D849A7">
        <w:rPr>
          <w:vertAlign w:val="superscript"/>
        </w:rPr>
        <w:footnoteReference w:id="15"/>
      </w:r>
      <w:r w:rsidRPr="00D849A7">
        <w:t xml:space="preserve"> Doba udržitelnosti nebyla pro projekty OPZ stanovena.</w:t>
      </w:r>
    </w:p>
    <w:p w14:paraId="243BD87A" w14:textId="77777777" w:rsidR="00045D3C" w:rsidRDefault="00045D3C" w:rsidP="00332CA3">
      <w:pPr>
        <w:pStyle w:val="JK2"/>
      </w:pPr>
      <w:r>
        <w:t>Cílovými skupinami</w:t>
      </w:r>
      <w:r w:rsidR="0080621A">
        <w:t xml:space="preserve">, které měly právo čerpat prostředky z OPZ, případně měly mít z čerpaných peněz užitek, </w:t>
      </w:r>
      <w:r>
        <w:t>byl</w:t>
      </w:r>
      <w:r w:rsidR="00F33278">
        <w:t>i</w:t>
      </w:r>
      <w:r>
        <w:t xml:space="preserve"> zaměstnanci a zaměstnavatelé. </w:t>
      </w:r>
    </w:p>
    <w:p w14:paraId="26EC858E" w14:textId="6B9A2876" w:rsidR="009A6379" w:rsidRDefault="009A6379" w:rsidP="00735710">
      <w:pPr>
        <w:pStyle w:val="JK2"/>
        <w:numPr>
          <w:ilvl w:val="0"/>
          <w:numId w:val="0"/>
        </w:numPr>
        <w:tabs>
          <w:tab w:val="clear" w:pos="567"/>
          <w:tab w:val="left" w:pos="426"/>
        </w:tabs>
        <w:spacing w:after="360"/>
      </w:pPr>
    </w:p>
    <w:p w14:paraId="5ACC6C21" w14:textId="77777777" w:rsidR="006D791D" w:rsidRPr="00D96C84" w:rsidRDefault="000624C9" w:rsidP="005D4738">
      <w:pPr>
        <w:pStyle w:val="Nadpismsk"/>
        <w:keepNext/>
      </w:pPr>
      <w:bookmarkStart w:id="3" w:name="_Hlk97728594"/>
      <w:r w:rsidRPr="00D96C84">
        <w:t>Rozsah kontroly</w:t>
      </w:r>
    </w:p>
    <w:p w14:paraId="6F5D1C21" w14:textId="77777777" w:rsidR="00E37BC5" w:rsidRPr="00E6602B" w:rsidRDefault="00DB71A8" w:rsidP="000409CF">
      <w:pPr>
        <w:pStyle w:val="JK3"/>
      </w:pPr>
      <w:bookmarkStart w:id="4" w:name="_Hlk97729707"/>
      <w:bookmarkEnd w:id="3"/>
      <w:r w:rsidRPr="00E6602B">
        <w:t xml:space="preserve">Cílem kontrolní akce bylo prověřit, zda peněžní prostředky státního rozpočtu a Evropské unie určené na podporu </w:t>
      </w:r>
      <w:r w:rsidR="00C95D09">
        <w:t>genderových auditů</w:t>
      </w:r>
      <w:r w:rsidR="006F5AA2">
        <w:t xml:space="preserve"> a jejich implementaci</w:t>
      </w:r>
      <w:r w:rsidRPr="00E6602B">
        <w:t xml:space="preserve"> byly poskytovány a čerpány účelně, </w:t>
      </w:r>
      <w:r w:rsidR="006F5AA2">
        <w:t>hospodárně</w:t>
      </w:r>
      <w:r w:rsidRPr="00E6602B">
        <w:t xml:space="preserve"> a v souladu s právními předpisy.</w:t>
      </w:r>
      <w:r w:rsidR="000820E1" w:rsidRPr="00E6602B">
        <w:t xml:space="preserve"> </w:t>
      </w:r>
    </w:p>
    <w:p w14:paraId="620D1EA3" w14:textId="28EC8C8E" w:rsidR="00E37BC5" w:rsidRPr="00E6602B" w:rsidRDefault="000E43B5" w:rsidP="000409CF">
      <w:pPr>
        <w:pStyle w:val="JK3"/>
      </w:pPr>
      <w:r>
        <w:t>Pro potřeby kontroly bylo z</w:t>
      </w:r>
      <w:r w:rsidR="00DB71A8" w:rsidRPr="00E6602B">
        <w:t>a účelné považ</w:t>
      </w:r>
      <w:r w:rsidR="0090697B">
        <w:t>ováno</w:t>
      </w:r>
      <w:r w:rsidR="00DB71A8" w:rsidRPr="00E6602B">
        <w:t xml:space="preserve"> takové použití veřejných prostředků, které zajist</w:t>
      </w:r>
      <w:r w:rsidR="0090697B">
        <w:t>ilo</w:t>
      </w:r>
      <w:r w:rsidR="00DB71A8" w:rsidRPr="00E6602B">
        <w:t xml:space="preserve"> optimální míru dosažení cílů při plnění stanovených úkolů.</w:t>
      </w:r>
      <w:r w:rsidR="00F23A71" w:rsidRPr="00E6602B">
        <w:rPr>
          <w:vertAlign w:val="superscript"/>
        </w:rPr>
        <w:footnoteReference w:id="16"/>
      </w:r>
      <w:r w:rsidR="00DB71A8" w:rsidRPr="00E6602B">
        <w:t xml:space="preserve"> Poskytování a</w:t>
      </w:r>
      <w:r w:rsidR="00933427">
        <w:t> </w:t>
      </w:r>
      <w:r w:rsidR="00DB71A8" w:rsidRPr="00E6602B">
        <w:t xml:space="preserve">čerpání peněžních prostředků bylo tedy účelné, když došlo </w:t>
      </w:r>
      <w:r w:rsidR="009B7575">
        <w:t>k</w:t>
      </w:r>
      <w:r w:rsidR="006D52CC">
        <w:t> </w:t>
      </w:r>
      <w:r w:rsidR="009558FE">
        <w:t>naplnění cílů</w:t>
      </w:r>
      <w:r w:rsidR="006B4FFF">
        <w:t xml:space="preserve"> </w:t>
      </w:r>
      <w:r w:rsidR="009B7575">
        <w:t>uvedených v projektové žádosti a k</w:t>
      </w:r>
      <w:r w:rsidR="006B4FFF">
        <w:t xml:space="preserve"> naplnění dílčích cílů SC 1.2.1, tj. </w:t>
      </w:r>
      <w:r w:rsidR="009B7575">
        <w:t xml:space="preserve">snížení rozdílů v odměňování za stejnou práci nebo práci stejné hodnoty, </w:t>
      </w:r>
      <w:r w:rsidR="009B7575" w:rsidRPr="009B7575">
        <w:t>snížení vertikální</w:t>
      </w:r>
      <w:r w:rsidR="009B7575">
        <w:t xml:space="preserve"> nebo</w:t>
      </w:r>
      <w:r w:rsidR="009B7575" w:rsidRPr="009B7575">
        <w:t xml:space="preserve"> horizontální segregace</w:t>
      </w:r>
      <w:r w:rsidR="009B7575">
        <w:t xml:space="preserve"> žen a</w:t>
      </w:r>
      <w:r w:rsidR="000677D0">
        <w:t> </w:t>
      </w:r>
      <w:r w:rsidR="009B7575">
        <w:t xml:space="preserve">mužů na trhu práce, </w:t>
      </w:r>
      <w:r w:rsidR="009B7575" w:rsidRPr="009B7575">
        <w:t>usnadnění slučitelnosti pracovního a soukromého života</w:t>
      </w:r>
      <w:r w:rsidR="00E12B95">
        <w:t xml:space="preserve"> a snížení rizika obtěžování na pracovišti. </w:t>
      </w:r>
      <w:r w:rsidR="0055286E">
        <w:t xml:space="preserve">Za účelné </w:t>
      </w:r>
      <w:r w:rsidR="00E12B95">
        <w:t xml:space="preserve">bylo považováno i vynaložení </w:t>
      </w:r>
      <w:r w:rsidR="00823ABC">
        <w:t xml:space="preserve">peněžních prostředků </w:t>
      </w:r>
      <w:r w:rsidR="00E12B95">
        <w:t xml:space="preserve">na smysluplnou </w:t>
      </w:r>
      <w:r w:rsidR="00E12B95" w:rsidRPr="00E12B95">
        <w:t>propagac</w:t>
      </w:r>
      <w:r w:rsidR="00E12B95">
        <w:t>i</w:t>
      </w:r>
      <w:r w:rsidR="00E12B95" w:rsidRPr="00E12B95">
        <w:t xml:space="preserve"> a zvyšování povědomí o tématu</w:t>
      </w:r>
      <w:r w:rsidR="00E12B95">
        <w:t xml:space="preserve"> genderové nerovnosti</w:t>
      </w:r>
      <w:r w:rsidR="00AD75B5">
        <w:t>,</w:t>
      </w:r>
      <w:r w:rsidR="00E12B95">
        <w:t xml:space="preserve"> např. formou vhodného vzdělávání osob ohrožených diskriminací na trhu práce</w:t>
      </w:r>
      <w:r w:rsidR="006905B6">
        <w:t xml:space="preserve">, avšak pouze </w:t>
      </w:r>
      <w:r w:rsidR="00E26B15">
        <w:t>v případě, že projekt zároveň přispěl ke snížení rozdílů mezi ženami a muži v</w:t>
      </w:r>
      <w:r w:rsidR="009B6C02">
        <w:t xml:space="preserve"> </w:t>
      </w:r>
      <w:r w:rsidR="00E26B15">
        <w:t xml:space="preserve">oblastech </w:t>
      </w:r>
      <w:r w:rsidR="006905B6">
        <w:t>uvedený</w:t>
      </w:r>
      <w:r w:rsidR="00E26B15">
        <w:t>ch</w:t>
      </w:r>
      <w:r w:rsidR="006905B6">
        <w:t xml:space="preserve"> v předchozí větě</w:t>
      </w:r>
      <w:r w:rsidR="00E12B95">
        <w:t>.</w:t>
      </w:r>
      <w:r w:rsidR="00135876" w:rsidRPr="00E6602B">
        <w:t xml:space="preserve"> </w:t>
      </w:r>
      <w:r w:rsidR="00B07781" w:rsidRPr="00E6602B">
        <w:t>V</w:t>
      </w:r>
      <w:r w:rsidR="00135876" w:rsidRPr="00E6602B">
        <w:t> konečném důsledku</w:t>
      </w:r>
      <w:r w:rsidR="00135876" w:rsidRPr="00E6602B" w:rsidDel="00227638">
        <w:t xml:space="preserve"> </w:t>
      </w:r>
      <w:r w:rsidR="00B07781" w:rsidRPr="00E6602B">
        <w:t xml:space="preserve">měla </w:t>
      </w:r>
      <w:r w:rsidR="00135876" w:rsidRPr="00E6602B">
        <w:t>podpora v</w:t>
      </w:r>
      <w:r w:rsidR="00B07781" w:rsidRPr="00E6602B">
        <w:t>ést</w:t>
      </w:r>
      <w:r w:rsidR="00135876" w:rsidRPr="00E6602B">
        <w:t xml:space="preserve"> </w:t>
      </w:r>
      <w:r w:rsidR="00C46748">
        <w:t>k</w:t>
      </w:r>
      <w:r w:rsidR="006905B6">
        <w:t> </w:t>
      </w:r>
      <w:r w:rsidR="00C46748">
        <w:t>naplnění</w:t>
      </w:r>
      <w:r w:rsidR="006905B6">
        <w:t xml:space="preserve"> </w:t>
      </w:r>
      <w:r w:rsidR="00C46748">
        <w:t xml:space="preserve">specifického cíle OPZ 1.2.1, kterým </w:t>
      </w:r>
      <w:r w:rsidR="00DF570A">
        <w:t xml:space="preserve">je </w:t>
      </w:r>
      <w:r w:rsidR="00C46748">
        <w:t>s</w:t>
      </w:r>
      <w:r w:rsidR="00C46748" w:rsidRPr="0012441E">
        <w:t>níž</w:t>
      </w:r>
      <w:r w:rsidR="00C46748">
        <w:t>ení</w:t>
      </w:r>
      <w:r w:rsidR="00C46748" w:rsidRPr="0012441E">
        <w:t xml:space="preserve"> rozdíl</w:t>
      </w:r>
      <w:r w:rsidR="00C46748">
        <w:t>ů</w:t>
      </w:r>
      <w:r w:rsidR="00C46748" w:rsidRPr="0012441E">
        <w:t xml:space="preserve"> v postavení žen a mužů na trhu práce</w:t>
      </w:r>
      <w:r w:rsidR="006908F6">
        <w:t>.</w:t>
      </w:r>
      <w:r w:rsidR="00C46748">
        <w:t xml:space="preserve"> </w:t>
      </w:r>
    </w:p>
    <w:p w14:paraId="2C5D4EC6" w14:textId="7716DDE7" w:rsidR="002A0242" w:rsidRDefault="00A90634" w:rsidP="000409CF">
      <w:pPr>
        <w:pStyle w:val="JK3"/>
      </w:pPr>
      <w:r w:rsidRPr="00E6602B">
        <w:t>Hospodárností se rozumí</w:t>
      </w:r>
      <w:r w:rsidR="002A0242">
        <w:t xml:space="preserve"> </w:t>
      </w:r>
      <w:r w:rsidR="002F6690" w:rsidRPr="00BB1583">
        <w:t>použití veřejných prostředků k zajištění stanovených úkolů s</w:t>
      </w:r>
      <w:r w:rsidR="00A62C7D">
        <w:t> </w:t>
      </w:r>
      <w:r w:rsidR="002F6690" w:rsidRPr="00BB1583">
        <w:t>co nejnižším vynaložením těchto prostředků, a to při dodržení odpovídající kvality plněných úkolů</w:t>
      </w:r>
      <w:r w:rsidR="002F6690">
        <w:t>.</w:t>
      </w:r>
      <w:r w:rsidR="002F6690">
        <w:rPr>
          <w:rStyle w:val="Znakapoznpodarou"/>
        </w:rPr>
        <w:footnoteReference w:id="17"/>
      </w:r>
      <w:r w:rsidR="002F6690">
        <w:t xml:space="preserve"> NKÚ při </w:t>
      </w:r>
      <w:r w:rsidR="00AD75B5">
        <w:t>kontrole</w:t>
      </w:r>
      <w:r w:rsidR="002F6690">
        <w:t xml:space="preserve"> hospodárnosti posuzoval zejména </w:t>
      </w:r>
      <w:r w:rsidR="002A0242">
        <w:t>dodržení stanovených nákladových limitů na provedené práce a</w:t>
      </w:r>
      <w:r w:rsidR="00AD75B5">
        <w:t xml:space="preserve"> </w:t>
      </w:r>
      <w:r w:rsidR="002A0242">
        <w:t>na dodávky služeb a</w:t>
      </w:r>
      <w:r w:rsidR="00AD75B5">
        <w:t xml:space="preserve"> </w:t>
      </w:r>
      <w:r w:rsidR="002A0242">
        <w:t>vybavení a zároveň</w:t>
      </w:r>
      <w:r w:rsidR="005B317D" w:rsidRPr="005B317D">
        <w:t xml:space="preserve"> </w:t>
      </w:r>
      <w:r w:rsidR="005B317D">
        <w:t>vykázání nákladů ve výši odpovídající prokazatelně vykonané práci.</w:t>
      </w:r>
    </w:p>
    <w:p w14:paraId="12A3C990" w14:textId="77777777" w:rsidR="00FC057C" w:rsidRDefault="00FC057C" w:rsidP="000409CF">
      <w:pPr>
        <w:pStyle w:val="JK3"/>
      </w:pPr>
      <w:r w:rsidRPr="00DA5431">
        <w:t>NKÚ provedl kontrolu u M</w:t>
      </w:r>
      <w:r w:rsidR="00731936" w:rsidRPr="00DA5431">
        <w:t>PSV</w:t>
      </w:r>
      <w:r w:rsidRPr="00DA5431">
        <w:t xml:space="preserve"> jako řídicího orgánu </w:t>
      </w:r>
      <w:r w:rsidR="00736536">
        <w:t xml:space="preserve">OPZ </w:t>
      </w:r>
      <w:r w:rsidRPr="00DA5431">
        <w:t>a</w:t>
      </w:r>
      <w:r w:rsidR="003107E1" w:rsidRPr="00DA5431">
        <w:t> </w:t>
      </w:r>
      <w:r w:rsidRPr="00DA5431">
        <w:t>u</w:t>
      </w:r>
      <w:r w:rsidR="003107E1" w:rsidRPr="00DA5431">
        <w:t> </w:t>
      </w:r>
      <w:r w:rsidRPr="00DA5431">
        <w:t>vybraných příjemců podpory z t</w:t>
      </w:r>
      <w:r w:rsidR="00B9409B">
        <w:t>ohoto</w:t>
      </w:r>
      <w:r w:rsidRPr="00DA5431">
        <w:t xml:space="preserve"> operačníh</w:t>
      </w:r>
      <w:r w:rsidR="00B9409B">
        <w:t>o</w:t>
      </w:r>
      <w:r w:rsidRPr="00DA5431">
        <w:t xml:space="preserve"> program</w:t>
      </w:r>
      <w:r w:rsidR="00B9409B">
        <w:t>u</w:t>
      </w:r>
      <w:r w:rsidRPr="00DA5431">
        <w:t>.</w:t>
      </w:r>
      <w:r w:rsidR="002469E2" w:rsidRPr="002469E2">
        <w:t xml:space="preserve"> </w:t>
      </w:r>
      <w:r w:rsidR="002469E2">
        <w:t xml:space="preserve">Příjemcem podpory byl subjekt, který u sebe nebo </w:t>
      </w:r>
      <w:r w:rsidR="00E73C5C">
        <w:t xml:space="preserve">u </w:t>
      </w:r>
      <w:r w:rsidR="00F30170">
        <w:t>AO</w:t>
      </w:r>
      <w:r w:rsidR="002469E2">
        <w:t xml:space="preserve"> prováděl genderový audit (výzvy GA), nebo subjekt, který realizoval vybraná doporučení genderového auditu provedeného před realizací projektu (</w:t>
      </w:r>
      <w:r w:rsidR="00B75C5A">
        <w:t>výzvy I</w:t>
      </w:r>
      <w:r w:rsidR="002469E2">
        <w:t>GA).</w:t>
      </w:r>
    </w:p>
    <w:p w14:paraId="307865AA" w14:textId="3FEF12F1" w:rsidR="00B75C5A" w:rsidRDefault="003E3220" w:rsidP="000409CF">
      <w:pPr>
        <w:pStyle w:val="JK3"/>
      </w:pPr>
      <w:r>
        <w:t>NKÚ u MPSV prověřoval</w:t>
      </w:r>
      <w:r w:rsidR="00295CCF">
        <w:t xml:space="preserve"> </w:t>
      </w:r>
      <w:r>
        <w:t>s</w:t>
      </w:r>
      <w:r w:rsidRPr="003E3220">
        <w:t>oulad obsahu výzev GA a IGA se Standardem GA, nastavení parametrů a podmínek výzev GA a IGA k zajištění účelnosti</w:t>
      </w:r>
      <w:r>
        <w:t xml:space="preserve"> podpořených</w:t>
      </w:r>
      <w:r w:rsidRPr="003E3220">
        <w:t xml:space="preserve"> projektů, </w:t>
      </w:r>
      <w:r w:rsidR="00AD75B5" w:rsidRPr="003E3220">
        <w:t>hodnocení a výběr projektů k</w:t>
      </w:r>
      <w:r w:rsidR="00AD75B5">
        <w:t xml:space="preserve"> </w:t>
      </w:r>
      <w:r w:rsidR="00AD75B5" w:rsidRPr="003E3220">
        <w:t>realizaci</w:t>
      </w:r>
      <w:r w:rsidR="00AD75B5">
        <w:t>,</w:t>
      </w:r>
      <w:r w:rsidR="00AD75B5" w:rsidRPr="003E3220">
        <w:t xml:space="preserve"> kontrolní činnost MPSV a dále </w:t>
      </w:r>
      <w:r w:rsidR="00AD75B5">
        <w:t xml:space="preserve">také to, zda </w:t>
      </w:r>
      <w:r w:rsidR="00AD75B5" w:rsidRPr="003E3220">
        <w:t xml:space="preserve">MPSV </w:t>
      </w:r>
      <w:r w:rsidRPr="003E3220">
        <w:t>vyhodnocov</w:t>
      </w:r>
      <w:r w:rsidR="00AD75B5">
        <w:t>alo</w:t>
      </w:r>
      <w:r w:rsidRPr="003E3220">
        <w:t xml:space="preserve"> přínos podpořených projektů GA a IGA </w:t>
      </w:r>
      <w:r w:rsidR="00CF160F">
        <w:t>k</w:t>
      </w:r>
      <w:r w:rsidR="00AD75B5">
        <w:t xml:space="preserve"> naplňování </w:t>
      </w:r>
      <w:r w:rsidR="00CF160F">
        <w:t>SC 1.2.1</w:t>
      </w:r>
      <w:r>
        <w:t>.</w:t>
      </w:r>
    </w:p>
    <w:p w14:paraId="15E1081F" w14:textId="63E49019" w:rsidR="00BC69CC" w:rsidRPr="00DA5431" w:rsidRDefault="00E73C5C" w:rsidP="000409CF">
      <w:pPr>
        <w:pStyle w:val="JK3"/>
      </w:pPr>
      <w:r>
        <w:t>NKÚ provedl o</w:t>
      </w:r>
      <w:r w:rsidR="00BC69CC" w:rsidRPr="00BC69CC">
        <w:t>věření</w:t>
      </w:r>
      <w:r w:rsidR="00BC69CC" w:rsidRPr="00254F90">
        <w:t xml:space="preserve"> </w:t>
      </w:r>
      <w:r w:rsidR="00172DB2">
        <w:t>činností</w:t>
      </w:r>
      <w:r w:rsidR="00BC69CC">
        <w:t xml:space="preserve"> MPSV při stanovování alokace peněžních prostředků na výzvy</w:t>
      </w:r>
      <w:r w:rsidR="00BC69CC" w:rsidRPr="00254F90">
        <w:t xml:space="preserve"> SC 1.2.1 u</w:t>
      </w:r>
      <w:r w:rsidR="00AD75B5">
        <w:t xml:space="preserve"> </w:t>
      </w:r>
      <w:r w:rsidR="00BC69CC" w:rsidRPr="00254F90">
        <w:t xml:space="preserve">výzev </w:t>
      </w:r>
      <w:r w:rsidR="00C25F33">
        <w:t xml:space="preserve">č. 50 a 51 </w:t>
      </w:r>
      <w:r w:rsidR="00AD75B5">
        <w:t>(</w:t>
      </w:r>
      <w:r w:rsidR="00C25F33">
        <w:t xml:space="preserve">pro </w:t>
      </w:r>
      <w:r w:rsidR="00BC69CC" w:rsidRPr="00254F90">
        <w:t>GA</w:t>
      </w:r>
      <w:r w:rsidR="00AD75B5">
        <w:t>)</w:t>
      </w:r>
      <w:r w:rsidR="00BC69CC" w:rsidRPr="00254F90">
        <w:t xml:space="preserve"> a </w:t>
      </w:r>
      <w:r w:rsidR="00C25F33">
        <w:t xml:space="preserve">č. 130 a 131 </w:t>
      </w:r>
      <w:r w:rsidR="00AD75B5">
        <w:t>(</w:t>
      </w:r>
      <w:r w:rsidR="00C25F33">
        <w:t xml:space="preserve">pro </w:t>
      </w:r>
      <w:r w:rsidR="00BC69CC" w:rsidRPr="00254F90">
        <w:t>IGA</w:t>
      </w:r>
      <w:r w:rsidR="00AD75B5">
        <w:t>)</w:t>
      </w:r>
      <w:r w:rsidR="00BC69CC" w:rsidRPr="00254F90">
        <w:t xml:space="preserve"> a dále </w:t>
      </w:r>
      <w:r w:rsidR="00BC69CC">
        <w:t xml:space="preserve">doplňkově </w:t>
      </w:r>
      <w:r w:rsidR="00BC69CC" w:rsidRPr="00254F90">
        <w:t>i u výzev č.</w:t>
      </w:r>
      <w:r w:rsidR="006C2657">
        <w:t> </w:t>
      </w:r>
      <w:r w:rsidR="00BC69CC">
        <w:t>27</w:t>
      </w:r>
      <w:r w:rsidR="002C01C8">
        <w:rPr>
          <w:rStyle w:val="Znakapoznpodarou"/>
        </w:rPr>
        <w:footnoteReference w:id="18"/>
      </w:r>
      <w:r w:rsidR="00BC69CC">
        <w:t xml:space="preserve"> a č. 28.</w:t>
      </w:r>
    </w:p>
    <w:p w14:paraId="75014D2C" w14:textId="5C4C1423" w:rsidR="00B40D2D" w:rsidRDefault="00D6643C" w:rsidP="000409CF">
      <w:pPr>
        <w:pStyle w:val="JK3"/>
      </w:pPr>
      <w:r w:rsidRPr="00D6643C">
        <w:t xml:space="preserve">NKÚ kontroloval </w:t>
      </w:r>
      <w:r w:rsidR="00F80CD7" w:rsidRPr="00D6643C">
        <w:t>pen</w:t>
      </w:r>
      <w:r w:rsidR="00F80CD7">
        <w:t>ěžní prostředky</w:t>
      </w:r>
      <w:r w:rsidRPr="00D6643C">
        <w:t xml:space="preserve"> EU a státního rozpočtu určené na realizaci a</w:t>
      </w:r>
      <w:r w:rsidR="000677D0">
        <w:t> </w:t>
      </w:r>
      <w:r w:rsidRPr="00D6643C">
        <w:t>implementaci genderových auditů, tj.</w:t>
      </w:r>
      <w:r w:rsidR="00AD75B5">
        <w:t xml:space="preserve"> na</w:t>
      </w:r>
      <w:r w:rsidRPr="00D6643C">
        <w:t xml:space="preserve"> projekty realizované v rámci výzev GA a výzev IGA.</w:t>
      </w:r>
      <w:r>
        <w:t xml:space="preserve"> </w:t>
      </w:r>
      <w:r w:rsidR="002469E2" w:rsidRPr="00DA5431">
        <w:t>Ke kontrole byl vybrán vzorek 1</w:t>
      </w:r>
      <w:r w:rsidR="002469E2">
        <w:t>4</w:t>
      </w:r>
      <w:r w:rsidR="002469E2" w:rsidRPr="00DA5431">
        <w:t xml:space="preserve"> projektů realizovaných u 1</w:t>
      </w:r>
      <w:r w:rsidR="002469E2">
        <w:t>4</w:t>
      </w:r>
      <w:r w:rsidR="002469E2" w:rsidRPr="00DA5431">
        <w:t xml:space="preserve"> příjemců podpory (dále také „vybrané projekty“). Vzorek se skládal z</w:t>
      </w:r>
      <w:r w:rsidR="002469E2">
        <w:t xml:space="preserve"> pěti </w:t>
      </w:r>
      <w:r w:rsidR="002469E2" w:rsidRPr="00DA5431">
        <w:t xml:space="preserve">projektů </w:t>
      </w:r>
      <w:r w:rsidR="002469E2">
        <w:t xml:space="preserve">GA </w:t>
      </w:r>
      <w:r w:rsidR="002469E2" w:rsidRPr="00DA5431">
        <w:t>a z </w:t>
      </w:r>
      <w:r w:rsidR="002469E2">
        <w:t>devíti</w:t>
      </w:r>
      <w:r w:rsidR="002469E2" w:rsidRPr="00DA5431">
        <w:t xml:space="preserve"> projektů </w:t>
      </w:r>
      <w:r w:rsidR="002469E2">
        <w:t>IGA</w:t>
      </w:r>
      <w:r w:rsidR="002469E2" w:rsidRPr="00DA5431">
        <w:t xml:space="preserve">. </w:t>
      </w:r>
    </w:p>
    <w:p w14:paraId="4DFA8EDD" w14:textId="3FAA59D7" w:rsidR="0040634E" w:rsidRDefault="005740DC" w:rsidP="000409CF">
      <w:pPr>
        <w:pStyle w:val="JK3"/>
      </w:pPr>
      <w:r>
        <w:t>V</w:t>
      </w:r>
      <w:r w:rsidR="008F1E01" w:rsidRPr="008F1E01">
        <w:t xml:space="preserve"> případě projektů GA </w:t>
      </w:r>
      <w:r w:rsidR="00CE509B">
        <w:t xml:space="preserve">bylo </w:t>
      </w:r>
      <w:r w:rsidR="008F1E01">
        <w:t>prověř</w:t>
      </w:r>
      <w:r w:rsidR="00CE509B">
        <w:t>eno</w:t>
      </w:r>
      <w:r w:rsidR="008F1E01">
        <w:t>, zda</w:t>
      </w:r>
      <w:r w:rsidR="008F1E01" w:rsidRPr="008F1E01">
        <w:t xml:space="preserve"> příjemci podpory realizovali genderové audity v souladu </w:t>
      </w:r>
      <w:r>
        <w:t>s</w:t>
      </w:r>
      <w:r w:rsidR="009B6C02">
        <w:t xml:space="preserve"> </w:t>
      </w:r>
      <w:r>
        <w:t xml:space="preserve">podmínkami poskytnuté podpory </w:t>
      </w:r>
      <w:r w:rsidR="00CE509B">
        <w:t xml:space="preserve">a podle </w:t>
      </w:r>
      <w:r w:rsidR="0090697B">
        <w:t>požadavk</w:t>
      </w:r>
      <w:r w:rsidR="00CE509B">
        <w:t>ů</w:t>
      </w:r>
      <w:r w:rsidR="0090697B">
        <w:t xml:space="preserve"> uvedený</w:t>
      </w:r>
      <w:r w:rsidR="00CE509B">
        <w:t>ch</w:t>
      </w:r>
      <w:r w:rsidR="0090697B">
        <w:t xml:space="preserve"> ve </w:t>
      </w:r>
      <w:r w:rsidR="008F1E01" w:rsidRPr="008F1E01">
        <w:t>Standard</w:t>
      </w:r>
      <w:r w:rsidR="00816302">
        <w:t>u</w:t>
      </w:r>
      <w:r w:rsidR="008F1E01" w:rsidRPr="008F1E01">
        <w:t xml:space="preserve"> GA</w:t>
      </w:r>
      <w:r w:rsidR="00C96756">
        <w:t xml:space="preserve">, který stanovuje </w:t>
      </w:r>
      <w:r w:rsidR="00CE509B">
        <w:t>nároky</w:t>
      </w:r>
      <w:r w:rsidR="00C96756">
        <w:t xml:space="preserve"> na kvalitně provedený genderový audit</w:t>
      </w:r>
      <w:r>
        <w:t>.</w:t>
      </w:r>
      <w:r w:rsidR="0040634E">
        <w:t xml:space="preserve"> </w:t>
      </w:r>
      <w:r w:rsidR="0090697B">
        <w:t xml:space="preserve">Zároveň NKÚ hodnotil, zda projekty GA měly potenciál přispět k naplnění </w:t>
      </w:r>
      <w:r w:rsidR="00CE509B">
        <w:t>SC</w:t>
      </w:r>
      <w:r w:rsidR="0090697B">
        <w:t xml:space="preserve"> 1.2.1, tedy ke s</w:t>
      </w:r>
      <w:r w:rsidR="0090697B" w:rsidRPr="0012441E">
        <w:t>níž</w:t>
      </w:r>
      <w:r w:rsidR="0090697B">
        <w:t>ení</w:t>
      </w:r>
      <w:r w:rsidR="0090697B" w:rsidRPr="0012441E">
        <w:t xml:space="preserve"> rozdíl</w:t>
      </w:r>
      <w:r w:rsidR="0090697B">
        <w:t>ů</w:t>
      </w:r>
      <w:r w:rsidR="0090697B" w:rsidRPr="0012441E">
        <w:t xml:space="preserve"> v</w:t>
      </w:r>
      <w:r w:rsidR="00CE509B">
        <w:t> </w:t>
      </w:r>
      <w:r w:rsidR="0090697B" w:rsidRPr="0012441E">
        <w:t>postavení žen a mužů na trhu práce</w:t>
      </w:r>
      <w:r w:rsidR="00816302">
        <w:t>.</w:t>
      </w:r>
    </w:p>
    <w:p w14:paraId="2047941F" w14:textId="49FC7C2D" w:rsidR="00292A07" w:rsidRDefault="00CF160F" w:rsidP="000409CF">
      <w:pPr>
        <w:pStyle w:val="JK3"/>
      </w:pPr>
      <w:r w:rsidRPr="00292A07">
        <w:t xml:space="preserve">V případě projektů IGA </w:t>
      </w:r>
      <w:r w:rsidR="00CE509B">
        <w:t xml:space="preserve">kontrola </w:t>
      </w:r>
      <w:r w:rsidRPr="00292A07">
        <w:t>prověř</w:t>
      </w:r>
      <w:r w:rsidR="00CE509B">
        <w:t>ila</w:t>
      </w:r>
      <w:r w:rsidRPr="00292A07">
        <w:t>, z</w:t>
      </w:r>
      <w:r w:rsidR="008F1E01" w:rsidRPr="00292A07">
        <w:t>da příjemci podpory implementovali doporučení uvedená v genderovém auditu</w:t>
      </w:r>
      <w:r w:rsidR="006E0CF6" w:rsidRPr="00292A07">
        <w:t xml:space="preserve">, </w:t>
      </w:r>
      <w:r w:rsidR="00741086" w:rsidRPr="00292A07">
        <w:t xml:space="preserve">zda </w:t>
      </w:r>
      <w:r w:rsidR="008F1E01" w:rsidRPr="00292A07">
        <w:t>splnili další stanovené podmínky poskytnuté podpory</w:t>
      </w:r>
      <w:r w:rsidR="00B40D2D" w:rsidRPr="00292A07">
        <w:t xml:space="preserve"> </w:t>
      </w:r>
      <w:r w:rsidR="00957E60" w:rsidRPr="00292A07">
        <w:t>a</w:t>
      </w:r>
      <w:r w:rsidR="00CE509B">
        <w:t xml:space="preserve"> </w:t>
      </w:r>
      <w:r w:rsidR="00957E60" w:rsidRPr="00292A07">
        <w:t xml:space="preserve">zda implementace doporučení přispěla </w:t>
      </w:r>
      <w:r w:rsidR="00CE509B">
        <w:t>(</w:t>
      </w:r>
      <w:r w:rsidR="00957E60" w:rsidRPr="00292A07">
        <w:t>nebo měla potenciál přispět</w:t>
      </w:r>
      <w:r w:rsidR="00CE509B">
        <w:t>)</w:t>
      </w:r>
      <w:r w:rsidR="00957E60" w:rsidRPr="00292A07">
        <w:t xml:space="preserve"> k naplnění </w:t>
      </w:r>
      <w:r w:rsidR="000E193D" w:rsidRPr="00292A07">
        <w:t xml:space="preserve">jednotlivých dílčích cílů </w:t>
      </w:r>
      <w:r w:rsidR="00957E60" w:rsidRPr="00292A07">
        <w:t xml:space="preserve">SC 1.2.1 </w:t>
      </w:r>
      <w:r w:rsidR="00C25F33">
        <w:t>uvedených</w:t>
      </w:r>
      <w:r w:rsidR="000E193D" w:rsidRPr="00292A07">
        <w:t xml:space="preserve"> </w:t>
      </w:r>
      <w:r w:rsidR="00957E60" w:rsidRPr="00292A07">
        <w:t>v bodě 2.</w:t>
      </w:r>
      <w:r w:rsidR="007E73B8">
        <w:t>12</w:t>
      </w:r>
      <w:r w:rsidR="00CE509B">
        <w:t xml:space="preserve"> tohoto</w:t>
      </w:r>
      <w:r w:rsidR="00957E60" w:rsidRPr="00292A07">
        <w:t xml:space="preserve"> kontrolního závěru.</w:t>
      </w:r>
    </w:p>
    <w:p w14:paraId="750A28F3" w14:textId="522F27B9" w:rsidR="002469E2" w:rsidRPr="00810D3D" w:rsidRDefault="001B35A1" w:rsidP="000409CF">
      <w:pPr>
        <w:pStyle w:val="JK3"/>
      </w:pPr>
      <w:r>
        <w:t xml:space="preserve">NKÚ provedl kontrolu </w:t>
      </w:r>
      <w:r w:rsidR="002469E2" w:rsidRPr="00DA5431">
        <w:t>projektů</w:t>
      </w:r>
      <w:r>
        <w:t>, jejichž</w:t>
      </w:r>
      <w:r w:rsidR="002469E2">
        <w:t xml:space="preserve"> r</w:t>
      </w:r>
      <w:r w:rsidR="002469E2" w:rsidRPr="00810D3D">
        <w:t>ealizace byla ukončena</w:t>
      </w:r>
      <w:r w:rsidR="002469E2">
        <w:t xml:space="preserve">. Ve vzorku kontrolovaných projektů byly </w:t>
      </w:r>
      <w:r w:rsidR="00C04F52">
        <w:t>z hlediska počtu zaměstnaných osob</w:t>
      </w:r>
      <w:r w:rsidR="002469E2">
        <w:t xml:space="preserve"> zastoupeny projekty reprezentující malé, střední i velké </w:t>
      </w:r>
      <w:r w:rsidR="00A92177">
        <w:t>podniky</w:t>
      </w:r>
      <w:r w:rsidR="002469E2">
        <w:t xml:space="preserve">. Dalším výběrovým hlediskem bylo zastoupení projektů </w:t>
      </w:r>
      <w:r w:rsidR="002469E2" w:rsidRPr="00810D3D">
        <w:t>s dopadem v</w:t>
      </w:r>
      <w:r w:rsidR="009B6C02">
        <w:t xml:space="preserve"> </w:t>
      </w:r>
      <w:r w:rsidR="002469E2" w:rsidRPr="00810D3D">
        <w:t>méně</w:t>
      </w:r>
      <w:r w:rsidR="00942C59">
        <w:t xml:space="preserve"> </w:t>
      </w:r>
      <w:r w:rsidR="002469E2" w:rsidRPr="00810D3D">
        <w:t>rozvinutých regionech</w:t>
      </w:r>
      <w:r w:rsidR="00942C59">
        <w:t xml:space="preserve"> i</w:t>
      </w:r>
      <w:r w:rsidR="002469E2" w:rsidRPr="00810D3D">
        <w:t xml:space="preserve"> ve více rozvinutých regionech dle klasifikace regionů EU dle hospodářské vyspělosti</w:t>
      </w:r>
      <w:r w:rsidR="002469E2">
        <w:t xml:space="preserve">. Vzorek zahrnoval </w:t>
      </w:r>
      <w:r w:rsidR="00942C59">
        <w:t xml:space="preserve">také </w:t>
      </w:r>
      <w:r w:rsidR="007C2B36">
        <w:t>projekty</w:t>
      </w:r>
      <w:r w:rsidR="002469E2">
        <w:t>, u nichž poskytovatel provedl kontrolu na místě.</w:t>
      </w:r>
    </w:p>
    <w:p w14:paraId="21D1DB41" w14:textId="2CB08C88" w:rsidR="00296066" w:rsidRDefault="00333763" w:rsidP="000409CF">
      <w:pPr>
        <w:pStyle w:val="JK3"/>
      </w:pPr>
      <w:r w:rsidRPr="00292A07">
        <w:t xml:space="preserve">Přehled počtu </w:t>
      </w:r>
      <w:r w:rsidR="00C12E3E" w:rsidRPr="00292A07">
        <w:t xml:space="preserve">schválených </w:t>
      </w:r>
      <w:r w:rsidRPr="00292A07">
        <w:t xml:space="preserve">projektů, </w:t>
      </w:r>
      <w:r w:rsidR="00C12E3E" w:rsidRPr="00292A07">
        <w:t xml:space="preserve">objem schválených dotačních prostředků, objem proplacených dotací na realizované projekty </w:t>
      </w:r>
      <w:r w:rsidR="00C04F52" w:rsidRPr="00292A07">
        <w:t xml:space="preserve">a </w:t>
      </w:r>
      <w:r w:rsidR="00C12E3E" w:rsidRPr="00292A07">
        <w:t xml:space="preserve">počet </w:t>
      </w:r>
      <w:r w:rsidR="00056B82" w:rsidRPr="00292A07">
        <w:t xml:space="preserve">a objem dotací u </w:t>
      </w:r>
      <w:r w:rsidR="00C12E3E" w:rsidRPr="00292A07">
        <w:t>projekt</w:t>
      </w:r>
      <w:r w:rsidR="00056B82" w:rsidRPr="00292A07">
        <w:t xml:space="preserve">ů kontrolovaných NKÚ u </w:t>
      </w:r>
      <w:r w:rsidR="00C04F52" w:rsidRPr="00292A07">
        <w:t xml:space="preserve">příjemců </w:t>
      </w:r>
      <w:r w:rsidR="00CE509B">
        <w:t>uvádí</w:t>
      </w:r>
      <w:r w:rsidRPr="00292A07">
        <w:t xml:space="preserve"> tabul</w:t>
      </w:r>
      <w:r w:rsidR="00CE509B">
        <w:t>ka</w:t>
      </w:r>
      <w:r w:rsidRPr="00292A07">
        <w:t xml:space="preserve"> č. </w:t>
      </w:r>
      <w:r w:rsidR="00C04F52" w:rsidRPr="00292A07">
        <w:t>2</w:t>
      </w:r>
      <w:r w:rsidR="00D91A84" w:rsidRPr="00292A07">
        <w:t xml:space="preserve"> </w:t>
      </w:r>
      <w:r w:rsidR="00C25F33">
        <w:t xml:space="preserve">a </w:t>
      </w:r>
      <w:r w:rsidR="00D91A84" w:rsidRPr="00292A07">
        <w:t>přílo</w:t>
      </w:r>
      <w:r w:rsidR="00CE509B">
        <w:t>ha</w:t>
      </w:r>
      <w:r w:rsidR="00D91A84" w:rsidRPr="00292A07">
        <w:t xml:space="preserve"> č. 1</w:t>
      </w:r>
      <w:r w:rsidRPr="00292A07">
        <w:t>.</w:t>
      </w:r>
    </w:p>
    <w:p w14:paraId="0AD51286" w14:textId="41CAF394" w:rsidR="00C867F7" w:rsidRPr="00DA5431" w:rsidRDefault="00C867F7" w:rsidP="00C867F7">
      <w:pPr>
        <w:pStyle w:val="JK3"/>
      </w:pPr>
      <w:r>
        <w:t>NKÚ zkontroloval peněžní prostředky ze zdrojů EU a státního rozpočtu v celkové výši 40</w:t>
      </w:r>
      <w:r w:rsidR="00C31B66">
        <w:t> </w:t>
      </w:r>
      <w:r>
        <w:t>mil. Kč. Z toho</w:t>
      </w:r>
      <w:r w:rsidDel="00E058F3">
        <w:t xml:space="preserve"> </w:t>
      </w:r>
      <w:r>
        <w:t>24 mil. Kč činil objem prostředků proplacených příjemcům dotací (viz tabulka č. 2). NKÚ dále prověřil proces hodnocení projektových žádostí o dotace v hodnotě 16 mil</w:t>
      </w:r>
      <w:r w:rsidR="00CE509B">
        <w:t>.</w:t>
      </w:r>
      <w:r>
        <w:t xml:space="preserve"> Kč.</w:t>
      </w:r>
    </w:p>
    <w:p w14:paraId="2B346437" w14:textId="77777777" w:rsidR="00C867F7" w:rsidRDefault="00C867F7" w:rsidP="00C867F7">
      <w:pPr>
        <w:pStyle w:val="JK3"/>
      </w:pPr>
      <w:r w:rsidRPr="006F508C">
        <w:t>Kontrolovaným</w:t>
      </w:r>
      <w:r w:rsidRPr="00DA5431">
        <w:t xml:space="preserve"> obdobím byly roky 201</w:t>
      </w:r>
      <w:r>
        <w:t>4</w:t>
      </w:r>
      <w:r w:rsidRPr="00DA5431">
        <w:t xml:space="preserve"> až 2021, v případě věcných souvislostí i období předcházející a následující. </w:t>
      </w:r>
    </w:p>
    <w:p w14:paraId="13F55B0A" w14:textId="77777777" w:rsidR="00C867F7" w:rsidRPr="00C867F7" w:rsidRDefault="00C867F7" w:rsidP="00C867F7">
      <w:pPr>
        <w:spacing w:before="120" w:after="120" w:line="240" w:lineRule="auto"/>
        <w:ind w:left="567" w:hanging="567"/>
        <w:jc w:val="both"/>
        <w:rPr>
          <w:b/>
          <w:sz w:val="24"/>
          <w:szCs w:val="24"/>
        </w:rPr>
      </w:pPr>
    </w:p>
    <w:p w14:paraId="46B245EE" w14:textId="77777777" w:rsidR="00C867F7" w:rsidRDefault="00C867F7" w:rsidP="00C867F7">
      <w:pPr>
        <w:spacing w:before="120" w:after="120" w:line="240" w:lineRule="auto"/>
        <w:ind w:left="567" w:hanging="567"/>
        <w:jc w:val="both"/>
        <w:rPr>
          <w:sz w:val="20"/>
        </w:rPr>
      </w:pPr>
      <w:r w:rsidRPr="00BF1670">
        <w:rPr>
          <w:b/>
          <w:sz w:val="20"/>
        </w:rPr>
        <w:t>Pozn.:</w:t>
      </w:r>
      <w:r>
        <w:rPr>
          <w:sz w:val="20"/>
        </w:rPr>
        <w:tab/>
      </w:r>
      <w:r w:rsidRPr="005846CC">
        <w:rPr>
          <w:sz w:val="20"/>
        </w:rPr>
        <w:t>Právní předpisy uvedené v tomto kontrolním závěru jsou aplikovány ve znění účinném pro kontrolované období.</w:t>
      </w:r>
    </w:p>
    <w:p w14:paraId="40319740" w14:textId="77777777" w:rsidR="00C867F7" w:rsidRPr="00292A07" w:rsidRDefault="00C867F7" w:rsidP="00C867F7">
      <w:pPr>
        <w:pStyle w:val="JK3"/>
        <w:numPr>
          <w:ilvl w:val="0"/>
          <w:numId w:val="0"/>
        </w:numPr>
      </w:pPr>
    </w:p>
    <w:p w14:paraId="49843948" w14:textId="1395FA78" w:rsidR="00296066" w:rsidRPr="000409CF" w:rsidRDefault="00296066" w:rsidP="00495048">
      <w:pPr>
        <w:keepNext/>
        <w:tabs>
          <w:tab w:val="right" w:pos="9072"/>
        </w:tabs>
        <w:spacing w:after="40" w:line="240" w:lineRule="auto"/>
        <w:ind w:left="1304" w:hanging="1304"/>
        <w:rPr>
          <w:rFonts w:ascii="Calibri" w:hAnsi="Calibri" w:cs="Calibri"/>
          <w:b/>
          <w:color w:val="000000" w:themeColor="text1"/>
          <w:sz w:val="24"/>
          <w:szCs w:val="24"/>
        </w:rPr>
      </w:pPr>
      <w:r w:rsidRPr="000409CF">
        <w:rPr>
          <w:rFonts w:ascii="Calibri" w:hAnsi="Calibri" w:cs="Calibri"/>
          <w:b/>
          <w:color w:val="000000" w:themeColor="text1"/>
          <w:sz w:val="24"/>
          <w:szCs w:val="24"/>
        </w:rPr>
        <w:t xml:space="preserve">Tabulka č. </w:t>
      </w:r>
      <w:r w:rsidR="00C04F52" w:rsidRPr="000409CF">
        <w:rPr>
          <w:rFonts w:ascii="Calibri" w:hAnsi="Calibri" w:cs="Calibri"/>
          <w:b/>
          <w:color w:val="000000" w:themeColor="text1"/>
          <w:sz w:val="24"/>
          <w:szCs w:val="24"/>
        </w:rPr>
        <w:t>2</w:t>
      </w:r>
      <w:r w:rsidRPr="000409CF">
        <w:rPr>
          <w:rFonts w:ascii="Calibri" w:hAnsi="Calibri" w:cs="Calibri"/>
          <w:b/>
          <w:color w:val="000000" w:themeColor="text1"/>
          <w:sz w:val="24"/>
          <w:szCs w:val="24"/>
        </w:rPr>
        <w:t xml:space="preserve">: </w:t>
      </w:r>
      <w:r w:rsidR="00021C8B">
        <w:rPr>
          <w:rFonts w:ascii="Calibri" w:hAnsi="Calibri" w:cs="Calibri"/>
          <w:b/>
          <w:color w:val="000000" w:themeColor="text1"/>
          <w:sz w:val="24"/>
          <w:szCs w:val="24"/>
        </w:rPr>
        <w:tab/>
      </w:r>
      <w:r w:rsidRPr="000409CF">
        <w:rPr>
          <w:rFonts w:ascii="Calibri" w:hAnsi="Calibri" w:cs="Calibri"/>
          <w:b/>
          <w:color w:val="000000" w:themeColor="text1"/>
          <w:sz w:val="24"/>
          <w:szCs w:val="24"/>
        </w:rPr>
        <w:t xml:space="preserve">Přehled počtu projektů a </w:t>
      </w:r>
      <w:r w:rsidR="00CE509B" w:rsidRPr="000409CF">
        <w:rPr>
          <w:rFonts w:ascii="Calibri" w:hAnsi="Calibri" w:cs="Calibri"/>
          <w:b/>
          <w:color w:val="000000" w:themeColor="text1"/>
          <w:sz w:val="24"/>
          <w:szCs w:val="24"/>
        </w:rPr>
        <w:t xml:space="preserve">peněžních </w:t>
      </w:r>
      <w:r w:rsidRPr="000409CF">
        <w:rPr>
          <w:rFonts w:ascii="Calibri" w:hAnsi="Calibri" w:cs="Calibri"/>
          <w:b/>
          <w:color w:val="000000" w:themeColor="text1"/>
          <w:sz w:val="24"/>
          <w:szCs w:val="24"/>
        </w:rPr>
        <w:t>objemů kontrolovaných NKÚ u příjemců podpory</w:t>
      </w:r>
    </w:p>
    <w:tbl>
      <w:tblPr>
        <w:tblW w:w="91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191"/>
        <w:gridCol w:w="1148"/>
        <w:gridCol w:w="1571"/>
        <w:gridCol w:w="1717"/>
        <w:gridCol w:w="1552"/>
        <w:gridCol w:w="1954"/>
      </w:tblGrid>
      <w:tr w:rsidR="00D37DC8" w:rsidRPr="00C12E3E" w14:paraId="64A8A754" w14:textId="77777777" w:rsidTr="00CB08AF">
        <w:trPr>
          <w:trHeight w:val="1487"/>
        </w:trPr>
        <w:tc>
          <w:tcPr>
            <w:tcW w:w="1191" w:type="dxa"/>
            <w:vMerge w:val="restart"/>
            <w:shd w:val="clear" w:color="000000" w:fill="E5F1FF"/>
            <w:vAlign w:val="center"/>
            <w:hideMark/>
          </w:tcPr>
          <w:p w14:paraId="7096607C" w14:textId="77777777" w:rsidR="00D37DC8" w:rsidRPr="00C12E3E" w:rsidRDefault="00D37DC8" w:rsidP="00C12E3E">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Výzvy</w:t>
            </w:r>
          </w:p>
        </w:tc>
        <w:tc>
          <w:tcPr>
            <w:tcW w:w="1148" w:type="dxa"/>
            <w:vMerge w:val="restart"/>
            <w:shd w:val="clear" w:color="000000" w:fill="E5F1FF"/>
            <w:vAlign w:val="center"/>
            <w:hideMark/>
          </w:tcPr>
          <w:p w14:paraId="54007360" w14:textId="77777777" w:rsidR="00D37DC8" w:rsidRPr="00C12E3E" w:rsidRDefault="00D37DC8" w:rsidP="00C12E3E">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Počet schválených projektů ve výzv</w:t>
            </w:r>
            <w:r>
              <w:rPr>
                <w:rFonts w:ascii="Calibri" w:eastAsia="Times New Roman" w:hAnsi="Calibri" w:cs="Calibri"/>
                <w:b/>
                <w:bCs/>
                <w:color w:val="000000"/>
                <w:sz w:val="20"/>
                <w:szCs w:val="20"/>
                <w:lang w:eastAsia="cs-CZ"/>
              </w:rPr>
              <w:t>ě</w:t>
            </w:r>
          </w:p>
        </w:tc>
        <w:tc>
          <w:tcPr>
            <w:tcW w:w="1571" w:type="dxa"/>
            <w:shd w:val="clear" w:color="000000" w:fill="E5F1FF"/>
            <w:vAlign w:val="center"/>
            <w:hideMark/>
          </w:tcPr>
          <w:p w14:paraId="30570D4E" w14:textId="2684BE8E" w:rsidR="00D37DC8" w:rsidRPr="00C12E3E" w:rsidRDefault="00D37DC8" w:rsidP="00C12E3E">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Objem dotačních prostředků</w:t>
            </w:r>
            <w:r w:rsidR="006E7D24">
              <w:rPr>
                <w:rFonts w:ascii="Calibri" w:eastAsia="Times New Roman" w:hAnsi="Calibri" w:cs="Calibri"/>
                <w:b/>
                <w:bCs/>
                <w:color w:val="000000"/>
                <w:sz w:val="20"/>
                <w:szCs w:val="20"/>
                <w:lang w:eastAsia="cs-CZ"/>
              </w:rPr>
              <w:t xml:space="preserve"> z</w:t>
            </w:r>
            <w:r w:rsidR="00CE509B">
              <w:rPr>
                <w:rFonts w:ascii="Calibri" w:eastAsia="Times New Roman" w:hAnsi="Calibri" w:cs="Calibri"/>
                <w:b/>
                <w:bCs/>
                <w:color w:val="000000"/>
                <w:sz w:val="20"/>
                <w:szCs w:val="20"/>
                <w:lang w:eastAsia="cs-CZ"/>
              </w:rPr>
              <w:t> </w:t>
            </w:r>
            <w:r w:rsidR="006E7D24">
              <w:rPr>
                <w:rFonts w:ascii="Calibri" w:eastAsia="Times New Roman" w:hAnsi="Calibri" w:cs="Calibri"/>
                <w:b/>
                <w:bCs/>
                <w:color w:val="000000"/>
                <w:sz w:val="20"/>
                <w:szCs w:val="20"/>
                <w:lang w:eastAsia="cs-CZ"/>
              </w:rPr>
              <w:t>výzvy</w:t>
            </w:r>
            <w:r w:rsidRPr="00C12E3E">
              <w:rPr>
                <w:rFonts w:ascii="Calibri" w:eastAsia="Times New Roman" w:hAnsi="Calibri" w:cs="Calibri"/>
                <w:b/>
                <w:bCs/>
                <w:color w:val="000000"/>
                <w:sz w:val="20"/>
                <w:szCs w:val="20"/>
                <w:lang w:eastAsia="cs-CZ"/>
              </w:rPr>
              <w:t xml:space="preserve"> </w:t>
            </w:r>
            <w:r>
              <w:rPr>
                <w:rFonts w:ascii="Calibri" w:eastAsia="Times New Roman" w:hAnsi="Calibri" w:cs="Calibri"/>
                <w:b/>
                <w:bCs/>
                <w:color w:val="000000"/>
                <w:sz w:val="20"/>
                <w:szCs w:val="20"/>
                <w:lang w:eastAsia="cs-CZ"/>
              </w:rPr>
              <w:t xml:space="preserve">pro projekty </w:t>
            </w:r>
            <w:r w:rsidRPr="00C12E3E">
              <w:rPr>
                <w:rFonts w:ascii="Calibri" w:eastAsia="Times New Roman" w:hAnsi="Calibri" w:cs="Calibri"/>
                <w:b/>
                <w:bCs/>
                <w:color w:val="000000"/>
                <w:sz w:val="20"/>
                <w:szCs w:val="20"/>
                <w:lang w:eastAsia="cs-CZ"/>
              </w:rPr>
              <w:t>schválen</w:t>
            </w:r>
            <w:r>
              <w:rPr>
                <w:rFonts w:ascii="Calibri" w:eastAsia="Times New Roman" w:hAnsi="Calibri" w:cs="Calibri"/>
                <w:b/>
                <w:bCs/>
                <w:color w:val="000000"/>
                <w:sz w:val="20"/>
                <w:szCs w:val="20"/>
                <w:lang w:eastAsia="cs-CZ"/>
              </w:rPr>
              <w:t>é</w:t>
            </w:r>
            <w:r w:rsidRPr="00C12E3E">
              <w:rPr>
                <w:rFonts w:ascii="Calibri" w:eastAsia="Times New Roman" w:hAnsi="Calibri" w:cs="Calibri"/>
                <w:b/>
                <w:bCs/>
                <w:color w:val="000000"/>
                <w:sz w:val="20"/>
                <w:szCs w:val="20"/>
                <w:lang w:eastAsia="cs-CZ"/>
              </w:rPr>
              <w:t xml:space="preserve"> </w:t>
            </w:r>
            <w:r w:rsidR="006E7D24">
              <w:rPr>
                <w:rFonts w:ascii="Calibri" w:eastAsia="Times New Roman" w:hAnsi="Calibri" w:cs="Calibri"/>
                <w:b/>
                <w:bCs/>
                <w:color w:val="000000"/>
                <w:sz w:val="20"/>
                <w:szCs w:val="20"/>
                <w:lang w:eastAsia="cs-CZ"/>
              </w:rPr>
              <w:t>k</w:t>
            </w:r>
            <w:r w:rsidR="00CE509B">
              <w:rPr>
                <w:rFonts w:ascii="Calibri" w:eastAsia="Times New Roman" w:hAnsi="Calibri" w:cs="Calibri"/>
                <w:b/>
                <w:bCs/>
                <w:color w:val="000000"/>
                <w:sz w:val="20"/>
                <w:szCs w:val="20"/>
                <w:lang w:eastAsia="cs-CZ"/>
              </w:rPr>
              <w:t> </w:t>
            </w:r>
            <w:r w:rsidR="006E7D24">
              <w:rPr>
                <w:rFonts w:ascii="Calibri" w:eastAsia="Times New Roman" w:hAnsi="Calibri" w:cs="Calibri"/>
                <w:b/>
                <w:bCs/>
                <w:color w:val="000000"/>
                <w:sz w:val="20"/>
                <w:szCs w:val="20"/>
                <w:lang w:eastAsia="cs-CZ"/>
              </w:rPr>
              <w:t>realizaci</w:t>
            </w:r>
          </w:p>
        </w:tc>
        <w:tc>
          <w:tcPr>
            <w:tcW w:w="1717" w:type="dxa"/>
            <w:shd w:val="clear" w:color="000000" w:fill="E5F1FF"/>
            <w:vAlign w:val="center"/>
            <w:hideMark/>
          </w:tcPr>
          <w:p w14:paraId="16A6449A" w14:textId="0353870A" w:rsidR="00D37DC8" w:rsidRPr="00C12E3E" w:rsidRDefault="00D37DC8" w:rsidP="00C12E3E">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 xml:space="preserve">Objem </w:t>
            </w:r>
            <w:r w:rsidR="00CB08AF" w:rsidRPr="00C12E3E">
              <w:rPr>
                <w:rFonts w:ascii="Calibri" w:eastAsia="Times New Roman" w:hAnsi="Calibri" w:cs="Calibri"/>
                <w:b/>
                <w:bCs/>
                <w:color w:val="000000"/>
                <w:sz w:val="20"/>
                <w:szCs w:val="20"/>
                <w:lang w:eastAsia="cs-CZ"/>
              </w:rPr>
              <w:t xml:space="preserve">dotací </w:t>
            </w:r>
            <w:r w:rsidR="00CB08AF">
              <w:rPr>
                <w:rFonts w:ascii="Calibri" w:eastAsia="Times New Roman" w:hAnsi="Calibri" w:cs="Calibri"/>
                <w:b/>
                <w:bCs/>
                <w:color w:val="000000"/>
                <w:sz w:val="20"/>
                <w:szCs w:val="20"/>
                <w:lang w:eastAsia="cs-CZ"/>
              </w:rPr>
              <w:t>vy</w:t>
            </w:r>
            <w:r w:rsidRPr="00C12E3E">
              <w:rPr>
                <w:rFonts w:ascii="Calibri" w:eastAsia="Times New Roman" w:hAnsi="Calibri" w:cs="Calibri"/>
                <w:b/>
                <w:bCs/>
                <w:color w:val="000000"/>
                <w:sz w:val="20"/>
                <w:szCs w:val="20"/>
                <w:lang w:eastAsia="cs-CZ"/>
              </w:rPr>
              <w:t xml:space="preserve">placených </w:t>
            </w:r>
            <w:r w:rsidR="00CB08AF">
              <w:rPr>
                <w:rFonts w:ascii="Calibri" w:eastAsia="Times New Roman" w:hAnsi="Calibri" w:cs="Calibri"/>
                <w:b/>
                <w:bCs/>
                <w:color w:val="000000"/>
                <w:sz w:val="20"/>
                <w:szCs w:val="20"/>
                <w:lang w:eastAsia="cs-CZ"/>
              </w:rPr>
              <w:t>(</w:t>
            </w:r>
            <w:r w:rsidR="006E7D24">
              <w:rPr>
                <w:rFonts w:ascii="Calibri" w:eastAsia="Times New Roman" w:hAnsi="Calibri" w:cs="Calibri"/>
                <w:b/>
                <w:bCs/>
                <w:color w:val="000000"/>
                <w:sz w:val="20"/>
                <w:szCs w:val="20"/>
                <w:lang w:eastAsia="cs-CZ"/>
              </w:rPr>
              <w:t>z výzvy</w:t>
            </w:r>
            <w:r w:rsidR="00CB08AF">
              <w:rPr>
                <w:rFonts w:ascii="Calibri" w:eastAsia="Times New Roman" w:hAnsi="Calibri" w:cs="Calibri"/>
                <w:b/>
                <w:bCs/>
                <w:color w:val="000000"/>
                <w:sz w:val="20"/>
                <w:szCs w:val="20"/>
                <w:lang w:eastAsia="cs-CZ"/>
              </w:rPr>
              <w:t>)</w:t>
            </w:r>
            <w:r w:rsidR="006E7D24">
              <w:rPr>
                <w:rFonts w:ascii="Calibri" w:eastAsia="Times New Roman" w:hAnsi="Calibri" w:cs="Calibri"/>
                <w:b/>
                <w:bCs/>
                <w:color w:val="000000"/>
                <w:sz w:val="20"/>
                <w:szCs w:val="20"/>
                <w:lang w:eastAsia="cs-CZ"/>
              </w:rPr>
              <w:t xml:space="preserve"> </w:t>
            </w:r>
            <w:r w:rsidRPr="00C12E3E">
              <w:rPr>
                <w:rFonts w:ascii="Calibri" w:eastAsia="Times New Roman" w:hAnsi="Calibri" w:cs="Calibri"/>
                <w:b/>
                <w:bCs/>
                <w:color w:val="000000"/>
                <w:sz w:val="20"/>
                <w:szCs w:val="20"/>
                <w:lang w:eastAsia="cs-CZ"/>
              </w:rPr>
              <w:t>na realizované projekty</w:t>
            </w:r>
          </w:p>
        </w:tc>
        <w:tc>
          <w:tcPr>
            <w:tcW w:w="1552" w:type="dxa"/>
            <w:vMerge w:val="restart"/>
            <w:shd w:val="clear" w:color="000000" w:fill="E5F1FF"/>
            <w:vAlign w:val="center"/>
            <w:hideMark/>
          </w:tcPr>
          <w:p w14:paraId="03A28491" w14:textId="77777777" w:rsidR="00D37DC8" w:rsidRPr="00C12E3E" w:rsidRDefault="00D37DC8" w:rsidP="00C12E3E">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Počet projektů kontrolovaných NKÚ u příjemc</w:t>
            </w:r>
            <w:r>
              <w:rPr>
                <w:rFonts w:ascii="Calibri" w:eastAsia="Times New Roman" w:hAnsi="Calibri" w:cs="Calibri"/>
                <w:b/>
                <w:bCs/>
                <w:color w:val="000000"/>
                <w:sz w:val="20"/>
                <w:szCs w:val="20"/>
                <w:lang w:eastAsia="cs-CZ"/>
              </w:rPr>
              <w:t>ů</w:t>
            </w:r>
          </w:p>
        </w:tc>
        <w:tc>
          <w:tcPr>
            <w:tcW w:w="1954" w:type="dxa"/>
            <w:shd w:val="clear" w:color="000000" w:fill="E5F1FF"/>
            <w:vAlign w:val="center"/>
            <w:hideMark/>
          </w:tcPr>
          <w:p w14:paraId="0CC46022" w14:textId="55233ABA" w:rsidR="00D37DC8" w:rsidRPr="00C12E3E" w:rsidRDefault="00D37DC8" w:rsidP="00C12E3E">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 xml:space="preserve">Objem </w:t>
            </w:r>
            <w:r w:rsidR="00CB08AF">
              <w:rPr>
                <w:rFonts w:ascii="Calibri" w:eastAsia="Times New Roman" w:hAnsi="Calibri" w:cs="Calibri"/>
                <w:b/>
                <w:bCs/>
                <w:color w:val="000000"/>
                <w:sz w:val="20"/>
                <w:szCs w:val="20"/>
                <w:lang w:eastAsia="cs-CZ"/>
              </w:rPr>
              <w:t>dotací</w:t>
            </w:r>
            <w:r w:rsidR="00CB08AF" w:rsidRPr="00C12E3E">
              <w:rPr>
                <w:rFonts w:ascii="Calibri" w:eastAsia="Times New Roman" w:hAnsi="Calibri" w:cs="Calibri"/>
                <w:b/>
                <w:bCs/>
                <w:color w:val="000000"/>
                <w:sz w:val="20"/>
                <w:szCs w:val="20"/>
                <w:lang w:eastAsia="cs-CZ"/>
              </w:rPr>
              <w:t xml:space="preserve"> </w:t>
            </w:r>
            <w:r w:rsidR="00CB08AF">
              <w:rPr>
                <w:rFonts w:ascii="Calibri" w:eastAsia="Times New Roman" w:hAnsi="Calibri" w:cs="Calibri"/>
                <w:b/>
                <w:bCs/>
                <w:color w:val="000000"/>
                <w:sz w:val="20"/>
                <w:szCs w:val="20"/>
                <w:lang w:eastAsia="cs-CZ"/>
              </w:rPr>
              <w:t>vy</w:t>
            </w:r>
            <w:r w:rsidRPr="00C12E3E">
              <w:rPr>
                <w:rFonts w:ascii="Calibri" w:eastAsia="Times New Roman" w:hAnsi="Calibri" w:cs="Calibri"/>
                <w:b/>
                <w:bCs/>
                <w:color w:val="000000"/>
                <w:sz w:val="20"/>
                <w:szCs w:val="20"/>
                <w:lang w:eastAsia="cs-CZ"/>
              </w:rPr>
              <w:t>placených</w:t>
            </w:r>
            <w:r w:rsidR="006E7D24">
              <w:rPr>
                <w:rFonts w:ascii="Calibri" w:eastAsia="Times New Roman" w:hAnsi="Calibri" w:cs="Calibri"/>
                <w:b/>
                <w:bCs/>
                <w:color w:val="000000"/>
                <w:sz w:val="20"/>
                <w:szCs w:val="20"/>
                <w:lang w:eastAsia="cs-CZ"/>
              </w:rPr>
              <w:t xml:space="preserve"> </w:t>
            </w:r>
            <w:r w:rsidR="007204A1">
              <w:rPr>
                <w:rFonts w:ascii="Calibri" w:eastAsia="Times New Roman" w:hAnsi="Calibri" w:cs="Calibri"/>
                <w:b/>
                <w:bCs/>
                <w:color w:val="000000"/>
                <w:sz w:val="20"/>
                <w:szCs w:val="20"/>
                <w:lang w:eastAsia="cs-CZ"/>
              </w:rPr>
              <w:t>na</w:t>
            </w:r>
            <w:r w:rsidR="00BA3EDD">
              <w:rPr>
                <w:rFonts w:ascii="Calibri" w:eastAsia="Times New Roman" w:hAnsi="Calibri" w:cs="Calibri"/>
                <w:b/>
                <w:bCs/>
                <w:color w:val="000000"/>
                <w:sz w:val="20"/>
                <w:szCs w:val="20"/>
                <w:lang w:eastAsia="cs-CZ"/>
              </w:rPr>
              <w:t> </w:t>
            </w:r>
            <w:r w:rsidR="007204A1">
              <w:rPr>
                <w:rFonts w:ascii="Calibri" w:eastAsia="Times New Roman" w:hAnsi="Calibri" w:cs="Calibri"/>
                <w:b/>
                <w:bCs/>
                <w:color w:val="000000"/>
                <w:sz w:val="20"/>
                <w:szCs w:val="20"/>
                <w:lang w:eastAsia="cs-CZ"/>
              </w:rPr>
              <w:t>projekty</w:t>
            </w:r>
            <w:r w:rsidRPr="00C12E3E">
              <w:rPr>
                <w:rFonts w:ascii="Calibri" w:eastAsia="Times New Roman" w:hAnsi="Calibri" w:cs="Calibri"/>
                <w:b/>
                <w:bCs/>
                <w:color w:val="000000"/>
                <w:sz w:val="20"/>
                <w:szCs w:val="20"/>
                <w:lang w:eastAsia="cs-CZ"/>
              </w:rPr>
              <w:t xml:space="preserve"> kontrolovan</w:t>
            </w:r>
            <w:r w:rsidR="007204A1">
              <w:rPr>
                <w:rFonts w:ascii="Calibri" w:eastAsia="Times New Roman" w:hAnsi="Calibri" w:cs="Calibri"/>
                <w:b/>
                <w:bCs/>
                <w:color w:val="000000"/>
                <w:sz w:val="20"/>
                <w:szCs w:val="20"/>
                <w:lang w:eastAsia="cs-CZ"/>
              </w:rPr>
              <w:t>é</w:t>
            </w:r>
            <w:r w:rsidRPr="00C12E3E">
              <w:rPr>
                <w:rFonts w:ascii="Calibri" w:eastAsia="Times New Roman" w:hAnsi="Calibri" w:cs="Calibri"/>
                <w:b/>
                <w:bCs/>
                <w:color w:val="000000"/>
                <w:sz w:val="20"/>
                <w:szCs w:val="20"/>
                <w:lang w:eastAsia="cs-CZ"/>
              </w:rPr>
              <w:t xml:space="preserve"> NKÚ </w:t>
            </w:r>
            <w:r w:rsidR="00CB08AF">
              <w:rPr>
                <w:rFonts w:ascii="Calibri" w:eastAsia="Times New Roman" w:hAnsi="Calibri" w:cs="Calibri"/>
                <w:b/>
                <w:bCs/>
                <w:color w:val="000000"/>
                <w:sz w:val="20"/>
                <w:szCs w:val="20"/>
                <w:lang w:eastAsia="cs-CZ"/>
              </w:rPr>
              <w:br/>
            </w:r>
            <w:r w:rsidRPr="00C12E3E">
              <w:rPr>
                <w:rFonts w:ascii="Calibri" w:eastAsia="Times New Roman" w:hAnsi="Calibri" w:cs="Calibri"/>
                <w:b/>
                <w:bCs/>
                <w:color w:val="000000"/>
                <w:sz w:val="20"/>
                <w:szCs w:val="20"/>
                <w:lang w:eastAsia="cs-CZ"/>
              </w:rPr>
              <w:t>u příjemc</w:t>
            </w:r>
            <w:r>
              <w:rPr>
                <w:rFonts w:ascii="Calibri" w:eastAsia="Times New Roman" w:hAnsi="Calibri" w:cs="Calibri"/>
                <w:b/>
                <w:bCs/>
                <w:color w:val="000000"/>
                <w:sz w:val="20"/>
                <w:szCs w:val="20"/>
                <w:lang w:eastAsia="cs-CZ"/>
              </w:rPr>
              <w:t>ů</w:t>
            </w:r>
          </w:p>
        </w:tc>
      </w:tr>
      <w:tr w:rsidR="007204A1" w:rsidRPr="00C12E3E" w14:paraId="6F202A68" w14:textId="77777777" w:rsidTr="00CB08AF">
        <w:trPr>
          <w:trHeight w:val="158"/>
        </w:trPr>
        <w:tc>
          <w:tcPr>
            <w:tcW w:w="1191" w:type="dxa"/>
            <w:vMerge/>
            <w:vAlign w:val="center"/>
            <w:hideMark/>
          </w:tcPr>
          <w:p w14:paraId="35283D73" w14:textId="77777777" w:rsidR="007204A1" w:rsidRPr="00C12E3E" w:rsidRDefault="007204A1" w:rsidP="007204A1">
            <w:pPr>
              <w:spacing w:after="0" w:line="240" w:lineRule="auto"/>
              <w:rPr>
                <w:rFonts w:ascii="Calibri" w:eastAsia="Times New Roman" w:hAnsi="Calibri" w:cs="Calibri"/>
                <w:b/>
                <w:bCs/>
                <w:color w:val="000000"/>
                <w:sz w:val="20"/>
                <w:szCs w:val="20"/>
                <w:lang w:eastAsia="cs-CZ"/>
              </w:rPr>
            </w:pPr>
          </w:p>
        </w:tc>
        <w:tc>
          <w:tcPr>
            <w:tcW w:w="1148" w:type="dxa"/>
            <w:vMerge/>
            <w:vAlign w:val="center"/>
            <w:hideMark/>
          </w:tcPr>
          <w:p w14:paraId="63CA28E3" w14:textId="77777777" w:rsidR="007204A1" w:rsidRPr="00C12E3E" w:rsidRDefault="007204A1" w:rsidP="007204A1">
            <w:pPr>
              <w:spacing w:after="0" w:line="240" w:lineRule="auto"/>
              <w:rPr>
                <w:rFonts w:ascii="Calibri" w:eastAsia="Times New Roman" w:hAnsi="Calibri" w:cs="Calibri"/>
                <w:b/>
                <w:bCs/>
                <w:color w:val="000000"/>
                <w:sz w:val="20"/>
                <w:szCs w:val="20"/>
                <w:lang w:eastAsia="cs-CZ"/>
              </w:rPr>
            </w:pPr>
          </w:p>
        </w:tc>
        <w:tc>
          <w:tcPr>
            <w:tcW w:w="1571" w:type="dxa"/>
            <w:shd w:val="clear" w:color="000000" w:fill="E5F1FF"/>
            <w:vAlign w:val="center"/>
            <w:hideMark/>
          </w:tcPr>
          <w:p w14:paraId="5D8F6A93" w14:textId="0D7F3D45"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zdroje EU</w:t>
            </w:r>
            <w:r w:rsidR="00CE509B">
              <w:rPr>
                <w:rFonts w:ascii="Calibri" w:eastAsia="Times New Roman" w:hAnsi="Calibri" w:cs="Calibri"/>
                <w:b/>
                <w:bCs/>
                <w:color w:val="000000"/>
                <w:sz w:val="20"/>
                <w:szCs w:val="20"/>
                <w:lang w:eastAsia="cs-CZ"/>
              </w:rPr>
              <w:t xml:space="preserve"> </w:t>
            </w:r>
            <w:r>
              <w:rPr>
                <w:rFonts w:ascii="Calibri" w:eastAsia="Times New Roman" w:hAnsi="Calibri" w:cs="Calibri"/>
                <w:b/>
                <w:bCs/>
                <w:color w:val="000000"/>
                <w:sz w:val="20"/>
                <w:szCs w:val="20"/>
                <w:lang w:eastAsia="cs-CZ"/>
              </w:rPr>
              <w:t>+</w:t>
            </w:r>
            <w:r w:rsidRPr="00C12E3E">
              <w:rPr>
                <w:rFonts w:ascii="Calibri" w:eastAsia="Times New Roman" w:hAnsi="Calibri" w:cs="Calibri"/>
                <w:b/>
                <w:bCs/>
                <w:color w:val="000000"/>
                <w:sz w:val="20"/>
                <w:szCs w:val="20"/>
                <w:lang w:eastAsia="cs-CZ"/>
              </w:rPr>
              <w:t xml:space="preserve"> SR</w:t>
            </w:r>
          </w:p>
        </w:tc>
        <w:tc>
          <w:tcPr>
            <w:tcW w:w="1717" w:type="dxa"/>
            <w:shd w:val="clear" w:color="000000" w:fill="E5F1FF"/>
            <w:vAlign w:val="center"/>
            <w:hideMark/>
          </w:tcPr>
          <w:p w14:paraId="61F868A2" w14:textId="630EF21D"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zdroje EU</w:t>
            </w:r>
            <w:r w:rsidR="00CE509B">
              <w:rPr>
                <w:rFonts w:ascii="Calibri" w:eastAsia="Times New Roman" w:hAnsi="Calibri" w:cs="Calibri"/>
                <w:b/>
                <w:bCs/>
                <w:color w:val="000000"/>
                <w:sz w:val="20"/>
                <w:szCs w:val="20"/>
                <w:lang w:eastAsia="cs-CZ"/>
              </w:rPr>
              <w:t xml:space="preserve"> </w:t>
            </w:r>
            <w:r>
              <w:rPr>
                <w:rFonts w:ascii="Calibri" w:eastAsia="Times New Roman" w:hAnsi="Calibri" w:cs="Calibri"/>
                <w:b/>
                <w:bCs/>
                <w:color w:val="000000"/>
                <w:sz w:val="20"/>
                <w:szCs w:val="20"/>
                <w:lang w:eastAsia="cs-CZ"/>
              </w:rPr>
              <w:t>+</w:t>
            </w:r>
            <w:r w:rsidRPr="00C12E3E">
              <w:rPr>
                <w:rFonts w:ascii="Calibri" w:eastAsia="Times New Roman" w:hAnsi="Calibri" w:cs="Calibri"/>
                <w:b/>
                <w:bCs/>
                <w:color w:val="000000"/>
                <w:sz w:val="20"/>
                <w:szCs w:val="20"/>
                <w:lang w:eastAsia="cs-CZ"/>
              </w:rPr>
              <w:t xml:space="preserve"> SR</w:t>
            </w:r>
          </w:p>
        </w:tc>
        <w:tc>
          <w:tcPr>
            <w:tcW w:w="1552" w:type="dxa"/>
            <w:vMerge/>
            <w:vAlign w:val="center"/>
            <w:hideMark/>
          </w:tcPr>
          <w:p w14:paraId="11D309E3" w14:textId="77777777" w:rsidR="007204A1" w:rsidRPr="00C12E3E" w:rsidRDefault="007204A1" w:rsidP="007204A1">
            <w:pPr>
              <w:spacing w:after="0" w:line="240" w:lineRule="auto"/>
              <w:rPr>
                <w:rFonts w:ascii="Calibri" w:eastAsia="Times New Roman" w:hAnsi="Calibri" w:cs="Calibri"/>
                <w:b/>
                <w:bCs/>
                <w:color w:val="000000"/>
                <w:sz w:val="20"/>
                <w:szCs w:val="20"/>
                <w:lang w:eastAsia="cs-CZ"/>
              </w:rPr>
            </w:pPr>
          </w:p>
        </w:tc>
        <w:tc>
          <w:tcPr>
            <w:tcW w:w="1954" w:type="dxa"/>
            <w:shd w:val="clear" w:color="000000" w:fill="E5F1FF"/>
            <w:vAlign w:val="center"/>
            <w:hideMark/>
          </w:tcPr>
          <w:p w14:paraId="682F06AE" w14:textId="4F6B1BC6"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zdroje EU</w:t>
            </w:r>
            <w:r w:rsidR="00CE509B">
              <w:rPr>
                <w:rFonts w:ascii="Calibri" w:eastAsia="Times New Roman" w:hAnsi="Calibri" w:cs="Calibri"/>
                <w:b/>
                <w:bCs/>
                <w:color w:val="000000"/>
                <w:sz w:val="20"/>
                <w:szCs w:val="20"/>
                <w:lang w:eastAsia="cs-CZ"/>
              </w:rPr>
              <w:t xml:space="preserve"> </w:t>
            </w:r>
            <w:r>
              <w:rPr>
                <w:rFonts w:ascii="Calibri" w:eastAsia="Times New Roman" w:hAnsi="Calibri" w:cs="Calibri"/>
                <w:b/>
                <w:bCs/>
                <w:color w:val="000000"/>
                <w:sz w:val="20"/>
                <w:szCs w:val="20"/>
                <w:lang w:eastAsia="cs-CZ"/>
              </w:rPr>
              <w:t>+</w:t>
            </w:r>
            <w:r w:rsidRPr="00C12E3E">
              <w:rPr>
                <w:rFonts w:ascii="Calibri" w:eastAsia="Times New Roman" w:hAnsi="Calibri" w:cs="Calibri"/>
                <w:b/>
                <w:bCs/>
                <w:color w:val="000000"/>
                <w:sz w:val="20"/>
                <w:szCs w:val="20"/>
                <w:lang w:eastAsia="cs-CZ"/>
              </w:rPr>
              <w:t xml:space="preserve"> SR</w:t>
            </w:r>
          </w:p>
        </w:tc>
      </w:tr>
      <w:tr w:rsidR="007204A1" w:rsidRPr="00C12E3E" w14:paraId="5F5F24B0" w14:textId="77777777" w:rsidTr="00CB08AF">
        <w:trPr>
          <w:trHeight w:val="157"/>
        </w:trPr>
        <w:tc>
          <w:tcPr>
            <w:tcW w:w="1191" w:type="dxa"/>
            <w:vMerge/>
            <w:vAlign w:val="center"/>
          </w:tcPr>
          <w:p w14:paraId="4007D8E2" w14:textId="77777777" w:rsidR="007204A1" w:rsidRPr="00C12E3E" w:rsidRDefault="007204A1" w:rsidP="007204A1">
            <w:pPr>
              <w:spacing w:after="0" w:line="240" w:lineRule="auto"/>
              <w:rPr>
                <w:rFonts w:ascii="Calibri" w:eastAsia="Times New Roman" w:hAnsi="Calibri" w:cs="Calibri"/>
                <w:b/>
                <w:bCs/>
                <w:color w:val="000000"/>
                <w:sz w:val="20"/>
                <w:szCs w:val="20"/>
                <w:lang w:eastAsia="cs-CZ"/>
              </w:rPr>
            </w:pPr>
          </w:p>
        </w:tc>
        <w:tc>
          <w:tcPr>
            <w:tcW w:w="1148" w:type="dxa"/>
            <w:vMerge/>
            <w:vAlign w:val="center"/>
          </w:tcPr>
          <w:p w14:paraId="08182EBF" w14:textId="77777777" w:rsidR="007204A1" w:rsidRPr="00C12E3E" w:rsidRDefault="007204A1" w:rsidP="007204A1">
            <w:pPr>
              <w:spacing w:after="0" w:line="240" w:lineRule="auto"/>
              <w:rPr>
                <w:rFonts w:ascii="Calibri" w:eastAsia="Times New Roman" w:hAnsi="Calibri" w:cs="Calibri"/>
                <w:b/>
                <w:bCs/>
                <w:color w:val="000000"/>
                <w:sz w:val="20"/>
                <w:szCs w:val="20"/>
                <w:lang w:eastAsia="cs-CZ"/>
              </w:rPr>
            </w:pPr>
          </w:p>
        </w:tc>
        <w:tc>
          <w:tcPr>
            <w:tcW w:w="1571" w:type="dxa"/>
            <w:shd w:val="clear" w:color="000000" w:fill="E5F1FF"/>
            <w:vAlign w:val="center"/>
          </w:tcPr>
          <w:p w14:paraId="22C6044B" w14:textId="77777777"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(v Kč)</w:t>
            </w:r>
          </w:p>
        </w:tc>
        <w:tc>
          <w:tcPr>
            <w:tcW w:w="1717" w:type="dxa"/>
            <w:shd w:val="clear" w:color="000000" w:fill="E5F1FF"/>
            <w:vAlign w:val="center"/>
          </w:tcPr>
          <w:p w14:paraId="219F7FD9" w14:textId="77777777"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(v Kč)</w:t>
            </w:r>
          </w:p>
        </w:tc>
        <w:tc>
          <w:tcPr>
            <w:tcW w:w="1552" w:type="dxa"/>
            <w:vMerge/>
            <w:vAlign w:val="center"/>
          </w:tcPr>
          <w:p w14:paraId="7EF8700F" w14:textId="77777777" w:rsidR="007204A1" w:rsidRPr="00C12E3E" w:rsidRDefault="007204A1" w:rsidP="007204A1">
            <w:pPr>
              <w:spacing w:after="0" w:line="240" w:lineRule="auto"/>
              <w:rPr>
                <w:rFonts w:ascii="Calibri" w:eastAsia="Times New Roman" w:hAnsi="Calibri" w:cs="Calibri"/>
                <w:b/>
                <w:bCs/>
                <w:color w:val="000000"/>
                <w:sz w:val="20"/>
                <w:szCs w:val="20"/>
                <w:lang w:eastAsia="cs-CZ"/>
              </w:rPr>
            </w:pPr>
          </w:p>
        </w:tc>
        <w:tc>
          <w:tcPr>
            <w:tcW w:w="1954" w:type="dxa"/>
            <w:shd w:val="clear" w:color="000000" w:fill="E5F1FF"/>
            <w:vAlign w:val="center"/>
          </w:tcPr>
          <w:p w14:paraId="1BEFF38D" w14:textId="77777777"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(v Kč)</w:t>
            </w:r>
          </w:p>
        </w:tc>
      </w:tr>
      <w:tr w:rsidR="007204A1" w:rsidRPr="00C12E3E" w14:paraId="3A287E9B" w14:textId="77777777" w:rsidTr="00CB08AF">
        <w:trPr>
          <w:trHeight w:val="780"/>
        </w:trPr>
        <w:tc>
          <w:tcPr>
            <w:tcW w:w="1191" w:type="dxa"/>
            <w:shd w:val="clear" w:color="auto" w:fill="auto"/>
            <w:vAlign w:val="center"/>
            <w:hideMark/>
          </w:tcPr>
          <w:p w14:paraId="600F642E" w14:textId="655E3CFB" w:rsidR="007204A1" w:rsidRPr="00C12E3E" w:rsidRDefault="007204A1" w:rsidP="007204A1">
            <w:pPr>
              <w:spacing w:after="0" w:line="240" w:lineRule="auto"/>
              <w:jc w:val="center"/>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č. 50</w:t>
            </w:r>
            <w:r>
              <w:rPr>
                <w:rFonts w:ascii="Calibri" w:eastAsia="Times New Roman" w:hAnsi="Calibri" w:cs="Calibri"/>
                <w:color w:val="000000"/>
                <w:sz w:val="20"/>
                <w:szCs w:val="20"/>
                <w:lang w:eastAsia="cs-CZ"/>
              </w:rPr>
              <w:t xml:space="preserve"> </w:t>
            </w:r>
            <w:r w:rsidR="00CB08AF">
              <w:rPr>
                <w:rFonts w:ascii="Calibri" w:eastAsia="Times New Roman" w:hAnsi="Calibri" w:cs="Calibri"/>
                <w:color w:val="000000"/>
                <w:sz w:val="20"/>
                <w:szCs w:val="20"/>
                <w:lang w:eastAsia="cs-CZ"/>
              </w:rPr>
              <w:t>–</w:t>
            </w:r>
            <w:r>
              <w:rPr>
                <w:rFonts w:ascii="Calibri" w:eastAsia="Times New Roman" w:hAnsi="Calibri" w:cs="Calibri"/>
                <w:color w:val="000000"/>
                <w:sz w:val="20"/>
                <w:szCs w:val="20"/>
                <w:lang w:eastAsia="cs-CZ"/>
              </w:rPr>
              <w:t xml:space="preserve"> </w:t>
            </w:r>
            <w:r w:rsidRPr="00C12E3E">
              <w:rPr>
                <w:rFonts w:ascii="Calibri" w:eastAsia="Times New Roman" w:hAnsi="Calibri" w:cs="Calibri"/>
                <w:color w:val="000000"/>
                <w:sz w:val="20"/>
                <w:szCs w:val="20"/>
                <w:lang w:eastAsia="cs-CZ"/>
              </w:rPr>
              <w:t xml:space="preserve">GA </w:t>
            </w:r>
            <w:r>
              <w:rPr>
                <w:rFonts w:ascii="Calibri" w:eastAsia="Times New Roman" w:hAnsi="Calibri" w:cs="Calibri"/>
                <w:color w:val="000000"/>
                <w:sz w:val="20"/>
                <w:szCs w:val="20"/>
                <w:lang w:eastAsia="cs-CZ"/>
              </w:rPr>
              <w:t xml:space="preserve">realizované </w:t>
            </w:r>
            <w:r w:rsidRPr="00C12E3E">
              <w:rPr>
                <w:rFonts w:ascii="Calibri" w:eastAsia="Times New Roman" w:hAnsi="Calibri" w:cs="Calibri"/>
                <w:color w:val="000000"/>
                <w:sz w:val="20"/>
                <w:szCs w:val="20"/>
                <w:lang w:eastAsia="cs-CZ"/>
              </w:rPr>
              <w:t>mimo Prahu</w:t>
            </w:r>
          </w:p>
        </w:tc>
        <w:tc>
          <w:tcPr>
            <w:tcW w:w="1148" w:type="dxa"/>
            <w:shd w:val="clear" w:color="auto" w:fill="auto"/>
            <w:noWrap/>
            <w:vAlign w:val="center"/>
            <w:hideMark/>
          </w:tcPr>
          <w:p w14:paraId="4983164C" w14:textId="77777777" w:rsidR="007204A1" w:rsidRPr="00C12E3E" w:rsidRDefault="007204A1" w:rsidP="00CE509B">
            <w:pPr>
              <w:spacing w:after="0" w:line="240" w:lineRule="auto"/>
              <w:ind w:right="397"/>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19</w:t>
            </w:r>
          </w:p>
        </w:tc>
        <w:tc>
          <w:tcPr>
            <w:tcW w:w="1571" w:type="dxa"/>
            <w:shd w:val="clear" w:color="auto" w:fill="auto"/>
            <w:noWrap/>
            <w:vAlign w:val="center"/>
            <w:hideMark/>
          </w:tcPr>
          <w:p w14:paraId="44FB366E"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17 710 316</w:t>
            </w:r>
          </w:p>
        </w:tc>
        <w:tc>
          <w:tcPr>
            <w:tcW w:w="1717" w:type="dxa"/>
            <w:shd w:val="clear" w:color="auto" w:fill="auto"/>
            <w:noWrap/>
            <w:vAlign w:val="center"/>
            <w:hideMark/>
          </w:tcPr>
          <w:p w14:paraId="7463E51C"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15 724 985</w:t>
            </w:r>
          </w:p>
        </w:tc>
        <w:tc>
          <w:tcPr>
            <w:tcW w:w="1552" w:type="dxa"/>
            <w:shd w:val="clear" w:color="auto" w:fill="auto"/>
            <w:noWrap/>
            <w:vAlign w:val="center"/>
            <w:hideMark/>
          </w:tcPr>
          <w:p w14:paraId="37596A7E" w14:textId="77777777" w:rsidR="007204A1" w:rsidRPr="00C12E3E" w:rsidRDefault="007204A1" w:rsidP="00CE509B">
            <w:pPr>
              <w:spacing w:after="0" w:line="240" w:lineRule="auto"/>
              <w:ind w:right="624"/>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4</w:t>
            </w:r>
          </w:p>
        </w:tc>
        <w:tc>
          <w:tcPr>
            <w:tcW w:w="1954" w:type="dxa"/>
            <w:shd w:val="clear" w:color="auto" w:fill="auto"/>
            <w:noWrap/>
            <w:vAlign w:val="center"/>
            <w:hideMark/>
          </w:tcPr>
          <w:p w14:paraId="7C573F68"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3 639 326</w:t>
            </w:r>
          </w:p>
        </w:tc>
      </w:tr>
      <w:tr w:rsidR="007204A1" w:rsidRPr="00C12E3E" w14:paraId="6A59079E" w14:textId="77777777" w:rsidTr="00CB08AF">
        <w:trPr>
          <w:trHeight w:val="525"/>
        </w:trPr>
        <w:tc>
          <w:tcPr>
            <w:tcW w:w="1191" w:type="dxa"/>
            <w:shd w:val="clear" w:color="auto" w:fill="auto"/>
            <w:vAlign w:val="center"/>
            <w:hideMark/>
          </w:tcPr>
          <w:p w14:paraId="3E8DC3AB" w14:textId="6B565CDF" w:rsidR="007204A1" w:rsidRPr="00C12E3E" w:rsidRDefault="007204A1" w:rsidP="007204A1">
            <w:pPr>
              <w:spacing w:after="0" w:line="240" w:lineRule="auto"/>
              <w:jc w:val="center"/>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č. 51</w:t>
            </w:r>
            <w:r>
              <w:rPr>
                <w:rFonts w:ascii="Calibri" w:eastAsia="Times New Roman" w:hAnsi="Calibri" w:cs="Calibri"/>
                <w:color w:val="000000"/>
                <w:sz w:val="20"/>
                <w:szCs w:val="20"/>
                <w:lang w:eastAsia="cs-CZ"/>
              </w:rPr>
              <w:t xml:space="preserve"> </w:t>
            </w:r>
            <w:r w:rsidR="00CB08AF">
              <w:rPr>
                <w:rFonts w:ascii="Calibri" w:eastAsia="Times New Roman" w:hAnsi="Calibri" w:cs="Calibri"/>
                <w:color w:val="000000"/>
                <w:sz w:val="20"/>
                <w:szCs w:val="20"/>
                <w:lang w:eastAsia="cs-CZ"/>
              </w:rPr>
              <w:t>–</w:t>
            </w:r>
            <w:r>
              <w:rPr>
                <w:rFonts w:ascii="Calibri" w:eastAsia="Times New Roman" w:hAnsi="Calibri" w:cs="Calibri"/>
                <w:color w:val="000000"/>
                <w:sz w:val="20"/>
                <w:szCs w:val="20"/>
                <w:lang w:eastAsia="cs-CZ"/>
              </w:rPr>
              <w:t xml:space="preserve"> </w:t>
            </w:r>
            <w:r w:rsidRPr="00C12E3E">
              <w:rPr>
                <w:rFonts w:ascii="Calibri" w:eastAsia="Times New Roman" w:hAnsi="Calibri" w:cs="Calibri"/>
                <w:color w:val="000000"/>
                <w:sz w:val="20"/>
                <w:szCs w:val="20"/>
                <w:lang w:eastAsia="cs-CZ"/>
              </w:rPr>
              <w:t xml:space="preserve">GA </w:t>
            </w:r>
            <w:r>
              <w:rPr>
                <w:rFonts w:ascii="Calibri" w:eastAsia="Times New Roman" w:hAnsi="Calibri" w:cs="Calibri"/>
                <w:color w:val="000000"/>
                <w:sz w:val="20"/>
                <w:szCs w:val="20"/>
                <w:lang w:eastAsia="cs-CZ"/>
              </w:rPr>
              <w:t xml:space="preserve">realizované </w:t>
            </w:r>
            <w:r w:rsidRPr="00C12E3E">
              <w:rPr>
                <w:rFonts w:ascii="Calibri" w:eastAsia="Times New Roman" w:hAnsi="Calibri" w:cs="Calibri"/>
                <w:color w:val="000000"/>
                <w:sz w:val="20"/>
                <w:szCs w:val="20"/>
                <w:lang w:eastAsia="cs-CZ"/>
              </w:rPr>
              <w:t>v Praze</w:t>
            </w:r>
          </w:p>
        </w:tc>
        <w:tc>
          <w:tcPr>
            <w:tcW w:w="1148" w:type="dxa"/>
            <w:shd w:val="clear" w:color="auto" w:fill="auto"/>
            <w:noWrap/>
            <w:vAlign w:val="center"/>
            <w:hideMark/>
          </w:tcPr>
          <w:p w14:paraId="5F985C46" w14:textId="77777777" w:rsidR="007204A1" w:rsidRPr="00C12E3E" w:rsidRDefault="007204A1" w:rsidP="00CE509B">
            <w:pPr>
              <w:spacing w:after="0" w:line="240" w:lineRule="auto"/>
              <w:ind w:right="397"/>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4</w:t>
            </w:r>
          </w:p>
        </w:tc>
        <w:tc>
          <w:tcPr>
            <w:tcW w:w="1571" w:type="dxa"/>
            <w:shd w:val="clear" w:color="auto" w:fill="auto"/>
            <w:noWrap/>
            <w:vAlign w:val="center"/>
            <w:hideMark/>
          </w:tcPr>
          <w:p w14:paraId="7318CB82"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4 077 254</w:t>
            </w:r>
          </w:p>
        </w:tc>
        <w:tc>
          <w:tcPr>
            <w:tcW w:w="1717" w:type="dxa"/>
            <w:shd w:val="clear" w:color="auto" w:fill="auto"/>
            <w:noWrap/>
            <w:vAlign w:val="center"/>
            <w:hideMark/>
          </w:tcPr>
          <w:p w14:paraId="19443184"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3 736 398</w:t>
            </w:r>
          </w:p>
        </w:tc>
        <w:tc>
          <w:tcPr>
            <w:tcW w:w="1552" w:type="dxa"/>
            <w:shd w:val="clear" w:color="auto" w:fill="auto"/>
            <w:noWrap/>
            <w:vAlign w:val="center"/>
            <w:hideMark/>
          </w:tcPr>
          <w:p w14:paraId="682C4F05" w14:textId="77777777" w:rsidR="007204A1" w:rsidRPr="00C12E3E" w:rsidRDefault="007204A1" w:rsidP="00CE509B">
            <w:pPr>
              <w:spacing w:after="0" w:line="240" w:lineRule="auto"/>
              <w:ind w:right="624"/>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w:t>
            </w:r>
          </w:p>
        </w:tc>
        <w:tc>
          <w:tcPr>
            <w:tcW w:w="1954" w:type="dxa"/>
            <w:shd w:val="clear" w:color="auto" w:fill="auto"/>
            <w:noWrap/>
            <w:vAlign w:val="center"/>
            <w:hideMark/>
          </w:tcPr>
          <w:p w14:paraId="06E06A42"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1 722 073</w:t>
            </w:r>
          </w:p>
        </w:tc>
      </w:tr>
      <w:tr w:rsidR="007204A1" w:rsidRPr="00C12E3E" w14:paraId="1E2B0377" w14:textId="77777777" w:rsidTr="00CB08AF">
        <w:trPr>
          <w:trHeight w:val="780"/>
        </w:trPr>
        <w:tc>
          <w:tcPr>
            <w:tcW w:w="1191" w:type="dxa"/>
            <w:shd w:val="clear" w:color="auto" w:fill="auto"/>
            <w:vAlign w:val="center"/>
            <w:hideMark/>
          </w:tcPr>
          <w:p w14:paraId="74862797" w14:textId="6B35C23B" w:rsidR="007204A1" w:rsidRPr="00C12E3E" w:rsidRDefault="007204A1" w:rsidP="007204A1">
            <w:pPr>
              <w:spacing w:after="0" w:line="240" w:lineRule="auto"/>
              <w:jc w:val="center"/>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č. 130</w:t>
            </w:r>
            <w:r>
              <w:rPr>
                <w:rFonts w:ascii="Calibri" w:eastAsia="Times New Roman" w:hAnsi="Calibri" w:cs="Calibri"/>
                <w:color w:val="000000"/>
                <w:sz w:val="20"/>
                <w:szCs w:val="20"/>
                <w:lang w:eastAsia="cs-CZ"/>
              </w:rPr>
              <w:t xml:space="preserve"> </w:t>
            </w:r>
            <w:r w:rsidR="00CB08AF">
              <w:rPr>
                <w:rFonts w:ascii="Calibri" w:eastAsia="Times New Roman" w:hAnsi="Calibri" w:cs="Calibri"/>
                <w:color w:val="000000"/>
                <w:sz w:val="20"/>
                <w:szCs w:val="20"/>
                <w:lang w:eastAsia="cs-CZ"/>
              </w:rPr>
              <w:t>–</w:t>
            </w:r>
            <w:r>
              <w:rPr>
                <w:rFonts w:ascii="Calibri" w:eastAsia="Times New Roman" w:hAnsi="Calibri" w:cs="Calibri"/>
                <w:color w:val="000000"/>
                <w:sz w:val="20"/>
                <w:szCs w:val="20"/>
                <w:lang w:eastAsia="cs-CZ"/>
              </w:rPr>
              <w:t xml:space="preserve"> </w:t>
            </w:r>
            <w:r w:rsidRPr="00C12E3E">
              <w:rPr>
                <w:rFonts w:ascii="Calibri" w:eastAsia="Times New Roman" w:hAnsi="Calibri" w:cs="Calibri"/>
                <w:color w:val="000000"/>
                <w:sz w:val="20"/>
                <w:szCs w:val="20"/>
                <w:lang w:eastAsia="cs-CZ"/>
              </w:rPr>
              <w:t xml:space="preserve">IGA </w:t>
            </w:r>
            <w:r>
              <w:rPr>
                <w:rFonts w:ascii="Calibri" w:eastAsia="Times New Roman" w:hAnsi="Calibri" w:cs="Calibri"/>
                <w:color w:val="000000"/>
                <w:sz w:val="20"/>
                <w:szCs w:val="20"/>
                <w:lang w:eastAsia="cs-CZ"/>
              </w:rPr>
              <w:t xml:space="preserve">realizované </w:t>
            </w:r>
            <w:r w:rsidRPr="00C12E3E">
              <w:rPr>
                <w:rFonts w:ascii="Calibri" w:eastAsia="Times New Roman" w:hAnsi="Calibri" w:cs="Calibri"/>
                <w:color w:val="000000"/>
                <w:sz w:val="20"/>
                <w:szCs w:val="20"/>
                <w:lang w:eastAsia="cs-CZ"/>
              </w:rPr>
              <w:t>mimo Prahu</w:t>
            </w:r>
          </w:p>
        </w:tc>
        <w:tc>
          <w:tcPr>
            <w:tcW w:w="1148" w:type="dxa"/>
            <w:shd w:val="clear" w:color="auto" w:fill="auto"/>
            <w:noWrap/>
            <w:vAlign w:val="center"/>
            <w:hideMark/>
          </w:tcPr>
          <w:p w14:paraId="59A9BAF9" w14:textId="77777777" w:rsidR="007204A1" w:rsidRPr="00C12E3E" w:rsidRDefault="007204A1" w:rsidP="00CE509B">
            <w:pPr>
              <w:spacing w:after="0" w:line="240" w:lineRule="auto"/>
              <w:ind w:right="397"/>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39</w:t>
            </w:r>
          </w:p>
        </w:tc>
        <w:tc>
          <w:tcPr>
            <w:tcW w:w="1571" w:type="dxa"/>
            <w:shd w:val="clear" w:color="auto" w:fill="auto"/>
            <w:noWrap/>
            <w:vAlign w:val="center"/>
            <w:hideMark/>
          </w:tcPr>
          <w:p w14:paraId="5F76CAAE"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104 091 695</w:t>
            </w:r>
          </w:p>
        </w:tc>
        <w:tc>
          <w:tcPr>
            <w:tcW w:w="1717" w:type="dxa"/>
            <w:shd w:val="clear" w:color="auto" w:fill="auto"/>
            <w:noWrap/>
            <w:vAlign w:val="center"/>
            <w:hideMark/>
          </w:tcPr>
          <w:p w14:paraId="6B4A6873"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88 436 427</w:t>
            </w:r>
          </w:p>
        </w:tc>
        <w:tc>
          <w:tcPr>
            <w:tcW w:w="1552" w:type="dxa"/>
            <w:shd w:val="clear" w:color="auto" w:fill="auto"/>
            <w:noWrap/>
            <w:vAlign w:val="center"/>
            <w:hideMark/>
          </w:tcPr>
          <w:p w14:paraId="2095EB8E" w14:textId="77777777" w:rsidR="007204A1" w:rsidRPr="00C12E3E" w:rsidRDefault="007204A1" w:rsidP="00CE509B">
            <w:pPr>
              <w:spacing w:after="0" w:line="240" w:lineRule="auto"/>
              <w:ind w:right="624"/>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7</w:t>
            </w:r>
          </w:p>
        </w:tc>
        <w:tc>
          <w:tcPr>
            <w:tcW w:w="1954" w:type="dxa"/>
            <w:shd w:val="clear" w:color="auto" w:fill="auto"/>
            <w:noWrap/>
            <w:vAlign w:val="center"/>
            <w:hideMark/>
          </w:tcPr>
          <w:p w14:paraId="327A7017"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13 087 064</w:t>
            </w:r>
          </w:p>
        </w:tc>
      </w:tr>
      <w:tr w:rsidR="007204A1" w:rsidRPr="00C12E3E" w14:paraId="0D095392" w14:textId="77777777" w:rsidTr="00CB08AF">
        <w:trPr>
          <w:trHeight w:val="780"/>
        </w:trPr>
        <w:tc>
          <w:tcPr>
            <w:tcW w:w="1191" w:type="dxa"/>
            <w:shd w:val="clear" w:color="auto" w:fill="auto"/>
            <w:vAlign w:val="center"/>
            <w:hideMark/>
          </w:tcPr>
          <w:p w14:paraId="7330AF4A" w14:textId="08694EF1" w:rsidR="007204A1" w:rsidRPr="00C12E3E" w:rsidRDefault="007204A1" w:rsidP="007204A1">
            <w:pPr>
              <w:spacing w:after="0" w:line="240" w:lineRule="auto"/>
              <w:jc w:val="center"/>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č. 131</w:t>
            </w:r>
            <w:r>
              <w:rPr>
                <w:rFonts w:ascii="Calibri" w:eastAsia="Times New Roman" w:hAnsi="Calibri" w:cs="Calibri"/>
                <w:color w:val="000000"/>
                <w:sz w:val="20"/>
                <w:szCs w:val="20"/>
                <w:lang w:eastAsia="cs-CZ"/>
              </w:rPr>
              <w:t xml:space="preserve"> </w:t>
            </w:r>
            <w:r w:rsidR="00CB08AF">
              <w:rPr>
                <w:rFonts w:ascii="Calibri" w:eastAsia="Times New Roman" w:hAnsi="Calibri" w:cs="Calibri"/>
                <w:color w:val="000000"/>
                <w:sz w:val="20"/>
                <w:szCs w:val="20"/>
                <w:lang w:eastAsia="cs-CZ"/>
              </w:rPr>
              <w:t>–</w:t>
            </w:r>
            <w:r>
              <w:rPr>
                <w:rFonts w:ascii="Calibri" w:eastAsia="Times New Roman" w:hAnsi="Calibri" w:cs="Calibri"/>
                <w:color w:val="000000"/>
                <w:sz w:val="20"/>
                <w:szCs w:val="20"/>
                <w:lang w:eastAsia="cs-CZ"/>
              </w:rPr>
              <w:t xml:space="preserve"> </w:t>
            </w:r>
            <w:r w:rsidRPr="00C12E3E">
              <w:rPr>
                <w:rFonts w:ascii="Calibri" w:eastAsia="Times New Roman" w:hAnsi="Calibri" w:cs="Calibri"/>
                <w:color w:val="000000"/>
                <w:sz w:val="20"/>
                <w:szCs w:val="20"/>
                <w:lang w:eastAsia="cs-CZ"/>
              </w:rPr>
              <w:t xml:space="preserve">IGA </w:t>
            </w:r>
            <w:r>
              <w:rPr>
                <w:rFonts w:ascii="Calibri" w:eastAsia="Times New Roman" w:hAnsi="Calibri" w:cs="Calibri"/>
                <w:color w:val="000000"/>
                <w:sz w:val="20"/>
                <w:szCs w:val="20"/>
                <w:lang w:eastAsia="cs-CZ"/>
              </w:rPr>
              <w:t xml:space="preserve">realizované </w:t>
            </w:r>
            <w:r w:rsidRPr="00C12E3E">
              <w:rPr>
                <w:rFonts w:ascii="Calibri" w:eastAsia="Times New Roman" w:hAnsi="Calibri" w:cs="Calibri"/>
                <w:color w:val="000000"/>
                <w:sz w:val="20"/>
                <w:szCs w:val="20"/>
                <w:lang w:eastAsia="cs-CZ"/>
              </w:rPr>
              <w:t>v Praze</w:t>
            </w:r>
          </w:p>
        </w:tc>
        <w:tc>
          <w:tcPr>
            <w:tcW w:w="1148" w:type="dxa"/>
            <w:shd w:val="clear" w:color="auto" w:fill="auto"/>
            <w:noWrap/>
            <w:vAlign w:val="center"/>
            <w:hideMark/>
          </w:tcPr>
          <w:p w14:paraId="2DC19987" w14:textId="77777777" w:rsidR="007204A1" w:rsidRPr="00C12E3E" w:rsidRDefault="007204A1" w:rsidP="00CE509B">
            <w:pPr>
              <w:spacing w:after="0" w:line="240" w:lineRule="auto"/>
              <w:ind w:right="397"/>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6</w:t>
            </w:r>
          </w:p>
        </w:tc>
        <w:tc>
          <w:tcPr>
            <w:tcW w:w="1571" w:type="dxa"/>
            <w:shd w:val="clear" w:color="auto" w:fill="auto"/>
            <w:noWrap/>
            <w:vAlign w:val="center"/>
            <w:hideMark/>
          </w:tcPr>
          <w:p w14:paraId="772B9C64"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18 763 612</w:t>
            </w:r>
          </w:p>
        </w:tc>
        <w:tc>
          <w:tcPr>
            <w:tcW w:w="1717" w:type="dxa"/>
            <w:shd w:val="clear" w:color="auto" w:fill="auto"/>
            <w:noWrap/>
            <w:vAlign w:val="center"/>
            <w:hideMark/>
          </w:tcPr>
          <w:p w14:paraId="5F1BAC0D"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12 191 951</w:t>
            </w:r>
          </w:p>
        </w:tc>
        <w:tc>
          <w:tcPr>
            <w:tcW w:w="1552" w:type="dxa"/>
            <w:shd w:val="clear" w:color="auto" w:fill="auto"/>
            <w:noWrap/>
            <w:vAlign w:val="center"/>
            <w:hideMark/>
          </w:tcPr>
          <w:p w14:paraId="43A45526" w14:textId="77777777" w:rsidR="007204A1" w:rsidRPr="00C12E3E" w:rsidRDefault="007204A1" w:rsidP="00CE509B">
            <w:pPr>
              <w:spacing w:after="0" w:line="240" w:lineRule="auto"/>
              <w:ind w:right="624"/>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2</w:t>
            </w:r>
          </w:p>
        </w:tc>
        <w:tc>
          <w:tcPr>
            <w:tcW w:w="1954" w:type="dxa"/>
            <w:shd w:val="clear" w:color="auto" w:fill="auto"/>
            <w:noWrap/>
            <w:vAlign w:val="center"/>
            <w:hideMark/>
          </w:tcPr>
          <w:p w14:paraId="12637843" w14:textId="77777777" w:rsidR="007204A1" w:rsidRPr="00C12E3E" w:rsidRDefault="007204A1" w:rsidP="007204A1">
            <w:pPr>
              <w:spacing w:after="0" w:line="240" w:lineRule="auto"/>
              <w:jc w:val="right"/>
              <w:rPr>
                <w:rFonts w:ascii="Calibri" w:eastAsia="Times New Roman" w:hAnsi="Calibri" w:cs="Calibri"/>
                <w:color w:val="000000"/>
                <w:sz w:val="20"/>
                <w:szCs w:val="20"/>
                <w:lang w:eastAsia="cs-CZ"/>
              </w:rPr>
            </w:pPr>
            <w:r w:rsidRPr="00C12E3E">
              <w:rPr>
                <w:rFonts w:ascii="Calibri" w:eastAsia="Times New Roman" w:hAnsi="Calibri" w:cs="Calibri"/>
                <w:color w:val="000000"/>
                <w:sz w:val="20"/>
                <w:szCs w:val="20"/>
                <w:lang w:eastAsia="cs-CZ"/>
              </w:rPr>
              <w:t>5 477 695</w:t>
            </w:r>
          </w:p>
        </w:tc>
      </w:tr>
      <w:tr w:rsidR="007204A1" w:rsidRPr="00C12E3E" w14:paraId="62D972DB" w14:textId="77777777" w:rsidTr="00CB08AF">
        <w:trPr>
          <w:trHeight w:val="525"/>
        </w:trPr>
        <w:tc>
          <w:tcPr>
            <w:tcW w:w="1191" w:type="dxa"/>
            <w:shd w:val="clear" w:color="auto" w:fill="auto"/>
            <w:vAlign w:val="center"/>
            <w:hideMark/>
          </w:tcPr>
          <w:p w14:paraId="39D7C87A" w14:textId="77777777" w:rsidR="007204A1" w:rsidRPr="00C12E3E" w:rsidRDefault="007204A1" w:rsidP="007204A1">
            <w:pPr>
              <w:spacing w:after="0" w:line="240" w:lineRule="auto"/>
              <w:jc w:val="center"/>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Celkem</w:t>
            </w:r>
          </w:p>
        </w:tc>
        <w:tc>
          <w:tcPr>
            <w:tcW w:w="1148" w:type="dxa"/>
            <w:shd w:val="clear" w:color="auto" w:fill="auto"/>
            <w:noWrap/>
            <w:vAlign w:val="center"/>
            <w:hideMark/>
          </w:tcPr>
          <w:p w14:paraId="2632D241" w14:textId="77777777" w:rsidR="007204A1" w:rsidRPr="00C12E3E" w:rsidRDefault="007204A1" w:rsidP="00CE509B">
            <w:pPr>
              <w:spacing w:after="0" w:line="240" w:lineRule="auto"/>
              <w:ind w:right="397"/>
              <w:jc w:val="right"/>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68</w:t>
            </w:r>
          </w:p>
        </w:tc>
        <w:tc>
          <w:tcPr>
            <w:tcW w:w="1571" w:type="dxa"/>
            <w:shd w:val="clear" w:color="auto" w:fill="auto"/>
            <w:noWrap/>
            <w:vAlign w:val="center"/>
            <w:hideMark/>
          </w:tcPr>
          <w:p w14:paraId="06B8CA9A" w14:textId="77777777" w:rsidR="007204A1" w:rsidRPr="00C12E3E" w:rsidRDefault="007204A1" w:rsidP="007204A1">
            <w:pPr>
              <w:spacing w:after="0" w:line="240" w:lineRule="auto"/>
              <w:jc w:val="right"/>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144 642 877</w:t>
            </w:r>
          </w:p>
        </w:tc>
        <w:tc>
          <w:tcPr>
            <w:tcW w:w="1717" w:type="dxa"/>
            <w:shd w:val="clear" w:color="auto" w:fill="auto"/>
            <w:noWrap/>
            <w:vAlign w:val="center"/>
            <w:hideMark/>
          </w:tcPr>
          <w:p w14:paraId="7A413841" w14:textId="77777777" w:rsidR="007204A1" w:rsidRPr="00C12E3E" w:rsidRDefault="007204A1" w:rsidP="007204A1">
            <w:pPr>
              <w:spacing w:after="0" w:line="240" w:lineRule="auto"/>
              <w:jc w:val="right"/>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120 089 761</w:t>
            </w:r>
          </w:p>
        </w:tc>
        <w:tc>
          <w:tcPr>
            <w:tcW w:w="1552" w:type="dxa"/>
            <w:shd w:val="clear" w:color="auto" w:fill="auto"/>
            <w:noWrap/>
            <w:vAlign w:val="center"/>
            <w:hideMark/>
          </w:tcPr>
          <w:p w14:paraId="33180C4D" w14:textId="77777777" w:rsidR="007204A1" w:rsidRPr="00C12E3E" w:rsidRDefault="007204A1" w:rsidP="00CE509B">
            <w:pPr>
              <w:spacing w:after="0" w:line="240" w:lineRule="auto"/>
              <w:ind w:right="624"/>
              <w:jc w:val="right"/>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14</w:t>
            </w:r>
          </w:p>
        </w:tc>
        <w:tc>
          <w:tcPr>
            <w:tcW w:w="1954" w:type="dxa"/>
            <w:shd w:val="clear" w:color="auto" w:fill="auto"/>
            <w:noWrap/>
            <w:vAlign w:val="center"/>
            <w:hideMark/>
          </w:tcPr>
          <w:p w14:paraId="3C9CB506" w14:textId="77777777" w:rsidR="007204A1" w:rsidRPr="00C12E3E" w:rsidRDefault="007204A1" w:rsidP="007204A1">
            <w:pPr>
              <w:spacing w:after="0" w:line="240" w:lineRule="auto"/>
              <w:jc w:val="right"/>
              <w:rPr>
                <w:rFonts w:ascii="Calibri" w:eastAsia="Times New Roman" w:hAnsi="Calibri" w:cs="Calibri"/>
                <w:b/>
                <w:bCs/>
                <w:color w:val="000000"/>
                <w:sz w:val="20"/>
                <w:szCs w:val="20"/>
                <w:lang w:eastAsia="cs-CZ"/>
              </w:rPr>
            </w:pPr>
            <w:r w:rsidRPr="00C12E3E">
              <w:rPr>
                <w:rFonts w:ascii="Calibri" w:eastAsia="Times New Roman" w:hAnsi="Calibri" w:cs="Calibri"/>
                <w:b/>
                <w:bCs/>
                <w:color w:val="000000"/>
                <w:sz w:val="20"/>
                <w:szCs w:val="20"/>
                <w:lang w:eastAsia="cs-CZ"/>
              </w:rPr>
              <w:t>23 926 158</w:t>
            </w:r>
          </w:p>
        </w:tc>
      </w:tr>
    </w:tbl>
    <w:p w14:paraId="4B1826EE" w14:textId="253D1F6F" w:rsidR="00296066" w:rsidRDefault="00296066" w:rsidP="00495048">
      <w:pPr>
        <w:spacing w:after="0" w:line="240" w:lineRule="auto"/>
        <w:ind w:left="567" w:hanging="567"/>
        <w:jc w:val="both"/>
        <w:rPr>
          <w:rFonts w:eastAsia="Times New Roman" w:cs="Calibri"/>
          <w:sz w:val="20"/>
          <w:szCs w:val="20"/>
        </w:rPr>
      </w:pPr>
      <w:r w:rsidRPr="00D849A7">
        <w:rPr>
          <w:rFonts w:eastAsia="Times New Roman" w:cs="Calibri"/>
          <w:b/>
          <w:sz w:val="20"/>
          <w:szCs w:val="20"/>
        </w:rPr>
        <w:t>Zdroj:</w:t>
      </w:r>
      <w:r w:rsidRPr="00D849A7">
        <w:rPr>
          <w:rFonts w:eastAsia="Times New Roman" w:cs="Calibri"/>
          <w:sz w:val="20"/>
          <w:szCs w:val="20"/>
        </w:rPr>
        <w:t xml:space="preserve"> </w:t>
      </w:r>
      <w:r w:rsidR="00CB08AF">
        <w:rPr>
          <w:rFonts w:eastAsia="Times New Roman" w:cs="Calibri"/>
          <w:sz w:val="20"/>
          <w:szCs w:val="20"/>
        </w:rPr>
        <w:tab/>
      </w:r>
      <w:r w:rsidRPr="00D849A7">
        <w:rPr>
          <w:rFonts w:eastAsia="Times New Roman" w:cs="Calibri"/>
          <w:sz w:val="20"/>
          <w:szCs w:val="20"/>
        </w:rPr>
        <w:t xml:space="preserve">MPSV, </w:t>
      </w:r>
      <w:r w:rsidR="00F16FE4">
        <w:rPr>
          <w:rFonts w:eastAsia="Times New Roman" w:cs="Calibri"/>
          <w:sz w:val="20"/>
          <w:szCs w:val="20"/>
        </w:rPr>
        <w:t xml:space="preserve">IS </w:t>
      </w:r>
      <w:r w:rsidRPr="00D849A7">
        <w:rPr>
          <w:rFonts w:eastAsia="Times New Roman" w:cs="Calibri"/>
          <w:sz w:val="20"/>
          <w:szCs w:val="20"/>
        </w:rPr>
        <w:t xml:space="preserve">MS2014+, stav </w:t>
      </w:r>
      <w:r w:rsidRPr="008220EA">
        <w:rPr>
          <w:rFonts w:eastAsia="Times New Roman" w:cs="Calibri"/>
          <w:sz w:val="20"/>
          <w:szCs w:val="20"/>
        </w:rPr>
        <w:t>k 09</w:t>
      </w:r>
      <w:r w:rsidRPr="00D849A7">
        <w:rPr>
          <w:rFonts w:eastAsia="Times New Roman" w:cs="Calibri"/>
          <w:sz w:val="20"/>
          <w:szCs w:val="20"/>
        </w:rPr>
        <w:t>/2022.</w:t>
      </w:r>
    </w:p>
    <w:p w14:paraId="5990CC62" w14:textId="48E67D91" w:rsidR="00CE509B" w:rsidRPr="00D849A7" w:rsidRDefault="00CE509B" w:rsidP="00CB08AF">
      <w:pPr>
        <w:spacing w:after="0" w:line="240" w:lineRule="auto"/>
        <w:ind w:left="567" w:hanging="567"/>
        <w:jc w:val="both"/>
        <w:rPr>
          <w:rFonts w:eastAsia="Times New Roman" w:cs="Calibri"/>
          <w:sz w:val="20"/>
          <w:szCs w:val="20"/>
        </w:rPr>
      </w:pPr>
      <w:r w:rsidRPr="00495048">
        <w:rPr>
          <w:rFonts w:eastAsia="Times New Roman" w:cs="Calibri"/>
          <w:b/>
          <w:sz w:val="20"/>
          <w:szCs w:val="20"/>
        </w:rPr>
        <w:t>Pozn.:</w:t>
      </w:r>
      <w:r w:rsidR="00CB08AF">
        <w:rPr>
          <w:rFonts w:eastAsia="Times New Roman" w:cs="Calibri"/>
          <w:sz w:val="20"/>
          <w:szCs w:val="20"/>
        </w:rPr>
        <w:tab/>
        <w:t>SR = státní rozpočet.</w:t>
      </w:r>
    </w:p>
    <w:p w14:paraId="789A5D76" w14:textId="77777777" w:rsidR="00C25F33" w:rsidRDefault="00C25F33" w:rsidP="005846CC">
      <w:pPr>
        <w:spacing w:before="120" w:after="120" w:line="240" w:lineRule="auto"/>
        <w:ind w:left="567" w:hanging="567"/>
        <w:jc w:val="both"/>
        <w:rPr>
          <w:sz w:val="20"/>
        </w:rPr>
      </w:pPr>
    </w:p>
    <w:p w14:paraId="55007260" w14:textId="77777777" w:rsidR="005C6C88" w:rsidRPr="005846CC" w:rsidRDefault="005C6C88" w:rsidP="005846CC">
      <w:pPr>
        <w:spacing w:before="120" w:after="120" w:line="240" w:lineRule="auto"/>
        <w:ind w:left="567" w:hanging="567"/>
        <w:jc w:val="both"/>
        <w:rPr>
          <w:sz w:val="20"/>
        </w:rPr>
      </w:pPr>
    </w:p>
    <w:bookmarkEnd w:id="4"/>
    <w:p w14:paraId="0D30A61E" w14:textId="77777777" w:rsidR="00EA05A6" w:rsidRPr="00513AE2" w:rsidRDefault="000E366F" w:rsidP="00B61FDB">
      <w:pPr>
        <w:pStyle w:val="Nadpismsk"/>
        <w:keepNext/>
      </w:pPr>
      <w:r w:rsidRPr="00513AE2">
        <w:t>Podrobné skutečnosti zjištěné kontrolou</w:t>
      </w:r>
    </w:p>
    <w:p w14:paraId="1E618D30" w14:textId="77777777" w:rsidR="00A01CB1" w:rsidRPr="00011A7C" w:rsidRDefault="00A92177" w:rsidP="000409CF">
      <w:pPr>
        <w:pStyle w:val="Mluvcnadpis"/>
      </w:pPr>
      <w:r w:rsidRPr="00A92177">
        <w:t>MPSV schvalovalo žádosti GA bez znalosti potřeb auditovaných organizací</w:t>
      </w:r>
      <w:r w:rsidR="004408D3">
        <w:t xml:space="preserve">. Některé organizace byly vybrány až </w:t>
      </w:r>
      <w:r w:rsidR="00146792">
        <w:t>v průběhu realizace projektů</w:t>
      </w:r>
      <w:r w:rsidR="00377CBA">
        <w:t>.</w:t>
      </w:r>
    </w:p>
    <w:p w14:paraId="1F723E6F" w14:textId="78CF1CF0" w:rsidR="00345BEF" w:rsidRDefault="00345BEF" w:rsidP="000409CF">
      <w:pPr>
        <w:pStyle w:val="JK4"/>
      </w:pPr>
      <w:r>
        <w:t xml:space="preserve">Standard GA uvádí, že důležitým východiskem pro realizaci genderového auditu je </w:t>
      </w:r>
      <w:r w:rsidR="006F44D1">
        <w:t xml:space="preserve">zájem </w:t>
      </w:r>
      <w:r w:rsidR="00146792">
        <w:t xml:space="preserve">AO </w:t>
      </w:r>
      <w:r w:rsidR="00EE3C43">
        <w:t>o realizaci genderového auditu</w:t>
      </w:r>
      <w:r w:rsidR="006F44D1">
        <w:t>, zájem o následnou změnu a konzistentní práce v oblasti genderové problematiky</w:t>
      </w:r>
      <w:r w:rsidR="00EE3C43">
        <w:t xml:space="preserve">. </w:t>
      </w:r>
      <w:r w:rsidR="00942C59">
        <w:t>MPSV však v</w:t>
      </w:r>
      <w:r w:rsidR="00EE3C43">
        <w:t> podmínkách výzev pro předkládání projektů na realizaci genderových auditů</w:t>
      </w:r>
      <w:r w:rsidR="009644D1">
        <w:rPr>
          <w:rStyle w:val="Znakapoznpodarou"/>
        </w:rPr>
        <w:footnoteReference w:id="19"/>
      </w:r>
      <w:r w:rsidR="00EE3C43">
        <w:t xml:space="preserve"> </w:t>
      </w:r>
      <w:r w:rsidR="00942C59">
        <w:t>stanovilo</w:t>
      </w:r>
      <w:r w:rsidR="00EE3C43">
        <w:t>, že při předkládání žádostí o podporu</w:t>
      </w:r>
      <w:r w:rsidR="001103F3">
        <w:rPr>
          <w:rStyle w:val="Znakapoznpodarou"/>
        </w:rPr>
        <w:footnoteReference w:id="20"/>
      </w:r>
      <w:r w:rsidR="001103F3">
        <w:t xml:space="preserve"> </w:t>
      </w:r>
      <w:r w:rsidR="00EE3C43">
        <w:t>postačuje uvedení předpokládaného počtu a velikosti subjektů, u kterých bude genderový audit provádě</w:t>
      </w:r>
      <w:r w:rsidR="004408D3">
        <w:t>n</w:t>
      </w:r>
      <w:r w:rsidR="00EE3C43">
        <w:t>.</w:t>
      </w:r>
    </w:p>
    <w:p w14:paraId="7CD1F38D" w14:textId="7D6E966D" w:rsidR="00EE3C43" w:rsidRDefault="00EE3C43" w:rsidP="000409CF">
      <w:pPr>
        <w:pStyle w:val="JK4"/>
      </w:pPr>
      <w:r>
        <w:t xml:space="preserve">NKÚ kontrolou vybraných projektů </w:t>
      </w:r>
      <w:r w:rsidR="00316E9C">
        <w:t xml:space="preserve">GA </w:t>
      </w:r>
      <w:r>
        <w:t>zjistil, že ve dvou případech z pěti nebyla z žádosti o</w:t>
      </w:r>
      <w:r w:rsidR="008953D6">
        <w:t> </w:t>
      </w:r>
      <w:r>
        <w:t xml:space="preserve">podporu </w:t>
      </w:r>
      <w:r w:rsidR="00146792">
        <w:t xml:space="preserve">vůbec patrná </w:t>
      </w:r>
      <w:r>
        <w:t xml:space="preserve">identifikace </w:t>
      </w:r>
      <w:r w:rsidR="00123592">
        <w:t>AO</w:t>
      </w:r>
      <w:r>
        <w:t xml:space="preserve">, u kterých má být proveden genderový audit. </w:t>
      </w:r>
      <w:r w:rsidR="00384545">
        <w:t>U 54</w:t>
      </w:r>
      <w:r w:rsidR="00F820FA">
        <w:t> </w:t>
      </w:r>
      <w:r w:rsidR="00384545">
        <w:t xml:space="preserve">% organizací, které měly být v rámci vybraných projektů GA auditovány, </w:t>
      </w:r>
      <w:r w:rsidR="006D6F4A">
        <w:t xml:space="preserve">MPSV v době hodnocení žádostí o podporu </w:t>
      </w:r>
      <w:r w:rsidR="0026770B">
        <w:t>nevědělo, o jak</w:t>
      </w:r>
      <w:r w:rsidR="00384545">
        <w:t>ou</w:t>
      </w:r>
      <w:r w:rsidR="0026770B">
        <w:t xml:space="preserve"> </w:t>
      </w:r>
      <w:r w:rsidR="00384545">
        <w:t>konkrétní organizaci</w:t>
      </w:r>
      <w:r w:rsidR="0026770B">
        <w:t xml:space="preserve"> se jedná</w:t>
      </w:r>
      <w:r w:rsidR="00384545">
        <w:t>.</w:t>
      </w:r>
      <w:r w:rsidR="0026770B">
        <w:t xml:space="preserve"> </w:t>
      </w:r>
      <w:r w:rsidR="00384545">
        <w:t>U</w:t>
      </w:r>
      <w:r w:rsidR="00CB08AF">
        <w:t xml:space="preserve"> </w:t>
      </w:r>
      <w:r w:rsidR="00E23BBE">
        <w:t xml:space="preserve">některých </w:t>
      </w:r>
      <w:r w:rsidR="00384545">
        <w:t>kontrolovaných projektů GA dále došlo v</w:t>
      </w:r>
      <w:r w:rsidR="003A7379">
        <w:t xml:space="preserve"> </w:t>
      </w:r>
      <w:r w:rsidR="00384545">
        <w:t xml:space="preserve">průběhu jejich realizace </w:t>
      </w:r>
      <w:r w:rsidR="00E23BBE">
        <w:t>ke změnám</w:t>
      </w:r>
      <w:r w:rsidR="00CB08AF">
        <w:t xml:space="preserve"> </w:t>
      </w:r>
      <w:r w:rsidR="00E23BBE">
        <w:t xml:space="preserve">AO oproti předpokladům uvedeným v žádosti o podporu </w:t>
      </w:r>
      <w:r w:rsidR="009644D1">
        <w:t>(</w:t>
      </w:r>
      <w:r w:rsidR="00753008">
        <w:t>graf č.</w:t>
      </w:r>
      <w:r w:rsidR="004408D3">
        <w:t> </w:t>
      </w:r>
      <w:r w:rsidR="00832D73">
        <w:t>1</w:t>
      </w:r>
      <w:r w:rsidR="009644D1">
        <w:t>)</w:t>
      </w:r>
      <w:r w:rsidR="00753008">
        <w:t>.</w:t>
      </w:r>
    </w:p>
    <w:p w14:paraId="1D795027" w14:textId="2CE74E60" w:rsidR="00074099" w:rsidRPr="000409CF" w:rsidRDefault="00074099" w:rsidP="00495048">
      <w:pPr>
        <w:keepNext/>
        <w:tabs>
          <w:tab w:val="right" w:pos="9072"/>
        </w:tabs>
        <w:spacing w:after="40" w:line="240" w:lineRule="auto"/>
        <w:ind w:left="993" w:hanging="993"/>
        <w:jc w:val="both"/>
        <w:rPr>
          <w:rFonts w:ascii="Calibri" w:hAnsi="Calibri" w:cs="Calibri"/>
          <w:b/>
          <w:color w:val="000000" w:themeColor="text1"/>
          <w:sz w:val="24"/>
          <w:szCs w:val="24"/>
        </w:rPr>
      </w:pPr>
      <w:r w:rsidRPr="000409CF">
        <w:rPr>
          <w:rFonts w:ascii="Calibri" w:hAnsi="Calibri" w:cs="Calibri"/>
          <w:b/>
          <w:color w:val="000000" w:themeColor="text1"/>
          <w:sz w:val="24"/>
          <w:szCs w:val="24"/>
        </w:rPr>
        <w:t xml:space="preserve">Graf č. </w:t>
      </w:r>
      <w:r w:rsidR="00832D73">
        <w:rPr>
          <w:rFonts w:ascii="Calibri" w:hAnsi="Calibri" w:cs="Calibri"/>
          <w:b/>
          <w:color w:val="000000" w:themeColor="text1"/>
          <w:sz w:val="24"/>
          <w:szCs w:val="24"/>
        </w:rPr>
        <w:t>1</w:t>
      </w:r>
      <w:r w:rsidRPr="000409CF">
        <w:rPr>
          <w:rFonts w:ascii="Calibri" w:hAnsi="Calibri" w:cs="Calibri"/>
          <w:b/>
          <w:color w:val="000000" w:themeColor="text1"/>
          <w:sz w:val="24"/>
          <w:szCs w:val="24"/>
        </w:rPr>
        <w:t xml:space="preserve">: </w:t>
      </w:r>
      <w:r w:rsidR="00021C8B">
        <w:rPr>
          <w:rFonts w:ascii="Calibri" w:hAnsi="Calibri" w:cs="Calibri"/>
          <w:b/>
          <w:color w:val="000000" w:themeColor="text1"/>
          <w:sz w:val="24"/>
          <w:szCs w:val="24"/>
        </w:rPr>
        <w:tab/>
      </w:r>
      <w:r w:rsidR="00E86F2F">
        <w:rPr>
          <w:rFonts w:ascii="Calibri" w:hAnsi="Calibri" w:cs="Calibri"/>
          <w:b/>
          <w:color w:val="000000" w:themeColor="text1"/>
          <w:sz w:val="24"/>
          <w:szCs w:val="24"/>
        </w:rPr>
        <w:t xml:space="preserve">Podíl </w:t>
      </w:r>
      <w:r w:rsidR="003F4095">
        <w:rPr>
          <w:rFonts w:ascii="Calibri" w:hAnsi="Calibri" w:cs="Calibri"/>
          <w:b/>
          <w:color w:val="000000" w:themeColor="text1"/>
          <w:sz w:val="24"/>
          <w:szCs w:val="24"/>
        </w:rPr>
        <w:t>auditovaných o</w:t>
      </w:r>
      <w:r w:rsidR="00027A18">
        <w:rPr>
          <w:rFonts w:ascii="Calibri" w:hAnsi="Calibri" w:cs="Calibri"/>
          <w:b/>
          <w:color w:val="000000" w:themeColor="text1"/>
          <w:sz w:val="24"/>
          <w:szCs w:val="24"/>
        </w:rPr>
        <w:t>rganizací</w:t>
      </w:r>
      <w:r w:rsidR="00E86F2F">
        <w:rPr>
          <w:rFonts w:ascii="Calibri" w:hAnsi="Calibri" w:cs="Calibri"/>
          <w:b/>
          <w:color w:val="000000" w:themeColor="text1"/>
          <w:sz w:val="24"/>
          <w:szCs w:val="24"/>
        </w:rPr>
        <w:t xml:space="preserve"> jejichž totožnost nebyla při schvalování žádostí o</w:t>
      </w:r>
      <w:r w:rsidR="00021C8B">
        <w:rPr>
          <w:rFonts w:ascii="Calibri" w:hAnsi="Calibri" w:cs="Calibri"/>
          <w:b/>
          <w:color w:val="000000" w:themeColor="text1"/>
          <w:sz w:val="24"/>
          <w:szCs w:val="24"/>
        </w:rPr>
        <w:t> </w:t>
      </w:r>
      <w:r w:rsidR="00E86F2F">
        <w:rPr>
          <w:rFonts w:ascii="Calibri" w:hAnsi="Calibri" w:cs="Calibri"/>
          <w:b/>
          <w:color w:val="000000" w:themeColor="text1"/>
          <w:sz w:val="24"/>
          <w:szCs w:val="24"/>
        </w:rPr>
        <w:t>podporu vybraného vzorku projektů známa</w:t>
      </w:r>
    </w:p>
    <w:p w14:paraId="5204993F" w14:textId="77777777" w:rsidR="00AD56DD" w:rsidRPr="00CE48F2" w:rsidRDefault="003F4095" w:rsidP="00CE48F2">
      <w:pPr>
        <w:keepNext/>
        <w:tabs>
          <w:tab w:val="right" w:pos="9072"/>
        </w:tabs>
        <w:spacing w:after="40" w:line="240" w:lineRule="auto"/>
        <w:jc w:val="center"/>
        <w:rPr>
          <w:rFonts w:ascii="Calibri" w:hAnsi="Calibri" w:cs="Calibri"/>
          <w:b/>
          <w:color w:val="000000" w:themeColor="text1"/>
          <w:sz w:val="24"/>
          <w:szCs w:val="24"/>
        </w:rPr>
      </w:pPr>
      <w:r>
        <w:rPr>
          <w:noProof/>
        </w:rPr>
        <w:drawing>
          <wp:inline distT="0" distB="0" distL="0" distR="0" wp14:anchorId="650D2373" wp14:editId="7C66DB48">
            <wp:extent cx="5743254" cy="3626777"/>
            <wp:effectExtent l="0" t="0" r="0" b="0"/>
            <wp:docPr id="2" name="Graf 2">
              <a:extLst xmlns:a="http://schemas.openxmlformats.org/drawingml/2006/main">
                <a:ext uri="{FF2B5EF4-FFF2-40B4-BE49-F238E27FC236}">
                  <a16:creationId xmlns:a16="http://schemas.microsoft.com/office/drawing/2014/main" id="{1E784D75-4A03-4196-90B3-DBC2810D7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77DEC1" w14:textId="40B690B1" w:rsidR="008333E7" w:rsidRDefault="008333E7" w:rsidP="003F395E">
      <w:pPr>
        <w:pStyle w:val="JK4"/>
        <w:numPr>
          <w:ilvl w:val="0"/>
          <w:numId w:val="0"/>
        </w:numPr>
      </w:pPr>
      <w:r>
        <w:rPr>
          <w:b/>
          <w:bCs/>
          <w:sz w:val="20"/>
          <w:szCs w:val="20"/>
        </w:rPr>
        <w:t xml:space="preserve">Zdroj: </w:t>
      </w:r>
      <w:r w:rsidR="00E923EF">
        <w:rPr>
          <w:bCs/>
          <w:sz w:val="20"/>
          <w:szCs w:val="20"/>
        </w:rPr>
        <w:t>IS MS2014+</w:t>
      </w:r>
      <w:r w:rsidR="00CB08AF">
        <w:rPr>
          <w:bCs/>
          <w:sz w:val="20"/>
          <w:szCs w:val="20"/>
        </w:rPr>
        <w:t>;</w:t>
      </w:r>
      <w:r w:rsidR="00E923EF">
        <w:rPr>
          <w:bCs/>
          <w:sz w:val="20"/>
          <w:szCs w:val="20"/>
        </w:rPr>
        <w:t xml:space="preserve"> </w:t>
      </w:r>
      <w:r>
        <w:rPr>
          <w:sz w:val="20"/>
          <w:szCs w:val="20"/>
        </w:rPr>
        <w:t>analýzu dat vypracoval NKÚ.</w:t>
      </w:r>
    </w:p>
    <w:p w14:paraId="32A955ED" w14:textId="297BFA30" w:rsidR="007C6B57" w:rsidRDefault="004D58C3" w:rsidP="000409CF">
      <w:pPr>
        <w:pStyle w:val="JK4"/>
      </w:pPr>
      <w:r>
        <w:t>Standard GA</w:t>
      </w:r>
      <w:r w:rsidDel="00B4205F">
        <w:t xml:space="preserve"> </w:t>
      </w:r>
      <w:r>
        <w:t>pře</w:t>
      </w:r>
      <w:r w:rsidR="006C3CD6">
        <w:t>d</w:t>
      </w:r>
      <w:r>
        <w:t xml:space="preserve">pokládá, že realizace GA vzniká na základě poptávky organizace, která má být auditována. </w:t>
      </w:r>
      <w:r w:rsidR="005F4AEA">
        <w:t>NKÚ</w:t>
      </w:r>
      <w:r w:rsidR="00FA78C1">
        <w:t xml:space="preserve"> </w:t>
      </w:r>
      <w:r>
        <w:t xml:space="preserve">zjistil, že </w:t>
      </w:r>
      <w:r w:rsidR="005F4AEA">
        <w:t>u</w:t>
      </w:r>
      <w:r>
        <w:t xml:space="preserve">rčení </w:t>
      </w:r>
      <w:r w:rsidR="00E05C4C">
        <w:t>AO</w:t>
      </w:r>
      <w:r>
        <w:t>, u</w:t>
      </w:r>
      <w:r w:rsidR="00041A3D">
        <w:t> </w:t>
      </w:r>
      <w:r>
        <w:t>kterých b</w:t>
      </w:r>
      <w:r w:rsidR="005F4AEA">
        <w:t>yl</w:t>
      </w:r>
      <w:r>
        <w:t xml:space="preserve"> GA v rámci projektu proveden, </w:t>
      </w:r>
      <w:r w:rsidR="005F4AEA">
        <w:t>oproti požadavku Standardu GA</w:t>
      </w:r>
      <w:r>
        <w:t xml:space="preserve"> vycházelo z oslovení vytipovaných subjektů </w:t>
      </w:r>
      <w:r w:rsidR="0030192B">
        <w:t>příjemcem</w:t>
      </w:r>
      <w:r>
        <w:t xml:space="preserve"> s nabídkou na provedení genderového auditu. </w:t>
      </w:r>
    </w:p>
    <w:p w14:paraId="25522756" w14:textId="77777777" w:rsidR="006F73C0" w:rsidRPr="00F8308D" w:rsidRDefault="006F73C0"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F8308D">
        <w:rPr>
          <w:b/>
          <w:sz w:val="24"/>
          <w:szCs w:val="24"/>
        </w:rPr>
        <w:t xml:space="preserve">Příklad č. </w:t>
      </w:r>
      <w:r w:rsidR="00832D73">
        <w:rPr>
          <w:b/>
          <w:sz w:val="24"/>
          <w:szCs w:val="24"/>
        </w:rPr>
        <w:t>1</w:t>
      </w:r>
      <w:r w:rsidRPr="00F8308D">
        <w:rPr>
          <w:b/>
          <w:sz w:val="24"/>
          <w:szCs w:val="24"/>
        </w:rPr>
        <w:t>:</w:t>
      </w:r>
    </w:p>
    <w:p w14:paraId="5BBBD798" w14:textId="1987ACFD" w:rsidR="00F8308D" w:rsidRPr="00F8308D" w:rsidRDefault="00F8308D" w:rsidP="00F8308D">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F8308D">
        <w:rPr>
          <w:sz w:val="24"/>
          <w:szCs w:val="24"/>
        </w:rPr>
        <w:t>Příjemce</w:t>
      </w:r>
      <w:r w:rsidR="00934FF9">
        <w:rPr>
          <w:sz w:val="24"/>
          <w:szCs w:val="24"/>
        </w:rPr>
        <w:t xml:space="preserve"> – organizace zaměstnavatelů – </w:t>
      </w:r>
      <w:r w:rsidR="005F4AEA">
        <w:rPr>
          <w:sz w:val="24"/>
          <w:szCs w:val="24"/>
        </w:rPr>
        <w:t xml:space="preserve">oslovoval, v některých případech </w:t>
      </w:r>
      <w:r w:rsidR="00CB08AF">
        <w:rPr>
          <w:sz w:val="24"/>
          <w:szCs w:val="24"/>
        </w:rPr>
        <w:t xml:space="preserve">i </w:t>
      </w:r>
      <w:r w:rsidR="005F4AEA">
        <w:rPr>
          <w:sz w:val="24"/>
          <w:szCs w:val="24"/>
        </w:rPr>
        <w:t>opakovaně, své členy z</w:t>
      </w:r>
      <w:r w:rsidR="00F820FA">
        <w:rPr>
          <w:sz w:val="24"/>
          <w:szCs w:val="24"/>
        </w:rPr>
        <w:t xml:space="preserve"> </w:t>
      </w:r>
      <w:r w:rsidR="005F4AEA">
        <w:rPr>
          <w:sz w:val="24"/>
          <w:szCs w:val="24"/>
        </w:rPr>
        <w:t>řad zaměstnavatelů s</w:t>
      </w:r>
      <w:r w:rsidR="00F820FA">
        <w:rPr>
          <w:sz w:val="24"/>
          <w:szCs w:val="24"/>
        </w:rPr>
        <w:t xml:space="preserve"> </w:t>
      </w:r>
      <w:r w:rsidR="005F4AEA">
        <w:rPr>
          <w:sz w:val="24"/>
          <w:szCs w:val="24"/>
        </w:rPr>
        <w:t>nabídkou provedení GA.</w:t>
      </w:r>
      <w:r w:rsidRPr="00F8308D">
        <w:rPr>
          <w:sz w:val="24"/>
          <w:szCs w:val="24"/>
        </w:rPr>
        <w:t xml:space="preserve"> </w:t>
      </w:r>
      <w:r w:rsidR="005F4AEA">
        <w:rPr>
          <w:sz w:val="24"/>
          <w:szCs w:val="24"/>
        </w:rPr>
        <w:t>NKÚ zjistil</w:t>
      </w:r>
      <w:r w:rsidRPr="00F8308D">
        <w:rPr>
          <w:sz w:val="24"/>
          <w:szCs w:val="24"/>
        </w:rPr>
        <w:t>, že pět z</w:t>
      </w:r>
      <w:r w:rsidR="00F820FA">
        <w:rPr>
          <w:sz w:val="24"/>
          <w:szCs w:val="24"/>
        </w:rPr>
        <w:t xml:space="preserve"> </w:t>
      </w:r>
      <w:r w:rsidRPr="00F8308D">
        <w:rPr>
          <w:sz w:val="24"/>
          <w:szCs w:val="24"/>
        </w:rPr>
        <w:t xml:space="preserve">těchto </w:t>
      </w:r>
      <w:r w:rsidR="005F4AEA">
        <w:rPr>
          <w:sz w:val="24"/>
          <w:szCs w:val="24"/>
        </w:rPr>
        <w:t>zaměstnavatelů</w:t>
      </w:r>
      <w:r w:rsidR="00E05C4C" w:rsidRPr="00F8308D">
        <w:rPr>
          <w:sz w:val="24"/>
          <w:szCs w:val="24"/>
        </w:rPr>
        <w:t xml:space="preserve"> </w:t>
      </w:r>
      <w:r w:rsidR="009141B2">
        <w:rPr>
          <w:sz w:val="24"/>
          <w:szCs w:val="24"/>
        </w:rPr>
        <w:t>bylo</w:t>
      </w:r>
      <w:r w:rsidR="009141B2" w:rsidRPr="00F8308D">
        <w:rPr>
          <w:sz w:val="24"/>
          <w:szCs w:val="24"/>
        </w:rPr>
        <w:t xml:space="preserve"> </w:t>
      </w:r>
      <w:r w:rsidRPr="00F8308D">
        <w:rPr>
          <w:sz w:val="24"/>
          <w:szCs w:val="24"/>
        </w:rPr>
        <w:t>personálně propojeno s </w:t>
      </w:r>
      <w:r w:rsidR="00F66D68">
        <w:rPr>
          <w:sz w:val="24"/>
          <w:szCs w:val="24"/>
        </w:rPr>
        <w:t>příjemcem</w:t>
      </w:r>
      <w:r w:rsidRPr="00F8308D">
        <w:rPr>
          <w:sz w:val="24"/>
          <w:szCs w:val="24"/>
        </w:rPr>
        <w:t xml:space="preserve">. Příjemce uvedl, že důvodem pro zapojení </w:t>
      </w:r>
      <w:r w:rsidR="005F4AEA">
        <w:rPr>
          <w:sz w:val="24"/>
          <w:szCs w:val="24"/>
        </w:rPr>
        <w:t xml:space="preserve">oslovených zaměstnavatelů </w:t>
      </w:r>
      <w:r w:rsidRPr="00F8308D">
        <w:rPr>
          <w:sz w:val="24"/>
          <w:szCs w:val="24"/>
        </w:rPr>
        <w:t xml:space="preserve">do projektu byla potřeba určité formy </w:t>
      </w:r>
      <w:r w:rsidR="004E29A1">
        <w:rPr>
          <w:sz w:val="24"/>
          <w:szCs w:val="24"/>
        </w:rPr>
        <w:t>certifikace</w:t>
      </w:r>
      <w:r w:rsidRPr="00F8308D">
        <w:rPr>
          <w:sz w:val="24"/>
          <w:szCs w:val="24"/>
        </w:rPr>
        <w:t xml:space="preserve"> dodržování rovných příležitostí žen a mužů. Jinou potřebu, např. odhalení existujících nerovností a poskytnutí doporučení k jejich odstranění</w:t>
      </w:r>
      <w:r w:rsidR="001923D3">
        <w:rPr>
          <w:sz w:val="24"/>
          <w:szCs w:val="24"/>
        </w:rPr>
        <w:t>,</w:t>
      </w:r>
      <w:r w:rsidRPr="00F8308D">
        <w:rPr>
          <w:sz w:val="24"/>
          <w:szCs w:val="24"/>
        </w:rPr>
        <w:t xml:space="preserve"> příjemce ne</w:t>
      </w:r>
      <w:r w:rsidR="005F4AEA">
        <w:rPr>
          <w:sz w:val="24"/>
          <w:szCs w:val="24"/>
        </w:rPr>
        <w:t>uvedl</w:t>
      </w:r>
      <w:r w:rsidRPr="00F8308D">
        <w:rPr>
          <w:sz w:val="24"/>
          <w:szCs w:val="24"/>
        </w:rPr>
        <w:t xml:space="preserve">. Výstupem projektu bylo vystavení certifikátu </w:t>
      </w:r>
      <w:r w:rsidR="005F4AEA">
        <w:rPr>
          <w:sz w:val="24"/>
          <w:szCs w:val="24"/>
        </w:rPr>
        <w:t>o tom</w:t>
      </w:r>
      <w:r w:rsidRPr="00F8308D">
        <w:rPr>
          <w:sz w:val="24"/>
          <w:szCs w:val="24"/>
        </w:rPr>
        <w:t xml:space="preserve">, že </w:t>
      </w:r>
      <w:r w:rsidR="009141B2">
        <w:rPr>
          <w:sz w:val="24"/>
          <w:szCs w:val="24"/>
        </w:rPr>
        <w:t xml:space="preserve">AO </w:t>
      </w:r>
      <w:r w:rsidRPr="00F8308D">
        <w:rPr>
          <w:sz w:val="24"/>
          <w:szCs w:val="24"/>
        </w:rPr>
        <w:t>aplikují vstřícné prorodinné a</w:t>
      </w:r>
      <w:r w:rsidR="002622B7">
        <w:rPr>
          <w:sz w:val="24"/>
          <w:szCs w:val="24"/>
        </w:rPr>
        <w:t> </w:t>
      </w:r>
      <w:proofErr w:type="spellStart"/>
      <w:r w:rsidRPr="00F8308D">
        <w:rPr>
          <w:sz w:val="24"/>
          <w:szCs w:val="24"/>
        </w:rPr>
        <w:t>progenderové</w:t>
      </w:r>
      <w:proofErr w:type="spellEnd"/>
      <w:r w:rsidRPr="00F8308D">
        <w:rPr>
          <w:sz w:val="24"/>
          <w:szCs w:val="24"/>
        </w:rPr>
        <w:t xml:space="preserve"> politiky.</w:t>
      </w:r>
      <w:r w:rsidR="005508D7">
        <w:rPr>
          <w:rStyle w:val="Znakapoznpodarou"/>
          <w:sz w:val="24"/>
          <w:szCs w:val="24"/>
        </w:rPr>
        <w:footnoteReference w:id="21"/>
      </w:r>
    </w:p>
    <w:p w14:paraId="504ADBC0" w14:textId="4009727E" w:rsidR="00344E6F" w:rsidRDefault="00FC758B" w:rsidP="000409CF">
      <w:pPr>
        <w:pStyle w:val="JK4"/>
      </w:pPr>
      <w:r>
        <w:t xml:space="preserve">Potenciál podpořených projektů GA přispět k naplnění účelu podpory </w:t>
      </w:r>
      <w:r w:rsidR="00CB08AF">
        <w:t>(</w:t>
      </w:r>
      <w:r>
        <w:t>tedy k</w:t>
      </w:r>
      <w:r w:rsidR="00CB08AF">
        <w:t>e snížení</w:t>
      </w:r>
      <w:r>
        <w:t xml:space="preserve"> </w:t>
      </w:r>
      <w:r w:rsidR="00CB08AF">
        <w:t xml:space="preserve">genderové nerovnosti v klíčových oblastech </w:t>
      </w:r>
      <w:r>
        <w:t>uvedených v SC 1.2.1</w:t>
      </w:r>
      <w:r w:rsidR="00CB08AF">
        <w:t>)</w:t>
      </w:r>
      <w:r>
        <w:t xml:space="preserve"> byl omezený, protože</w:t>
      </w:r>
      <w:r w:rsidR="00F8308D">
        <w:t xml:space="preserve"> iniciativa k zapojení do projektů ve výzvách GA nevycházela primárně od </w:t>
      </w:r>
      <w:r w:rsidR="00AC2C1B">
        <w:t>AO</w:t>
      </w:r>
      <w:r w:rsidR="003F571D" w:rsidRPr="003F571D">
        <w:t xml:space="preserve"> na základě jejich poptávky </w:t>
      </w:r>
      <w:r w:rsidR="00CB08AF">
        <w:t xml:space="preserve">ani z </w:t>
      </w:r>
      <w:r w:rsidR="003F571D" w:rsidRPr="003F571D">
        <w:t>potřeby</w:t>
      </w:r>
      <w:r w:rsidR="003F6BDB">
        <w:t xml:space="preserve"> </w:t>
      </w:r>
      <w:r w:rsidR="00B94CB6">
        <w:t>provedení GA u</w:t>
      </w:r>
      <w:r w:rsidR="003F6BDB">
        <w:t xml:space="preserve"> konkrétních</w:t>
      </w:r>
      <w:r w:rsidR="00D63E35">
        <w:t xml:space="preserve"> zaměstnavatelů</w:t>
      </w:r>
      <w:r w:rsidR="003F571D" w:rsidRPr="003F571D" w:rsidDel="00FC758B">
        <w:t>.</w:t>
      </w:r>
      <w:r w:rsidR="00D63E35" w:rsidDel="00FC758B">
        <w:t xml:space="preserve"> </w:t>
      </w:r>
    </w:p>
    <w:p w14:paraId="62DD466A" w14:textId="77777777" w:rsidR="007F14D1" w:rsidRDefault="0051224F" w:rsidP="000409CF">
      <w:pPr>
        <w:pStyle w:val="JK4"/>
      </w:pPr>
      <w:r>
        <w:t>NKÚ</w:t>
      </w:r>
      <w:r w:rsidDel="00B4205F">
        <w:t xml:space="preserve"> </w:t>
      </w:r>
      <w:r w:rsidR="001103F3">
        <w:t xml:space="preserve">také </w:t>
      </w:r>
      <w:r>
        <w:t xml:space="preserve">zjistil, že přínos některých realizovaných GA k řešení problematiky genderové nerovnosti je limitován tím, že </w:t>
      </w:r>
      <w:r w:rsidR="00AC2C1B">
        <w:t>AO</w:t>
      </w:r>
      <w:r>
        <w:t xml:space="preserve"> před vstupem do projektu </w:t>
      </w:r>
      <w:r w:rsidR="00AA6CB8">
        <w:t>GA</w:t>
      </w:r>
      <w:r>
        <w:t xml:space="preserve"> buď veřejně deklarovaly, že se </w:t>
      </w:r>
      <w:r w:rsidR="001103F3">
        <w:t xml:space="preserve">již </w:t>
      </w:r>
      <w:r>
        <w:t>hlásí k politice rovnosti a zákazu diskriminace</w:t>
      </w:r>
      <w:r w:rsidR="00B74EE6">
        <w:t>, nebo</w:t>
      </w:r>
      <w:r>
        <w:t xml:space="preserve"> z jakýchkoliv důvodů </w:t>
      </w:r>
      <w:r w:rsidR="001103F3">
        <w:t xml:space="preserve">již </w:t>
      </w:r>
      <w:r>
        <w:t>v</w:t>
      </w:r>
      <w:r w:rsidR="002622B7">
        <w:t xml:space="preserve"> </w:t>
      </w:r>
      <w:r>
        <w:t>minulosti úspěšně prošly genderovými audity</w:t>
      </w:r>
      <w:r w:rsidR="00AA6CB8">
        <w:t xml:space="preserve"> a</w:t>
      </w:r>
      <w:r>
        <w:t xml:space="preserve"> obdržely ocenění v oblasti rovných příležitostí</w:t>
      </w:r>
      <w:r w:rsidR="00FA78C1">
        <w:t>.</w:t>
      </w:r>
    </w:p>
    <w:p w14:paraId="5DE33F66" w14:textId="77777777" w:rsidR="00CF24A5" w:rsidRPr="00BB1583" w:rsidRDefault="00CF24A5"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BB1583">
        <w:rPr>
          <w:b/>
          <w:sz w:val="24"/>
          <w:szCs w:val="24"/>
        </w:rPr>
        <w:t xml:space="preserve">Příklad č. </w:t>
      </w:r>
      <w:r w:rsidR="00832D73">
        <w:rPr>
          <w:b/>
          <w:sz w:val="24"/>
          <w:szCs w:val="24"/>
        </w:rPr>
        <w:t>2</w:t>
      </w:r>
      <w:r w:rsidRPr="00BB1583">
        <w:rPr>
          <w:b/>
          <w:sz w:val="24"/>
          <w:szCs w:val="24"/>
        </w:rPr>
        <w:t>:</w:t>
      </w:r>
    </w:p>
    <w:p w14:paraId="720425A9" w14:textId="596F7C01" w:rsidR="00CF24A5" w:rsidRPr="00BB1583" w:rsidRDefault="00CF24A5" w:rsidP="00BB1583">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BB1583">
        <w:rPr>
          <w:sz w:val="24"/>
          <w:szCs w:val="24"/>
        </w:rPr>
        <w:t xml:space="preserve">Mezi 11 auditovanými </w:t>
      </w:r>
      <w:r w:rsidR="00AC2C1B">
        <w:rPr>
          <w:sz w:val="24"/>
          <w:szCs w:val="24"/>
        </w:rPr>
        <w:t>organizacemi</w:t>
      </w:r>
      <w:r w:rsidRPr="00BB1583">
        <w:rPr>
          <w:sz w:val="24"/>
          <w:szCs w:val="24"/>
        </w:rPr>
        <w:t xml:space="preserve"> </w:t>
      </w:r>
      <w:r w:rsidR="00325F2F" w:rsidRPr="00BB1583">
        <w:rPr>
          <w:sz w:val="24"/>
          <w:szCs w:val="24"/>
        </w:rPr>
        <w:t xml:space="preserve">provedl </w:t>
      </w:r>
      <w:r w:rsidRPr="00BB1583">
        <w:rPr>
          <w:sz w:val="24"/>
          <w:szCs w:val="24"/>
        </w:rPr>
        <w:t xml:space="preserve">příjemce </w:t>
      </w:r>
      <w:r w:rsidR="00325F2F">
        <w:rPr>
          <w:sz w:val="24"/>
          <w:szCs w:val="24"/>
        </w:rPr>
        <w:t>genderový audit</w:t>
      </w:r>
      <w:r w:rsidRPr="00BB1583">
        <w:rPr>
          <w:sz w:val="24"/>
          <w:szCs w:val="24"/>
        </w:rPr>
        <w:t xml:space="preserve"> mj. u subjektu, který byl vítězem 10.</w:t>
      </w:r>
      <w:r w:rsidR="00325F2F">
        <w:rPr>
          <w:sz w:val="24"/>
          <w:szCs w:val="24"/>
        </w:rPr>
        <w:t xml:space="preserve"> </w:t>
      </w:r>
      <w:r w:rsidRPr="00BB1583">
        <w:rPr>
          <w:sz w:val="24"/>
          <w:szCs w:val="24"/>
        </w:rPr>
        <w:t xml:space="preserve">ročníku soutěže </w:t>
      </w:r>
      <w:r w:rsidRPr="00495048">
        <w:rPr>
          <w:sz w:val="24"/>
          <w:szCs w:val="24"/>
        </w:rPr>
        <w:t>„</w:t>
      </w:r>
      <w:r w:rsidRPr="001103F3">
        <w:rPr>
          <w:i/>
          <w:sz w:val="24"/>
          <w:szCs w:val="24"/>
        </w:rPr>
        <w:t>Úřad roku Půl na půl – respekt k rovným příležitostem</w:t>
      </w:r>
      <w:r w:rsidRPr="00495048">
        <w:rPr>
          <w:sz w:val="24"/>
          <w:szCs w:val="24"/>
        </w:rPr>
        <w:t>“</w:t>
      </w:r>
      <w:r w:rsidRPr="00325F2F">
        <w:rPr>
          <w:sz w:val="24"/>
          <w:szCs w:val="24"/>
        </w:rPr>
        <w:t>,</w:t>
      </w:r>
      <w:r w:rsidRPr="00BB1583">
        <w:rPr>
          <w:sz w:val="24"/>
          <w:szCs w:val="24"/>
        </w:rPr>
        <w:t xml:space="preserve"> které se v</w:t>
      </w:r>
      <w:r w:rsidR="003A7379">
        <w:rPr>
          <w:sz w:val="24"/>
          <w:szCs w:val="24"/>
        </w:rPr>
        <w:t xml:space="preserve"> </w:t>
      </w:r>
      <w:r w:rsidRPr="00BB1583">
        <w:rPr>
          <w:sz w:val="24"/>
          <w:szCs w:val="24"/>
        </w:rPr>
        <w:t xml:space="preserve">daném ročníku účastnilo 98 úřadů. Další </w:t>
      </w:r>
      <w:r w:rsidR="00E05C4C">
        <w:rPr>
          <w:sz w:val="24"/>
          <w:szCs w:val="24"/>
        </w:rPr>
        <w:t>AO</w:t>
      </w:r>
      <w:r w:rsidR="00E05C4C" w:rsidRPr="00BB1583">
        <w:rPr>
          <w:sz w:val="24"/>
          <w:szCs w:val="24"/>
        </w:rPr>
        <w:t xml:space="preserve"> </w:t>
      </w:r>
      <w:r w:rsidRPr="00BB1583">
        <w:rPr>
          <w:sz w:val="24"/>
          <w:szCs w:val="24"/>
        </w:rPr>
        <w:t>byla velká nadnárodní společnost s</w:t>
      </w:r>
      <w:r w:rsidR="004F274A">
        <w:rPr>
          <w:sz w:val="24"/>
          <w:szCs w:val="24"/>
        </w:rPr>
        <w:t xml:space="preserve"> </w:t>
      </w:r>
      <w:r w:rsidR="00762DC7">
        <w:rPr>
          <w:sz w:val="24"/>
          <w:szCs w:val="24"/>
        </w:rPr>
        <w:t xml:space="preserve">již </w:t>
      </w:r>
      <w:r w:rsidRPr="00BB1583">
        <w:rPr>
          <w:sz w:val="24"/>
          <w:szCs w:val="24"/>
        </w:rPr>
        <w:t>zpracovaným etickým kodexem stanovujícím jasná pravidla pro rovné zacházení s každým člověkem v</w:t>
      </w:r>
      <w:r w:rsidR="00804987">
        <w:rPr>
          <w:sz w:val="24"/>
          <w:szCs w:val="24"/>
        </w:rPr>
        <w:t xml:space="preserve"> této</w:t>
      </w:r>
      <w:r w:rsidRPr="00BB1583">
        <w:rPr>
          <w:sz w:val="24"/>
          <w:szCs w:val="24"/>
        </w:rPr>
        <w:t xml:space="preserve"> společnosti</w:t>
      </w:r>
      <w:r w:rsidR="00762DC7">
        <w:rPr>
          <w:sz w:val="24"/>
          <w:szCs w:val="24"/>
        </w:rPr>
        <w:t>,</w:t>
      </w:r>
      <w:r w:rsidRPr="00BB1583">
        <w:rPr>
          <w:sz w:val="24"/>
          <w:szCs w:val="24"/>
        </w:rPr>
        <w:t xml:space="preserve"> mimo jiné bez ohledu na gender, rasu, víru a příslušnost ke komunitě.</w:t>
      </w:r>
      <w:r w:rsidR="00FD149A" w:rsidRPr="00BB1583">
        <w:rPr>
          <w:sz w:val="24"/>
          <w:szCs w:val="24"/>
        </w:rPr>
        <w:t xml:space="preserve"> Jiná společnost se </w:t>
      </w:r>
      <w:r w:rsidR="00762DC7">
        <w:rPr>
          <w:sz w:val="24"/>
          <w:szCs w:val="24"/>
        </w:rPr>
        <w:t>již hlásila</w:t>
      </w:r>
      <w:r w:rsidR="00FD149A" w:rsidRPr="00BB1583">
        <w:rPr>
          <w:sz w:val="24"/>
          <w:szCs w:val="24"/>
        </w:rPr>
        <w:t xml:space="preserve"> k politikám rovných příležitostí nastolených britskou mateřskou společností. </w:t>
      </w:r>
      <w:r w:rsidR="00762DC7">
        <w:rPr>
          <w:sz w:val="24"/>
          <w:szCs w:val="24"/>
        </w:rPr>
        <w:t>V</w:t>
      </w:r>
      <w:r w:rsidR="00762DC7" w:rsidRPr="00BB1583">
        <w:rPr>
          <w:sz w:val="24"/>
          <w:szCs w:val="24"/>
        </w:rPr>
        <w:t xml:space="preserve"> případě auditovaného ministerstva i jemu podřízených institucí </w:t>
      </w:r>
      <w:r w:rsidR="00762DC7">
        <w:rPr>
          <w:sz w:val="24"/>
          <w:szCs w:val="24"/>
        </w:rPr>
        <w:t xml:space="preserve">bylo </w:t>
      </w:r>
      <w:r w:rsidR="00804987" w:rsidRPr="00BB1583">
        <w:rPr>
          <w:sz w:val="24"/>
          <w:szCs w:val="24"/>
        </w:rPr>
        <w:t>z veřejně dostupných zdrojů</w:t>
      </w:r>
      <w:r w:rsidR="00804987">
        <w:rPr>
          <w:sz w:val="24"/>
          <w:szCs w:val="24"/>
        </w:rPr>
        <w:t xml:space="preserve"> již v době podání projektové žádosti zřejmé, že </w:t>
      </w:r>
      <w:r w:rsidR="00804987" w:rsidRPr="00BB1583">
        <w:rPr>
          <w:sz w:val="24"/>
          <w:szCs w:val="24"/>
        </w:rPr>
        <w:t>politik</w:t>
      </w:r>
      <w:r w:rsidR="00804987">
        <w:rPr>
          <w:sz w:val="24"/>
          <w:szCs w:val="24"/>
        </w:rPr>
        <w:t>a</w:t>
      </w:r>
      <w:r w:rsidR="00804987" w:rsidRPr="00BB1583">
        <w:rPr>
          <w:sz w:val="24"/>
          <w:szCs w:val="24"/>
        </w:rPr>
        <w:t xml:space="preserve"> </w:t>
      </w:r>
      <w:r w:rsidR="00FD149A" w:rsidRPr="00BB1583">
        <w:rPr>
          <w:sz w:val="24"/>
          <w:szCs w:val="24"/>
        </w:rPr>
        <w:t>genderové rovnosti a</w:t>
      </w:r>
      <w:r w:rsidR="00325F2F">
        <w:rPr>
          <w:sz w:val="24"/>
          <w:szCs w:val="24"/>
        </w:rPr>
        <w:t xml:space="preserve"> </w:t>
      </w:r>
      <w:r w:rsidR="00FD149A" w:rsidRPr="00BB1583">
        <w:rPr>
          <w:sz w:val="24"/>
          <w:szCs w:val="24"/>
        </w:rPr>
        <w:t xml:space="preserve">rovného zacházení </w:t>
      </w:r>
      <w:r w:rsidR="00804987">
        <w:rPr>
          <w:sz w:val="24"/>
          <w:szCs w:val="24"/>
        </w:rPr>
        <w:t>je v těchto organizacích uplatňována.</w:t>
      </w:r>
      <w:r w:rsidR="00FD149A" w:rsidRPr="00BB1583">
        <w:rPr>
          <w:sz w:val="24"/>
          <w:szCs w:val="24"/>
        </w:rPr>
        <w:t xml:space="preserve"> </w:t>
      </w:r>
      <w:r w:rsidR="00762DC7">
        <w:rPr>
          <w:sz w:val="24"/>
          <w:szCs w:val="24"/>
        </w:rPr>
        <w:t xml:space="preserve">U dalších </w:t>
      </w:r>
      <w:r w:rsidR="00E05C4C">
        <w:rPr>
          <w:sz w:val="24"/>
          <w:szCs w:val="24"/>
        </w:rPr>
        <w:t xml:space="preserve">AO </w:t>
      </w:r>
      <w:r w:rsidR="00762DC7">
        <w:rPr>
          <w:sz w:val="24"/>
          <w:szCs w:val="24"/>
        </w:rPr>
        <w:t xml:space="preserve">naopak nebyla </w:t>
      </w:r>
      <w:r w:rsidR="00325F2F">
        <w:rPr>
          <w:sz w:val="24"/>
          <w:szCs w:val="24"/>
        </w:rPr>
        <w:t xml:space="preserve">při hodnocení projektové žádosti vůbec známa </w:t>
      </w:r>
      <w:r w:rsidR="00762DC7">
        <w:rPr>
          <w:sz w:val="24"/>
          <w:szCs w:val="24"/>
        </w:rPr>
        <w:t xml:space="preserve">jejich </w:t>
      </w:r>
      <w:r w:rsidR="0033315F">
        <w:rPr>
          <w:sz w:val="24"/>
          <w:szCs w:val="24"/>
        </w:rPr>
        <w:t>totožnost</w:t>
      </w:r>
      <w:r w:rsidR="00762DC7">
        <w:rPr>
          <w:sz w:val="24"/>
          <w:szCs w:val="24"/>
        </w:rPr>
        <w:t>, a</w:t>
      </w:r>
      <w:r w:rsidR="00325F2F">
        <w:rPr>
          <w:sz w:val="24"/>
          <w:szCs w:val="24"/>
        </w:rPr>
        <w:t xml:space="preserve"> tudíž nebyly známy</w:t>
      </w:r>
      <w:r w:rsidR="00762DC7">
        <w:rPr>
          <w:sz w:val="24"/>
          <w:szCs w:val="24"/>
        </w:rPr>
        <w:t xml:space="preserve"> ani jejich potřeby v oblasti genderové rovnosti.</w:t>
      </w:r>
      <w:r w:rsidR="005508D7">
        <w:rPr>
          <w:rStyle w:val="Znakapoznpodarou"/>
          <w:sz w:val="24"/>
          <w:szCs w:val="24"/>
        </w:rPr>
        <w:footnoteReference w:id="22"/>
      </w:r>
    </w:p>
    <w:p w14:paraId="2425BD08" w14:textId="77777777" w:rsidR="00DB6BF3" w:rsidRPr="00011A7C" w:rsidRDefault="00FB0286" w:rsidP="000409CF">
      <w:pPr>
        <w:pStyle w:val="Mluvcnadpis"/>
      </w:pPr>
      <w:bookmarkStart w:id="5" w:name="_Hlk121395082"/>
      <w:r w:rsidRPr="00FB0286">
        <w:t xml:space="preserve">MPSV poskytovalo maximální výši dotace </w:t>
      </w:r>
      <w:r w:rsidR="00605DCA">
        <w:t xml:space="preserve">na genderové audity </w:t>
      </w:r>
      <w:r w:rsidRPr="00FB0286">
        <w:t>bez ohledu na skutečně odvedený rozsah práce</w:t>
      </w:r>
    </w:p>
    <w:bookmarkEnd w:id="5"/>
    <w:p w14:paraId="56D1A077" w14:textId="484E6898" w:rsidR="0017374A" w:rsidRDefault="00EC10D0" w:rsidP="000409CF">
      <w:pPr>
        <w:pStyle w:val="JK4"/>
      </w:pPr>
      <w:r w:rsidRPr="00290085">
        <w:t xml:space="preserve">MPSV ve výzvách GA stanovilo minimální i maximální výši způsobilých výdajů pro projekt a stanovilo cenové limity pro maximální částku přímých nákladů na provedení GA dle </w:t>
      </w:r>
      <w:r w:rsidRPr="003B7BBA">
        <w:t>velikosti</w:t>
      </w:r>
      <w:r w:rsidRPr="00290085">
        <w:t xml:space="preserve"> </w:t>
      </w:r>
      <w:r w:rsidR="008A3B64">
        <w:t>AO</w:t>
      </w:r>
      <w:r w:rsidRPr="00290085">
        <w:t xml:space="preserve">. </w:t>
      </w:r>
      <w:r w:rsidR="0017374A">
        <w:t xml:space="preserve">Aby bylo možné GA považovat za kvalitně </w:t>
      </w:r>
      <w:r w:rsidR="009A1C65">
        <w:t>pr</w:t>
      </w:r>
      <w:r w:rsidR="0017374A">
        <w:t xml:space="preserve">ovedený, je </w:t>
      </w:r>
      <w:r w:rsidR="00DF1D63">
        <w:t xml:space="preserve">dle Standardu GA </w:t>
      </w:r>
      <w:r w:rsidR="0017374A">
        <w:t xml:space="preserve">nezbytné realizovat GA </w:t>
      </w:r>
      <w:r w:rsidR="0017374A" w:rsidRPr="00290085">
        <w:t>v</w:t>
      </w:r>
      <w:r w:rsidR="0017374A">
        <w:t> </w:t>
      </w:r>
      <w:r w:rsidR="0017374A" w:rsidRPr="00290085">
        <w:t>plném rozsahu v</w:t>
      </w:r>
      <w:r w:rsidR="00DF1D63">
        <w:t>e všech</w:t>
      </w:r>
      <w:r w:rsidR="0017374A" w:rsidRPr="00290085">
        <w:t xml:space="preserve"> jednotlivých oblastech </w:t>
      </w:r>
      <w:r w:rsidR="00DF1D63">
        <w:t>předepsaných</w:t>
      </w:r>
      <w:r w:rsidR="0017374A" w:rsidRPr="00290085">
        <w:t xml:space="preserve"> Standard</w:t>
      </w:r>
      <w:r w:rsidR="00DF1D63">
        <w:t>em</w:t>
      </w:r>
      <w:r w:rsidR="0017374A" w:rsidRPr="00290085">
        <w:t xml:space="preserve"> GA</w:t>
      </w:r>
      <w:r w:rsidR="00652BEA" w:rsidRPr="00652BEA">
        <w:t xml:space="preserve"> </w:t>
      </w:r>
      <w:r w:rsidR="00652BEA" w:rsidRPr="00317B8F">
        <w:t xml:space="preserve">v kapitole 3. </w:t>
      </w:r>
      <w:r w:rsidR="00652BEA" w:rsidRPr="001103F3">
        <w:rPr>
          <w:i/>
        </w:rPr>
        <w:t>Základní oblasti auditu</w:t>
      </w:r>
      <w:r w:rsidR="0017374A">
        <w:t>.</w:t>
      </w:r>
    </w:p>
    <w:p w14:paraId="4305D6CA" w14:textId="4F4C572B" w:rsidR="00290085" w:rsidRDefault="0017374A" w:rsidP="000409CF">
      <w:pPr>
        <w:pStyle w:val="JK4"/>
      </w:pPr>
      <w:r w:rsidRPr="003B7BBA">
        <w:t>NKÚ</w:t>
      </w:r>
      <w:r>
        <w:t xml:space="preserve"> u vybraného vzorku projektů GA zjistil, že MPSV </w:t>
      </w:r>
      <w:r w:rsidRPr="00290085">
        <w:t xml:space="preserve">poskytovalo </w:t>
      </w:r>
      <w:r>
        <w:t>na úhradu nákladů na realizaci gender</w:t>
      </w:r>
      <w:r w:rsidR="003E01F9">
        <w:t>ových</w:t>
      </w:r>
      <w:r>
        <w:t xml:space="preserve"> audit</w:t>
      </w:r>
      <w:r w:rsidR="003E01F9">
        <w:t>ů</w:t>
      </w:r>
      <w:r>
        <w:t xml:space="preserve"> </w:t>
      </w:r>
      <w:r w:rsidRPr="00290085">
        <w:t xml:space="preserve">maximální částku </w:t>
      </w:r>
      <w:r>
        <w:t xml:space="preserve">pro stanovenou velikostní kategorii </w:t>
      </w:r>
      <w:r w:rsidR="008A3B64">
        <w:t>AO</w:t>
      </w:r>
      <w:r w:rsidR="003E01F9">
        <w:t xml:space="preserve"> </w:t>
      </w:r>
      <w:r w:rsidR="00F820FA">
        <w:br/>
      </w:r>
      <w:r w:rsidR="003E01F9">
        <w:t>i</w:t>
      </w:r>
      <w:r w:rsidR="00F820FA">
        <w:t xml:space="preserve"> </w:t>
      </w:r>
      <w:r w:rsidR="003E01F9">
        <w:t>v</w:t>
      </w:r>
      <w:r w:rsidR="00F820FA">
        <w:t xml:space="preserve"> </w:t>
      </w:r>
      <w:r w:rsidR="003E01F9">
        <w:t>projektech</w:t>
      </w:r>
      <w:r w:rsidR="00FE468A">
        <w:rPr>
          <w:rStyle w:val="Znakapoznpodarou"/>
        </w:rPr>
        <w:footnoteReference w:id="23"/>
      </w:r>
      <w:r>
        <w:t xml:space="preserve">, </w:t>
      </w:r>
      <w:r w:rsidR="003E01F9">
        <w:t>ve kterých</w:t>
      </w:r>
      <w:r>
        <w:t xml:space="preserve"> </w:t>
      </w:r>
      <w:r w:rsidR="00DF1D63">
        <w:t>realizované</w:t>
      </w:r>
      <w:r>
        <w:t xml:space="preserve"> </w:t>
      </w:r>
      <w:r w:rsidRPr="00290085">
        <w:t>GA nezahrnovaly všechny oblasti uvedené ve Standardu GA</w:t>
      </w:r>
      <w:r w:rsidR="003E01F9">
        <w:t>,</w:t>
      </w:r>
      <w:r w:rsidR="009A1C65">
        <w:t xml:space="preserve"> ačkoliv tuto skutečnost příjemce v závěrečných zprávách z</w:t>
      </w:r>
      <w:r w:rsidR="002622B7">
        <w:t xml:space="preserve"> </w:t>
      </w:r>
      <w:r w:rsidR="009A1C65">
        <w:t>GA řádně nezdůvodnil.</w:t>
      </w:r>
      <w:r w:rsidRPr="00290085" w:rsidDel="0017374A">
        <w:t xml:space="preserve"> </w:t>
      </w:r>
    </w:p>
    <w:p w14:paraId="520DC9E4" w14:textId="77777777" w:rsidR="0023114D" w:rsidRPr="00EA2E83" w:rsidRDefault="0023114D"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EA2E83">
        <w:rPr>
          <w:b/>
          <w:sz w:val="24"/>
          <w:szCs w:val="24"/>
        </w:rPr>
        <w:t xml:space="preserve">Příklad č. </w:t>
      </w:r>
      <w:r w:rsidR="00832D73">
        <w:rPr>
          <w:b/>
          <w:sz w:val="24"/>
          <w:szCs w:val="24"/>
        </w:rPr>
        <w:t>3</w:t>
      </w:r>
      <w:r w:rsidRPr="00EA2E83">
        <w:rPr>
          <w:b/>
          <w:sz w:val="24"/>
          <w:szCs w:val="24"/>
        </w:rPr>
        <w:t>:</w:t>
      </w:r>
    </w:p>
    <w:p w14:paraId="760706BE" w14:textId="64D4AA33" w:rsidR="007F75E4" w:rsidRPr="00317B8F" w:rsidRDefault="007F75E4" w:rsidP="009D3842">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317B8F">
        <w:rPr>
          <w:sz w:val="24"/>
          <w:szCs w:val="24"/>
        </w:rPr>
        <w:t xml:space="preserve">Příjemce porušil podmínku dotace, když neauditoval všechny oblasti </w:t>
      </w:r>
      <w:r w:rsidR="00005AC7" w:rsidRPr="00317B8F">
        <w:rPr>
          <w:sz w:val="24"/>
          <w:szCs w:val="24"/>
        </w:rPr>
        <w:t xml:space="preserve">definované </w:t>
      </w:r>
      <w:r w:rsidRPr="00317B8F">
        <w:rPr>
          <w:sz w:val="24"/>
          <w:szCs w:val="24"/>
        </w:rPr>
        <w:t xml:space="preserve">Standardem </w:t>
      </w:r>
      <w:r w:rsidR="001103F3">
        <w:rPr>
          <w:sz w:val="24"/>
          <w:szCs w:val="24"/>
        </w:rPr>
        <w:t>GA</w:t>
      </w:r>
      <w:r w:rsidRPr="00317B8F">
        <w:rPr>
          <w:sz w:val="24"/>
          <w:szCs w:val="24"/>
        </w:rPr>
        <w:t>, resp. ve</w:t>
      </w:r>
      <w:r w:rsidR="00325F2F">
        <w:rPr>
          <w:sz w:val="24"/>
          <w:szCs w:val="24"/>
        </w:rPr>
        <w:t xml:space="preserve"> </w:t>
      </w:r>
      <w:r w:rsidRPr="00317B8F">
        <w:rPr>
          <w:sz w:val="24"/>
          <w:szCs w:val="24"/>
        </w:rPr>
        <w:t>zprávě z</w:t>
      </w:r>
      <w:r w:rsidR="00325F2F">
        <w:rPr>
          <w:sz w:val="24"/>
          <w:szCs w:val="24"/>
        </w:rPr>
        <w:t xml:space="preserve"> </w:t>
      </w:r>
      <w:r w:rsidRPr="00317B8F">
        <w:rPr>
          <w:sz w:val="24"/>
          <w:szCs w:val="24"/>
        </w:rPr>
        <w:t xml:space="preserve">GA řádně nezdůvodnil, proč nebyly </w:t>
      </w:r>
      <w:r w:rsidR="00325F2F">
        <w:rPr>
          <w:sz w:val="24"/>
          <w:szCs w:val="24"/>
        </w:rPr>
        <w:t>některé</w:t>
      </w:r>
      <w:r w:rsidRPr="00317B8F">
        <w:rPr>
          <w:sz w:val="24"/>
          <w:szCs w:val="24"/>
        </w:rPr>
        <w:t xml:space="preserve"> oblasti auditovány. Auditovány nebyly např.</w:t>
      </w:r>
      <w:r w:rsidR="00325F2F">
        <w:rPr>
          <w:sz w:val="24"/>
          <w:szCs w:val="24"/>
        </w:rPr>
        <w:t>:</w:t>
      </w:r>
      <w:r w:rsidRPr="00317B8F">
        <w:rPr>
          <w:sz w:val="24"/>
          <w:szCs w:val="24"/>
        </w:rPr>
        <w:t xml:space="preserve"> </w:t>
      </w:r>
      <w:r w:rsidR="003B7BBA">
        <w:rPr>
          <w:sz w:val="24"/>
          <w:szCs w:val="24"/>
        </w:rPr>
        <w:t xml:space="preserve">oblast </w:t>
      </w:r>
      <w:r w:rsidRPr="00317B8F">
        <w:rPr>
          <w:sz w:val="24"/>
          <w:szCs w:val="24"/>
        </w:rPr>
        <w:t>spravedlivé</w:t>
      </w:r>
      <w:r w:rsidR="001D67EA">
        <w:rPr>
          <w:sz w:val="24"/>
          <w:szCs w:val="24"/>
        </w:rPr>
        <w:t>ho</w:t>
      </w:r>
      <w:r w:rsidRPr="00317B8F">
        <w:rPr>
          <w:sz w:val="24"/>
          <w:szCs w:val="24"/>
        </w:rPr>
        <w:t xml:space="preserve"> rozvržení plánu dovolených, </w:t>
      </w:r>
      <w:r w:rsidR="003B7BBA">
        <w:rPr>
          <w:sz w:val="24"/>
          <w:szCs w:val="24"/>
        </w:rPr>
        <w:t>podmínky pro pečující osoby</w:t>
      </w:r>
      <w:r w:rsidRPr="00317B8F">
        <w:rPr>
          <w:sz w:val="24"/>
          <w:szCs w:val="24"/>
        </w:rPr>
        <w:t>, možnost</w:t>
      </w:r>
      <w:r w:rsidR="003B7BBA">
        <w:rPr>
          <w:sz w:val="24"/>
          <w:szCs w:val="24"/>
        </w:rPr>
        <w:t>i</w:t>
      </w:r>
      <w:r w:rsidRPr="00317B8F">
        <w:rPr>
          <w:sz w:val="24"/>
          <w:szCs w:val="24"/>
        </w:rPr>
        <w:t xml:space="preserve"> dopravy do zaměstnání</w:t>
      </w:r>
      <w:r w:rsidR="00325F2F">
        <w:rPr>
          <w:sz w:val="24"/>
          <w:szCs w:val="24"/>
        </w:rPr>
        <w:t>,</w:t>
      </w:r>
      <w:r w:rsidRPr="00317B8F">
        <w:rPr>
          <w:sz w:val="24"/>
          <w:szCs w:val="24"/>
        </w:rPr>
        <w:t xml:space="preserve"> </w:t>
      </w:r>
      <w:r w:rsidR="00325F2F">
        <w:rPr>
          <w:sz w:val="24"/>
          <w:szCs w:val="24"/>
        </w:rPr>
        <w:t>oblast</w:t>
      </w:r>
      <w:r w:rsidRPr="00317B8F">
        <w:rPr>
          <w:sz w:val="24"/>
          <w:szCs w:val="24"/>
        </w:rPr>
        <w:t xml:space="preserve"> nastavení </w:t>
      </w:r>
      <w:r w:rsidR="003B7BBA">
        <w:rPr>
          <w:sz w:val="24"/>
          <w:szCs w:val="24"/>
        </w:rPr>
        <w:t xml:space="preserve">nediskriminačních </w:t>
      </w:r>
      <w:r w:rsidRPr="00317B8F">
        <w:rPr>
          <w:sz w:val="24"/>
          <w:szCs w:val="24"/>
        </w:rPr>
        <w:t xml:space="preserve">podmínek </w:t>
      </w:r>
      <w:r w:rsidR="003B7BBA">
        <w:rPr>
          <w:sz w:val="24"/>
          <w:szCs w:val="24"/>
        </w:rPr>
        <w:t xml:space="preserve">pro uskutečňování </w:t>
      </w:r>
      <w:r w:rsidRPr="00317B8F">
        <w:rPr>
          <w:sz w:val="24"/>
          <w:szCs w:val="24"/>
        </w:rPr>
        <w:t xml:space="preserve">pracovních cest. </w:t>
      </w:r>
      <w:r w:rsidR="009A1C65">
        <w:rPr>
          <w:sz w:val="24"/>
          <w:szCs w:val="24"/>
        </w:rPr>
        <w:t xml:space="preserve">Přesto </w:t>
      </w:r>
      <w:r w:rsidR="003B7BBA">
        <w:rPr>
          <w:sz w:val="24"/>
          <w:szCs w:val="24"/>
        </w:rPr>
        <w:t xml:space="preserve">MPSV </w:t>
      </w:r>
      <w:r w:rsidR="009D6935">
        <w:rPr>
          <w:sz w:val="24"/>
          <w:szCs w:val="24"/>
        </w:rPr>
        <w:t>celkové náklady</w:t>
      </w:r>
      <w:r w:rsidR="00C336E7">
        <w:rPr>
          <w:sz w:val="24"/>
          <w:szCs w:val="24"/>
        </w:rPr>
        <w:t xml:space="preserve"> (přímé + nepřímé)</w:t>
      </w:r>
      <w:r w:rsidR="009D6935">
        <w:rPr>
          <w:sz w:val="24"/>
          <w:szCs w:val="24"/>
        </w:rPr>
        <w:t xml:space="preserve"> </w:t>
      </w:r>
      <w:r w:rsidR="009A1C65">
        <w:rPr>
          <w:sz w:val="24"/>
          <w:szCs w:val="24"/>
        </w:rPr>
        <w:t>realizované</w:t>
      </w:r>
      <w:r w:rsidR="009D6935">
        <w:rPr>
          <w:sz w:val="24"/>
          <w:szCs w:val="24"/>
        </w:rPr>
        <w:t>ho</w:t>
      </w:r>
      <w:r w:rsidR="009A1C65">
        <w:rPr>
          <w:sz w:val="24"/>
          <w:szCs w:val="24"/>
        </w:rPr>
        <w:t xml:space="preserve"> audit</w:t>
      </w:r>
      <w:r w:rsidR="009D6935">
        <w:rPr>
          <w:sz w:val="24"/>
          <w:szCs w:val="24"/>
        </w:rPr>
        <w:t>u</w:t>
      </w:r>
      <w:r w:rsidR="009A1C65">
        <w:rPr>
          <w:sz w:val="24"/>
          <w:szCs w:val="24"/>
        </w:rPr>
        <w:t xml:space="preserve"> propla</w:t>
      </w:r>
      <w:r w:rsidR="003B7BBA">
        <w:rPr>
          <w:sz w:val="24"/>
          <w:szCs w:val="24"/>
        </w:rPr>
        <w:t>tilo</w:t>
      </w:r>
      <w:r w:rsidR="009A1C65">
        <w:rPr>
          <w:sz w:val="24"/>
          <w:szCs w:val="24"/>
        </w:rPr>
        <w:t xml:space="preserve"> </w:t>
      </w:r>
      <w:r w:rsidR="009D6935">
        <w:rPr>
          <w:sz w:val="24"/>
          <w:szCs w:val="24"/>
        </w:rPr>
        <w:t xml:space="preserve">ve výši 90 507,31 Kč, </w:t>
      </w:r>
      <w:r w:rsidR="00325F2F">
        <w:rPr>
          <w:sz w:val="24"/>
          <w:szCs w:val="24"/>
        </w:rPr>
        <w:t>což bylo</w:t>
      </w:r>
      <w:r w:rsidR="009D6935">
        <w:rPr>
          <w:sz w:val="24"/>
          <w:szCs w:val="24"/>
        </w:rPr>
        <w:t xml:space="preserve"> pouze </w:t>
      </w:r>
      <w:r w:rsidR="009B7898">
        <w:rPr>
          <w:sz w:val="24"/>
          <w:szCs w:val="24"/>
        </w:rPr>
        <w:t>o</w:t>
      </w:r>
      <w:r w:rsidR="004C3D03">
        <w:rPr>
          <w:sz w:val="24"/>
          <w:szCs w:val="24"/>
        </w:rPr>
        <w:t> </w:t>
      </w:r>
      <w:r w:rsidR="009D6935">
        <w:rPr>
          <w:sz w:val="24"/>
          <w:szCs w:val="24"/>
        </w:rPr>
        <w:t xml:space="preserve">55,19 Kč </w:t>
      </w:r>
      <w:r w:rsidR="009B7898">
        <w:rPr>
          <w:sz w:val="24"/>
          <w:szCs w:val="24"/>
        </w:rPr>
        <w:t xml:space="preserve">méně, než činil </w:t>
      </w:r>
      <w:r w:rsidR="009D6935">
        <w:rPr>
          <w:sz w:val="24"/>
          <w:szCs w:val="24"/>
        </w:rPr>
        <w:t>maximální možn</w:t>
      </w:r>
      <w:r w:rsidR="009B7898">
        <w:rPr>
          <w:sz w:val="24"/>
          <w:szCs w:val="24"/>
        </w:rPr>
        <w:t>ý</w:t>
      </w:r>
      <w:r w:rsidR="009D6935">
        <w:rPr>
          <w:sz w:val="24"/>
          <w:szCs w:val="24"/>
        </w:rPr>
        <w:t xml:space="preserve"> limit</w:t>
      </w:r>
      <w:r w:rsidR="009B7898">
        <w:rPr>
          <w:sz w:val="24"/>
          <w:szCs w:val="24"/>
        </w:rPr>
        <w:t>.</w:t>
      </w:r>
      <w:r w:rsidR="005508D7">
        <w:rPr>
          <w:rStyle w:val="Znakapoznpodarou"/>
          <w:sz w:val="24"/>
          <w:szCs w:val="24"/>
        </w:rPr>
        <w:footnoteReference w:id="24"/>
      </w:r>
    </w:p>
    <w:p w14:paraId="069A9BD7" w14:textId="77777777" w:rsidR="008A3B64" w:rsidRPr="000409CF" w:rsidRDefault="008A3B64" w:rsidP="000409CF">
      <w:pPr>
        <w:pStyle w:val="Mluvcnadpis"/>
        <w:rPr>
          <w:color w:val="auto"/>
        </w:rPr>
      </w:pPr>
    </w:p>
    <w:p w14:paraId="74594179" w14:textId="77777777" w:rsidR="008A3B64" w:rsidRPr="00292A07" w:rsidRDefault="008A3B64"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292A07">
        <w:rPr>
          <w:b/>
          <w:sz w:val="24"/>
          <w:szCs w:val="24"/>
        </w:rPr>
        <w:t xml:space="preserve">Příklad č. </w:t>
      </w:r>
      <w:r w:rsidR="00832D73">
        <w:rPr>
          <w:b/>
          <w:sz w:val="24"/>
          <w:szCs w:val="24"/>
        </w:rPr>
        <w:t>4</w:t>
      </w:r>
      <w:r w:rsidRPr="00292A07">
        <w:rPr>
          <w:b/>
          <w:sz w:val="24"/>
          <w:szCs w:val="24"/>
        </w:rPr>
        <w:t>:</w:t>
      </w:r>
    </w:p>
    <w:p w14:paraId="1F31ABE8" w14:textId="39913A9A" w:rsidR="008A3B64" w:rsidRPr="004D2551" w:rsidRDefault="008A3B64" w:rsidP="008A3B64">
      <w:pPr>
        <w:pBdr>
          <w:top w:val="single" w:sz="4" w:space="1" w:color="auto"/>
          <w:left w:val="single" w:sz="4" w:space="4" w:color="auto"/>
          <w:bottom w:val="single" w:sz="4" w:space="1" w:color="auto"/>
          <w:right w:val="single" w:sz="4" w:space="4" w:color="auto"/>
        </w:pBdr>
        <w:spacing w:line="240" w:lineRule="auto"/>
        <w:jc w:val="both"/>
        <w:rPr>
          <w:rFonts w:ascii="Calibri" w:eastAsia="Calibri" w:hAnsi="Calibri" w:cs="Times New Roman"/>
          <w:sz w:val="24"/>
          <w:szCs w:val="24"/>
        </w:rPr>
      </w:pPr>
      <w:r w:rsidRPr="004D2551">
        <w:rPr>
          <w:rFonts w:ascii="Calibri" w:eastAsia="Calibri" w:hAnsi="Calibri" w:cs="Times New Roman"/>
          <w:sz w:val="24"/>
          <w:szCs w:val="24"/>
        </w:rPr>
        <w:t xml:space="preserve">Podle </w:t>
      </w:r>
      <w:r w:rsidR="00325F2F">
        <w:rPr>
          <w:rFonts w:ascii="Calibri" w:eastAsia="Calibri" w:hAnsi="Calibri" w:cs="Times New Roman"/>
          <w:sz w:val="24"/>
          <w:szCs w:val="24"/>
        </w:rPr>
        <w:t>z</w:t>
      </w:r>
      <w:r>
        <w:rPr>
          <w:rFonts w:ascii="Calibri" w:eastAsia="Calibri" w:hAnsi="Calibri" w:cs="Times New Roman"/>
          <w:sz w:val="24"/>
          <w:szCs w:val="24"/>
        </w:rPr>
        <w:t xml:space="preserve">právy </w:t>
      </w:r>
      <w:r w:rsidRPr="004D2551">
        <w:rPr>
          <w:rFonts w:ascii="Calibri" w:eastAsia="Calibri" w:hAnsi="Calibri" w:cs="Times New Roman"/>
          <w:sz w:val="24"/>
          <w:szCs w:val="24"/>
        </w:rPr>
        <w:t xml:space="preserve">z GA </w:t>
      </w:r>
      <w:r>
        <w:rPr>
          <w:rFonts w:ascii="Calibri" w:eastAsia="Calibri" w:hAnsi="Calibri" w:cs="Times New Roman"/>
          <w:sz w:val="24"/>
          <w:szCs w:val="24"/>
        </w:rPr>
        <w:t xml:space="preserve">příjemce </w:t>
      </w:r>
      <w:r w:rsidRPr="004D2551">
        <w:rPr>
          <w:rFonts w:ascii="Calibri" w:eastAsia="Calibri" w:hAnsi="Calibri" w:cs="Times New Roman"/>
          <w:sz w:val="24"/>
          <w:szCs w:val="24"/>
        </w:rPr>
        <w:t xml:space="preserve">u </w:t>
      </w:r>
      <w:r>
        <w:rPr>
          <w:rFonts w:ascii="Calibri" w:eastAsia="Calibri" w:hAnsi="Calibri" w:cs="Times New Roman"/>
          <w:sz w:val="24"/>
          <w:szCs w:val="24"/>
        </w:rPr>
        <w:t xml:space="preserve">AO </w:t>
      </w:r>
      <w:r w:rsidRPr="004D2551">
        <w:rPr>
          <w:rFonts w:ascii="Calibri" w:eastAsia="Calibri" w:hAnsi="Calibri" w:cs="Times New Roman"/>
          <w:sz w:val="24"/>
          <w:szCs w:val="24"/>
        </w:rPr>
        <w:t>provádě</w:t>
      </w:r>
      <w:r>
        <w:rPr>
          <w:rFonts w:ascii="Calibri" w:eastAsia="Calibri" w:hAnsi="Calibri" w:cs="Times New Roman"/>
          <w:sz w:val="24"/>
          <w:szCs w:val="24"/>
        </w:rPr>
        <w:t>l</w:t>
      </w:r>
      <w:r w:rsidRPr="004D2551">
        <w:rPr>
          <w:rFonts w:ascii="Calibri" w:eastAsia="Calibri" w:hAnsi="Calibri" w:cs="Times New Roman"/>
          <w:sz w:val="24"/>
          <w:szCs w:val="24"/>
        </w:rPr>
        <w:t xml:space="preserve"> činnost </w:t>
      </w:r>
      <w:r w:rsidRPr="00495048">
        <w:rPr>
          <w:rFonts w:ascii="Calibri" w:eastAsia="Calibri" w:hAnsi="Calibri" w:cs="Times New Roman"/>
          <w:sz w:val="24"/>
          <w:szCs w:val="24"/>
        </w:rPr>
        <w:t>„</w:t>
      </w:r>
      <w:r w:rsidR="00325F2F">
        <w:rPr>
          <w:rFonts w:ascii="Calibri" w:eastAsia="Calibri" w:hAnsi="Calibri" w:cs="Times New Roman"/>
          <w:i/>
          <w:sz w:val="24"/>
          <w:szCs w:val="24"/>
        </w:rPr>
        <w:t>h</w:t>
      </w:r>
      <w:r w:rsidRPr="003C6D8F">
        <w:rPr>
          <w:rFonts w:ascii="Calibri" w:eastAsia="Calibri" w:hAnsi="Calibri" w:cs="Times New Roman"/>
          <w:i/>
          <w:sz w:val="24"/>
          <w:szCs w:val="24"/>
        </w:rPr>
        <w:t xml:space="preserve">odnocení </w:t>
      </w:r>
      <w:r>
        <w:rPr>
          <w:rFonts w:ascii="Calibri" w:eastAsia="Calibri" w:hAnsi="Calibri" w:cs="Times New Roman"/>
          <w:i/>
          <w:sz w:val="24"/>
          <w:szCs w:val="24"/>
        </w:rPr>
        <w:t>genderové rovnosti</w:t>
      </w:r>
      <w:r w:rsidRPr="003C6D8F">
        <w:rPr>
          <w:rFonts w:ascii="Calibri" w:eastAsia="Calibri" w:hAnsi="Calibri" w:cs="Times New Roman"/>
          <w:i/>
          <w:sz w:val="24"/>
          <w:szCs w:val="24"/>
        </w:rPr>
        <w:t xml:space="preserve"> ve veřejných dokumentech</w:t>
      </w:r>
      <w:r w:rsidRPr="00495048">
        <w:rPr>
          <w:rFonts w:ascii="Calibri" w:eastAsia="Calibri" w:hAnsi="Calibri" w:cs="Times New Roman"/>
          <w:sz w:val="24"/>
          <w:szCs w:val="24"/>
        </w:rPr>
        <w:t>“</w:t>
      </w:r>
      <w:r w:rsidRPr="004D2551">
        <w:rPr>
          <w:rFonts w:ascii="Calibri" w:eastAsia="Calibri" w:hAnsi="Calibri" w:cs="Times New Roman"/>
          <w:sz w:val="24"/>
          <w:szCs w:val="24"/>
        </w:rPr>
        <w:t xml:space="preserve"> s celkovou časovou dotací 64 hodin (28 hod. vedení auditorského</w:t>
      </w:r>
      <w:r w:rsidR="003A7379">
        <w:rPr>
          <w:rFonts w:ascii="Calibri" w:eastAsia="Calibri" w:hAnsi="Calibri" w:cs="Times New Roman"/>
          <w:sz w:val="24"/>
          <w:szCs w:val="24"/>
        </w:rPr>
        <w:t xml:space="preserve"> </w:t>
      </w:r>
      <w:r w:rsidR="004C3D03">
        <w:rPr>
          <w:rFonts w:ascii="Calibri" w:eastAsia="Calibri" w:hAnsi="Calibri" w:cs="Times New Roman"/>
          <w:sz w:val="24"/>
          <w:szCs w:val="24"/>
        </w:rPr>
        <w:br/>
      </w:r>
      <w:r w:rsidRPr="004D2551">
        <w:rPr>
          <w:rFonts w:ascii="Calibri" w:eastAsia="Calibri" w:hAnsi="Calibri" w:cs="Times New Roman"/>
          <w:sz w:val="24"/>
          <w:szCs w:val="24"/>
        </w:rPr>
        <w:t>týmu + 36 hod. asistent/</w:t>
      </w:r>
      <w:proofErr w:type="spellStart"/>
      <w:r w:rsidRPr="004D2551">
        <w:rPr>
          <w:rFonts w:ascii="Calibri" w:eastAsia="Calibri" w:hAnsi="Calibri" w:cs="Times New Roman"/>
          <w:sz w:val="24"/>
          <w:szCs w:val="24"/>
        </w:rPr>
        <w:t>ka</w:t>
      </w:r>
      <w:proofErr w:type="spellEnd"/>
      <w:r w:rsidRPr="004D2551">
        <w:rPr>
          <w:rFonts w:ascii="Calibri" w:eastAsia="Calibri" w:hAnsi="Calibri" w:cs="Times New Roman"/>
          <w:sz w:val="24"/>
          <w:szCs w:val="24"/>
        </w:rPr>
        <w:t xml:space="preserve"> auditorského týmu). Z obsahu </w:t>
      </w:r>
      <w:r w:rsidR="00325F2F">
        <w:rPr>
          <w:rFonts w:ascii="Calibri" w:eastAsia="Calibri" w:hAnsi="Calibri" w:cs="Times New Roman"/>
          <w:sz w:val="24"/>
          <w:szCs w:val="24"/>
        </w:rPr>
        <w:t>z</w:t>
      </w:r>
      <w:r w:rsidRPr="004D2551">
        <w:rPr>
          <w:rFonts w:ascii="Calibri" w:eastAsia="Calibri" w:hAnsi="Calibri" w:cs="Times New Roman"/>
          <w:sz w:val="24"/>
          <w:szCs w:val="24"/>
        </w:rPr>
        <w:t xml:space="preserve">právy z GA vyplývá, že jedinými veřejnými „dokumenty“ auditované </w:t>
      </w:r>
      <w:r>
        <w:rPr>
          <w:rFonts w:ascii="Calibri" w:eastAsia="Calibri" w:hAnsi="Calibri" w:cs="Times New Roman"/>
          <w:sz w:val="24"/>
          <w:szCs w:val="24"/>
        </w:rPr>
        <w:t>organizace</w:t>
      </w:r>
      <w:r w:rsidRPr="004D2551">
        <w:rPr>
          <w:rFonts w:ascii="Calibri" w:eastAsia="Calibri" w:hAnsi="Calibri" w:cs="Times New Roman"/>
          <w:sz w:val="24"/>
          <w:szCs w:val="24"/>
        </w:rPr>
        <w:t xml:space="preserve"> byly </w:t>
      </w:r>
      <w:r w:rsidR="00325F2F">
        <w:rPr>
          <w:rFonts w:ascii="Calibri" w:eastAsia="Calibri" w:hAnsi="Calibri" w:cs="Times New Roman"/>
          <w:sz w:val="24"/>
          <w:szCs w:val="24"/>
        </w:rPr>
        <w:t xml:space="preserve">její </w:t>
      </w:r>
      <w:r w:rsidRPr="004D2551">
        <w:rPr>
          <w:rFonts w:ascii="Calibri" w:eastAsia="Calibri" w:hAnsi="Calibri" w:cs="Times New Roman"/>
          <w:sz w:val="24"/>
          <w:szCs w:val="24"/>
        </w:rPr>
        <w:t xml:space="preserve">webové </w:t>
      </w:r>
      <w:r w:rsidR="00904170">
        <w:rPr>
          <w:rFonts w:ascii="Calibri" w:eastAsia="Calibri" w:hAnsi="Calibri" w:cs="Times New Roman"/>
          <w:sz w:val="24"/>
          <w:szCs w:val="24"/>
        </w:rPr>
        <w:t xml:space="preserve">a </w:t>
      </w:r>
      <w:proofErr w:type="spellStart"/>
      <w:r w:rsidR="00904170">
        <w:rPr>
          <w:rFonts w:ascii="Calibri" w:eastAsia="Calibri" w:hAnsi="Calibri" w:cs="Times New Roman"/>
          <w:sz w:val="24"/>
          <w:szCs w:val="24"/>
        </w:rPr>
        <w:t>f</w:t>
      </w:r>
      <w:r w:rsidR="00904170" w:rsidRPr="004D2551">
        <w:rPr>
          <w:rFonts w:ascii="Calibri" w:eastAsia="Calibri" w:hAnsi="Calibri" w:cs="Times New Roman"/>
          <w:sz w:val="24"/>
          <w:szCs w:val="24"/>
        </w:rPr>
        <w:t>acebook</w:t>
      </w:r>
      <w:r w:rsidR="00904170">
        <w:rPr>
          <w:rFonts w:ascii="Calibri" w:eastAsia="Calibri" w:hAnsi="Calibri" w:cs="Times New Roman"/>
          <w:sz w:val="24"/>
          <w:szCs w:val="24"/>
        </w:rPr>
        <w:t>ové</w:t>
      </w:r>
      <w:proofErr w:type="spellEnd"/>
      <w:r w:rsidR="00904170" w:rsidRPr="004D2551">
        <w:rPr>
          <w:rFonts w:ascii="Calibri" w:eastAsia="Calibri" w:hAnsi="Calibri" w:cs="Times New Roman"/>
          <w:sz w:val="24"/>
          <w:szCs w:val="24"/>
        </w:rPr>
        <w:t xml:space="preserve"> </w:t>
      </w:r>
      <w:r w:rsidRPr="004D2551">
        <w:rPr>
          <w:rFonts w:ascii="Calibri" w:eastAsia="Calibri" w:hAnsi="Calibri" w:cs="Times New Roman"/>
          <w:sz w:val="24"/>
          <w:szCs w:val="24"/>
        </w:rPr>
        <w:t>stránky. Ty však byly zaměřeny především na obchodní produkt a</w:t>
      </w:r>
      <w:r w:rsidR="003A7379">
        <w:rPr>
          <w:rFonts w:ascii="Calibri" w:eastAsia="Calibri" w:hAnsi="Calibri" w:cs="Times New Roman"/>
          <w:sz w:val="24"/>
          <w:szCs w:val="24"/>
        </w:rPr>
        <w:t xml:space="preserve"> </w:t>
      </w:r>
      <w:r w:rsidRPr="004D2551">
        <w:rPr>
          <w:rFonts w:ascii="Calibri" w:eastAsia="Calibri" w:hAnsi="Calibri" w:cs="Times New Roman"/>
          <w:sz w:val="24"/>
          <w:szCs w:val="24"/>
        </w:rPr>
        <w:t xml:space="preserve">neobsahovaly </w:t>
      </w:r>
      <w:r w:rsidR="00F345DA">
        <w:rPr>
          <w:rFonts w:ascii="Calibri" w:eastAsia="Calibri" w:hAnsi="Calibri" w:cs="Times New Roman"/>
          <w:sz w:val="24"/>
          <w:szCs w:val="24"/>
        </w:rPr>
        <w:t xml:space="preserve">žádné </w:t>
      </w:r>
      <w:r w:rsidRPr="004D2551">
        <w:rPr>
          <w:rFonts w:ascii="Calibri" w:eastAsia="Calibri" w:hAnsi="Calibri" w:cs="Times New Roman"/>
          <w:sz w:val="24"/>
          <w:szCs w:val="24"/>
        </w:rPr>
        <w:t>informace</w:t>
      </w:r>
      <w:r w:rsidR="00F345DA">
        <w:rPr>
          <w:rFonts w:ascii="Calibri" w:eastAsia="Calibri" w:hAnsi="Calibri" w:cs="Times New Roman"/>
          <w:sz w:val="24"/>
          <w:szCs w:val="24"/>
        </w:rPr>
        <w:t>, které</w:t>
      </w:r>
      <w:r w:rsidRPr="004D2551">
        <w:rPr>
          <w:rFonts w:ascii="Calibri" w:eastAsia="Calibri" w:hAnsi="Calibri" w:cs="Times New Roman"/>
          <w:sz w:val="24"/>
          <w:szCs w:val="24"/>
        </w:rPr>
        <w:t xml:space="preserve"> by </w:t>
      </w:r>
      <w:r>
        <w:rPr>
          <w:rFonts w:ascii="Calibri" w:eastAsia="Calibri" w:hAnsi="Calibri" w:cs="Times New Roman"/>
          <w:sz w:val="24"/>
          <w:szCs w:val="24"/>
        </w:rPr>
        <w:t>bylo</w:t>
      </w:r>
      <w:r w:rsidRPr="004D2551">
        <w:rPr>
          <w:rFonts w:ascii="Calibri" w:eastAsia="Calibri" w:hAnsi="Calibri" w:cs="Times New Roman"/>
          <w:sz w:val="24"/>
          <w:szCs w:val="24"/>
        </w:rPr>
        <w:t xml:space="preserve"> možné hodnotit z hlediska genderové rovnosti. NKÚ</w:t>
      </w:r>
      <w:r w:rsidRPr="004D2551" w:rsidDel="00F345DA">
        <w:rPr>
          <w:rFonts w:ascii="Calibri" w:eastAsia="Calibri" w:hAnsi="Calibri" w:cs="Times New Roman"/>
          <w:sz w:val="24"/>
          <w:szCs w:val="24"/>
        </w:rPr>
        <w:t xml:space="preserve"> </w:t>
      </w:r>
      <w:r w:rsidR="00F345DA">
        <w:rPr>
          <w:rFonts w:ascii="Calibri" w:eastAsia="Calibri" w:hAnsi="Calibri" w:cs="Times New Roman"/>
          <w:sz w:val="24"/>
          <w:szCs w:val="24"/>
        </w:rPr>
        <w:t>vy</w:t>
      </w:r>
      <w:r w:rsidR="00F345DA" w:rsidRPr="004D2551">
        <w:rPr>
          <w:rFonts w:ascii="Calibri" w:eastAsia="Calibri" w:hAnsi="Calibri" w:cs="Times New Roman"/>
          <w:sz w:val="24"/>
          <w:szCs w:val="24"/>
        </w:rPr>
        <w:t>hodnot</w:t>
      </w:r>
      <w:r w:rsidR="00F345DA">
        <w:rPr>
          <w:rFonts w:ascii="Calibri" w:eastAsia="Calibri" w:hAnsi="Calibri" w:cs="Times New Roman"/>
          <w:sz w:val="24"/>
          <w:szCs w:val="24"/>
        </w:rPr>
        <w:t>il</w:t>
      </w:r>
      <w:r w:rsidR="00F345DA" w:rsidRPr="004D2551">
        <w:rPr>
          <w:rFonts w:ascii="Calibri" w:eastAsia="Calibri" w:hAnsi="Calibri" w:cs="Times New Roman"/>
          <w:sz w:val="24"/>
          <w:szCs w:val="24"/>
        </w:rPr>
        <w:t xml:space="preserve"> </w:t>
      </w:r>
      <w:r w:rsidRPr="004D2551">
        <w:rPr>
          <w:rFonts w:ascii="Calibri" w:eastAsia="Calibri" w:hAnsi="Calibri" w:cs="Times New Roman"/>
          <w:sz w:val="24"/>
          <w:szCs w:val="24"/>
        </w:rPr>
        <w:t xml:space="preserve">počet vykázaných </w:t>
      </w:r>
      <w:r w:rsidR="00F820FA">
        <w:rPr>
          <w:rFonts w:ascii="Calibri" w:eastAsia="Calibri" w:hAnsi="Calibri" w:cs="Times New Roman"/>
          <w:sz w:val="24"/>
          <w:szCs w:val="24"/>
        </w:rPr>
        <w:br/>
      </w:r>
      <w:r w:rsidRPr="004D2551">
        <w:rPr>
          <w:rFonts w:ascii="Calibri" w:eastAsia="Calibri" w:hAnsi="Calibri" w:cs="Times New Roman"/>
          <w:sz w:val="24"/>
          <w:szCs w:val="24"/>
        </w:rPr>
        <w:t>64</w:t>
      </w:r>
      <w:r w:rsidR="00F820FA">
        <w:rPr>
          <w:rFonts w:ascii="Calibri" w:eastAsia="Calibri" w:hAnsi="Calibri" w:cs="Times New Roman"/>
          <w:sz w:val="24"/>
          <w:szCs w:val="24"/>
        </w:rPr>
        <w:t xml:space="preserve"> </w:t>
      </w:r>
      <w:r w:rsidRPr="004D2551">
        <w:rPr>
          <w:rFonts w:ascii="Calibri" w:eastAsia="Calibri" w:hAnsi="Calibri" w:cs="Times New Roman"/>
          <w:sz w:val="24"/>
          <w:szCs w:val="24"/>
        </w:rPr>
        <w:t>odpracovaných hodin</w:t>
      </w:r>
      <w:r>
        <w:rPr>
          <w:rFonts w:ascii="Calibri" w:eastAsia="Calibri" w:hAnsi="Calibri" w:cs="Times New Roman"/>
          <w:sz w:val="24"/>
          <w:szCs w:val="24"/>
        </w:rPr>
        <w:t xml:space="preserve"> v projektu zaměřeném na genderovou rovnost</w:t>
      </w:r>
      <w:r w:rsidRPr="004D2551">
        <w:rPr>
          <w:rFonts w:ascii="Calibri" w:eastAsia="Calibri" w:hAnsi="Calibri" w:cs="Times New Roman"/>
          <w:sz w:val="24"/>
          <w:szCs w:val="24"/>
        </w:rPr>
        <w:t xml:space="preserve"> </w:t>
      </w:r>
      <w:r w:rsidR="00F345DA" w:rsidRPr="004D2551">
        <w:rPr>
          <w:rFonts w:ascii="Calibri" w:eastAsia="Calibri" w:hAnsi="Calibri" w:cs="Times New Roman"/>
          <w:sz w:val="24"/>
          <w:szCs w:val="24"/>
        </w:rPr>
        <w:t>jako nepřiměřený</w:t>
      </w:r>
      <w:r w:rsidR="00F345DA" w:rsidRPr="00F345DA">
        <w:rPr>
          <w:rFonts w:ascii="Calibri" w:eastAsia="Calibri" w:hAnsi="Calibri" w:cs="Times New Roman"/>
          <w:sz w:val="24"/>
          <w:szCs w:val="24"/>
        </w:rPr>
        <w:t xml:space="preserve"> </w:t>
      </w:r>
      <w:r w:rsidR="00F345DA">
        <w:rPr>
          <w:rFonts w:ascii="Calibri" w:eastAsia="Calibri" w:hAnsi="Calibri" w:cs="Times New Roman"/>
          <w:sz w:val="24"/>
          <w:szCs w:val="24"/>
        </w:rPr>
        <w:t xml:space="preserve">vzhledem </w:t>
      </w:r>
      <w:r w:rsidR="00F345DA" w:rsidRPr="004D2551">
        <w:rPr>
          <w:rFonts w:ascii="Calibri" w:eastAsia="Calibri" w:hAnsi="Calibri" w:cs="Times New Roman"/>
          <w:sz w:val="24"/>
          <w:szCs w:val="24"/>
        </w:rPr>
        <w:t>k rozsahu práce</w:t>
      </w:r>
      <w:r>
        <w:rPr>
          <w:rFonts w:ascii="Calibri" w:eastAsia="Calibri" w:hAnsi="Calibri" w:cs="Times New Roman"/>
          <w:sz w:val="24"/>
          <w:szCs w:val="24"/>
        </w:rPr>
        <w:t>,</w:t>
      </w:r>
      <w:r w:rsidRPr="004D2551">
        <w:rPr>
          <w:rFonts w:ascii="Calibri" w:eastAsia="Calibri" w:hAnsi="Calibri" w:cs="Times New Roman"/>
          <w:sz w:val="24"/>
          <w:szCs w:val="24"/>
        </w:rPr>
        <w:t xml:space="preserve"> který mohl být reálně vykonán</w:t>
      </w:r>
      <w:r>
        <w:rPr>
          <w:rFonts w:ascii="Calibri" w:eastAsia="Calibri" w:hAnsi="Calibri" w:cs="Times New Roman"/>
          <w:sz w:val="24"/>
          <w:szCs w:val="24"/>
        </w:rPr>
        <w:t xml:space="preserve"> na veřejných „dokumentech“ příjemce</w:t>
      </w:r>
      <w:r w:rsidRPr="004D2551">
        <w:rPr>
          <w:rFonts w:ascii="Calibri" w:eastAsia="Calibri" w:hAnsi="Calibri" w:cs="Times New Roman"/>
          <w:sz w:val="24"/>
          <w:szCs w:val="24"/>
        </w:rPr>
        <w:t xml:space="preserve">. </w:t>
      </w:r>
    </w:p>
    <w:p w14:paraId="4F9C9AF4" w14:textId="44A1227C" w:rsidR="008A3B64" w:rsidRPr="004D2551" w:rsidRDefault="008A3B64" w:rsidP="008A3B64">
      <w:pPr>
        <w:pBdr>
          <w:top w:val="single" w:sz="4" w:space="1" w:color="auto"/>
          <w:left w:val="single" w:sz="4" w:space="4" w:color="auto"/>
          <w:bottom w:val="single" w:sz="4" w:space="1" w:color="auto"/>
          <w:right w:val="single" w:sz="4" w:space="4" w:color="auto"/>
        </w:pBdr>
        <w:spacing w:line="240" w:lineRule="auto"/>
        <w:jc w:val="both"/>
        <w:rPr>
          <w:rFonts w:ascii="Calibri" w:eastAsia="Calibri" w:hAnsi="Calibri" w:cs="Times New Roman"/>
          <w:sz w:val="24"/>
          <w:szCs w:val="24"/>
        </w:rPr>
      </w:pPr>
      <w:r w:rsidRPr="004D2551">
        <w:rPr>
          <w:rFonts w:ascii="Calibri" w:eastAsia="Calibri" w:hAnsi="Calibri" w:cs="Times New Roman"/>
          <w:sz w:val="24"/>
          <w:szCs w:val="24"/>
        </w:rPr>
        <w:t xml:space="preserve">Dále nebylo zřejmé, jaké činnosti v oblasti </w:t>
      </w:r>
      <w:r w:rsidRPr="00495048">
        <w:rPr>
          <w:rFonts w:ascii="Calibri" w:eastAsia="Calibri" w:hAnsi="Calibri" w:cs="Times New Roman"/>
          <w:sz w:val="24"/>
          <w:szCs w:val="24"/>
        </w:rPr>
        <w:t>„</w:t>
      </w:r>
      <w:r w:rsidR="00325F2F">
        <w:rPr>
          <w:rFonts w:ascii="Calibri" w:eastAsia="Calibri" w:hAnsi="Calibri" w:cs="Times New Roman"/>
          <w:i/>
          <w:sz w:val="24"/>
          <w:szCs w:val="24"/>
        </w:rPr>
        <w:t>a</w:t>
      </w:r>
      <w:r w:rsidRPr="003C6D8F">
        <w:rPr>
          <w:rFonts w:ascii="Calibri" w:eastAsia="Calibri" w:hAnsi="Calibri" w:cs="Times New Roman"/>
          <w:i/>
          <w:sz w:val="24"/>
          <w:szCs w:val="24"/>
        </w:rPr>
        <w:t>udit genderové rovnosti v interních dokumentech</w:t>
      </w:r>
      <w:r w:rsidRPr="00495048">
        <w:rPr>
          <w:rFonts w:ascii="Calibri" w:eastAsia="Calibri" w:hAnsi="Calibri" w:cs="Times New Roman"/>
          <w:sz w:val="24"/>
          <w:szCs w:val="24"/>
        </w:rPr>
        <w:t>“</w:t>
      </w:r>
      <w:r w:rsidRPr="004D2551">
        <w:rPr>
          <w:rFonts w:ascii="Calibri" w:eastAsia="Calibri" w:hAnsi="Calibri" w:cs="Times New Roman"/>
          <w:sz w:val="24"/>
          <w:szCs w:val="24"/>
        </w:rPr>
        <w:t xml:space="preserve"> s</w:t>
      </w:r>
      <w:r w:rsidR="004C3D03">
        <w:rPr>
          <w:rFonts w:ascii="Calibri" w:eastAsia="Calibri" w:hAnsi="Calibri" w:cs="Times New Roman"/>
          <w:sz w:val="24"/>
          <w:szCs w:val="24"/>
        </w:rPr>
        <w:t xml:space="preserve"> </w:t>
      </w:r>
      <w:r w:rsidRPr="004D2551">
        <w:rPr>
          <w:rFonts w:ascii="Calibri" w:eastAsia="Calibri" w:hAnsi="Calibri" w:cs="Times New Roman"/>
          <w:sz w:val="24"/>
          <w:szCs w:val="24"/>
        </w:rPr>
        <w:t>celkovou časovou dotací 56 hodin (26 hod. vedení auditorského</w:t>
      </w:r>
      <w:r w:rsidR="00C76EE4">
        <w:rPr>
          <w:rFonts w:ascii="Calibri" w:eastAsia="Calibri" w:hAnsi="Calibri" w:cs="Times New Roman"/>
          <w:sz w:val="24"/>
          <w:szCs w:val="24"/>
        </w:rPr>
        <w:t xml:space="preserve"> </w:t>
      </w:r>
      <w:r w:rsidRPr="004D2551">
        <w:rPr>
          <w:rFonts w:ascii="Calibri" w:eastAsia="Calibri" w:hAnsi="Calibri" w:cs="Times New Roman"/>
          <w:sz w:val="24"/>
          <w:szCs w:val="24"/>
        </w:rPr>
        <w:t>týmu + 30 hod. asistent/</w:t>
      </w:r>
      <w:proofErr w:type="spellStart"/>
      <w:r w:rsidRPr="004D2551">
        <w:rPr>
          <w:rFonts w:ascii="Calibri" w:eastAsia="Calibri" w:hAnsi="Calibri" w:cs="Times New Roman"/>
          <w:sz w:val="24"/>
          <w:szCs w:val="24"/>
        </w:rPr>
        <w:t>ka</w:t>
      </w:r>
      <w:proofErr w:type="spellEnd"/>
      <w:r w:rsidRPr="004D2551">
        <w:rPr>
          <w:rFonts w:ascii="Calibri" w:eastAsia="Calibri" w:hAnsi="Calibri" w:cs="Times New Roman"/>
          <w:sz w:val="24"/>
          <w:szCs w:val="24"/>
        </w:rPr>
        <w:t xml:space="preserve"> auditorského týmu) auditorský tým prováděl, když </w:t>
      </w:r>
      <w:r>
        <w:rPr>
          <w:rFonts w:ascii="Calibri" w:eastAsia="Calibri" w:hAnsi="Calibri" w:cs="Times New Roman"/>
          <w:sz w:val="24"/>
          <w:szCs w:val="24"/>
        </w:rPr>
        <w:t>AO</w:t>
      </w:r>
      <w:r w:rsidRPr="004D2551">
        <w:rPr>
          <w:rFonts w:ascii="Calibri" w:eastAsia="Calibri" w:hAnsi="Calibri" w:cs="Times New Roman"/>
          <w:sz w:val="24"/>
          <w:szCs w:val="24"/>
        </w:rPr>
        <w:t xml:space="preserve"> nedisponoval</w:t>
      </w:r>
      <w:r w:rsidR="00B20D59">
        <w:rPr>
          <w:rFonts w:ascii="Calibri" w:eastAsia="Calibri" w:hAnsi="Calibri" w:cs="Times New Roman"/>
          <w:sz w:val="24"/>
          <w:szCs w:val="24"/>
        </w:rPr>
        <w:t>a</w:t>
      </w:r>
      <w:r w:rsidRPr="004D2551">
        <w:rPr>
          <w:rFonts w:ascii="Calibri" w:eastAsia="Calibri" w:hAnsi="Calibri" w:cs="Times New Roman"/>
          <w:sz w:val="24"/>
          <w:szCs w:val="24"/>
        </w:rPr>
        <w:t xml:space="preserve"> žádnými relevantními vnitřními předpisy.</w:t>
      </w:r>
    </w:p>
    <w:p w14:paraId="45F15AE8" w14:textId="59403EF8" w:rsidR="008A3B64" w:rsidRPr="004D2551" w:rsidRDefault="008A3B64" w:rsidP="008A3B64">
      <w:pPr>
        <w:pBdr>
          <w:top w:val="single" w:sz="4" w:space="1" w:color="auto"/>
          <w:left w:val="single" w:sz="4" w:space="4" w:color="auto"/>
          <w:bottom w:val="single" w:sz="4" w:space="1" w:color="auto"/>
          <w:right w:val="single" w:sz="4" w:space="4" w:color="auto"/>
        </w:pBdr>
        <w:spacing w:line="240" w:lineRule="auto"/>
        <w:jc w:val="both"/>
        <w:rPr>
          <w:rFonts w:ascii="Calibri" w:eastAsia="Calibri" w:hAnsi="Calibri" w:cs="Times New Roman"/>
          <w:sz w:val="24"/>
          <w:szCs w:val="24"/>
        </w:rPr>
      </w:pPr>
      <w:r w:rsidRPr="004D2551">
        <w:rPr>
          <w:rFonts w:ascii="Calibri" w:eastAsia="Calibri" w:hAnsi="Calibri" w:cs="Times New Roman"/>
          <w:sz w:val="24"/>
          <w:szCs w:val="24"/>
        </w:rPr>
        <w:t xml:space="preserve">Zpráva z GA neobsahovala </w:t>
      </w:r>
      <w:r w:rsidR="00F345DA" w:rsidRPr="004D2551">
        <w:rPr>
          <w:rFonts w:ascii="Calibri" w:eastAsia="Calibri" w:hAnsi="Calibri" w:cs="Times New Roman"/>
          <w:sz w:val="24"/>
          <w:szCs w:val="24"/>
        </w:rPr>
        <w:t>žádný návrh a</w:t>
      </w:r>
      <w:r w:rsidR="00325F2F">
        <w:rPr>
          <w:rFonts w:ascii="Calibri" w:eastAsia="Calibri" w:hAnsi="Calibri" w:cs="Times New Roman"/>
          <w:sz w:val="24"/>
          <w:szCs w:val="24"/>
        </w:rPr>
        <w:t>ni</w:t>
      </w:r>
      <w:r w:rsidR="00F345DA" w:rsidRPr="004D2551">
        <w:rPr>
          <w:rFonts w:ascii="Calibri" w:eastAsia="Calibri" w:hAnsi="Calibri" w:cs="Times New Roman"/>
          <w:sz w:val="24"/>
          <w:szCs w:val="24"/>
        </w:rPr>
        <w:t xml:space="preserve"> doporučení na změnu </w:t>
      </w:r>
      <w:r w:rsidRPr="004D2551">
        <w:rPr>
          <w:rFonts w:ascii="Calibri" w:eastAsia="Calibri" w:hAnsi="Calibri" w:cs="Times New Roman"/>
          <w:sz w:val="24"/>
          <w:szCs w:val="24"/>
        </w:rPr>
        <w:t xml:space="preserve">k auditované oblasti </w:t>
      </w:r>
      <w:r w:rsidRPr="00495048">
        <w:rPr>
          <w:rFonts w:ascii="Calibri" w:eastAsia="Calibri" w:hAnsi="Calibri" w:cs="Times New Roman"/>
          <w:sz w:val="24"/>
          <w:szCs w:val="24"/>
        </w:rPr>
        <w:t>„</w:t>
      </w:r>
      <w:r w:rsidR="00325F2F">
        <w:rPr>
          <w:rFonts w:ascii="Calibri" w:eastAsia="Calibri" w:hAnsi="Calibri" w:cs="Times New Roman"/>
          <w:i/>
          <w:sz w:val="24"/>
          <w:szCs w:val="24"/>
        </w:rPr>
        <w:t>n</w:t>
      </w:r>
      <w:r w:rsidRPr="003C6D8F">
        <w:rPr>
          <w:rFonts w:ascii="Calibri" w:eastAsia="Calibri" w:hAnsi="Calibri" w:cs="Times New Roman"/>
          <w:i/>
          <w:sz w:val="24"/>
          <w:szCs w:val="24"/>
        </w:rPr>
        <w:t>ulová tolerance sexuálního obtěžování, šikany a diskriminace</w:t>
      </w:r>
      <w:r w:rsidRPr="00495048">
        <w:rPr>
          <w:rFonts w:ascii="Calibri" w:eastAsia="Calibri" w:hAnsi="Calibri" w:cs="Times New Roman"/>
          <w:sz w:val="24"/>
          <w:szCs w:val="24"/>
        </w:rPr>
        <w:t>“</w:t>
      </w:r>
      <w:r w:rsidRPr="004D2551">
        <w:rPr>
          <w:rFonts w:ascii="Calibri" w:eastAsia="Calibri" w:hAnsi="Calibri" w:cs="Times New Roman"/>
          <w:sz w:val="24"/>
          <w:szCs w:val="24"/>
        </w:rPr>
        <w:t>, přestože z výsledku dotazníkového šetření byl zřejmý nedostatek spočívající v nedostatečné informovanosti zaměstnanců a</w:t>
      </w:r>
      <w:r w:rsidR="004E29A1">
        <w:rPr>
          <w:rFonts w:ascii="Calibri" w:eastAsia="Calibri" w:hAnsi="Calibri" w:cs="Times New Roman"/>
          <w:sz w:val="24"/>
          <w:szCs w:val="24"/>
        </w:rPr>
        <w:t> </w:t>
      </w:r>
      <w:r w:rsidRPr="004D2551">
        <w:rPr>
          <w:rFonts w:ascii="Calibri" w:eastAsia="Calibri" w:hAnsi="Calibri" w:cs="Times New Roman"/>
          <w:sz w:val="24"/>
          <w:szCs w:val="24"/>
        </w:rPr>
        <w:t xml:space="preserve">zaměstnankyň o problematice a postupu řešení obtěžování v praxi. Tuto skutečnost </w:t>
      </w:r>
      <w:r w:rsidR="00210A3A" w:rsidRPr="004D2551">
        <w:rPr>
          <w:rFonts w:ascii="Calibri" w:eastAsia="Calibri" w:hAnsi="Calibri" w:cs="Times New Roman"/>
          <w:sz w:val="24"/>
          <w:szCs w:val="24"/>
        </w:rPr>
        <w:t xml:space="preserve">NKÚ </w:t>
      </w:r>
      <w:r w:rsidRPr="004D2551">
        <w:rPr>
          <w:rFonts w:ascii="Calibri" w:eastAsia="Calibri" w:hAnsi="Calibri" w:cs="Times New Roman"/>
          <w:sz w:val="24"/>
          <w:szCs w:val="24"/>
        </w:rPr>
        <w:t xml:space="preserve">vyhodnotil jako významný nedostatek </w:t>
      </w:r>
      <w:r w:rsidR="00325F2F">
        <w:rPr>
          <w:rFonts w:ascii="Calibri" w:eastAsia="Calibri" w:hAnsi="Calibri" w:cs="Times New Roman"/>
          <w:sz w:val="24"/>
          <w:szCs w:val="24"/>
        </w:rPr>
        <w:t>z</w:t>
      </w:r>
      <w:r w:rsidRPr="004D2551">
        <w:rPr>
          <w:rFonts w:ascii="Calibri" w:eastAsia="Calibri" w:hAnsi="Calibri" w:cs="Times New Roman"/>
          <w:sz w:val="24"/>
          <w:szCs w:val="24"/>
        </w:rPr>
        <w:t>právy z GA.</w:t>
      </w:r>
      <w:r>
        <w:rPr>
          <w:rStyle w:val="Znakapoznpodarou"/>
          <w:rFonts w:ascii="Calibri" w:eastAsia="Calibri" w:hAnsi="Calibri" w:cs="Times New Roman"/>
          <w:sz w:val="24"/>
          <w:szCs w:val="24"/>
        </w:rPr>
        <w:footnoteReference w:id="25"/>
      </w:r>
    </w:p>
    <w:p w14:paraId="57394F12" w14:textId="77777777" w:rsidR="00FB0286" w:rsidRDefault="00FB0286" w:rsidP="000409CF">
      <w:pPr>
        <w:pStyle w:val="Mluvcnadpis"/>
      </w:pPr>
      <w:r>
        <w:t>Klíčová oblast rovnosti v</w:t>
      </w:r>
      <w:r w:rsidRPr="00FB0286">
        <w:t xml:space="preserve"> odměňování nebyla v řadě případů vůbec auditována</w:t>
      </w:r>
    </w:p>
    <w:p w14:paraId="4C9B48BE" w14:textId="2C99E0C6" w:rsidR="004F1186" w:rsidRDefault="004F1186" w:rsidP="000409CF">
      <w:pPr>
        <w:pStyle w:val="JK4"/>
      </w:pPr>
      <w:r>
        <w:t xml:space="preserve">Standard GA s odkazem na Strategii uvádí, že v ČR existuje jeden z nejvyšších rozdílů v odměňování </w:t>
      </w:r>
      <w:r w:rsidR="006E598A">
        <w:t>žen a mužů</w:t>
      </w:r>
      <w:r w:rsidR="00934B0A">
        <w:t xml:space="preserve"> v</w:t>
      </w:r>
      <w:r w:rsidR="005E7AD3">
        <w:t xml:space="preserve"> </w:t>
      </w:r>
      <w:r w:rsidR="00934B0A">
        <w:t>EU</w:t>
      </w:r>
      <w:r w:rsidR="0075377D">
        <w:t xml:space="preserve"> a že </w:t>
      </w:r>
      <w:r w:rsidR="00934B0A" w:rsidRPr="00DB020D">
        <w:t>genderový audit je jedním z nástrojů, které mohou pomoci zejména zaměstnavatelům tyto nerovnosti identifikovat a napravit</w:t>
      </w:r>
      <w:r w:rsidR="00934B0A" w:rsidRPr="00934B0A">
        <w:t>.</w:t>
      </w:r>
    </w:p>
    <w:p w14:paraId="7C428DBE" w14:textId="756AC266" w:rsidR="00371DE9" w:rsidRPr="00371DE9" w:rsidRDefault="00435F43" w:rsidP="000409CF">
      <w:pPr>
        <w:pStyle w:val="JK4"/>
      </w:pPr>
      <w:r>
        <w:t xml:space="preserve">NKÚ </w:t>
      </w:r>
      <w:r w:rsidR="00371DE9" w:rsidRPr="00371DE9">
        <w:t xml:space="preserve">zjistil, že </w:t>
      </w:r>
      <w:r w:rsidR="00EC3A26" w:rsidRPr="00371DE9">
        <w:t>u</w:t>
      </w:r>
      <w:r w:rsidR="005E7AD3">
        <w:t xml:space="preserve"> </w:t>
      </w:r>
      <w:r w:rsidR="00EC3A26">
        <w:t>14</w:t>
      </w:r>
      <w:r w:rsidR="005E7AD3">
        <w:t xml:space="preserve"> </w:t>
      </w:r>
      <w:r w:rsidR="00EC3A26">
        <w:t>z</w:t>
      </w:r>
      <w:r w:rsidR="005E7AD3">
        <w:t xml:space="preserve"> </w:t>
      </w:r>
      <w:r w:rsidR="00EC3A26">
        <w:t>51 auditovaných organizací</w:t>
      </w:r>
      <w:r w:rsidR="00EC3A26" w:rsidRPr="00371DE9">
        <w:t xml:space="preserve"> </w:t>
      </w:r>
      <w:r w:rsidR="00EC3A26">
        <w:t xml:space="preserve">nebyla </w:t>
      </w:r>
      <w:r w:rsidR="00371DE9" w:rsidRPr="00371DE9">
        <w:t xml:space="preserve">oblast </w:t>
      </w:r>
      <w:r w:rsidR="005E7AD3">
        <w:t>„</w:t>
      </w:r>
      <w:r w:rsidR="005E7AD3">
        <w:rPr>
          <w:i/>
        </w:rPr>
        <w:t>s</w:t>
      </w:r>
      <w:r w:rsidR="00371DE9" w:rsidRPr="00371DE9">
        <w:rPr>
          <w:i/>
        </w:rPr>
        <w:t>pravedlivé odměňování</w:t>
      </w:r>
      <w:r w:rsidR="005E7AD3">
        <w:t>“</w:t>
      </w:r>
      <w:r w:rsidR="00371DE9" w:rsidRPr="00371DE9">
        <w:rPr>
          <w:i/>
        </w:rPr>
        <w:t xml:space="preserve"> </w:t>
      </w:r>
      <w:r w:rsidR="003C0285" w:rsidRPr="00DB020D">
        <w:t xml:space="preserve">vůbec </w:t>
      </w:r>
      <w:r w:rsidR="00371DE9" w:rsidRPr="00371DE9">
        <w:t>auditována</w:t>
      </w:r>
      <w:r w:rsidR="00EC3A26">
        <w:t>.</w:t>
      </w:r>
      <w:r w:rsidR="00EC3A26" w:rsidRPr="00371DE9" w:rsidDel="00EC3A26">
        <w:t xml:space="preserve"> </w:t>
      </w:r>
      <w:r w:rsidR="00371DE9" w:rsidRPr="00371DE9">
        <w:t>Podrobn</w:t>
      </w:r>
      <w:r w:rsidR="009778D5">
        <w:t>é údaje jsou uvedeny v</w:t>
      </w:r>
      <w:r w:rsidR="00371DE9" w:rsidRPr="00371DE9">
        <w:t xml:space="preserve"> tabul</w:t>
      </w:r>
      <w:r w:rsidR="009778D5">
        <w:t>ce</w:t>
      </w:r>
      <w:r w:rsidR="00371DE9" w:rsidRPr="00371DE9">
        <w:t xml:space="preserve"> č. </w:t>
      </w:r>
      <w:r w:rsidR="00832D73">
        <w:t>3</w:t>
      </w:r>
      <w:r w:rsidR="00371DE9" w:rsidRPr="00371DE9">
        <w:t>.</w:t>
      </w:r>
    </w:p>
    <w:p w14:paraId="2044A15F" w14:textId="77777777" w:rsidR="00371DE9" w:rsidRPr="004636B5" w:rsidRDefault="00371DE9" w:rsidP="00495048">
      <w:pPr>
        <w:pStyle w:val="KPnormal"/>
        <w:ind w:left="1276" w:hanging="1276"/>
        <w:rPr>
          <w:b/>
        </w:rPr>
      </w:pPr>
      <w:r w:rsidRPr="00430AC7">
        <w:rPr>
          <w:b/>
        </w:rPr>
        <w:t xml:space="preserve">Tabulka č. </w:t>
      </w:r>
      <w:r w:rsidR="00832D73" w:rsidRPr="00430AC7">
        <w:rPr>
          <w:b/>
        </w:rPr>
        <w:t>3</w:t>
      </w:r>
      <w:r w:rsidRPr="00430AC7">
        <w:rPr>
          <w:b/>
        </w:rPr>
        <w:t>:</w:t>
      </w:r>
      <w:r w:rsidRPr="00430AC7">
        <w:rPr>
          <w:b/>
        </w:rPr>
        <w:tab/>
        <w:t>Nehodnocená</w:t>
      </w:r>
      <w:r w:rsidRPr="004636B5">
        <w:rPr>
          <w:b/>
        </w:rPr>
        <w:t xml:space="preserve"> oblast odměňování u projektů GA z kontrolního vzorku </w:t>
      </w:r>
    </w:p>
    <w:tbl>
      <w:tblPr>
        <w:tblW w:w="91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402"/>
        <w:gridCol w:w="3586"/>
        <w:gridCol w:w="12"/>
      </w:tblGrid>
      <w:tr w:rsidR="003B7BBA" w:rsidRPr="00371DE9" w14:paraId="239A7C6F" w14:textId="77777777" w:rsidTr="00D60E62">
        <w:trPr>
          <w:trHeight w:val="513"/>
        </w:trPr>
        <w:tc>
          <w:tcPr>
            <w:tcW w:w="2127" w:type="dxa"/>
            <w:shd w:val="clear" w:color="000000" w:fill="E5F1FF"/>
            <w:vAlign w:val="center"/>
            <w:hideMark/>
          </w:tcPr>
          <w:p w14:paraId="03EF69FF" w14:textId="77777777" w:rsidR="003B7BBA" w:rsidRPr="00371DE9" w:rsidRDefault="003B7BBA" w:rsidP="00D60E62">
            <w:pPr>
              <w:spacing w:after="0"/>
              <w:jc w:val="center"/>
              <w:rPr>
                <w:rFonts w:ascii="Calibri" w:hAnsi="Calibri" w:cs="Calibri"/>
                <w:b/>
                <w:bCs/>
                <w:color w:val="000000"/>
                <w:sz w:val="20"/>
                <w:szCs w:val="20"/>
                <w:lang w:eastAsia="cs-CZ"/>
              </w:rPr>
            </w:pPr>
            <w:r w:rsidRPr="00371DE9">
              <w:rPr>
                <w:rFonts w:ascii="Calibri" w:hAnsi="Calibri" w:cs="Calibri"/>
                <w:b/>
                <w:bCs/>
                <w:color w:val="000000"/>
                <w:sz w:val="20"/>
                <w:szCs w:val="20"/>
                <w:lang w:eastAsia="cs-CZ"/>
              </w:rPr>
              <w:t>Číslo projektu GA</w:t>
            </w:r>
          </w:p>
        </w:tc>
        <w:tc>
          <w:tcPr>
            <w:tcW w:w="3402" w:type="dxa"/>
            <w:shd w:val="clear" w:color="000000" w:fill="E5F1FF"/>
            <w:vAlign w:val="center"/>
            <w:hideMark/>
          </w:tcPr>
          <w:p w14:paraId="12C1FCC2" w14:textId="77777777" w:rsidR="003B7BBA" w:rsidRPr="00371DE9" w:rsidRDefault="003B7BBA" w:rsidP="00D60E62">
            <w:pPr>
              <w:spacing w:after="0"/>
              <w:jc w:val="center"/>
              <w:rPr>
                <w:rFonts w:ascii="Calibri" w:hAnsi="Calibri" w:cs="Calibri"/>
                <w:b/>
                <w:bCs/>
                <w:color w:val="000000"/>
                <w:sz w:val="20"/>
                <w:szCs w:val="20"/>
                <w:lang w:eastAsia="cs-CZ"/>
              </w:rPr>
            </w:pPr>
            <w:r w:rsidRPr="00371DE9">
              <w:rPr>
                <w:rFonts w:ascii="Calibri" w:hAnsi="Calibri" w:cs="Calibri"/>
                <w:b/>
                <w:bCs/>
                <w:color w:val="000000"/>
                <w:sz w:val="20"/>
                <w:szCs w:val="20"/>
                <w:lang w:eastAsia="cs-CZ"/>
              </w:rPr>
              <w:t xml:space="preserve">Počet </w:t>
            </w:r>
            <w:r w:rsidR="00744814">
              <w:rPr>
                <w:rFonts w:ascii="Calibri" w:hAnsi="Calibri" w:cs="Calibri"/>
                <w:b/>
                <w:bCs/>
                <w:color w:val="000000"/>
                <w:sz w:val="20"/>
                <w:szCs w:val="20"/>
                <w:lang w:eastAsia="cs-CZ"/>
              </w:rPr>
              <w:t>auditovaných organizací</w:t>
            </w:r>
          </w:p>
        </w:tc>
        <w:tc>
          <w:tcPr>
            <w:tcW w:w="3598" w:type="dxa"/>
            <w:gridSpan w:val="2"/>
            <w:shd w:val="clear" w:color="000000" w:fill="E5F1FF"/>
            <w:vAlign w:val="center"/>
            <w:hideMark/>
          </w:tcPr>
          <w:p w14:paraId="370A5CE5" w14:textId="2628EBC3" w:rsidR="003B7BBA" w:rsidRPr="00371DE9" w:rsidRDefault="00430AC7" w:rsidP="00D60E62">
            <w:pPr>
              <w:spacing w:after="0"/>
              <w:jc w:val="center"/>
              <w:rPr>
                <w:rFonts w:ascii="Calibri" w:hAnsi="Calibri" w:cs="Calibri"/>
                <w:b/>
                <w:bCs/>
                <w:color w:val="000000"/>
                <w:sz w:val="20"/>
                <w:szCs w:val="20"/>
                <w:lang w:eastAsia="cs-CZ"/>
              </w:rPr>
            </w:pPr>
            <w:r>
              <w:rPr>
                <w:rFonts w:ascii="Calibri" w:hAnsi="Calibri" w:cs="Calibri"/>
                <w:b/>
                <w:bCs/>
                <w:color w:val="000000"/>
                <w:sz w:val="20"/>
                <w:szCs w:val="20"/>
                <w:lang w:eastAsia="cs-CZ"/>
              </w:rPr>
              <w:t>– z</w:t>
            </w:r>
            <w:r w:rsidR="00744814">
              <w:rPr>
                <w:rFonts w:ascii="Calibri" w:hAnsi="Calibri" w:cs="Calibri"/>
                <w:b/>
                <w:bCs/>
                <w:color w:val="000000"/>
                <w:sz w:val="20"/>
                <w:szCs w:val="20"/>
                <w:lang w:eastAsia="cs-CZ"/>
              </w:rPr>
              <w:t xml:space="preserve"> toho p</w:t>
            </w:r>
            <w:r w:rsidR="003B7BBA" w:rsidRPr="00371DE9">
              <w:rPr>
                <w:rFonts w:ascii="Calibri" w:hAnsi="Calibri" w:cs="Calibri"/>
                <w:b/>
                <w:bCs/>
                <w:color w:val="000000"/>
                <w:sz w:val="20"/>
                <w:szCs w:val="20"/>
                <w:lang w:eastAsia="cs-CZ"/>
              </w:rPr>
              <w:t xml:space="preserve">očet </w:t>
            </w:r>
            <w:r w:rsidR="00744814">
              <w:rPr>
                <w:rFonts w:ascii="Calibri" w:hAnsi="Calibri" w:cs="Calibri"/>
                <w:b/>
                <w:bCs/>
                <w:color w:val="000000"/>
                <w:sz w:val="20"/>
                <w:szCs w:val="20"/>
                <w:lang w:eastAsia="cs-CZ"/>
              </w:rPr>
              <w:t>organizací</w:t>
            </w:r>
            <w:r>
              <w:rPr>
                <w:rFonts w:ascii="Calibri" w:hAnsi="Calibri" w:cs="Calibri"/>
                <w:b/>
                <w:bCs/>
                <w:color w:val="000000"/>
                <w:sz w:val="20"/>
                <w:szCs w:val="20"/>
                <w:lang w:eastAsia="cs-CZ"/>
              </w:rPr>
              <w:t>, u nichž nebyla hodnocena</w:t>
            </w:r>
            <w:r w:rsidR="003B7BBA" w:rsidRPr="00371DE9">
              <w:rPr>
                <w:rFonts w:ascii="Calibri" w:hAnsi="Calibri" w:cs="Calibri"/>
                <w:b/>
                <w:bCs/>
                <w:color w:val="000000"/>
                <w:sz w:val="20"/>
                <w:szCs w:val="20"/>
                <w:lang w:eastAsia="cs-CZ"/>
              </w:rPr>
              <w:t xml:space="preserve"> oblast odměňování</w:t>
            </w:r>
          </w:p>
        </w:tc>
      </w:tr>
      <w:tr w:rsidR="003B7BBA" w:rsidRPr="00371DE9" w14:paraId="5848EBFA" w14:textId="77777777" w:rsidTr="00430AC7">
        <w:trPr>
          <w:trHeight w:hRule="exact" w:val="397"/>
        </w:trPr>
        <w:tc>
          <w:tcPr>
            <w:tcW w:w="2127" w:type="dxa"/>
            <w:shd w:val="clear" w:color="auto" w:fill="auto"/>
            <w:vAlign w:val="center"/>
            <w:hideMark/>
          </w:tcPr>
          <w:p w14:paraId="78A46D7C" w14:textId="77777777" w:rsidR="003B7BBA" w:rsidRPr="00371DE9" w:rsidRDefault="003B7BBA" w:rsidP="00D60E62">
            <w:pPr>
              <w:spacing w:after="0"/>
              <w:jc w:val="center"/>
              <w:rPr>
                <w:rFonts w:ascii="Calibri" w:hAnsi="Calibri" w:cs="Calibri"/>
                <w:sz w:val="20"/>
                <w:szCs w:val="20"/>
                <w:lang w:eastAsia="cs-CZ"/>
              </w:rPr>
            </w:pPr>
            <w:r>
              <w:rPr>
                <w:rFonts w:ascii="Calibri" w:hAnsi="Calibri" w:cs="Calibri"/>
                <w:sz w:val="20"/>
                <w:szCs w:val="20"/>
                <w:lang w:eastAsia="cs-CZ"/>
              </w:rPr>
              <w:t>*</w:t>
            </w:r>
            <w:r w:rsidRPr="00371DE9">
              <w:rPr>
                <w:rFonts w:ascii="Calibri" w:hAnsi="Calibri" w:cs="Calibri"/>
                <w:sz w:val="20"/>
                <w:szCs w:val="20"/>
                <w:lang w:eastAsia="cs-CZ"/>
              </w:rPr>
              <w:t>06197</w:t>
            </w:r>
          </w:p>
        </w:tc>
        <w:tc>
          <w:tcPr>
            <w:tcW w:w="3402" w:type="dxa"/>
            <w:shd w:val="clear" w:color="auto" w:fill="auto"/>
            <w:vAlign w:val="center"/>
            <w:hideMark/>
          </w:tcPr>
          <w:p w14:paraId="570932F8" w14:textId="77777777" w:rsidR="003B7BBA" w:rsidRPr="00371DE9" w:rsidRDefault="003B7BBA" w:rsidP="00430AC7">
            <w:pPr>
              <w:spacing w:after="0"/>
              <w:ind w:right="1587"/>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13</w:t>
            </w:r>
          </w:p>
        </w:tc>
        <w:tc>
          <w:tcPr>
            <w:tcW w:w="3598" w:type="dxa"/>
            <w:gridSpan w:val="2"/>
            <w:shd w:val="clear" w:color="auto" w:fill="auto"/>
            <w:vAlign w:val="center"/>
            <w:hideMark/>
          </w:tcPr>
          <w:p w14:paraId="16F536ED" w14:textId="77777777" w:rsidR="003B7BBA" w:rsidRPr="00371DE9" w:rsidRDefault="003B7BBA" w:rsidP="00430AC7">
            <w:pPr>
              <w:spacing w:after="0"/>
              <w:ind w:right="1644"/>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0</w:t>
            </w:r>
          </w:p>
        </w:tc>
      </w:tr>
      <w:tr w:rsidR="003B7BBA" w:rsidRPr="00371DE9" w14:paraId="037467A8" w14:textId="77777777" w:rsidTr="00430AC7">
        <w:trPr>
          <w:trHeight w:hRule="exact" w:val="397"/>
        </w:trPr>
        <w:tc>
          <w:tcPr>
            <w:tcW w:w="2127" w:type="dxa"/>
            <w:shd w:val="clear" w:color="auto" w:fill="auto"/>
            <w:vAlign w:val="center"/>
            <w:hideMark/>
          </w:tcPr>
          <w:p w14:paraId="0091B369" w14:textId="77777777" w:rsidR="003B7BBA" w:rsidRPr="00371DE9" w:rsidRDefault="003B7BBA" w:rsidP="00D60E62">
            <w:pPr>
              <w:spacing w:after="0"/>
              <w:jc w:val="center"/>
              <w:rPr>
                <w:rFonts w:ascii="Calibri" w:hAnsi="Calibri" w:cs="Calibri"/>
                <w:sz w:val="20"/>
                <w:szCs w:val="20"/>
                <w:lang w:eastAsia="cs-CZ"/>
              </w:rPr>
            </w:pPr>
            <w:r>
              <w:rPr>
                <w:rFonts w:ascii="Calibri" w:hAnsi="Calibri" w:cs="Calibri"/>
                <w:sz w:val="20"/>
                <w:szCs w:val="20"/>
                <w:lang w:eastAsia="cs-CZ"/>
              </w:rPr>
              <w:t>*</w:t>
            </w:r>
            <w:r w:rsidRPr="00371DE9">
              <w:rPr>
                <w:rFonts w:ascii="Calibri" w:hAnsi="Calibri" w:cs="Calibri"/>
                <w:sz w:val="20"/>
                <w:szCs w:val="20"/>
                <w:lang w:eastAsia="cs-CZ"/>
              </w:rPr>
              <w:t>06254</w:t>
            </w:r>
          </w:p>
        </w:tc>
        <w:tc>
          <w:tcPr>
            <w:tcW w:w="3402" w:type="dxa"/>
            <w:shd w:val="clear" w:color="auto" w:fill="auto"/>
            <w:vAlign w:val="center"/>
            <w:hideMark/>
          </w:tcPr>
          <w:p w14:paraId="709C7199" w14:textId="77777777" w:rsidR="003B7BBA" w:rsidRPr="00371DE9" w:rsidRDefault="003B7BBA" w:rsidP="00430AC7">
            <w:pPr>
              <w:spacing w:after="0"/>
              <w:ind w:right="1587"/>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8</w:t>
            </w:r>
          </w:p>
        </w:tc>
        <w:tc>
          <w:tcPr>
            <w:tcW w:w="3598" w:type="dxa"/>
            <w:gridSpan w:val="2"/>
            <w:shd w:val="clear" w:color="auto" w:fill="auto"/>
            <w:vAlign w:val="center"/>
            <w:hideMark/>
          </w:tcPr>
          <w:p w14:paraId="3CBEEC1A" w14:textId="77777777" w:rsidR="003B7BBA" w:rsidRPr="00371DE9" w:rsidRDefault="003B7BBA" w:rsidP="00430AC7">
            <w:pPr>
              <w:spacing w:after="0"/>
              <w:ind w:right="1644"/>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0</w:t>
            </w:r>
          </w:p>
        </w:tc>
      </w:tr>
      <w:tr w:rsidR="003B7BBA" w:rsidRPr="00371DE9" w14:paraId="6D0AE99E" w14:textId="77777777" w:rsidTr="00430AC7">
        <w:trPr>
          <w:trHeight w:hRule="exact" w:val="397"/>
        </w:trPr>
        <w:tc>
          <w:tcPr>
            <w:tcW w:w="2127" w:type="dxa"/>
            <w:shd w:val="clear" w:color="auto" w:fill="auto"/>
            <w:vAlign w:val="center"/>
            <w:hideMark/>
          </w:tcPr>
          <w:p w14:paraId="23B95314" w14:textId="77777777" w:rsidR="003B7BBA" w:rsidRPr="00371DE9" w:rsidRDefault="003B7BBA" w:rsidP="00D60E62">
            <w:pPr>
              <w:spacing w:after="0"/>
              <w:jc w:val="center"/>
              <w:rPr>
                <w:rFonts w:ascii="Calibri" w:hAnsi="Calibri" w:cs="Calibri"/>
                <w:sz w:val="20"/>
                <w:szCs w:val="20"/>
                <w:lang w:eastAsia="cs-CZ"/>
              </w:rPr>
            </w:pPr>
            <w:r>
              <w:rPr>
                <w:rFonts w:ascii="Calibri" w:hAnsi="Calibri" w:cs="Calibri"/>
                <w:sz w:val="20"/>
                <w:szCs w:val="20"/>
                <w:lang w:eastAsia="cs-CZ"/>
              </w:rPr>
              <w:t>*</w:t>
            </w:r>
            <w:r w:rsidRPr="00371DE9">
              <w:rPr>
                <w:rFonts w:ascii="Calibri" w:hAnsi="Calibri" w:cs="Calibri"/>
                <w:sz w:val="20"/>
                <w:szCs w:val="20"/>
                <w:lang w:eastAsia="cs-CZ"/>
              </w:rPr>
              <w:t>06306</w:t>
            </w:r>
          </w:p>
        </w:tc>
        <w:tc>
          <w:tcPr>
            <w:tcW w:w="3402" w:type="dxa"/>
            <w:shd w:val="clear" w:color="auto" w:fill="auto"/>
            <w:vAlign w:val="center"/>
            <w:hideMark/>
          </w:tcPr>
          <w:p w14:paraId="17B4DED7" w14:textId="77777777" w:rsidR="003B7BBA" w:rsidRPr="00371DE9" w:rsidRDefault="003B7BBA" w:rsidP="00430AC7">
            <w:pPr>
              <w:spacing w:after="0"/>
              <w:ind w:right="1587"/>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8</w:t>
            </w:r>
          </w:p>
        </w:tc>
        <w:tc>
          <w:tcPr>
            <w:tcW w:w="3598" w:type="dxa"/>
            <w:gridSpan w:val="2"/>
            <w:shd w:val="clear" w:color="auto" w:fill="auto"/>
            <w:vAlign w:val="center"/>
            <w:hideMark/>
          </w:tcPr>
          <w:p w14:paraId="10D596E8" w14:textId="77777777" w:rsidR="003B7BBA" w:rsidRPr="00BF342F" w:rsidRDefault="003B7BBA" w:rsidP="00430AC7">
            <w:pPr>
              <w:spacing w:after="0"/>
              <w:ind w:right="1644"/>
              <w:jc w:val="right"/>
              <w:rPr>
                <w:rFonts w:ascii="Calibri" w:hAnsi="Calibri" w:cs="Calibri"/>
                <w:color w:val="000000"/>
                <w:sz w:val="20"/>
                <w:szCs w:val="20"/>
                <w:lang w:eastAsia="cs-CZ"/>
              </w:rPr>
            </w:pPr>
            <w:r w:rsidRPr="00BF342F">
              <w:rPr>
                <w:rFonts w:ascii="Calibri" w:hAnsi="Calibri" w:cs="Calibri"/>
                <w:color w:val="000000"/>
                <w:sz w:val="20"/>
                <w:szCs w:val="20"/>
                <w:lang w:eastAsia="cs-CZ"/>
              </w:rPr>
              <w:t>6</w:t>
            </w:r>
          </w:p>
        </w:tc>
      </w:tr>
      <w:tr w:rsidR="003B7BBA" w:rsidRPr="00371DE9" w14:paraId="269FB64E" w14:textId="77777777" w:rsidTr="00430AC7">
        <w:trPr>
          <w:trHeight w:hRule="exact" w:val="397"/>
        </w:trPr>
        <w:tc>
          <w:tcPr>
            <w:tcW w:w="2127" w:type="dxa"/>
            <w:shd w:val="clear" w:color="auto" w:fill="auto"/>
            <w:vAlign w:val="center"/>
            <w:hideMark/>
          </w:tcPr>
          <w:p w14:paraId="56B13A19" w14:textId="77777777" w:rsidR="003B7BBA" w:rsidRPr="00371DE9" w:rsidRDefault="003B7BBA" w:rsidP="00D60E62">
            <w:pPr>
              <w:spacing w:after="0"/>
              <w:jc w:val="center"/>
              <w:rPr>
                <w:rFonts w:ascii="Calibri" w:hAnsi="Calibri" w:cs="Calibri"/>
                <w:sz w:val="20"/>
                <w:szCs w:val="20"/>
                <w:lang w:eastAsia="cs-CZ"/>
              </w:rPr>
            </w:pPr>
            <w:r>
              <w:rPr>
                <w:rFonts w:ascii="Calibri" w:hAnsi="Calibri" w:cs="Calibri"/>
                <w:sz w:val="20"/>
                <w:szCs w:val="20"/>
                <w:lang w:eastAsia="cs-CZ"/>
              </w:rPr>
              <w:t>*</w:t>
            </w:r>
            <w:r w:rsidRPr="00371DE9">
              <w:rPr>
                <w:rFonts w:ascii="Calibri" w:hAnsi="Calibri" w:cs="Calibri"/>
                <w:sz w:val="20"/>
                <w:szCs w:val="20"/>
                <w:lang w:eastAsia="cs-CZ"/>
              </w:rPr>
              <w:t>06316</w:t>
            </w:r>
          </w:p>
        </w:tc>
        <w:tc>
          <w:tcPr>
            <w:tcW w:w="3402" w:type="dxa"/>
            <w:shd w:val="clear" w:color="auto" w:fill="auto"/>
            <w:vAlign w:val="center"/>
            <w:hideMark/>
          </w:tcPr>
          <w:p w14:paraId="680EB9E8" w14:textId="77777777" w:rsidR="003B7BBA" w:rsidRPr="00371DE9" w:rsidRDefault="003B7BBA" w:rsidP="00430AC7">
            <w:pPr>
              <w:spacing w:after="0"/>
              <w:ind w:right="1587"/>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1</w:t>
            </w:r>
            <w:r w:rsidR="0071204F">
              <w:rPr>
                <w:rFonts w:ascii="Calibri" w:hAnsi="Calibri" w:cs="Calibri"/>
                <w:color w:val="000000"/>
                <w:sz w:val="20"/>
                <w:szCs w:val="20"/>
                <w:lang w:eastAsia="cs-CZ"/>
              </w:rPr>
              <w:t>2</w:t>
            </w:r>
          </w:p>
        </w:tc>
        <w:tc>
          <w:tcPr>
            <w:tcW w:w="3598" w:type="dxa"/>
            <w:gridSpan w:val="2"/>
            <w:shd w:val="clear" w:color="auto" w:fill="auto"/>
            <w:vAlign w:val="center"/>
            <w:hideMark/>
          </w:tcPr>
          <w:p w14:paraId="17FED78B" w14:textId="77777777" w:rsidR="003B7BBA" w:rsidRPr="00BF342F" w:rsidRDefault="003B7BBA" w:rsidP="00430AC7">
            <w:pPr>
              <w:spacing w:after="0"/>
              <w:ind w:right="1644"/>
              <w:jc w:val="right"/>
              <w:rPr>
                <w:rFonts w:ascii="Calibri" w:hAnsi="Calibri" w:cs="Calibri"/>
                <w:color w:val="000000"/>
                <w:sz w:val="20"/>
                <w:szCs w:val="20"/>
                <w:lang w:eastAsia="cs-CZ"/>
              </w:rPr>
            </w:pPr>
            <w:r w:rsidRPr="00BF342F">
              <w:rPr>
                <w:rFonts w:ascii="Calibri" w:hAnsi="Calibri" w:cs="Calibri"/>
                <w:color w:val="000000"/>
                <w:sz w:val="20"/>
                <w:szCs w:val="20"/>
                <w:lang w:eastAsia="cs-CZ"/>
              </w:rPr>
              <w:t>4</w:t>
            </w:r>
          </w:p>
        </w:tc>
      </w:tr>
      <w:tr w:rsidR="003B7BBA" w:rsidRPr="00371DE9" w14:paraId="44F3982F" w14:textId="77777777" w:rsidTr="00430AC7">
        <w:trPr>
          <w:gridAfter w:val="1"/>
          <w:wAfter w:w="12" w:type="dxa"/>
          <w:trHeight w:hRule="exact" w:val="397"/>
        </w:trPr>
        <w:tc>
          <w:tcPr>
            <w:tcW w:w="2127" w:type="dxa"/>
            <w:shd w:val="clear" w:color="auto" w:fill="auto"/>
            <w:vAlign w:val="center"/>
            <w:hideMark/>
          </w:tcPr>
          <w:p w14:paraId="58219AC3" w14:textId="77777777" w:rsidR="003B7BBA" w:rsidRPr="00371DE9" w:rsidRDefault="003B7BBA" w:rsidP="00D60E62">
            <w:pPr>
              <w:spacing w:after="0"/>
              <w:jc w:val="center"/>
              <w:rPr>
                <w:rFonts w:ascii="Calibri" w:hAnsi="Calibri" w:cs="Calibri"/>
                <w:sz w:val="20"/>
                <w:szCs w:val="20"/>
                <w:lang w:eastAsia="cs-CZ"/>
              </w:rPr>
            </w:pPr>
            <w:r>
              <w:rPr>
                <w:rFonts w:ascii="Calibri" w:hAnsi="Calibri" w:cs="Calibri"/>
                <w:sz w:val="20"/>
                <w:szCs w:val="20"/>
                <w:lang w:eastAsia="cs-CZ"/>
              </w:rPr>
              <w:t>*</w:t>
            </w:r>
            <w:r w:rsidRPr="00371DE9">
              <w:rPr>
                <w:rFonts w:ascii="Calibri" w:hAnsi="Calibri" w:cs="Calibri"/>
                <w:sz w:val="20"/>
                <w:szCs w:val="20"/>
                <w:lang w:eastAsia="cs-CZ"/>
              </w:rPr>
              <w:t>06240</w:t>
            </w:r>
          </w:p>
        </w:tc>
        <w:tc>
          <w:tcPr>
            <w:tcW w:w="3402" w:type="dxa"/>
            <w:shd w:val="clear" w:color="auto" w:fill="auto"/>
            <w:vAlign w:val="center"/>
            <w:hideMark/>
          </w:tcPr>
          <w:p w14:paraId="1C3B0F2C" w14:textId="77777777" w:rsidR="003B7BBA" w:rsidRPr="00371DE9" w:rsidRDefault="003B7BBA" w:rsidP="00430AC7">
            <w:pPr>
              <w:spacing w:after="0"/>
              <w:ind w:right="1587"/>
              <w:jc w:val="right"/>
              <w:rPr>
                <w:rFonts w:ascii="Calibri" w:hAnsi="Calibri" w:cs="Calibri"/>
                <w:color w:val="000000"/>
                <w:sz w:val="20"/>
                <w:szCs w:val="20"/>
                <w:lang w:eastAsia="cs-CZ"/>
              </w:rPr>
            </w:pPr>
            <w:r w:rsidRPr="00371DE9">
              <w:rPr>
                <w:rFonts w:ascii="Calibri" w:hAnsi="Calibri" w:cs="Calibri"/>
                <w:color w:val="000000"/>
                <w:sz w:val="20"/>
                <w:szCs w:val="20"/>
                <w:lang w:eastAsia="cs-CZ"/>
              </w:rPr>
              <w:t>10</w:t>
            </w:r>
          </w:p>
        </w:tc>
        <w:tc>
          <w:tcPr>
            <w:tcW w:w="3586" w:type="dxa"/>
            <w:shd w:val="clear" w:color="auto" w:fill="auto"/>
            <w:vAlign w:val="center"/>
            <w:hideMark/>
          </w:tcPr>
          <w:p w14:paraId="20C1C6C8" w14:textId="77777777" w:rsidR="003B7BBA" w:rsidRPr="00BF342F" w:rsidRDefault="003B7BBA" w:rsidP="00430AC7">
            <w:pPr>
              <w:spacing w:after="0"/>
              <w:ind w:right="1644"/>
              <w:jc w:val="right"/>
              <w:rPr>
                <w:rFonts w:ascii="Calibri" w:hAnsi="Calibri" w:cs="Calibri"/>
                <w:color w:val="000000"/>
                <w:sz w:val="20"/>
                <w:szCs w:val="20"/>
                <w:lang w:eastAsia="cs-CZ"/>
              </w:rPr>
            </w:pPr>
            <w:r w:rsidRPr="00BF342F">
              <w:rPr>
                <w:rFonts w:ascii="Calibri" w:hAnsi="Calibri" w:cs="Calibri"/>
                <w:color w:val="000000"/>
                <w:sz w:val="20"/>
                <w:szCs w:val="20"/>
                <w:lang w:eastAsia="cs-CZ"/>
              </w:rPr>
              <w:t>4</w:t>
            </w:r>
          </w:p>
        </w:tc>
      </w:tr>
      <w:tr w:rsidR="003B7BBA" w:rsidRPr="00371DE9" w14:paraId="4722F2DD" w14:textId="77777777" w:rsidTr="00430AC7">
        <w:trPr>
          <w:trHeight w:hRule="exact" w:val="397"/>
        </w:trPr>
        <w:tc>
          <w:tcPr>
            <w:tcW w:w="2127" w:type="dxa"/>
            <w:shd w:val="clear" w:color="auto" w:fill="auto"/>
            <w:vAlign w:val="center"/>
          </w:tcPr>
          <w:p w14:paraId="50221F63" w14:textId="77777777" w:rsidR="003B7BBA" w:rsidRPr="003B7BBA" w:rsidRDefault="003B7BBA" w:rsidP="00D60E62">
            <w:pPr>
              <w:spacing w:after="0"/>
              <w:jc w:val="center"/>
              <w:rPr>
                <w:rFonts w:ascii="Calibri" w:hAnsi="Calibri" w:cs="Calibri"/>
                <w:b/>
                <w:sz w:val="20"/>
                <w:szCs w:val="20"/>
                <w:lang w:eastAsia="cs-CZ"/>
              </w:rPr>
            </w:pPr>
            <w:r w:rsidRPr="003B7BBA">
              <w:rPr>
                <w:rFonts w:ascii="Calibri" w:hAnsi="Calibri" w:cs="Calibri"/>
                <w:b/>
                <w:sz w:val="20"/>
                <w:szCs w:val="20"/>
                <w:lang w:eastAsia="cs-CZ"/>
              </w:rPr>
              <w:t>Celkem</w:t>
            </w:r>
          </w:p>
        </w:tc>
        <w:tc>
          <w:tcPr>
            <w:tcW w:w="3402" w:type="dxa"/>
            <w:shd w:val="clear" w:color="auto" w:fill="auto"/>
            <w:vAlign w:val="center"/>
          </w:tcPr>
          <w:p w14:paraId="481AEA69" w14:textId="77777777" w:rsidR="003B7BBA" w:rsidRPr="003B7BBA" w:rsidRDefault="003B7BBA" w:rsidP="00430AC7">
            <w:pPr>
              <w:spacing w:after="0"/>
              <w:ind w:right="1587"/>
              <w:jc w:val="right"/>
              <w:rPr>
                <w:rFonts w:ascii="Calibri" w:hAnsi="Calibri" w:cs="Calibri"/>
                <w:b/>
                <w:color w:val="000000"/>
                <w:sz w:val="20"/>
                <w:szCs w:val="20"/>
                <w:lang w:eastAsia="cs-CZ"/>
              </w:rPr>
            </w:pPr>
            <w:r w:rsidRPr="003B7BBA">
              <w:rPr>
                <w:rFonts w:ascii="Calibri" w:hAnsi="Calibri" w:cs="Calibri"/>
                <w:b/>
                <w:color w:val="000000"/>
                <w:sz w:val="20"/>
                <w:szCs w:val="20"/>
                <w:lang w:eastAsia="cs-CZ"/>
              </w:rPr>
              <w:t>5</w:t>
            </w:r>
            <w:r w:rsidR="0071204F">
              <w:rPr>
                <w:rFonts w:ascii="Calibri" w:hAnsi="Calibri" w:cs="Calibri"/>
                <w:b/>
                <w:color w:val="000000"/>
                <w:sz w:val="20"/>
                <w:szCs w:val="20"/>
                <w:lang w:eastAsia="cs-CZ"/>
              </w:rPr>
              <w:t>1</w:t>
            </w:r>
          </w:p>
        </w:tc>
        <w:tc>
          <w:tcPr>
            <w:tcW w:w="3598" w:type="dxa"/>
            <w:gridSpan w:val="2"/>
            <w:shd w:val="clear" w:color="auto" w:fill="auto"/>
            <w:vAlign w:val="center"/>
          </w:tcPr>
          <w:p w14:paraId="4B9FA8FE" w14:textId="77777777" w:rsidR="003B7BBA" w:rsidRPr="003B7BBA" w:rsidRDefault="003B7BBA" w:rsidP="00430AC7">
            <w:pPr>
              <w:spacing w:after="0"/>
              <w:ind w:right="1644"/>
              <w:jc w:val="right"/>
              <w:rPr>
                <w:rFonts w:ascii="Calibri" w:hAnsi="Calibri" w:cs="Calibri"/>
                <w:b/>
                <w:color w:val="000000"/>
                <w:sz w:val="20"/>
                <w:szCs w:val="20"/>
                <w:lang w:eastAsia="cs-CZ"/>
              </w:rPr>
            </w:pPr>
            <w:r w:rsidRPr="003B7BBA">
              <w:rPr>
                <w:rFonts w:ascii="Calibri" w:hAnsi="Calibri" w:cs="Calibri"/>
                <w:b/>
                <w:color w:val="000000"/>
                <w:sz w:val="20"/>
                <w:szCs w:val="20"/>
                <w:lang w:eastAsia="cs-CZ"/>
              </w:rPr>
              <w:t>14</w:t>
            </w:r>
          </w:p>
        </w:tc>
      </w:tr>
    </w:tbl>
    <w:p w14:paraId="22CBD2EA" w14:textId="246F7691" w:rsidR="00371DE9" w:rsidRPr="00D60E62" w:rsidRDefault="00371DE9" w:rsidP="00BF342F">
      <w:pPr>
        <w:pStyle w:val="KPnormal"/>
        <w:spacing w:before="0"/>
        <w:ind w:firstLine="0"/>
        <w:rPr>
          <w:sz w:val="20"/>
          <w:szCs w:val="20"/>
        </w:rPr>
      </w:pPr>
      <w:r w:rsidRPr="00D60E62">
        <w:rPr>
          <w:b/>
          <w:sz w:val="20"/>
          <w:szCs w:val="20"/>
        </w:rPr>
        <w:t>Zdroj:</w:t>
      </w:r>
      <w:r w:rsidRPr="00D60E62">
        <w:rPr>
          <w:sz w:val="20"/>
          <w:szCs w:val="20"/>
        </w:rPr>
        <w:t xml:space="preserve"> </w:t>
      </w:r>
      <w:r w:rsidR="00F16FE4">
        <w:rPr>
          <w:sz w:val="20"/>
          <w:szCs w:val="20"/>
        </w:rPr>
        <w:t>Z</w:t>
      </w:r>
      <w:r w:rsidRPr="00D60E62">
        <w:rPr>
          <w:sz w:val="20"/>
          <w:szCs w:val="20"/>
        </w:rPr>
        <w:t>pracov</w:t>
      </w:r>
      <w:r w:rsidR="00430AC7">
        <w:rPr>
          <w:sz w:val="20"/>
          <w:szCs w:val="20"/>
        </w:rPr>
        <w:t>al</w:t>
      </w:r>
      <w:r w:rsidRPr="00D60E62">
        <w:rPr>
          <w:sz w:val="20"/>
          <w:szCs w:val="20"/>
        </w:rPr>
        <w:t xml:space="preserve"> NKÚ na základě </w:t>
      </w:r>
      <w:r w:rsidR="00B20D59" w:rsidRPr="00D60E62">
        <w:rPr>
          <w:sz w:val="20"/>
          <w:szCs w:val="20"/>
        </w:rPr>
        <w:t>závěrečn</w:t>
      </w:r>
      <w:r w:rsidR="00430AC7">
        <w:rPr>
          <w:sz w:val="20"/>
          <w:szCs w:val="20"/>
        </w:rPr>
        <w:t>ých</w:t>
      </w:r>
      <w:r w:rsidR="00B20D59" w:rsidRPr="00D60E62">
        <w:rPr>
          <w:sz w:val="20"/>
          <w:szCs w:val="20"/>
        </w:rPr>
        <w:t xml:space="preserve"> zpráv GA</w:t>
      </w:r>
      <w:r w:rsidR="009778D5" w:rsidRPr="00D60E62">
        <w:rPr>
          <w:sz w:val="20"/>
          <w:szCs w:val="20"/>
        </w:rPr>
        <w:t xml:space="preserve"> u projektů z vybraného vzorku</w:t>
      </w:r>
      <w:r w:rsidRPr="00D60E62">
        <w:rPr>
          <w:sz w:val="20"/>
          <w:szCs w:val="20"/>
        </w:rPr>
        <w:t>.</w:t>
      </w:r>
    </w:p>
    <w:p w14:paraId="0067318E" w14:textId="5CEC1EA6" w:rsidR="00546863" w:rsidRDefault="006F508C" w:rsidP="000409CF">
      <w:pPr>
        <w:pStyle w:val="JK4"/>
      </w:pPr>
      <w:r>
        <w:t xml:space="preserve">NKÚ </w:t>
      </w:r>
      <w:r w:rsidR="009B352C">
        <w:t>dále</w:t>
      </w:r>
      <w:r>
        <w:t xml:space="preserve"> zjistil, že v</w:t>
      </w:r>
      <w:r w:rsidR="006A58F2">
        <w:t>e zbývajících</w:t>
      </w:r>
      <w:r>
        <w:t xml:space="preserve"> </w:t>
      </w:r>
      <w:r w:rsidR="00371DE9">
        <w:t>projekt</w:t>
      </w:r>
      <w:r>
        <w:t>ech</w:t>
      </w:r>
      <w:r w:rsidR="00371DE9">
        <w:t xml:space="preserve"> </w:t>
      </w:r>
      <w:r>
        <w:t xml:space="preserve">z kontrolovaného vzorku bylo u </w:t>
      </w:r>
      <w:r w:rsidR="008A3B64">
        <w:t>AO</w:t>
      </w:r>
      <w:r>
        <w:t xml:space="preserve"> v rámci odměňování převážně</w:t>
      </w:r>
      <w:r w:rsidR="00371DE9">
        <w:t xml:space="preserve"> </w:t>
      </w:r>
      <w:r w:rsidR="00FF540D">
        <w:t>řešeno</w:t>
      </w:r>
      <w:r w:rsidR="00371DE9">
        <w:t xml:space="preserve"> nastavení systému odměňování </w:t>
      </w:r>
      <w:r w:rsidR="00FF540D">
        <w:t>v</w:t>
      </w:r>
      <w:r w:rsidR="00430AC7">
        <w:t xml:space="preserve"> </w:t>
      </w:r>
      <w:r w:rsidR="00223087">
        <w:t>interních předpis</w:t>
      </w:r>
      <w:r w:rsidR="00FF540D">
        <w:t>ech</w:t>
      </w:r>
      <w:r w:rsidR="009B352C">
        <w:t>.</w:t>
      </w:r>
      <w:r w:rsidR="00223087">
        <w:t xml:space="preserve"> </w:t>
      </w:r>
      <w:r w:rsidR="009B352C">
        <w:t xml:space="preserve">Hodnocení </w:t>
      </w:r>
      <w:r w:rsidR="00D7091A">
        <w:t xml:space="preserve">oblasti </w:t>
      </w:r>
      <w:r w:rsidR="00371DE9">
        <w:t>odměňování bylo</w:t>
      </w:r>
      <w:r w:rsidR="009533D0">
        <w:t xml:space="preserve"> také</w:t>
      </w:r>
      <w:r w:rsidR="00371DE9">
        <w:t xml:space="preserve"> </w:t>
      </w:r>
      <w:r w:rsidR="00FF540D">
        <w:t>převážně založeno na</w:t>
      </w:r>
      <w:r w:rsidR="00371DE9">
        <w:t xml:space="preserve"> subjektivní</w:t>
      </w:r>
      <w:r w:rsidR="00FF540D">
        <w:t>m</w:t>
      </w:r>
      <w:r w:rsidR="00371DE9">
        <w:t xml:space="preserve"> pohledu zaměstnanců (</w:t>
      </w:r>
      <w:r w:rsidR="00430AC7">
        <w:t>který vyplynul z</w:t>
      </w:r>
      <w:r w:rsidR="00857709">
        <w:t xml:space="preserve"> rozhovorů a dotazníkových šetření</w:t>
      </w:r>
      <w:r w:rsidR="00371DE9">
        <w:t>), nikoli na analýz</w:t>
      </w:r>
      <w:r w:rsidR="00430AC7">
        <w:t>e</w:t>
      </w:r>
      <w:r w:rsidR="00371DE9">
        <w:t xml:space="preserve"> skutečných rozdílů v odměňování žen a mužů za stejnou práci a analýz</w:t>
      </w:r>
      <w:r w:rsidR="00430AC7">
        <w:t>e</w:t>
      </w:r>
      <w:r w:rsidR="00371DE9">
        <w:t xml:space="preserve"> důvodů těchto rozdílů u zaměstnavatele.</w:t>
      </w:r>
      <w:r w:rsidR="001C48FF">
        <w:t xml:space="preserve"> AO </w:t>
      </w:r>
      <w:r w:rsidR="00934B0A">
        <w:t xml:space="preserve">také </w:t>
      </w:r>
      <w:r w:rsidR="001C48FF">
        <w:t xml:space="preserve">odmítaly poskytovat </w:t>
      </w:r>
      <w:r w:rsidR="009B03BD">
        <w:t>data (</w:t>
      </w:r>
      <w:r w:rsidR="001C48FF">
        <w:t>byť i jen anonymizovaná</w:t>
      </w:r>
      <w:r w:rsidR="009B03BD">
        <w:t>)</w:t>
      </w:r>
      <w:r w:rsidR="001C48FF">
        <w:t xml:space="preserve"> o </w:t>
      </w:r>
      <w:r w:rsidR="002B6B53" w:rsidRPr="002B6B53">
        <w:t>skutečně vyplacených odměnách na srovnatelných pracovních pozicích</w:t>
      </w:r>
      <w:r w:rsidR="002B6B53">
        <w:t>.</w:t>
      </w:r>
    </w:p>
    <w:p w14:paraId="11E4C033" w14:textId="77777777" w:rsidR="008B4D45" w:rsidRDefault="00934B0A" w:rsidP="000409CF">
      <w:pPr>
        <w:pStyle w:val="JK4"/>
      </w:pPr>
      <w:r>
        <w:t>Protože</w:t>
      </w:r>
      <w:r w:rsidR="00273B06">
        <w:t xml:space="preserve"> MPSV </w:t>
      </w:r>
      <w:r>
        <w:t xml:space="preserve">v podmínkách </w:t>
      </w:r>
      <w:r w:rsidR="00273B06">
        <w:t>výz</w:t>
      </w:r>
      <w:r w:rsidR="002B6B53">
        <w:t>ev</w:t>
      </w:r>
      <w:r w:rsidR="00273B06">
        <w:t xml:space="preserve"> GA </w:t>
      </w:r>
      <w:r w:rsidR="002B6B53">
        <w:t>neupřesnilo postupy pro provedení genderového auditu v</w:t>
      </w:r>
      <w:r w:rsidR="00DB020D">
        <w:t> </w:t>
      </w:r>
      <w:r w:rsidR="002B6B53">
        <w:t>oblasti odměňování</w:t>
      </w:r>
      <w:r w:rsidR="001C48FF">
        <w:t>, existence</w:t>
      </w:r>
      <w:r w:rsidR="000F7043">
        <w:t xml:space="preserve"> neopodstatněných rozdílů v odměňování žen a mužů </w:t>
      </w:r>
      <w:r w:rsidR="002B6B53">
        <w:t>na srovnatelných pracovních pozicích</w:t>
      </w:r>
      <w:r w:rsidR="00D7091A">
        <w:t xml:space="preserve"> </w:t>
      </w:r>
      <w:r w:rsidR="000F7043">
        <w:t>v </w:t>
      </w:r>
      <w:r w:rsidR="00B20D59">
        <w:t>AO</w:t>
      </w:r>
      <w:r w:rsidR="000F7043">
        <w:t xml:space="preserve"> </w:t>
      </w:r>
      <w:r w:rsidR="001C48FF">
        <w:t xml:space="preserve">nebyla </w:t>
      </w:r>
      <w:r w:rsidR="002B6B53">
        <w:t>auditory prověřována</w:t>
      </w:r>
      <w:r w:rsidR="00D7091A">
        <w:t>.</w:t>
      </w:r>
      <w:r w:rsidR="00DB020D" w:rsidRPr="00DB020D">
        <w:t xml:space="preserve"> </w:t>
      </w:r>
      <w:r w:rsidR="00DB020D">
        <w:t>Tato skutečnost také limitovala možnosti implementace opatření v oblasti odměňování v projektech IGA. NKÚ v této souvislosti zjistil, že MPSV pro výzvy IGA přímo předpokládalo, že řešení problémů v oblasti odměňování se omezí pouze na aktivity směřující k vyšší transparentnosti v odměňování.</w:t>
      </w:r>
    </w:p>
    <w:p w14:paraId="0FAE0D11" w14:textId="77777777" w:rsidR="00EE5ECA" w:rsidRPr="00292A07" w:rsidRDefault="00EE5ECA"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292A07">
        <w:rPr>
          <w:b/>
          <w:sz w:val="24"/>
          <w:szCs w:val="24"/>
        </w:rPr>
        <w:t xml:space="preserve">Příklad č. </w:t>
      </w:r>
      <w:r w:rsidR="00832D73">
        <w:rPr>
          <w:b/>
          <w:sz w:val="24"/>
          <w:szCs w:val="24"/>
        </w:rPr>
        <w:t>5</w:t>
      </w:r>
      <w:r w:rsidRPr="00292A07">
        <w:rPr>
          <w:b/>
          <w:sz w:val="24"/>
          <w:szCs w:val="24"/>
        </w:rPr>
        <w:t>:</w:t>
      </w:r>
    </w:p>
    <w:p w14:paraId="23381149" w14:textId="351AE0F9" w:rsidR="00EE5ECA" w:rsidRPr="00EE5ECA" w:rsidRDefault="00EE5ECA" w:rsidP="00D60E62">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Times New Roman"/>
          <w:color w:val="000000"/>
          <w:sz w:val="24"/>
          <w:szCs w:val="24"/>
          <w:lang w:eastAsia="cs-CZ"/>
        </w:rPr>
      </w:pPr>
      <w:r w:rsidRPr="00EE5ECA">
        <w:rPr>
          <w:rFonts w:ascii="Calibri" w:eastAsia="Times New Roman" w:hAnsi="Calibri" w:cs="Times New Roman"/>
          <w:color w:val="000000"/>
          <w:sz w:val="24"/>
          <w:szCs w:val="24"/>
          <w:lang w:eastAsia="cs-CZ"/>
        </w:rPr>
        <w:t>Ve zprávě ze vstupního GA provedené</w:t>
      </w:r>
      <w:r w:rsidR="00430AC7">
        <w:rPr>
          <w:rFonts w:ascii="Calibri" w:eastAsia="Times New Roman" w:hAnsi="Calibri" w:cs="Times New Roman"/>
          <w:color w:val="000000"/>
          <w:sz w:val="24"/>
          <w:szCs w:val="24"/>
          <w:lang w:eastAsia="cs-CZ"/>
        </w:rPr>
        <w:t>ho</w:t>
      </w:r>
      <w:r w:rsidRPr="00EE5ECA">
        <w:rPr>
          <w:rFonts w:ascii="Calibri" w:eastAsia="Times New Roman" w:hAnsi="Calibri" w:cs="Times New Roman"/>
          <w:color w:val="000000"/>
          <w:sz w:val="24"/>
          <w:szCs w:val="24"/>
          <w:lang w:eastAsia="cs-CZ"/>
        </w:rPr>
        <w:t xml:space="preserve"> před zahájením realizace projektu bylo konstatováno, že příjemce </w:t>
      </w:r>
      <w:r w:rsidR="00430AC7">
        <w:rPr>
          <w:rFonts w:ascii="Calibri" w:eastAsia="Times New Roman" w:hAnsi="Calibri" w:cs="Times New Roman"/>
          <w:color w:val="000000"/>
          <w:sz w:val="24"/>
          <w:szCs w:val="24"/>
          <w:lang w:eastAsia="cs-CZ"/>
        </w:rPr>
        <w:t xml:space="preserve">podpory pro </w:t>
      </w:r>
      <w:r w:rsidRPr="00EE5ECA">
        <w:rPr>
          <w:rFonts w:ascii="Calibri" w:eastAsia="Times New Roman" w:hAnsi="Calibri" w:cs="Times New Roman"/>
          <w:color w:val="000000"/>
          <w:sz w:val="24"/>
          <w:szCs w:val="24"/>
          <w:lang w:eastAsia="cs-CZ"/>
        </w:rPr>
        <w:t>projekt IGA si nevede genderové statistiky odměňování a auditorskému týmu nezaslal všechny požadované doklady, ze kterých by bylo možné vyčíst reálně vyplacené mzdy (skládající se ze základních platů, odměn a dalších případných složek, které mohou konečnou výši platu ovlivnit). NKÚ zjistil, že auditoři t</w:t>
      </w:r>
      <w:r w:rsidR="0075401E">
        <w:rPr>
          <w:rFonts w:ascii="Calibri" w:eastAsia="Times New Roman" w:hAnsi="Calibri" w:cs="Times New Roman"/>
          <w:color w:val="000000"/>
          <w:sz w:val="24"/>
          <w:szCs w:val="24"/>
          <w:lang w:eastAsia="cs-CZ"/>
        </w:rPr>
        <w:t>uto nesoučinnost příjemce pouze</w:t>
      </w:r>
      <w:r w:rsidRPr="00EE5ECA">
        <w:rPr>
          <w:rFonts w:ascii="Calibri" w:eastAsia="Times New Roman" w:hAnsi="Calibri" w:cs="Times New Roman"/>
          <w:color w:val="000000"/>
          <w:sz w:val="24"/>
          <w:szCs w:val="24"/>
          <w:lang w:eastAsia="cs-CZ"/>
        </w:rPr>
        <w:t xml:space="preserve"> konstatovali ve zprávě </w:t>
      </w:r>
      <w:r w:rsidR="004D476E">
        <w:rPr>
          <w:rFonts w:ascii="Calibri" w:eastAsia="Times New Roman" w:hAnsi="Calibri" w:cs="Times New Roman"/>
          <w:color w:val="000000"/>
          <w:sz w:val="24"/>
          <w:szCs w:val="24"/>
          <w:lang w:eastAsia="cs-CZ"/>
        </w:rPr>
        <w:t>z</w:t>
      </w:r>
      <w:r w:rsidR="0075401E">
        <w:rPr>
          <w:rFonts w:ascii="Calibri" w:eastAsia="Times New Roman" w:hAnsi="Calibri" w:cs="Times New Roman"/>
          <w:color w:val="000000"/>
          <w:sz w:val="24"/>
          <w:szCs w:val="24"/>
          <w:lang w:eastAsia="cs-CZ"/>
        </w:rPr>
        <w:t xml:space="preserve"> </w:t>
      </w:r>
      <w:r w:rsidRPr="00EE5ECA">
        <w:rPr>
          <w:rFonts w:ascii="Calibri" w:eastAsia="Times New Roman" w:hAnsi="Calibri" w:cs="Times New Roman"/>
          <w:color w:val="000000"/>
          <w:sz w:val="24"/>
          <w:szCs w:val="24"/>
          <w:lang w:eastAsia="cs-CZ"/>
        </w:rPr>
        <w:t xml:space="preserve">GA. Příjemce v oblasti rovného odměňování zpracoval </w:t>
      </w:r>
      <w:r w:rsidR="00210A3A" w:rsidRPr="00EE5ECA">
        <w:rPr>
          <w:rFonts w:ascii="Calibri" w:eastAsia="Times New Roman" w:hAnsi="Calibri" w:cs="Times New Roman"/>
          <w:color w:val="000000"/>
          <w:sz w:val="24"/>
          <w:szCs w:val="24"/>
          <w:lang w:eastAsia="cs-CZ"/>
        </w:rPr>
        <w:t xml:space="preserve">pouze </w:t>
      </w:r>
      <w:r w:rsidRPr="00EE5ECA">
        <w:rPr>
          <w:rFonts w:ascii="Calibri" w:eastAsia="Times New Roman" w:hAnsi="Calibri" w:cs="Times New Roman"/>
          <w:color w:val="000000"/>
          <w:sz w:val="24"/>
          <w:szCs w:val="24"/>
          <w:lang w:eastAsia="cs-CZ"/>
        </w:rPr>
        <w:t>analýzu nenárokových složek odměňování na základě průzkumu motivace a spokojenosti zaměstnanců/</w:t>
      </w:r>
      <w:r w:rsidR="00430AC7" w:rsidRPr="00EE5ECA">
        <w:rPr>
          <w:rFonts w:ascii="Calibri" w:eastAsia="Times New Roman" w:hAnsi="Calibri" w:cs="Times New Roman"/>
          <w:color w:val="000000"/>
          <w:sz w:val="24"/>
          <w:szCs w:val="24"/>
          <w:lang w:eastAsia="cs-CZ"/>
        </w:rPr>
        <w:t>zaměstnan</w:t>
      </w:r>
      <w:r w:rsidRPr="00EE5ECA">
        <w:rPr>
          <w:rFonts w:ascii="Calibri" w:eastAsia="Times New Roman" w:hAnsi="Calibri" w:cs="Times New Roman"/>
          <w:color w:val="000000"/>
          <w:sz w:val="24"/>
          <w:szCs w:val="24"/>
          <w:lang w:eastAsia="cs-CZ"/>
        </w:rPr>
        <w:t>kyň jakožto předpokladu pro odvedení kvalitní práce</w:t>
      </w:r>
      <w:r w:rsidR="001D2871">
        <w:rPr>
          <w:rFonts w:ascii="Calibri" w:eastAsia="Times New Roman" w:hAnsi="Calibri" w:cs="Times New Roman"/>
          <w:color w:val="000000"/>
          <w:sz w:val="24"/>
          <w:szCs w:val="24"/>
          <w:lang w:eastAsia="cs-CZ"/>
        </w:rPr>
        <w:t xml:space="preserve"> a</w:t>
      </w:r>
      <w:r w:rsidRPr="00EE5ECA">
        <w:rPr>
          <w:rFonts w:ascii="Calibri" w:eastAsia="Times New Roman" w:hAnsi="Calibri" w:cs="Times New Roman"/>
          <w:color w:val="000000"/>
          <w:sz w:val="24"/>
          <w:szCs w:val="24"/>
          <w:lang w:eastAsia="cs-CZ"/>
        </w:rPr>
        <w:t xml:space="preserve"> vytvořil interní směrnici pro vedení genderových statistik odměňování, interní směrnici pro podání stížnosti na výši odměny, hodnot</w:t>
      </w:r>
      <w:r w:rsidR="00430AC7">
        <w:rPr>
          <w:rFonts w:ascii="Calibri" w:eastAsia="Times New Roman" w:hAnsi="Calibri" w:cs="Times New Roman"/>
          <w:color w:val="000000"/>
          <w:sz w:val="24"/>
          <w:szCs w:val="24"/>
          <w:lang w:eastAsia="cs-CZ"/>
        </w:rPr>
        <w:t>i</w:t>
      </w:r>
      <w:r w:rsidRPr="00EE5ECA">
        <w:rPr>
          <w:rFonts w:ascii="Calibri" w:eastAsia="Times New Roman" w:hAnsi="Calibri" w:cs="Times New Roman"/>
          <w:color w:val="000000"/>
          <w:sz w:val="24"/>
          <w:szCs w:val="24"/>
          <w:lang w:eastAsia="cs-CZ"/>
        </w:rPr>
        <w:t>cí formuláře jako podklad pro odměňování jednotlivých zaměstnanců/</w:t>
      </w:r>
      <w:r w:rsidR="00430AC7" w:rsidRPr="00EE5ECA">
        <w:rPr>
          <w:rFonts w:ascii="Calibri" w:eastAsia="Times New Roman" w:hAnsi="Calibri" w:cs="Times New Roman"/>
          <w:color w:val="000000"/>
          <w:sz w:val="24"/>
          <w:szCs w:val="24"/>
          <w:lang w:eastAsia="cs-CZ"/>
        </w:rPr>
        <w:t>zaměstnankyň</w:t>
      </w:r>
      <w:r w:rsidRPr="00EE5ECA">
        <w:rPr>
          <w:rFonts w:ascii="Calibri" w:eastAsia="Times New Roman" w:hAnsi="Calibri" w:cs="Times New Roman"/>
          <w:color w:val="000000"/>
          <w:sz w:val="24"/>
          <w:szCs w:val="24"/>
          <w:lang w:eastAsia="cs-CZ"/>
        </w:rPr>
        <w:t xml:space="preserve"> a interní směrnici </w:t>
      </w:r>
      <w:r w:rsidR="00AE66B7">
        <w:rPr>
          <w:rFonts w:ascii="Calibri" w:eastAsia="Times New Roman" w:hAnsi="Calibri" w:cs="Times New Roman"/>
          <w:color w:val="000000"/>
          <w:sz w:val="24"/>
          <w:szCs w:val="24"/>
          <w:lang w:eastAsia="cs-CZ"/>
        </w:rPr>
        <w:t>upravující</w:t>
      </w:r>
      <w:r w:rsidR="00430AC7">
        <w:rPr>
          <w:rFonts w:ascii="Calibri" w:eastAsia="Times New Roman" w:hAnsi="Calibri" w:cs="Times New Roman"/>
          <w:color w:val="000000"/>
          <w:sz w:val="24"/>
          <w:szCs w:val="24"/>
          <w:lang w:eastAsia="cs-CZ"/>
        </w:rPr>
        <w:t xml:space="preserve"> </w:t>
      </w:r>
      <w:r w:rsidRPr="00EE5ECA">
        <w:rPr>
          <w:rFonts w:ascii="Calibri" w:eastAsia="Times New Roman" w:hAnsi="Calibri" w:cs="Times New Roman"/>
          <w:color w:val="000000"/>
          <w:sz w:val="24"/>
          <w:szCs w:val="24"/>
          <w:lang w:eastAsia="cs-CZ"/>
        </w:rPr>
        <w:t>systém benefitů.</w:t>
      </w:r>
      <w:r w:rsidRPr="00EE5ECA">
        <w:rPr>
          <w:rFonts w:ascii="Calibri" w:eastAsia="Times New Roman" w:hAnsi="Calibri" w:cs="Times New Roman"/>
          <w:color w:val="000000"/>
          <w:sz w:val="24"/>
          <w:szCs w:val="24"/>
          <w:vertAlign w:val="superscript"/>
          <w:lang w:eastAsia="cs-CZ"/>
        </w:rPr>
        <w:footnoteReference w:id="26"/>
      </w:r>
    </w:p>
    <w:p w14:paraId="38FBEDD3" w14:textId="77777777" w:rsidR="00183A02" w:rsidRDefault="008A3B64" w:rsidP="000409CF">
      <w:pPr>
        <w:pStyle w:val="Mluvcnadpis"/>
      </w:pPr>
      <w:r w:rsidRPr="008A3B64">
        <w:t>Pouze 14 % auditovaných organizací pokračovalo v implementaci opatření</w:t>
      </w:r>
    </w:p>
    <w:p w14:paraId="33DF8E92" w14:textId="4FFFE6ED" w:rsidR="00A12008" w:rsidRDefault="004D0CF9" w:rsidP="000409CF">
      <w:pPr>
        <w:pStyle w:val="JK4"/>
      </w:pPr>
      <w:r w:rsidRPr="004D0CF9">
        <w:t>Standard GA konstatuje, že samotná realizace genderového auditu není bez implementace navržených změn dostačující.</w:t>
      </w:r>
      <w:r>
        <w:t xml:space="preserve"> </w:t>
      </w:r>
      <w:r w:rsidR="00B678D5">
        <w:t>Zároveň by real</w:t>
      </w:r>
      <w:r w:rsidR="00B678D5" w:rsidRPr="00B678D5">
        <w:t xml:space="preserve">izace genderového auditu měla vést k navržení konkrétních změn směřujících k prosazování genderové rovnosti v praxi. </w:t>
      </w:r>
      <w:r>
        <w:t xml:space="preserve">Přesto </w:t>
      </w:r>
      <w:r w:rsidR="00A12008" w:rsidRPr="00A12008">
        <w:t xml:space="preserve">MPSV </w:t>
      </w:r>
      <w:r w:rsidR="00B01639">
        <w:t>implementaci doporučení vzešlých z</w:t>
      </w:r>
      <w:r w:rsidR="0000736E">
        <w:t xml:space="preserve"> </w:t>
      </w:r>
      <w:r w:rsidR="00B01639">
        <w:t xml:space="preserve">GA </w:t>
      </w:r>
      <w:r w:rsidR="00A12008" w:rsidRPr="00A12008">
        <w:t xml:space="preserve">nestanovilo </w:t>
      </w:r>
      <w:r w:rsidR="00B01639">
        <w:t xml:space="preserve">jako nutnou podmínku </w:t>
      </w:r>
      <w:r w:rsidR="00AE66B7">
        <w:t>pro</w:t>
      </w:r>
      <w:r w:rsidR="00B01639">
        <w:t xml:space="preserve"> poskytnutí podpory na realizaci GA. </w:t>
      </w:r>
    </w:p>
    <w:p w14:paraId="226D457E" w14:textId="01CE3668" w:rsidR="003350D9" w:rsidRPr="00FF540D" w:rsidRDefault="0020123E" w:rsidP="000409CF">
      <w:pPr>
        <w:pStyle w:val="JK4"/>
      </w:pPr>
      <w:r>
        <w:t>Ve výzvách GA bylo realizováno 23 projektů, v nichž bylo auditováno celkem 178</w:t>
      </w:r>
      <w:r w:rsidR="00C31B66">
        <w:t> </w:t>
      </w:r>
      <w:r>
        <w:t>zaměstnavatelů, z toho 139 zaměstnavatelů ve výzvě č. 50 a 39 zaměstnavatelů ve výzvě č. 51. MPSV předložilo</w:t>
      </w:r>
      <w:r w:rsidR="00AE66B7">
        <w:t xml:space="preserve"> kontrole</w:t>
      </w:r>
      <w:r>
        <w:t xml:space="preserve"> NKÚ analýzu zapojení zaměstnavatelů, </w:t>
      </w:r>
      <w:r w:rsidR="00AE66B7">
        <w:t>kteří</w:t>
      </w:r>
      <w:r>
        <w:t xml:space="preserve"> prošli GA s dotační podporou z</w:t>
      </w:r>
      <w:r w:rsidR="0000736E">
        <w:t xml:space="preserve"> </w:t>
      </w:r>
      <w:r>
        <w:t xml:space="preserve">OPZ </w:t>
      </w:r>
      <w:r w:rsidR="00AE66B7">
        <w:t xml:space="preserve">a pokračovali </w:t>
      </w:r>
      <w:r>
        <w:t xml:space="preserve">do návazných výzev </w:t>
      </w:r>
      <w:r w:rsidR="00AE66B7">
        <w:t>I</w:t>
      </w:r>
      <w:r>
        <w:t xml:space="preserve">GA č. 130 a 131. Z předložené analýzy vyplývá, že </w:t>
      </w:r>
      <w:r w:rsidR="00AE66B7">
        <w:t>do</w:t>
      </w:r>
      <w:r>
        <w:t xml:space="preserve"> návazných výz</w:t>
      </w:r>
      <w:r w:rsidR="00AE66B7">
        <w:t>e</w:t>
      </w:r>
      <w:r>
        <w:t>v IGA</w:t>
      </w:r>
      <w:r w:rsidR="00AE66B7">
        <w:t xml:space="preserve"> pokračovalo prokazatelně</w:t>
      </w:r>
      <w:r>
        <w:t xml:space="preserve"> jen 25 zaměstnavatelů, </w:t>
      </w:r>
      <w:r w:rsidR="00AE66B7">
        <w:t>tedy</w:t>
      </w:r>
      <w:r>
        <w:t xml:space="preserve"> </w:t>
      </w:r>
      <w:r w:rsidR="008564D3">
        <w:t xml:space="preserve">pouhých </w:t>
      </w:r>
      <w:r>
        <w:t xml:space="preserve">14 %. </w:t>
      </w:r>
    </w:p>
    <w:p w14:paraId="550FAD11" w14:textId="6D1530CB" w:rsidR="0090312D" w:rsidRDefault="00892E8F" w:rsidP="000409CF">
      <w:pPr>
        <w:pStyle w:val="JK4"/>
      </w:pPr>
      <w:r>
        <w:t>NKÚ zjistil</w:t>
      </w:r>
      <w:r w:rsidR="002257D1">
        <w:t xml:space="preserve">, že u většiny zaměstnavatelů </w:t>
      </w:r>
      <w:r>
        <w:t>z kontrolovaného vzorku projektů GA</w:t>
      </w:r>
      <w:r w:rsidR="002257D1">
        <w:t xml:space="preserve"> nebyly při provedení GA zjištěny významné genderové nerovnosti</w:t>
      </w:r>
      <w:r w:rsidR="002257D1" w:rsidDel="001D2871">
        <w:t>.</w:t>
      </w:r>
      <w:r w:rsidDel="001D2871">
        <w:t xml:space="preserve"> </w:t>
      </w:r>
      <w:r w:rsidR="001D2871">
        <w:t xml:space="preserve">Tato skutečnost mohla být příčinou rozhodnutí </w:t>
      </w:r>
      <w:r w:rsidR="002355BE">
        <w:t>auditovaných organizací nepokračovat v</w:t>
      </w:r>
      <w:r w:rsidR="00F820FA">
        <w:t xml:space="preserve"> </w:t>
      </w:r>
      <w:r w:rsidR="002355BE">
        <w:t>implementaci opatření k</w:t>
      </w:r>
      <w:r w:rsidR="00F820FA">
        <w:t xml:space="preserve"> </w:t>
      </w:r>
      <w:r w:rsidR="002355BE">
        <w:t>napravení genderových nerovností</w:t>
      </w:r>
      <w:r w:rsidR="00201D19" w:rsidDel="001D2871">
        <w:t>.</w:t>
      </w:r>
    </w:p>
    <w:p w14:paraId="556F4B27" w14:textId="77777777" w:rsidR="008A3B64" w:rsidRDefault="008A3B64" w:rsidP="000409CF">
      <w:pPr>
        <w:pStyle w:val="Mluvcnadpis"/>
      </w:pPr>
      <w:r w:rsidRPr="008A3B64">
        <w:t>Projekty IGA byly zaměřeny převážně na zvyšování povědomí o tématu genderové nerovnosti</w:t>
      </w:r>
    </w:p>
    <w:p w14:paraId="29A2F92D" w14:textId="77777777" w:rsidR="0020123E" w:rsidRDefault="002257D1" w:rsidP="000409CF">
      <w:pPr>
        <w:pStyle w:val="JK4"/>
      </w:pPr>
      <w:r>
        <w:t xml:space="preserve">NKÚ zjistil, že v podmínkách výzev </w:t>
      </w:r>
      <w:r w:rsidRPr="00A12008">
        <w:t xml:space="preserve">IGA </w:t>
      </w:r>
      <w:r>
        <w:t xml:space="preserve">byl </w:t>
      </w:r>
      <w:r w:rsidRPr="00A12008">
        <w:t>výběr doporučení k</w:t>
      </w:r>
      <w:r w:rsidR="002362DD">
        <w:t> </w:t>
      </w:r>
      <w:r w:rsidRPr="00A12008">
        <w:t xml:space="preserve">implementaci </w:t>
      </w:r>
      <w:r>
        <w:t xml:space="preserve">ponechán </w:t>
      </w:r>
      <w:r w:rsidRPr="00A12008">
        <w:t xml:space="preserve">na vůli a rozhodnutí </w:t>
      </w:r>
      <w:r>
        <w:t>žadatele</w:t>
      </w:r>
      <w:r w:rsidR="002B6D78">
        <w:t xml:space="preserve"> o podporu</w:t>
      </w:r>
      <w:r>
        <w:t>.</w:t>
      </w:r>
      <w:r w:rsidR="005C28AF">
        <w:t xml:space="preserve"> </w:t>
      </w:r>
      <w:r w:rsidR="00B01639" w:rsidRPr="00B01639">
        <w:t xml:space="preserve">V případech, kdy GA nebyl proveden v plném rozsahu </w:t>
      </w:r>
      <w:r w:rsidR="00E62C16">
        <w:t>nebo</w:t>
      </w:r>
      <w:r w:rsidR="00E62C16" w:rsidRPr="00B01639">
        <w:t xml:space="preserve"> </w:t>
      </w:r>
      <w:r w:rsidR="00B01639" w:rsidRPr="00B01639">
        <w:t xml:space="preserve">nebyla následně implementována všechna </w:t>
      </w:r>
      <w:r w:rsidR="00F167B7">
        <w:t xml:space="preserve">doporučená </w:t>
      </w:r>
      <w:r w:rsidR="00B01639" w:rsidRPr="00B01639">
        <w:t xml:space="preserve">opatření z hodnocených oblastí, nemohlo být zaručeno vytvoření podmínek pro </w:t>
      </w:r>
      <w:r w:rsidR="002B6D78">
        <w:t>změny v </w:t>
      </w:r>
      <w:r w:rsidR="00B01639" w:rsidRPr="00B01639">
        <w:t>klíčov</w:t>
      </w:r>
      <w:r w:rsidR="002B6D78">
        <w:t>ých oblastech</w:t>
      </w:r>
      <w:r w:rsidR="00B01639" w:rsidRPr="00B01639">
        <w:t xml:space="preserve"> genderové rovnosti, zejména v oblasti odměňování a slaďování pracovního a rodinného života</w:t>
      </w:r>
      <w:r w:rsidR="002B6D78">
        <w:t>.</w:t>
      </w:r>
    </w:p>
    <w:p w14:paraId="6C3DFD4D" w14:textId="6C79DDC7" w:rsidR="00564355" w:rsidRDefault="00AE66B7" w:rsidP="000409CF">
      <w:pPr>
        <w:pStyle w:val="JK4"/>
      </w:pPr>
      <w:r>
        <w:t>P</w:t>
      </w:r>
      <w:r w:rsidRPr="00AF7F13">
        <w:t xml:space="preserve">odpora </w:t>
      </w:r>
      <w:r>
        <w:t>p</w:t>
      </w:r>
      <w:r w:rsidR="00AF7F13" w:rsidRPr="00AF7F13">
        <w:t xml:space="preserve">oskytovaná </w:t>
      </w:r>
      <w:r w:rsidR="00D91A21">
        <w:t xml:space="preserve">na implementaci opatření </w:t>
      </w:r>
      <w:r w:rsidR="00AF7F13" w:rsidRPr="00AF7F13">
        <w:t xml:space="preserve">se zaměřovala převážně na zvyšování povědomí o tématu </w:t>
      </w:r>
      <w:r>
        <w:t>rovného postavení žen a mužů</w:t>
      </w:r>
      <w:r w:rsidR="003350D9">
        <w:t>.</w:t>
      </w:r>
      <w:r w:rsidR="00AF7F13" w:rsidRPr="00AF7F13">
        <w:t xml:space="preserve"> Pokud se </w:t>
      </w:r>
      <w:r w:rsidR="000F7043">
        <w:t>poskytnutá podpora</w:t>
      </w:r>
      <w:r w:rsidR="00AF7F13" w:rsidRPr="00AF7F13">
        <w:t xml:space="preserve"> týkala podstatných </w:t>
      </w:r>
      <w:r w:rsidR="00D91F56">
        <w:t>oblastí</w:t>
      </w:r>
      <w:r w:rsidR="00D91F56" w:rsidRPr="00AF7F13">
        <w:t xml:space="preserve"> genderové rovnosti </w:t>
      </w:r>
      <w:r w:rsidR="00AF7F13" w:rsidRPr="00AF7F13">
        <w:t>uvedených ve specifickém cíli</w:t>
      </w:r>
      <w:r>
        <w:t xml:space="preserve"> 1.2.1</w:t>
      </w:r>
      <w:r w:rsidR="00AF7F13" w:rsidRPr="00AF7F13">
        <w:t>, tedy nerovného odměňování za stejnou práci nebo práci stejné hodnoty, vertikální nebo horizontální segregace na pracovišti, omezení v možnostech slaďování osobního a pracovního života a</w:t>
      </w:r>
      <w:r>
        <w:t> </w:t>
      </w:r>
      <w:r w:rsidR="00AF7F13" w:rsidRPr="00AF7F13">
        <w:t>rizik</w:t>
      </w:r>
      <w:r>
        <w:t>a</w:t>
      </w:r>
      <w:r w:rsidR="00AF7F13" w:rsidRPr="00AF7F13">
        <w:t xml:space="preserve"> obtěžování na pracovišti, jednalo se ve většině případů </w:t>
      </w:r>
      <w:r w:rsidR="00F1406B">
        <w:t xml:space="preserve">pouze </w:t>
      </w:r>
      <w:r w:rsidR="00AF7F13" w:rsidRPr="00AF7F13">
        <w:t xml:space="preserve">o </w:t>
      </w:r>
      <w:r w:rsidR="00F167B7">
        <w:t>nastavení vnitřních procesů a vytvoření příslušné interní dokumentace</w:t>
      </w:r>
      <w:r w:rsidR="00F167B7" w:rsidRPr="00AF7F13">
        <w:t xml:space="preserve"> </w:t>
      </w:r>
      <w:r w:rsidR="00AF7F13" w:rsidRPr="00AF7F13">
        <w:t xml:space="preserve">dotčených zaměstnavatelů. </w:t>
      </w:r>
    </w:p>
    <w:p w14:paraId="212B5787" w14:textId="77777777" w:rsidR="00564355" w:rsidRPr="00292A07" w:rsidRDefault="00564355"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292A07">
        <w:rPr>
          <w:b/>
          <w:sz w:val="24"/>
          <w:szCs w:val="24"/>
        </w:rPr>
        <w:t xml:space="preserve">Příklad č. </w:t>
      </w:r>
      <w:r w:rsidR="00832D73">
        <w:rPr>
          <w:b/>
          <w:sz w:val="24"/>
          <w:szCs w:val="24"/>
        </w:rPr>
        <w:t>6</w:t>
      </w:r>
      <w:r w:rsidRPr="00292A07">
        <w:rPr>
          <w:b/>
          <w:sz w:val="24"/>
          <w:szCs w:val="24"/>
        </w:rPr>
        <w:t>:</w:t>
      </w:r>
    </w:p>
    <w:p w14:paraId="16C9A6E5" w14:textId="4E3E2774" w:rsidR="00564355" w:rsidRPr="00D60E62" w:rsidRDefault="00564355" w:rsidP="00D60E62">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D60E62">
        <w:rPr>
          <w:sz w:val="24"/>
          <w:szCs w:val="24"/>
        </w:rPr>
        <w:t>Vstupní genderový audit neidentifikoval u příjemce žádné diskriminační nerovnosti v</w:t>
      </w:r>
      <w:r w:rsidR="004802A8" w:rsidRPr="00D60E62">
        <w:rPr>
          <w:sz w:val="24"/>
          <w:szCs w:val="24"/>
        </w:rPr>
        <w:t> </w:t>
      </w:r>
      <w:r w:rsidRPr="00D60E62">
        <w:rPr>
          <w:sz w:val="24"/>
          <w:szCs w:val="24"/>
        </w:rPr>
        <w:t>odměňování žen a mužů za stejnou práci, faktick</w:t>
      </w:r>
      <w:r w:rsidR="00D91F56">
        <w:rPr>
          <w:sz w:val="24"/>
          <w:szCs w:val="24"/>
        </w:rPr>
        <w:t>ou</w:t>
      </w:r>
      <w:r w:rsidRPr="00D60E62">
        <w:rPr>
          <w:sz w:val="24"/>
          <w:szCs w:val="24"/>
        </w:rPr>
        <w:t xml:space="preserve"> vertikální </w:t>
      </w:r>
      <w:r w:rsidR="00D91F56">
        <w:rPr>
          <w:sz w:val="24"/>
          <w:szCs w:val="24"/>
        </w:rPr>
        <w:t>či</w:t>
      </w:r>
      <w:r w:rsidRPr="00D60E62">
        <w:rPr>
          <w:sz w:val="24"/>
          <w:szCs w:val="24"/>
        </w:rPr>
        <w:t xml:space="preserve"> horizontální segregac</w:t>
      </w:r>
      <w:r w:rsidR="00D91F56">
        <w:rPr>
          <w:sz w:val="24"/>
          <w:szCs w:val="24"/>
        </w:rPr>
        <w:t>i</w:t>
      </w:r>
      <w:r w:rsidRPr="00D60E62">
        <w:rPr>
          <w:sz w:val="24"/>
          <w:szCs w:val="24"/>
        </w:rPr>
        <w:t xml:space="preserve"> žen </w:t>
      </w:r>
      <w:r w:rsidR="0000736E">
        <w:rPr>
          <w:sz w:val="24"/>
          <w:szCs w:val="24"/>
        </w:rPr>
        <w:br/>
      </w:r>
      <w:r w:rsidRPr="00D60E62">
        <w:rPr>
          <w:sz w:val="24"/>
          <w:szCs w:val="24"/>
        </w:rPr>
        <w:t>a</w:t>
      </w:r>
      <w:r w:rsidR="0000736E">
        <w:rPr>
          <w:sz w:val="24"/>
          <w:szCs w:val="24"/>
        </w:rPr>
        <w:t xml:space="preserve"> </w:t>
      </w:r>
      <w:r w:rsidRPr="00D60E62">
        <w:rPr>
          <w:sz w:val="24"/>
          <w:szCs w:val="24"/>
        </w:rPr>
        <w:t xml:space="preserve">mužů ani případy obtěžování na pracovišti. </w:t>
      </w:r>
      <w:r w:rsidR="00785C9F" w:rsidRPr="00D60E62">
        <w:rPr>
          <w:sz w:val="24"/>
          <w:szCs w:val="24"/>
        </w:rPr>
        <w:t xml:space="preserve">NKÚ zjistil, že </w:t>
      </w:r>
      <w:r w:rsidR="002F3040">
        <w:rPr>
          <w:sz w:val="24"/>
          <w:szCs w:val="24"/>
        </w:rPr>
        <w:t xml:space="preserve">cíl projektu, kterým mělo být </w:t>
      </w:r>
      <w:r w:rsidRPr="00D60E62">
        <w:rPr>
          <w:sz w:val="24"/>
          <w:szCs w:val="24"/>
        </w:rPr>
        <w:t xml:space="preserve">nastavení širších spekter flexibilních forem práce, </w:t>
      </w:r>
      <w:r w:rsidR="002F3040">
        <w:rPr>
          <w:sz w:val="24"/>
          <w:szCs w:val="24"/>
        </w:rPr>
        <w:t xml:space="preserve">nebyl </w:t>
      </w:r>
      <w:r w:rsidR="002F3040" w:rsidRPr="00D60E62">
        <w:rPr>
          <w:sz w:val="24"/>
          <w:szCs w:val="24"/>
        </w:rPr>
        <w:t>realizac</w:t>
      </w:r>
      <w:r w:rsidR="002F3040">
        <w:rPr>
          <w:sz w:val="24"/>
          <w:szCs w:val="24"/>
        </w:rPr>
        <w:t>í</w:t>
      </w:r>
      <w:r w:rsidR="002F3040" w:rsidRPr="00D60E62">
        <w:rPr>
          <w:sz w:val="24"/>
          <w:szCs w:val="24"/>
        </w:rPr>
        <w:t xml:space="preserve"> </w:t>
      </w:r>
      <w:r w:rsidRPr="00D60E62">
        <w:rPr>
          <w:sz w:val="24"/>
          <w:szCs w:val="24"/>
        </w:rPr>
        <w:t xml:space="preserve">projektu </w:t>
      </w:r>
      <w:r w:rsidR="002F3040">
        <w:rPr>
          <w:sz w:val="24"/>
          <w:szCs w:val="24"/>
        </w:rPr>
        <w:t>fakticky naplněn</w:t>
      </w:r>
      <w:r w:rsidR="000C2649">
        <w:rPr>
          <w:sz w:val="24"/>
          <w:szCs w:val="24"/>
        </w:rPr>
        <w:t xml:space="preserve"> a</w:t>
      </w:r>
      <w:r w:rsidR="00C31B66">
        <w:rPr>
          <w:sz w:val="24"/>
          <w:szCs w:val="24"/>
        </w:rPr>
        <w:t> </w:t>
      </w:r>
      <w:r w:rsidR="000C2649">
        <w:rPr>
          <w:sz w:val="24"/>
          <w:szCs w:val="24"/>
        </w:rPr>
        <w:t xml:space="preserve">projekt tak neměl na </w:t>
      </w:r>
      <w:r w:rsidRPr="00D7091A">
        <w:rPr>
          <w:sz w:val="24"/>
          <w:szCs w:val="24"/>
        </w:rPr>
        <w:t>oblast slaďování pracovního a soukromého života žádný reálný dopad.</w:t>
      </w:r>
      <w:r w:rsidR="002805F7" w:rsidRPr="00D7091A">
        <w:rPr>
          <w:sz w:val="24"/>
          <w:szCs w:val="24"/>
        </w:rPr>
        <w:t xml:space="preserve"> Příjemce v rámci projektu realizoval některá opatření, která měla</w:t>
      </w:r>
      <w:r w:rsidR="00B311B8">
        <w:rPr>
          <w:sz w:val="24"/>
          <w:szCs w:val="24"/>
        </w:rPr>
        <w:t xml:space="preserve"> pouze</w:t>
      </w:r>
      <w:r w:rsidR="002805F7" w:rsidRPr="00D7091A">
        <w:rPr>
          <w:sz w:val="24"/>
          <w:szCs w:val="24"/>
        </w:rPr>
        <w:t xml:space="preserve"> teoretický potenciál ovlivnit případnou nerovnost ve smyslu snížení rizika případné nerovnosti upravením </w:t>
      </w:r>
      <w:r w:rsidR="008223A8" w:rsidRPr="00D7091A">
        <w:rPr>
          <w:sz w:val="24"/>
          <w:szCs w:val="24"/>
        </w:rPr>
        <w:t>vnitřních</w:t>
      </w:r>
      <w:r w:rsidR="002805F7" w:rsidRPr="00D7091A">
        <w:rPr>
          <w:sz w:val="24"/>
          <w:szCs w:val="24"/>
        </w:rPr>
        <w:t xml:space="preserve"> předpisů a vytvořením příslušné interní dokumentace.</w:t>
      </w:r>
      <w:r w:rsidR="005508D7" w:rsidRPr="00D60E62">
        <w:rPr>
          <w:sz w:val="24"/>
          <w:szCs w:val="24"/>
          <w:vertAlign w:val="superscript"/>
        </w:rPr>
        <w:footnoteReference w:id="27"/>
      </w:r>
    </w:p>
    <w:p w14:paraId="5114524B" w14:textId="77777777" w:rsidR="00564355" w:rsidRDefault="00564355" w:rsidP="000409CF">
      <w:pPr>
        <w:pStyle w:val="JK4"/>
        <w:numPr>
          <w:ilvl w:val="0"/>
          <w:numId w:val="0"/>
        </w:numPr>
      </w:pPr>
    </w:p>
    <w:p w14:paraId="13A5DC71" w14:textId="77777777" w:rsidR="00564355" w:rsidRPr="00292A07" w:rsidRDefault="00564355"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292A07">
        <w:rPr>
          <w:b/>
          <w:sz w:val="24"/>
          <w:szCs w:val="24"/>
        </w:rPr>
        <w:t xml:space="preserve">Příklad č. </w:t>
      </w:r>
      <w:r w:rsidR="00832D73">
        <w:rPr>
          <w:b/>
          <w:sz w:val="24"/>
          <w:szCs w:val="24"/>
        </w:rPr>
        <w:t>7</w:t>
      </w:r>
      <w:r w:rsidRPr="00292A07">
        <w:rPr>
          <w:b/>
          <w:sz w:val="24"/>
          <w:szCs w:val="24"/>
        </w:rPr>
        <w:t>:</w:t>
      </w:r>
    </w:p>
    <w:p w14:paraId="5D06A2AE" w14:textId="6DC3EDA1" w:rsidR="00564355" w:rsidRPr="00D60E62" w:rsidRDefault="00564355" w:rsidP="00D60E62">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D60E62">
        <w:rPr>
          <w:sz w:val="24"/>
          <w:szCs w:val="24"/>
        </w:rPr>
        <w:t>Příjemcem</w:t>
      </w:r>
      <w:r w:rsidRPr="00D60E62" w:rsidDel="0027016B">
        <w:rPr>
          <w:sz w:val="24"/>
          <w:szCs w:val="24"/>
        </w:rPr>
        <w:t xml:space="preserve"> </w:t>
      </w:r>
      <w:r w:rsidR="0027016B">
        <w:rPr>
          <w:sz w:val="24"/>
          <w:szCs w:val="24"/>
        </w:rPr>
        <w:t>byla</w:t>
      </w:r>
      <w:r w:rsidR="0027016B" w:rsidRPr="00D60E62">
        <w:rPr>
          <w:sz w:val="24"/>
          <w:szCs w:val="24"/>
        </w:rPr>
        <w:t xml:space="preserve"> </w:t>
      </w:r>
      <w:r w:rsidRPr="00D60E62">
        <w:rPr>
          <w:sz w:val="24"/>
          <w:szCs w:val="24"/>
        </w:rPr>
        <w:t xml:space="preserve">malá společnost, u které prakticky nedochází k fluktuaci zaměstnanců a kde na </w:t>
      </w:r>
      <w:r w:rsidR="00573921">
        <w:rPr>
          <w:sz w:val="24"/>
          <w:szCs w:val="24"/>
        </w:rPr>
        <w:t xml:space="preserve">typově </w:t>
      </w:r>
      <w:r w:rsidRPr="00D60E62">
        <w:rPr>
          <w:sz w:val="24"/>
          <w:szCs w:val="24"/>
        </w:rPr>
        <w:t xml:space="preserve">stejných pracovních pozicích pracují buď pouze ženy, nebo pouze muži. </w:t>
      </w:r>
      <w:r w:rsidR="008A3B64" w:rsidRPr="00D60E62">
        <w:rPr>
          <w:sz w:val="24"/>
          <w:szCs w:val="24"/>
        </w:rPr>
        <w:t>Realizace projektu tento stav nezměnila, přestože příjemce deklaroval snahu o zvýšení zastoupení žen ve společnosti.</w:t>
      </w:r>
      <w:r w:rsidRPr="00D60E62">
        <w:rPr>
          <w:sz w:val="24"/>
          <w:szCs w:val="24"/>
        </w:rPr>
        <w:t xml:space="preserve"> Projekt tak </w:t>
      </w:r>
      <w:r w:rsidRPr="00D60E62">
        <w:rPr>
          <w:rFonts w:ascii="Calibri" w:eastAsia="Calibri" w:hAnsi="Calibri" w:cs="Times New Roman"/>
          <w:sz w:val="24"/>
          <w:szCs w:val="24"/>
        </w:rPr>
        <w:t>neprokázal</w:t>
      </w:r>
      <w:r w:rsidRPr="00D60E62">
        <w:rPr>
          <w:sz w:val="24"/>
          <w:szCs w:val="24"/>
        </w:rPr>
        <w:t xml:space="preserve"> potenciál přispět k řešení genderových nerovností z hlediska snížení rozdílů v odměňování žen a mužů za stejnou práci nebo snížení vertikální a</w:t>
      </w:r>
      <w:r w:rsidR="002622B7">
        <w:rPr>
          <w:sz w:val="24"/>
          <w:szCs w:val="24"/>
        </w:rPr>
        <w:t> </w:t>
      </w:r>
      <w:r w:rsidRPr="00D60E62">
        <w:rPr>
          <w:sz w:val="24"/>
          <w:szCs w:val="24"/>
        </w:rPr>
        <w:t>horizontální segregace žen a mužů</w:t>
      </w:r>
      <w:r w:rsidR="00A052C1" w:rsidRPr="00D60E62">
        <w:rPr>
          <w:sz w:val="24"/>
          <w:szCs w:val="24"/>
        </w:rPr>
        <w:t xml:space="preserve"> v zaměstnání</w:t>
      </w:r>
      <w:r w:rsidRPr="00D60E62">
        <w:rPr>
          <w:sz w:val="24"/>
          <w:szCs w:val="24"/>
        </w:rPr>
        <w:t>. V</w:t>
      </w:r>
      <w:r w:rsidR="00A052C1" w:rsidRPr="00D60E62">
        <w:rPr>
          <w:sz w:val="24"/>
          <w:szCs w:val="24"/>
        </w:rPr>
        <w:t> </w:t>
      </w:r>
      <w:r w:rsidRPr="00D60E62">
        <w:rPr>
          <w:sz w:val="24"/>
          <w:szCs w:val="24"/>
        </w:rPr>
        <w:t>oblasti</w:t>
      </w:r>
      <w:r w:rsidR="00A052C1" w:rsidRPr="00D60E62">
        <w:rPr>
          <w:sz w:val="24"/>
          <w:szCs w:val="24"/>
        </w:rPr>
        <w:t xml:space="preserve"> rizik</w:t>
      </w:r>
      <w:r w:rsidR="00D91F56">
        <w:rPr>
          <w:sz w:val="24"/>
          <w:szCs w:val="24"/>
        </w:rPr>
        <w:t>a</w:t>
      </w:r>
      <w:r w:rsidRPr="00D60E62">
        <w:rPr>
          <w:sz w:val="24"/>
          <w:szCs w:val="24"/>
        </w:rPr>
        <w:t xml:space="preserve"> obtěžování na pracovišti se před realizací projektu ani po něm neprokázala existence negativních jevů, které by bylo třeba řešit. Zavedení flexibilních forem práce, které bylo jedním z hlavních opatření realizovaných v rámci projektu, se v</w:t>
      </w:r>
      <w:r w:rsidR="0000736E">
        <w:rPr>
          <w:sz w:val="24"/>
          <w:szCs w:val="24"/>
        </w:rPr>
        <w:t xml:space="preserve"> </w:t>
      </w:r>
      <w:r w:rsidRPr="00D60E62">
        <w:rPr>
          <w:sz w:val="24"/>
          <w:szCs w:val="24"/>
        </w:rPr>
        <w:t xml:space="preserve">praxi projevilo pouze </w:t>
      </w:r>
      <w:r w:rsidR="00A052C1" w:rsidRPr="00D60E62">
        <w:rPr>
          <w:sz w:val="24"/>
          <w:szCs w:val="24"/>
        </w:rPr>
        <w:t>vznikem jednoho</w:t>
      </w:r>
      <w:r w:rsidRPr="00D60E62">
        <w:rPr>
          <w:sz w:val="24"/>
          <w:szCs w:val="24"/>
        </w:rPr>
        <w:t xml:space="preserve"> krátkodob</w:t>
      </w:r>
      <w:r w:rsidR="00A052C1" w:rsidRPr="00D60E62">
        <w:rPr>
          <w:sz w:val="24"/>
          <w:szCs w:val="24"/>
        </w:rPr>
        <w:t>ého</w:t>
      </w:r>
      <w:r w:rsidRPr="00D60E62">
        <w:rPr>
          <w:sz w:val="24"/>
          <w:szCs w:val="24"/>
        </w:rPr>
        <w:t xml:space="preserve"> </w:t>
      </w:r>
      <w:r w:rsidR="00A052C1" w:rsidRPr="00D60E62">
        <w:rPr>
          <w:sz w:val="24"/>
          <w:szCs w:val="24"/>
        </w:rPr>
        <w:t xml:space="preserve">částečného </w:t>
      </w:r>
      <w:r w:rsidRPr="00D60E62">
        <w:rPr>
          <w:sz w:val="24"/>
          <w:szCs w:val="24"/>
        </w:rPr>
        <w:t>úvazk</w:t>
      </w:r>
      <w:r w:rsidR="00A052C1" w:rsidRPr="00D60E62">
        <w:rPr>
          <w:sz w:val="24"/>
          <w:szCs w:val="24"/>
        </w:rPr>
        <w:t>u</w:t>
      </w:r>
      <w:r w:rsidRPr="00D60E62">
        <w:rPr>
          <w:sz w:val="24"/>
          <w:szCs w:val="24"/>
        </w:rPr>
        <w:t xml:space="preserve"> a</w:t>
      </w:r>
      <w:r w:rsidR="00D91F56">
        <w:rPr>
          <w:sz w:val="24"/>
          <w:szCs w:val="24"/>
        </w:rPr>
        <w:t xml:space="preserve"> </w:t>
      </w:r>
      <w:r w:rsidRPr="00D60E62">
        <w:rPr>
          <w:sz w:val="24"/>
          <w:szCs w:val="24"/>
        </w:rPr>
        <w:t>snížením úvazku u jednoho stávajícího zaměstnance. Mnoh</w:t>
      </w:r>
      <w:r w:rsidR="00D91F56">
        <w:rPr>
          <w:sz w:val="24"/>
          <w:szCs w:val="24"/>
        </w:rPr>
        <w:t>é</w:t>
      </w:r>
      <w:r w:rsidRPr="00D60E62">
        <w:rPr>
          <w:sz w:val="24"/>
          <w:szCs w:val="24"/>
        </w:rPr>
        <w:t xml:space="preserve"> z</w:t>
      </w:r>
      <w:r w:rsidR="0000736E">
        <w:rPr>
          <w:sz w:val="24"/>
          <w:szCs w:val="24"/>
        </w:rPr>
        <w:t xml:space="preserve"> </w:t>
      </w:r>
      <w:r w:rsidRPr="00D60E62">
        <w:rPr>
          <w:sz w:val="24"/>
          <w:szCs w:val="24"/>
        </w:rPr>
        <w:t xml:space="preserve">realizovaných </w:t>
      </w:r>
      <w:r w:rsidR="00D91F56">
        <w:rPr>
          <w:sz w:val="24"/>
          <w:szCs w:val="24"/>
        </w:rPr>
        <w:t>vzdělávacích aktivit</w:t>
      </w:r>
      <w:r w:rsidRPr="00D60E62">
        <w:rPr>
          <w:sz w:val="24"/>
          <w:szCs w:val="24"/>
        </w:rPr>
        <w:t xml:space="preserve"> </w:t>
      </w:r>
      <w:r w:rsidR="00A052C1" w:rsidRPr="00D60E62">
        <w:rPr>
          <w:sz w:val="24"/>
          <w:szCs w:val="24"/>
        </w:rPr>
        <w:t>hrazených z</w:t>
      </w:r>
      <w:r w:rsidR="0000736E">
        <w:rPr>
          <w:sz w:val="24"/>
          <w:szCs w:val="24"/>
        </w:rPr>
        <w:t xml:space="preserve"> </w:t>
      </w:r>
      <w:r w:rsidR="00A052C1" w:rsidRPr="00D60E62">
        <w:rPr>
          <w:sz w:val="24"/>
          <w:szCs w:val="24"/>
        </w:rPr>
        <w:t>projektu s</w:t>
      </w:r>
      <w:r w:rsidRPr="00D60E62">
        <w:rPr>
          <w:sz w:val="24"/>
          <w:szCs w:val="24"/>
        </w:rPr>
        <w:t>e netýkal</w:t>
      </w:r>
      <w:r w:rsidR="00D91F56">
        <w:rPr>
          <w:sz w:val="24"/>
          <w:szCs w:val="24"/>
        </w:rPr>
        <w:t>y</w:t>
      </w:r>
      <w:r w:rsidRPr="00D60E62">
        <w:rPr>
          <w:sz w:val="24"/>
          <w:szCs w:val="24"/>
        </w:rPr>
        <w:t xml:space="preserve"> výlučně genderové problematiky. Zpracované a upravené vnitřní předpisy, které byly hlavním výstupem projektu, měly </w:t>
      </w:r>
      <w:r w:rsidR="00A052C1" w:rsidRPr="00D60E62">
        <w:rPr>
          <w:sz w:val="24"/>
          <w:szCs w:val="24"/>
        </w:rPr>
        <w:t xml:space="preserve">pouze </w:t>
      </w:r>
      <w:r w:rsidRPr="00D60E62">
        <w:rPr>
          <w:sz w:val="24"/>
          <w:szCs w:val="24"/>
        </w:rPr>
        <w:t>velmi obecn</w:t>
      </w:r>
      <w:r w:rsidR="00A052C1" w:rsidRPr="00D60E62">
        <w:rPr>
          <w:sz w:val="24"/>
          <w:szCs w:val="24"/>
        </w:rPr>
        <w:t>ý</w:t>
      </w:r>
      <w:r w:rsidRPr="00D60E62">
        <w:rPr>
          <w:sz w:val="24"/>
          <w:szCs w:val="24"/>
        </w:rPr>
        <w:t xml:space="preserve"> </w:t>
      </w:r>
      <w:r w:rsidR="00A052C1" w:rsidRPr="00D60E62">
        <w:rPr>
          <w:sz w:val="24"/>
          <w:szCs w:val="24"/>
        </w:rPr>
        <w:t>obsah</w:t>
      </w:r>
      <w:r w:rsidRPr="00D60E62">
        <w:rPr>
          <w:sz w:val="24"/>
          <w:szCs w:val="24"/>
        </w:rPr>
        <w:t xml:space="preserve"> a jejich kvalit</w:t>
      </w:r>
      <w:r w:rsidR="00A052C1" w:rsidRPr="00D60E62">
        <w:rPr>
          <w:sz w:val="24"/>
          <w:szCs w:val="24"/>
        </w:rPr>
        <w:t>u z hlediska problematiky genderové rovnosti</w:t>
      </w:r>
      <w:r w:rsidRPr="00D60E62">
        <w:rPr>
          <w:sz w:val="24"/>
          <w:szCs w:val="24"/>
        </w:rPr>
        <w:t xml:space="preserve"> hodno</w:t>
      </w:r>
      <w:r w:rsidR="00A052C1" w:rsidRPr="00D60E62">
        <w:rPr>
          <w:sz w:val="24"/>
          <w:szCs w:val="24"/>
        </w:rPr>
        <w:t>til</w:t>
      </w:r>
      <w:r w:rsidRPr="00D60E62">
        <w:rPr>
          <w:sz w:val="24"/>
          <w:szCs w:val="24"/>
        </w:rPr>
        <w:t xml:space="preserve"> </w:t>
      </w:r>
      <w:r w:rsidR="00D91F56" w:rsidRPr="00D60E62">
        <w:rPr>
          <w:sz w:val="24"/>
          <w:szCs w:val="24"/>
        </w:rPr>
        <w:t xml:space="preserve">NKÚ </w:t>
      </w:r>
      <w:r w:rsidRPr="00D60E62">
        <w:rPr>
          <w:sz w:val="24"/>
          <w:szCs w:val="24"/>
        </w:rPr>
        <w:t>jako velmi nízk</w:t>
      </w:r>
      <w:r w:rsidR="00A052C1" w:rsidRPr="00D60E62">
        <w:rPr>
          <w:sz w:val="24"/>
          <w:szCs w:val="24"/>
        </w:rPr>
        <w:t>ou</w:t>
      </w:r>
      <w:r w:rsidRPr="00D60E62">
        <w:rPr>
          <w:sz w:val="24"/>
          <w:szCs w:val="24"/>
        </w:rPr>
        <w:t xml:space="preserve">. </w:t>
      </w:r>
      <w:r w:rsidR="00573921" w:rsidRPr="00573921">
        <w:rPr>
          <w:bCs/>
          <w:sz w:val="24"/>
          <w:szCs w:val="24"/>
        </w:rPr>
        <w:t xml:space="preserve">Realizace projektu tak mohla přispět k řešení genderových nerovností </w:t>
      </w:r>
      <w:r w:rsidR="00F820FA">
        <w:rPr>
          <w:bCs/>
          <w:sz w:val="24"/>
          <w:szCs w:val="24"/>
        </w:rPr>
        <w:br/>
      </w:r>
      <w:r w:rsidR="00573921" w:rsidRPr="00573921">
        <w:rPr>
          <w:bCs/>
          <w:sz w:val="24"/>
          <w:szCs w:val="24"/>
        </w:rPr>
        <w:t>u</w:t>
      </w:r>
      <w:r w:rsidR="00F820FA">
        <w:rPr>
          <w:bCs/>
          <w:sz w:val="24"/>
          <w:szCs w:val="24"/>
        </w:rPr>
        <w:t xml:space="preserve"> </w:t>
      </w:r>
      <w:r w:rsidR="00573921" w:rsidRPr="00573921">
        <w:rPr>
          <w:bCs/>
          <w:sz w:val="24"/>
          <w:szCs w:val="24"/>
        </w:rPr>
        <w:t>příjemce pouze nepřímo</w:t>
      </w:r>
      <w:r w:rsidR="0033315F">
        <w:rPr>
          <w:bCs/>
          <w:sz w:val="24"/>
          <w:szCs w:val="24"/>
        </w:rPr>
        <w:t>, a to</w:t>
      </w:r>
      <w:r w:rsidR="00573921" w:rsidRPr="00573921">
        <w:rPr>
          <w:bCs/>
          <w:sz w:val="24"/>
          <w:szCs w:val="24"/>
        </w:rPr>
        <w:t xml:space="preserve"> zvýšením informovanosti o genderové problematice.</w:t>
      </w:r>
      <w:r w:rsidRPr="00D60E62">
        <w:rPr>
          <w:sz w:val="24"/>
          <w:szCs w:val="24"/>
        </w:rPr>
        <w:t xml:space="preserve"> Do realizace projektu se zapojilo devět zaměstnanců příjemce a</w:t>
      </w:r>
      <w:r w:rsidR="00D91F56">
        <w:rPr>
          <w:sz w:val="24"/>
          <w:szCs w:val="24"/>
        </w:rPr>
        <w:t xml:space="preserve"> </w:t>
      </w:r>
      <w:r w:rsidRPr="00D60E62">
        <w:rPr>
          <w:sz w:val="24"/>
          <w:szCs w:val="24"/>
        </w:rPr>
        <w:t xml:space="preserve">MPSV na </w:t>
      </w:r>
      <w:r w:rsidR="00D91F56">
        <w:rPr>
          <w:sz w:val="24"/>
          <w:szCs w:val="24"/>
        </w:rPr>
        <w:t>projekt</w:t>
      </w:r>
      <w:r w:rsidRPr="00D60E62">
        <w:rPr>
          <w:sz w:val="24"/>
          <w:szCs w:val="24"/>
        </w:rPr>
        <w:t xml:space="preserve"> poskytlo podporu ve výši 773 tis. Kč.</w:t>
      </w:r>
      <w:r w:rsidR="005508D7" w:rsidRPr="00D60E62">
        <w:rPr>
          <w:rStyle w:val="Znakapoznpodarou"/>
          <w:rFonts w:eastAsia="Calibri"/>
          <w:sz w:val="24"/>
          <w:szCs w:val="24"/>
        </w:rPr>
        <w:footnoteReference w:id="28"/>
      </w:r>
    </w:p>
    <w:p w14:paraId="629BDFED" w14:textId="4F8C9B4C" w:rsidR="00AF7F13" w:rsidRDefault="00F22728" w:rsidP="000409CF">
      <w:pPr>
        <w:pStyle w:val="JK4"/>
      </w:pPr>
      <w:r>
        <w:t xml:space="preserve">Podíl </w:t>
      </w:r>
      <w:r w:rsidR="00773447">
        <w:t xml:space="preserve">veřejných prostředků vyplacených na projekty z </w:t>
      </w:r>
      <w:r w:rsidR="00C07FA9">
        <w:t>kontrolovaného</w:t>
      </w:r>
      <w:r w:rsidR="00773447">
        <w:t xml:space="preserve"> vzorku, u</w:t>
      </w:r>
      <w:r w:rsidR="00D91F56">
        <w:t xml:space="preserve"> </w:t>
      </w:r>
      <w:r w:rsidR="00773447">
        <w:t>kterých NKÚ vyhodnotil</w:t>
      </w:r>
      <w:r w:rsidR="00E534D3">
        <w:t>, že m</w:t>
      </w:r>
      <w:r w:rsidR="00FD742F">
        <w:t>ohly</w:t>
      </w:r>
      <w:r w:rsidR="0070298B" w:rsidRPr="0070298B">
        <w:t xml:space="preserve"> </w:t>
      </w:r>
      <w:r w:rsidR="00E534D3">
        <w:t>přispět</w:t>
      </w:r>
      <w:r w:rsidR="0070298B" w:rsidRPr="0070298B">
        <w:t xml:space="preserve"> k naplnění nebo alespoň k předpokladu naplnění</w:t>
      </w:r>
      <w:r w:rsidR="00E534D3">
        <w:t xml:space="preserve"> účelu podpory, tj. </w:t>
      </w:r>
      <w:r w:rsidR="0070298B" w:rsidRPr="0070298B">
        <w:t>specifického cíle OPZ 1.2.1, kterým bylo snížení rozdílů v postavení žen a</w:t>
      </w:r>
      <w:r w:rsidR="00D91F56">
        <w:t xml:space="preserve"> </w:t>
      </w:r>
      <w:r w:rsidR="0070298B" w:rsidRPr="0070298B">
        <w:t>mužů na trhu práce</w:t>
      </w:r>
      <w:r w:rsidR="00E534D3">
        <w:t>, představoval 8 % všech veřejných prostředků vyplacených na vzorek projektů</w:t>
      </w:r>
      <w:r w:rsidR="00A75A3C">
        <w:t xml:space="preserve"> (graf č. </w:t>
      </w:r>
      <w:r w:rsidR="00723F33">
        <w:t>2</w:t>
      </w:r>
      <w:r w:rsidR="00A75A3C">
        <w:t>)</w:t>
      </w:r>
      <w:r w:rsidR="00E534D3">
        <w:t>.</w:t>
      </w:r>
      <w:r w:rsidR="0070298B" w:rsidRPr="0070298B">
        <w:t xml:space="preserve"> </w:t>
      </w:r>
      <w:r w:rsidR="00E534D3">
        <w:t xml:space="preserve">Zbytek </w:t>
      </w:r>
      <w:r w:rsidR="00D91F56">
        <w:t xml:space="preserve">tvoří </w:t>
      </w:r>
      <w:r w:rsidR="00E534D3">
        <w:t xml:space="preserve">projekty, které k účelu podpory </w:t>
      </w:r>
      <w:r w:rsidR="00D91F56">
        <w:t xml:space="preserve">nemohly </w:t>
      </w:r>
      <w:r w:rsidR="00E534D3">
        <w:t xml:space="preserve">přispět vůbec nebo </w:t>
      </w:r>
      <w:r w:rsidR="00D91F56">
        <w:t xml:space="preserve">přispěly </w:t>
      </w:r>
      <w:r w:rsidR="00E534D3">
        <w:t xml:space="preserve">jen </w:t>
      </w:r>
      <w:r w:rsidR="00D91F56">
        <w:t>v rámci</w:t>
      </w:r>
      <w:r w:rsidR="00E534D3">
        <w:t xml:space="preserve"> některých dílčích cílů. </w:t>
      </w:r>
      <w:r w:rsidR="00353633">
        <w:t xml:space="preserve">U části těchto projektů </w:t>
      </w:r>
      <w:r w:rsidR="00D91F56">
        <w:t xml:space="preserve">identifikoval </w:t>
      </w:r>
      <w:r w:rsidR="00353633">
        <w:t xml:space="preserve">NKÚ </w:t>
      </w:r>
      <w:r w:rsidR="00B005B5">
        <w:t xml:space="preserve">navíc </w:t>
      </w:r>
      <w:r w:rsidR="00710CF4">
        <w:t>nezpůsobilé výdaje.</w:t>
      </w:r>
      <w:r w:rsidR="00353633">
        <w:t xml:space="preserve"> </w:t>
      </w:r>
      <w:r w:rsidR="00A75A3C">
        <w:t>Podrobnosti k tomuto hodnocení jsou uvedeny v příloze č. 2</w:t>
      </w:r>
      <w:r w:rsidR="00667FB1">
        <w:t>.</w:t>
      </w:r>
    </w:p>
    <w:p w14:paraId="10EA6476" w14:textId="602E8F12" w:rsidR="00A75A3C" w:rsidRPr="00D60E62" w:rsidRDefault="00A75A3C" w:rsidP="002622B7">
      <w:pPr>
        <w:pStyle w:val="KPnormal"/>
        <w:keepNext/>
        <w:ind w:firstLine="0"/>
        <w:rPr>
          <w:b/>
        </w:rPr>
      </w:pPr>
      <w:r w:rsidRPr="00D60E62">
        <w:rPr>
          <w:b/>
        </w:rPr>
        <w:t xml:space="preserve">Graf č. </w:t>
      </w:r>
      <w:r w:rsidR="00832D73">
        <w:rPr>
          <w:b/>
        </w:rPr>
        <w:t>2</w:t>
      </w:r>
      <w:r w:rsidRPr="00D60E62">
        <w:rPr>
          <w:b/>
        </w:rPr>
        <w:t xml:space="preserve">: Příspěvek </w:t>
      </w:r>
      <w:r w:rsidR="004167D1">
        <w:rPr>
          <w:b/>
        </w:rPr>
        <w:t>kontrolního</w:t>
      </w:r>
      <w:r w:rsidRPr="00D60E62">
        <w:rPr>
          <w:b/>
        </w:rPr>
        <w:t xml:space="preserve"> vzorku projektů k naplnění účelu podpory</w:t>
      </w:r>
    </w:p>
    <w:p w14:paraId="0B1CC2C9" w14:textId="77777777" w:rsidR="00573E27" w:rsidRPr="00AF7F13" w:rsidRDefault="00573E27" w:rsidP="00C923D4">
      <w:pPr>
        <w:pStyle w:val="JK4"/>
        <w:numPr>
          <w:ilvl w:val="0"/>
          <w:numId w:val="0"/>
        </w:numPr>
        <w:spacing w:after="360"/>
      </w:pPr>
      <w:r>
        <w:rPr>
          <w:noProof/>
        </w:rPr>
        <w:drawing>
          <wp:inline distT="0" distB="0" distL="0" distR="0" wp14:anchorId="1354BB34" wp14:editId="0793236D">
            <wp:extent cx="5486400" cy="2447925"/>
            <wp:effectExtent l="0" t="0" r="0" b="0"/>
            <wp:docPr id="4" name="Graf 4">
              <a:extLst xmlns:a="http://schemas.openxmlformats.org/drawingml/2006/main">
                <a:ext uri="{FF2B5EF4-FFF2-40B4-BE49-F238E27FC236}">
                  <a16:creationId xmlns:a16="http://schemas.microsoft.com/office/drawing/2014/main" id="{C77FC579-BFF8-4F60-88EC-0BC62B5D2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4F59D2" w14:textId="77777777" w:rsidR="009725C3" w:rsidRPr="00985ED7" w:rsidRDefault="00F0156B" w:rsidP="000409CF">
      <w:pPr>
        <w:pStyle w:val="Mluvcnadpis"/>
      </w:pPr>
      <w:r>
        <w:t>Dlouhá d</w:t>
      </w:r>
      <w:r w:rsidR="00985ED7" w:rsidRPr="00985ED7">
        <w:t xml:space="preserve">oba realizace </w:t>
      </w:r>
      <w:r w:rsidR="007143C8" w:rsidRPr="00985ED7">
        <w:t>projekt</w:t>
      </w:r>
      <w:r w:rsidR="00985ED7" w:rsidRPr="00985ED7">
        <w:t>ů</w:t>
      </w:r>
      <w:r w:rsidR="00985ED7">
        <w:t xml:space="preserve"> IGA</w:t>
      </w:r>
    </w:p>
    <w:p w14:paraId="0A358CFB" w14:textId="31FAA2B0" w:rsidR="00985ED7" w:rsidRPr="00985ED7" w:rsidRDefault="004167D1" w:rsidP="000409CF">
      <w:pPr>
        <w:pStyle w:val="JK4"/>
      </w:pPr>
      <w:r>
        <w:t>U</w:t>
      </w:r>
      <w:r w:rsidR="00985ED7" w:rsidRPr="00985ED7">
        <w:t xml:space="preserve"> </w:t>
      </w:r>
      <w:r w:rsidR="008A3B64">
        <w:t>devíti</w:t>
      </w:r>
      <w:r w:rsidR="00985ED7" w:rsidRPr="00985ED7">
        <w:t xml:space="preserve"> projektů IGA z</w:t>
      </w:r>
      <w:r w:rsidR="007D305B">
        <w:t>ahrnutých do</w:t>
      </w:r>
      <w:r w:rsidR="00427A91">
        <w:t xml:space="preserve"> </w:t>
      </w:r>
      <w:r w:rsidR="00985ED7" w:rsidRPr="00985ED7">
        <w:t>kontrolního vzorku</w:t>
      </w:r>
      <w:r w:rsidR="00985ED7">
        <w:t xml:space="preserve"> </w:t>
      </w:r>
      <w:r w:rsidR="007E5F7C">
        <w:t>NKÚ</w:t>
      </w:r>
      <w:r w:rsidR="00985ED7">
        <w:t xml:space="preserve"> </w:t>
      </w:r>
      <w:r w:rsidR="00985ED7" w:rsidRPr="00985ED7">
        <w:t xml:space="preserve">se </w:t>
      </w:r>
      <w:r w:rsidR="00B005B5">
        <w:t>doba</w:t>
      </w:r>
      <w:r w:rsidR="00B005B5" w:rsidRPr="00985ED7">
        <w:t xml:space="preserve"> </w:t>
      </w:r>
      <w:r w:rsidR="00985ED7" w:rsidRPr="00985ED7">
        <w:t>trvání projektu pohybovala od 24 měsíců (5 projektů) do 36 měsíců (1 projekt). Čtyři projekty IGA byly realizovány déle než 24 měsíců</w:t>
      </w:r>
      <w:r w:rsidR="00983CE0">
        <w:t>,</w:t>
      </w:r>
      <w:r w:rsidR="00985ED7" w:rsidRPr="00985ED7">
        <w:t xml:space="preserve"> </w:t>
      </w:r>
      <w:r w:rsidR="00E77DE9">
        <w:t xml:space="preserve">viz tabulka č. </w:t>
      </w:r>
      <w:r w:rsidR="00723F33">
        <w:t>4</w:t>
      </w:r>
      <w:r w:rsidR="004C3D03">
        <w:t>.</w:t>
      </w:r>
    </w:p>
    <w:p w14:paraId="436E3BCC" w14:textId="291B0160" w:rsidR="00985ED7" w:rsidRPr="00DA2998" w:rsidRDefault="00985ED7" w:rsidP="00F239F9">
      <w:pPr>
        <w:keepNext/>
        <w:spacing w:after="120" w:line="240" w:lineRule="auto"/>
        <w:ind w:left="1304" w:hanging="1304"/>
        <w:jc w:val="both"/>
        <w:rPr>
          <w:rFonts w:eastAsia="Times New Roman" w:cstheme="minorHAnsi"/>
          <w:b/>
          <w:sz w:val="24"/>
          <w:szCs w:val="24"/>
        </w:rPr>
      </w:pPr>
      <w:r w:rsidRPr="00DA2998">
        <w:rPr>
          <w:rFonts w:eastAsia="Times New Roman" w:cstheme="minorHAnsi"/>
          <w:b/>
          <w:sz w:val="24"/>
          <w:szCs w:val="24"/>
        </w:rPr>
        <w:t xml:space="preserve">Tabulka č. </w:t>
      </w:r>
      <w:r w:rsidR="00723F33">
        <w:rPr>
          <w:rFonts w:eastAsia="Times New Roman" w:cstheme="minorHAnsi"/>
          <w:b/>
          <w:sz w:val="24"/>
          <w:szCs w:val="24"/>
        </w:rPr>
        <w:t>4</w:t>
      </w:r>
      <w:r w:rsidRPr="00DA2998">
        <w:rPr>
          <w:rFonts w:eastAsia="Times New Roman" w:cstheme="minorHAnsi"/>
          <w:b/>
          <w:sz w:val="24"/>
          <w:szCs w:val="24"/>
        </w:rPr>
        <w:t>:</w:t>
      </w:r>
      <w:r w:rsidRPr="00DA2998">
        <w:rPr>
          <w:rFonts w:eastAsia="Times New Roman" w:cstheme="minorHAnsi"/>
          <w:b/>
          <w:sz w:val="24"/>
          <w:szCs w:val="24"/>
        </w:rPr>
        <w:tab/>
      </w:r>
      <w:r w:rsidR="003967F7">
        <w:rPr>
          <w:rFonts w:eastAsia="Times New Roman" w:cstheme="minorHAnsi"/>
          <w:b/>
          <w:sz w:val="24"/>
          <w:szCs w:val="24"/>
        </w:rPr>
        <w:t xml:space="preserve">Přehled kontrolovaných projektů trvajících déle než 24 měsíců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3"/>
        <w:gridCol w:w="1275"/>
        <w:gridCol w:w="1701"/>
        <w:gridCol w:w="1276"/>
        <w:gridCol w:w="1985"/>
        <w:gridCol w:w="1842"/>
      </w:tblGrid>
      <w:tr w:rsidR="00985ED7" w:rsidRPr="00985ED7" w14:paraId="39BE72AB" w14:textId="77777777" w:rsidTr="00D60E62">
        <w:trPr>
          <w:trHeight w:val="972"/>
        </w:trPr>
        <w:tc>
          <w:tcPr>
            <w:tcW w:w="983" w:type="dxa"/>
            <w:shd w:val="clear" w:color="000000" w:fill="E5F1FF"/>
            <w:vAlign w:val="center"/>
            <w:hideMark/>
          </w:tcPr>
          <w:p w14:paraId="76F8C6F1" w14:textId="77777777" w:rsidR="00985ED7" w:rsidRPr="00985ED7" w:rsidRDefault="001D6152" w:rsidP="00D60E62">
            <w:pPr>
              <w:keepNext/>
              <w:keepLines/>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Projekt č.</w:t>
            </w:r>
          </w:p>
        </w:tc>
        <w:tc>
          <w:tcPr>
            <w:tcW w:w="1275" w:type="dxa"/>
            <w:shd w:val="clear" w:color="000000" w:fill="E5F1FF"/>
            <w:vAlign w:val="center"/>
            <w:hideMark/>
          </w:tcPr>
          <w:p w14:paraId="40F4F07B" w14:textId="77777777" w:rsidR="00985ED7" w:rsidRPr="00985ED7" w:rsidRDefault="00985ED7" w:rsidP="00D60E62">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Velikost podniku</w:t>
            </w:r>
          </w:p>
        </w:tc>
        <w:tc>
          <w:tcPr>
            <w:tcW w:w="1701" w:type="dxa"/>
            <w:shd w:val="clear" w:color="000000" w:fill="E5F1FF"/>
            <w:vAlign w:val="center"/>
            <w:hideMark/>
          </w:tcPr>
          <w:p w14:paraId="0FBA6BF0" w14:textId="77777777" w:rsidR="00985ED7" w:rsidRPr="00985ED7" w:rsidRDefault="00985ED7" w:rsidP="00C923D4">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 xml:space="preserve">Počet </w:t>
            </w:r>
            <w:r w:rsidR="004A4C07">
              <w:rPr>
                <w:rFonts w:ascii="Calibri" w:eastAsia="Times New Roman" w:hAnsi="Calibri" w:cs="Calibri"/>
                <w:b/>
                <w:bCs/>
                <w:color w:val="000000"/>
                <w:sz w:val="20"/>
                <w:szCs w:val="20"/>
                <w:lang w:eastAsia="cs-CZ"/>
              </w:rPr>
              <w:t>zaměstnanců</w:t>
            </w:r>
            <w:r w:rsidRPr="00985ED7">
              <w:rPr>
                <w:rFonts w:ascii="Calibri" w:eastAsia="Times New Roman" w:hAnsi="Calibri" w:cs="Calibri"/>
                <w:b/>
                <w:bCs/>
                <w:color w:val="000000"/>
                <w:sz w:val="20"/>
                <w:szCs w:val="20"/>
                <w:lang w:eastAsia="cs-CZ"/>
              </w:rPr>
              <w:t xml:space="preserve"> (přepočteno</w:t>
            </w:r>
            <w:r w:rsidR="004A4C07">
              <w:rPr>
                <w:rFonts w:ascii="Calibri" w:eastAsia="Times New Roman" w:hAnsi="Calibri" w:cs="Calibri"/>
                <w:b/>
                <w:bCs/>
                <w:color w:val="000000"/>
                <w:sz w:val="20"/>
                <w:szCs w:val="20"/>
                <w:lang w:eastAsia="cs-CZ"/>
              </w:rPr>
              <w:t xml:space="preserve"> na celé úvazky</w:t>
            </w:r>
            <w:r w:rsidRPr="00985ED7">
              <w:rPr>
                <w:rFonts w:ascii="Calibri" w:eastAsia="Times New Roman" w:hAnsi="Calibri" w:cs="Calibri"/>
                <w:b/>
                <w:bCs/>
                <w:color w:val="000000"/>
                <w:sz w:val="20"/>
                <w:szCs w:val="20"/>
                <w:lang w:eastAsia="cs-CZ"/>
              </w:rPr>
              <w:t>)</w:t>
            </w:r>
          </w:p>
        </w:tc>
        <w:tc>
          <w:tcPr>
            <w:tcW w:w="1276" w:type="dxa"/>
            <w:shd w:val="clear" w:color="000000" w:fill="E5F1FF"/>
            <w:vAlign w:val="center"/>
            <w:hideMark/>
          </w:tcPr>
          <w:p w14:paraId="7DCB9413" w14:textId="77777777" w:rsidR="00985ED7" w:rsidRPr="00985ED7" w:rsidRDefault="00985ED7" w:rsidP="00D60E62">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 xml:space="preserve">Úvazky členů </w:t>
            </w:r>
            <w:r w:rsidR="00314E72">
              <w:rPr>
                <w:rFonts w:ascii="Calibri" w:eastAsia="Times New Roman" w:hAnsi="Calibri" w:cs="Calibri"/>
                <w:b/>
                <w:bCs/>
                <w:color w:val="000000"/>
                <w:sz w:val="20"/>
                <w:szCs w:val="20"/>
                <w:lang w:eastAsia="cs-CZ"/>
              </w:rPr>
              <w:t>realizačního týmu</w:t>
            </w:r>
          </w:p>
          <w:p w14:paraId="05FC9E75" w14:textId="77777777" w:rsidR="00985ED7" w:rsidRPr="00985ED7" w:rsidRDefault="00985ED7" w:rsidP="00D60E62">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v projektu</w:t>
            </w:r>
          </w:p>
        </w:tc>
        <w:tc>
          <w:tcPr>
            <w:tcW w:w="1985" w:type="dxa"/>
            <w:shd w:val="clear" w:color="000000" w:fill="E5F1FF"/>
            <w:vAlign w:val="center"/>
            <w:hideMark/>
          </w:tcPr>
          <w:p w14:paraId="4757A43A" w14:textId="77777777" w:rsidR="00985ED7" w:rsidRPr="00985ED7" w:rsidRDefault="00985ED7" w:rsidP="00D60E62">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 xml:space="preserve">Délka trvání </w:t>
            </w:r>
            <w:r w:rsidR="001D6152">
              <w:rPr>
                <w:rFonts w:ascii="Calibri" w:eastAsia="Times New Roman" w:hAnsi="Calibri" w:cs="Calibri"/>
                <w:b/>
                <w:bCs/>
                <w:color w:val="000000"/>
                <w:sz w:val="20"/>
                <w:szCs w:val="20"/>
                <w:lang w:eastAsia="cs-CZ"/>
              </w:rPr>
              <w:t xml:space="preserve">projektu </w:t>
            </w:r>
            <w:r w:rsidRPr="00985ED7">
              <w:rPr>
                <w:rFonts w:ascii="Calibri" w:eastAsia="Times New Roman" w:hAnsi="Calibri" w:cs="Calibri"/>
                <w:b/>
                <w:bCs/>
                <w:color w:val="000000"/>
                <w:sz w:val="20"/>
                <w:szCs w:val="20"/>
                <w:lang w:eastAsia="cs-CZ"/>
              </w:rPr>
              <w:t>(v měsících)</w:t>
            </w:r>
          </w:p>
        </w:tc>
        <w:tc>
          <w:tcPr>
            <w:tcW w:w="1842" w:type="dxa"/>
            <w:shd w:val="clear" w:color="000000" w:fill="E5F1FF"/>
            <w:vAlign w:val="center"/>
            <w:hideMark/>
          </w:tcPr>
          <w:p w14:paraId="19618ED1" w14:textId="77777777" w:rsidR="004167D1" w:rsidRDefault="00985ED7" w:rsidP="00D60E62">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 xml:space="preserve">Výše poskytnuté dotace </w:t>
            </w:r>
          </w:p>
          <w:p w14:paraId="084427FB" w14:textId="592FC9E7" w:rsidR="00985ED7" w:rsidRPr="00985ED7" w:rsidRDefault="00985ED7" w:rsidP="00D60E62">
            <w:pPr>
              <w:keepNext/>
              <w:keepLines/>
              <w:spacing w:after="0" w:line="240" w:lineRule="auto"/>
              <w:jc w:val="center"/>
              <w:rPr>
                <w:rFonts w:ascii="Calibri" w:eastAsia="Times New Roman" w:hAnsi="Calibri" w:cs="Calibri"/>
                <w:b/>
                <w:bCs/>
                <w:color w:val="000000"/>
                <w:sz w:val="20"/>
                <w:szCs w:val="20"/>
                <w:lang w:eastAsia="cs-CZ"/>
              </w:rPr>
            </w:pPr>
            <w:r w:rsidRPr="00985ED7">
              <w:rPr>
                <w:rFonts w:ascii="Calibri" w:eastAsia="Times New Roman" w:hAnsi="Calibri" w:cs="Calibri"/>
                <w:b/>
                <w:bCs/>
                <w:color w:val="000000"/>
                <w:sz w:val="20"/>
                <w:szCs w:val="20"/>
                <w:lang w:eastAsia="cs-CZ"/>
              </w:rPr>
              <w:t>(v Kč)</w:t>
            </w:r>
          </w:p>
        </w:tc>
      </w:tr>
      <w:tr w:rsidR="00985ED7" w:rsidRPr="00985ED7" w14:paraId="14E62A3E" w14:textId="77777777" w:rsidTr="00D60E62">
        <w:trPr>
          <w:trHeight w:val="288"/>
        </w:trPr>
        <w:tc>
          <w:tcPr>
            <w:tcW w:w="983" w:type="dxa"/>
            <w:shd w:val="clear" w:color="auto" w:fill="auto"/>
            <w:noWrap/>
            <w:vAlign w:val="center"/>
            <w:hideMark/>
          </w:tcPr>
          <w:p w14:paraId="5A41E396" w14:textId="77777777" w:rsidR="00985ED7" w:rsidRPr="00985ED7" w:rsidRDefault="00985ED7" w:rsidP="00D60E62">
            <w:pPr>
              <w:keepNext/>
              <w:keepLines/>
              <w:spacing w:after="0" w:line="240" w:lineRule="auto"/>
              <w:rPr>
                <w:rFonts w:ascii="Calibri" w:eastAsia="Times New Roman" w:hAnsi="Calibri" w:cs="Calibri"/>
                <w:color w:val="000000"/>
                <w:sz w:val="20"/>
                <w:szCs w:val="20"/>
                <w:lang w:eastAsia="cs-CZ"/>
              </w:rPr>
            </w:pPr>
            <w:r w:rsidRPr="00985ED7">
              <w:rPr>
                <w:rFonts w:ascii="Calibri" w:eastAsia="Wingdings" w:hAnsi="Calibri" w:cs="Wingdings"/>
                <w:color w:val="000000"/>
                <w:sz w:val="20"/>
                <w:szCs w:val="20"/>
                <w:lang w:eastAsia="cs-CZ"/>
              </w:rPr>
              <w:t>*09674</w:t>
            </w:r>
          </w:p>
        </w:tc>
        <w:tc>
          <w:tcPr>
            <w:tcW w:w="1275" w:type="dxa"/>
            <w:shd w:val="clear" w:color="auto" w:fill="auto"/>
            <w:noWrap/>
            <w:vAlign w:val="center"/>
            <w:hideMark/>
          </w:tcPr>
          <w:p w14:paraId="2CC4C6B0" w14:textId="21BA122B" w:rsidR="00985ED7" w:rsidRPr="00985ED7" w:rsidRDefault="004167D1" w:rsidP="00D60E62">
            <w:pPr>
              <w:keepNext/>
              <w:keepLines/>
              <w:spacing w:after="0" w:line="240" w:lineRule="auto"/>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M</w:t>
            </w:r>
            <w:r w:rsidR="00985ED7" w:rsidRPr="00985ED7">
              <w:rPr>
                <w:rFonts w:ascii="Calibri" w:eastAsia="Times New Roman" w:hAnsi="Calibri" w:cs="Calibri"/>
                <w:color w:val="000000"/>
                <w:sz w:val="20"/>
                <w:szCs w:val="20"/>
                <w:lang w:eastAsia="cs-CZ"/>
              </w:rPr>
              <w:t>alý</w:t>
            </w:r>
          </w:p>
        </w:tc>
        <w:tc>
          <w:tcPr>
            <w:tcW w:w="1701" w:type="dxa"/>
            <w:shd w:val="clear" w:color="auto" w:fill="auto"/>
            <w:noWrap/>
            <w:vAlign w:val="center"/>
            <w:hideMark/>
          </w:tcPr>
          <w:p w14:paraId="14071592" w14:textId="77777777" w:rsidR="00985ED7" w:rsidRPr="00985ED7" w:rsidRDefault="00985ED7" w:rsidP="00F820FA">
            <w:pPr>
              <w:keepNext/>
              <w:keepLines/>
              <w:spacing w:after="0" w:line="240" w:lineRule="auto"/>
              <w:ind w:right="-340"/>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17,5</w:t>
            </w:r>
          </w:p>
        </w:tc>
        <w:tc>
          <w:tcPr>
            <w:tcW w:w="1276" w:type="dxa"/>
            <w:shd w:val="clear" w:color="auto" w:fill="auto"/>
            <w:noWrap/>
            <w:vAlign w:val="center"/>
            <w:hideMark/>
          </w:tcPr>
          <w:p w14:paraId="6ED34E63"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0,9</w:t>
            </w:r>
          </w:p>
        </w:tc>
        <w:tc>
          <w:tcPr>
            <w:tcW w:w="1985" w:type="dxa"/>
            <w:shd w:val="clear" w:color="auto" w:fill="auto"/>
            <w:noWrap/>
            <w:vAlign w:val="center"/>
            <w:hideMark/>
          </w:tcPr>
          <w:p w14:paraId="3B732FB0"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28</w:t>
            </w:r>
          </w:p>
        </w:tc>
        <w:tc>
          <w:tcPr>
            <w:tcW w:w="1842" w:type="dxa"/>
            <w:shd w:val="clear" w:color="auto" w:fill="auto"/>
            <w:noWrap/>
            <w:vAlign w:val="center"/>
            <w:hideMark/>
          </w:tcPr>
          <w:p w14:paraId="4CF9595D" w14:textId="77777777" w:rsidR="00985ED7" w:rsidRPr="00985ED7" w:rsidRDefault="00985ED7" w:rsidP="00D60E62">
            <w:pPr>
              <w:keepNext/>
              <w:keepLines/>
              <w:spacing w:after="0" w:line="240" w:lineRule="auto"/>
              <w:jc w:val="right"/>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1 253 478</w:t>
            </w:r>
          </w:p>
        </w:tc>
      </w:tr>
      <w:tr w:rsidR="00985ED7" w:rsidRPr="00985ED7" w14:paraId="76C4A38E" w14:textId="77777777" w:rsidTr="00D60E62">
        <w:trPr>
          <w:trHeight w:val="288"/>
        </w:trPr>
        <w:tc>
          <w:tcPr>
            <w:tcW w:w="983" w:type="dxa"/>
            <w:shd w:val="clear" w:color="auto" w:fill="auto"/>
            <w:noWrap/>
            <w:vAlign w:val="center"/>
            <w:hideMark/>
          </w:tcPr>
          <w:p w14:paraId="5CEF3DC0" w14:textId="77777777" w:rsidR="00985ED7" w:rsidRPr="00985ED7" w:rsidRDefault="00985ED7" w:rsidP="00D60E62">
            <w:pPr>
              <w:keepNext/>
              <w:keepLines/>
              <w:spacing w:after="0" w:line="240" w:lineRule="auto"/>
              <w:rPr>
                <w:rFonts w:ascii="Calibri" w:eastAsia="Times New Roman" w:hAnsi="Calibri" w:cs="Calibri"/>
                <w:color w:val="000000"/>
                <w:sz w:val="20"/>
                <w:szCs w:val="20"/>
                <w:lang w:eastAsia="cs-CZ"/>
              </w:rPr>
            </w:pPr>
            <w:r w:rsidRPr="00985ED7">
              <w:rPr>
                <w:rFonts w:ascii="Calibri" w:eastAsia="Wingdings" w:hAnsi="Calibri" w:cs="Wingdings"/>
                <w:color w:val="000000"/>
                <w:sz w:val="20"/>
                <w:szCs w:val="20"/>
                <w:lang w:eastAsia="cs-CZ"/>
              </w:rPr>
              <w:t>*10528</w:t>
            </w:r>
          </w:p>
        </w:tc>
        <w:tc>
          <w:tcPr>
            <w:tcW w:w="1275" w:type="dxa"/>
            <w:shd w:val="clear" w:color="auto" w:fill="auto"/>
            <w:noWrap/>
            <w:vAlign w:val="center"/>
            <w:hideMark/>
          </w:tcPr>
          <w:p w14:paraId="6120D58D" w14:textId="7A57C426" w:rsidR="00985ED7" w:rsidRPr="00985ED7" w:rsidRDefault="004167D1" w:rsidP="00D60E62">
            <w:pPr>
              <w:keepNext/>
              <w:keepLines/>
              <w:spacing w:after="0" w:line="240" w:lineRule="auto"/>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S</w:t>
            </w:r>
            <w:r w:rsidR="00985ED7" w:rsidRPr="00985ED7">
              <w:rPr>
                <w:rFonts w:ascii="Calibri" w:eastAsia="Times New Roman" w:hAnsi="Calibri" w:cs="Calibri"/>
                <w:color w:val="000000"/>
                <w:sz w:val="20"/>
                <w:szCs w:val="20"/>
                <w:lang w:eastAsia="cs-CZ"/>
              </w:rPr>
              <w:t>třední</w:t>
            </w:r>
          </w:p>
        </w:tc>
        <w:tc>
          <w:tcPr>
            <w:tcW w:w="1701" w:type="dxa"/>
            <w:shd w:val="clear" w:color="auto" w:fill="auto"/>
            <w:noWrap/>
            <w:vAlign w:val="center"/>
            <w:hideMark/>
          </w:tcPr>
          <w:p w14:paraId="43AD6427" w14:textId="77777777" w:rsidR="00985ED7" w:rsidRPr="00985ED7" w:rsidRDefault="00985ED7" w:rsidP="00F820FA">
            <w:pPr>
              <w:keepNext/>
              <w:keepLines/>
              <w:spacing w:after="0" w:line="240" w:lineRule="auto"/>
              <w:ind w:right="-340"/>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205,57</w:t>
            </w:r>
          </w:p>
        </w:tc>
        <w:tc>
          <w:tcPr>
            <w:tcW w:w="1276" w:type="dxa"/>
            <w:shd w:val="clear" w:color="auto" w:fill="auto"/>
            <w:noWrap/>
            <w:vAlign w:val="center"/>
            <w:hideMark/>
          </w:tcPr>
          <w:p w14:paraId="6DE81584"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1,0</w:t>
            </w:r>
          </w:p>
        </w:tc>
        <w:tc>
          <w:tcPr>
            <w:tcW w:w="1985" w:type="dxa"/>
            <w:shd w:val="clear" w:color="auto" w:fill="auto"/>
            <w:noWrap/>
            <w:vAlign w:val="center"/>
            <w:hideMark/>
          </w:tcPr>
          <w:p w14:paraId="7B8E51A0"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32</w:t>
            </w:r>
          </w:p>
        </w:tc>
        <w:tc>
          <w:tcPr>
            <w:tcW w:w="1842" w:type="dxa"/>
            <w:shd w:val="clear" w:color="auto" w:fill="auto"/>
            <w:noWrap/>
            <w:vAlign w:val="center"/>
            <w:hideMark/>
          </w:tcPr>
          <w:p w14:paraId="1DDE5DE4" w14:textId="77777777" w:rsidR="00985ED7" w:rsidRPr="00985ED7" w:rsidRDefault="00985ED7" w:rsidP="00D60E62">
            <w:pPr>
              <w:keepNext/>
              <w:keepLines/>
              <w:spacing w:after="0" w:line="240" w:lineRule="auto"/>
              <w:jc w:val="right"/>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1 076 273</w:t>
            </w:r>
          </w:p>
        </w:tc>
      </w:tr>
      <w:tr w:rsidR="00985ED7" w:rsidRPr="00985ED7" w14:paraId="4A440A05" w14:textId="77777777" w:rsidTr="00D60E62">
        <w:trPr>
          <w:trHeight w:val="288"/>
        </w:trPr>
        <w:tc>
          <w:tcPr>
            <w:tcW w:w="983" w:type="dxa"/>
            <w:shd w:val="clear" w:color="auto" w:fill="auto"/>
            <w:noWrap/>
            <w:vAlign w:val="center"/>
            <w:hideMark/>
          </w:tcPr>
          <w:p w14:paraId="70C37379" w14:textId="77777777" w:rsidR="00985ED7" w:rsidRPr="00985ED7" w:rsidRDefault="00985ED7" w:rsidP="00D60E62">
            <w:pPr>
              <w:keepNext/>
              <w:keepLines/>
              <w:spacing w:after="0" w:line="240" w:lineRule="auto"/>
              <w:rPr>
                <w:rFonts w:ascii="Calibri" w:eastAsia="Times New Roman" w:hAnsi="Calibri" w:cs="Calibri"/>
                <w:color w:val="000000"/>
                <w:sz w:val="20"/>
                <w:szCs w:val="20"/>
                <w:lang w:eastAsia="cs-CZ"/>
              </w:rPr>
            </w:pPr>
            <w:r w:rsidRPr="00985ED7">
              <w:rPr>
                <w:rFonts w:ascii="Calibri" w:eastAsia="Wingdings" w:hAnsi="Calibri" w:cs="Wingdings"/>
                <w:color w:val="000000"/>
                <w:sz w:val="20"/>
                <w:szCs w:val="20"/>
                <w:lang w:eastAsia="cs-CZ"/>
              </w:rPr>
              <w:t>*10587</w:t>
            </w:r>
          </w:p>
        </w:tc>
        <w:tc>
          <w:tcPr>
            <w:tcW w:w="1275" w:type="dxa"/>
            <w:shd w:val="clear" w:color="auto" w:fill="auto"/>
            <w:noWrap/>
            <w:vAlign w:val="center"/>
            <w:hideMark/>
          </w:tcPr>
          <w:p w14:paraId="1531D096" w14:textId="140CDF6B" w:rsidR="00985ED7" w:rsidRPr="00985ED7" w:rsidRDefault="004167D1" w:rsidP="00D60E62">
            <w:pPr>
              <w:keepNext/>
              <w:keepLines/>
              <w:spacing w:after="0" w:line="240" w:lineRule="auto"/>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V</w:t>
            </w:r>
            <w:r w:rsidR="00985ED7" w:rsidRPr="00985ED7">
              <w:rPr>
                <w:rFonts w:ascii="Calibri" w:eastAsia="Times New Roman" w:hAnsi="Calibri" w:cs="Calibri"/>
                <w:color w:val="000000"/>
                <w:sz w:val="20"/>
                <w:szCs w:val="20"/>
                <w:lang w:eastAsia="cs-CZ"/>
              </w:rPr>
              <w:t>elký</w:t>
            </w:r>
          </w:p>
        </w:tc>
        <w:tc>
          <w:tcPr>
            <w:tcW w:w="1701" w:type="dxa"/>
            <w:shd w:val="clear" w:color="auto" w:fill="auto"/>
            <w:noWrap/>
            <w:vAlign w:val="center"/>
            <w:hideMark/>
          </w:tcPr>
          <w:p w14:paraId="331BC610" w14:textId="77777777" w:rsidR="00985ED7" w:rsidRPr="00985ED7" w:rsidRDefault="00985ED7" w:rsidP="00F820FA">
            <w:pPr>
              <w:keepNext/>
              <w:keepLines/>
              <w:spacing w:after="0" w:line="240" w:lineRule="auto"/>
              <w:ind w:right="-78"/>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485</w:t>
            </w:r>
          </w:p>
        </w:tc>
        <w:tc>
          <w:tcPr>
            <w:tcW w:w="1276" w:type="dxa"/>
            <w:shd w:val="clear" w:color="auto" w:fill="auto"/>
            <w:noWrap/>
            <w:vAlign w:val="center"/>
            <w:hideMark/>
          </w:tcPr>
          <w:p w14:paraId="4B8A16CC"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2,0</w:t>
            </w:r>
          </w:p>
        </w:tc>
        <w:tc>
          <w:tcPr>
            <w:tcW w:w="1985" w:type="dxa"/>
            <w:shd w:val="clear" w:color="auto" w:fill="auto"/>
            <w:noWrap/>
            <w:vAlign w:val="center"/>
            <w:hideMark/>
          </w:tcPr>
          <w:p w14:paraId="0B9978CA"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30</w:t>
            </w:r>
          </w:p>
        </w:tc>
        <w:tc>
          <w:tcPr>
            <w:tcW w:w="1842" w:type="dxa"/>
            <w:shd w:val="clear" w:color="auto" w:fill="auto"/>
            <w:noWrap/>
            <w:vAlign w:val="bottom"/>
            <w:hideMark/>
          </w:tcPr>
          <w:p w14:paraId="19BB8758" w14:textId="77777777" w:rsidR="00985ED7" w:rsidRPr="00985ED7" w:rsidRDefault="00985ED7" w:rsidP="00D60E62">
            <w:pPr>
              <w:keepNext/>
              <w:keepLines/>
              <w:spacing w:after="0" w:line="240" w:lineRule="auto"/>
              <w:jc w:val="right"/>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2 000 745</w:t>
            </w:r>
          </w:p>
        </w:tc>
      </w:tr>
      <w:tr w:rsidR="00985ED7" w:rsidRPr="00985ED7" w14:paraId="37E6E85A" w14:textId="77777777" w:rsidTr="00D60E62">
        <w:trPr>
          <w:trHeight w:val="300"/>
        </w:trPr>
        <w:tc>
          <w:tcPr>
            <w:tcW w:w="983" w:type="dxa"/>
            <w:shd w:val="clear" w:color="auto" w:fill="auto"/>
            <w:noWrap/>
            <w:vAlign w:val="center"/>
            <w:hideMark/>
          </w:tcPr>
          <w:p w14:paraId="2F412D7F" w14:textId="77777777" w:rsidR="00985ED7" w:rsidRPr="00985ED7" w:rsidRDefault="00985ED7" w:rsidP="00D60E62">
            <w:pPr>
              <w:keepNext/>
              <w:keepLines/>
              <w:spacing w:after="0" w:line="240" w:lineRule="auto"/>
              <w:rPr>
                <w:rFonts w:ascii="Calibri" w:eastAsia="Times New Roman" w:hAnsi="Calibri" w:cs="Calibri"/>
                <w:color w:val="000000"/>
                <w:sz w:val="20"/>
                <w:szCs w:val="20"/>
                <w:lang w:eastAsia="cs-CZ"/>
              </w:rPr>
            </w:pPr>
            <w:r w:rsidRPr="00985ED7">
              <w:rPr>
                <w:rFonts w:ascii="Calibri" w:eastAsia="Wingdings" w:hAnsi="Calibri" w:cs="Wingdings"/>
                <w:color w:val="000000"/>
                <w:sz w:val="20"/>
                <w:szCs w:val="20"/>
                <w:lang w:eastAsia="cs-CZ"/>
              </w:rPr>
              <w:t>*09323</w:t>
            </w:r>
          </w:p>
        </w:tc>
        <w:tc>
          <w:tcPr>
            <w:tcW w:w="1275" w:type="dxa"/>
            <w:shd w:val="clear" w:color="auto" w:fill="auto"/>
            <w:noWrap/>
            <w:vAlign w:val="center"/>
            <w:hideMark/>
          </w:tcPr>
          <w:p w14:paraId="727B2625" w14:textId="4CE3B7DB" w:rsidR="00985ED7" w:rsidRPr="00985ED7" w:rsidRDefault="004167D1" w:rsidP="00D60E62">
            <w:pPr>
              <w:keepNext/>
              <w:keepLines/>
              <w:spacing w:after="0" w:line="240" w:lineRule="auto"/>
              <w:jc w:val="center"/>
              <w:rPr>
                <w:rFonts w:ascii="Calibri" w:eastAsia="Times New Roman" w:hAnsi="Calibri" w:cs="Calibri"/>
                <w:color w:val="000000"/>
                <w:sz w:val="20"/>
                <w:szCs w:val="20"/>
                <w:lang w:eastAsia="cs-CZ"/>
              </w:rPr>
            </w:pPr>
            <w:r>
              <w:rPr>
                <w:rFonts w:ascii="Calibri" w:eastAsia="Times New Roman" w:hAnsi="Calibri" w:cs="Calibri"/>
                <w:color w:val="000000"/>
                <w:sz w:val="20"/>
                <w:szCs w:val="20"/>
                <w:lang w:eastAsia="cs-CZ"/>
              </w:rPr>
              <w:t>M</w:t>
            </w:r>
            <w:r w:rsidR="00985ED7" w:rsidRPr="00985ED7">
              <w:rPr>
                <w:rFonts w:ascii="Calibri" w:eastAsia="Times New Roman" w:hAnsi="Calibri" w:cs="Calibri"/>
                <w:color w:val="000000"/>
                <w:sz w:val="20"/>
                <w:szCs w:val="20"/>
                <w:lang w:eastAsia="cs-CZ"/>
              </w:rPr>
              <w:t>alý</w:t>
            </w:r>
          </w:p>
        </w:tc>
        <w:tc>
          <w:tcPr>
            <w:tcW w:w="1701" w:type="dxa"/>
            <w:shd w:val="clear" w:color="auto" w:fill="auto"/>
            <w:noWrap/>
            <w:vAlign w:val="center"/>
            <w:hideMark/>
          </w:tcPr>
          <w:p w14:paraId="79733E71" w14:textId="77777777" w:rsidR="00985ED7" w:rsidRPr="00985ED7" w:rsidRDefault="00985ED7" w:rsidP="00F820FA">
            <w:pPr>
              <w:keepNext/>
              <w:keepLines/>
              <w:spacing w:after="0" w:line="240" w:lineRule="auto"/>
              <w:ind w:right="-170"/>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14</w:t>
            </w:r>
          </w:p>
        </w:tc>
        <w:tc>
          <w:tcPr>
            <w:tcW w:w="1276" w:type="dxa"/>
            <w:shd w:val="clear" w:color="auto" w:fill="auto"/>
            <w:noWrap/>
            <w:vAlign w:val="center"/>
            <w:hideMark/>
          </w:tcPr>
          <w:p w14:paraId="552F6F8F"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1,9</w:t>
            </w:r>
          </w:p>
        </w:tc>
        <w:tc>
          <w:tcPr>
            <w:tcW w:w="1985" w:type="dxa"/>
            <w:shd w:val="clear" w:color="auto" w:fill="auto"/>
            <w:noWrap/>
            <w:vAlign w:val="center"/>
            <w:hideMark/>
          </w:tcPr>
          <w:p w14:paraId="17D79A31" w14:textId="77777777" w:rsidR="00985ED7" w:rsidRPr="00985ED7" w:rsidRDefault="00985ED7" w:rsidP="00D60E62">
            <w:pPr>
              <w:keepNext/>
              <w:keepLines/>
              <w:spacing w:after="0" w:line="240" w:lineRule="auto"/>
              <w:jc w:val="center"/>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36</w:t>
            </w:r>
          </w:p>
        </w:tc>
        <w:tc>
          <w:tcPr>
            <w:tcW w:w="1842" w:type="dxa"/>
            <w:shd w:val="clear" w:color="auto" w:fill="auto"/>
            <w:noWrap/>
            <w:vAlign w:val="center"/>
            <w:hideMark/>
          </w:tcPr>
          <w:p w14:paraId="45430A17" w14:textId="77777777" w:rsidR="00985ED7" w:rsidRPr="00985ED7" w:rsidRDefault="00985ED7" w:rsidP="00D60E62">
            <w:pPr>
              <w:keepNext/>
              <w:keepLines/>
              <w:spacing w:after="0" w:line="240" w:lineRule="auto"/>
              <w:jc w:val="right"/>
              <w:rPr>
                <w:rFonts w:ascii="Calibri" w:eastAsia="Times New Roman" w:hAnsi="Calibri" w:cs="Calibri"/>
                <w:color w:val="000000"/>
                <w:sz w:val="20"/>
                <w:szCs w:val="20"/>
                <w:lang w:eastAsia="cs-CZ"/>
              </w:rPr>
            </w:pPr>
            <w:r w:rsidRPr="00985ED7">
              <w:rPr>
                <w:rFonts w:ascii="Calibri" w:eastAsia="Times New Roman" w:hAnsi="Calibri" w:cs="Calibri"/>
                <w:color w:val="000000"/>
                <w:sz w:val="20"/>
                <w:szCs w:val="20"/>
                <w:lang w:eastAsia="cs-CZ"/>
              </w:rPr>
              <w:t>4 704 634</w:t>
            </w:r>
          </w:p>
        </w:tc>
      </w:tr>
    </w:tbl>
    <w:p w14:paraId="306C8FED" w14:textId="571117EF" w:rsidR="00985ED7" w:rsidRPr="00C923D4" w:rsidRDefault="00BF4EC7" w:rsidP="00985ED7">
      <w:pPr>
        <w:spacing w:after="120" w:line="240" w:lineRule="auto"/>
        <w:jc w:val="both"/>
        <w:rPr>
          <w:rFonts w:eastAsia="Times New Roman" w:cstheme="minorHAnsi"/>
          <w:sz w:val="20"/>
          <w:szCs w:val="20"/>
        </w:rPr>
      </w:pPr>
      <w:r w:rsidRPr="00C06C8E">
        <w:rPr>
          <w:b/>
          <w:sz w:val="20"/>
          <w:szCs w:val="20"/>
        </w:rPr>
        <w:t>Zdroj</w:t>
      </w:r>
      <w:r w:rsidRPr="00974945">
        <w:rPr>
          <w:b/>
          <w:sz w:val="20"/>
          <w:szCs w:val="20"/>
        </w:rPr>
        <w:t>:</w:t>
      </w:r>
      <w:r w:rsidR="00985ED7" w:rsidRPr="00985ED7">
        <w:rPr>
          <w:rFonts w:eastAsia="Times New Roman" w:cstheme="minorHAnsi"/>
          <w:i/>
          <w:sz w:val="20"/>
          <w:szCs w:val="20"/>
        </w:rPr>
        <w:t xml:space="preserve"> </w:t>
      </w:r>
      <w:r w:rsidR="004167D1">
        <w:rPr>
          <w:rFonts w:eastAsia="Times New Roman" w:cstheme="minorHAnsi"/>
          <w:sz w:val="20"/>
          <w:szCs w:val="20"/>
        </w:rPr>
        <w:t>z</w:t>
      </w:r>
      <w:r w:rsidR="00985ED7" w:rsidRPr="00BF4EC7">
        <w:rPr>
          <w:rFonts w:eastAsia="Times New Roman" w:cstheme="minorHAnsi"/>
          <w:sz w:val="20"/>
          <w:szCs w:val="20"/>
        </w:rPr>
        <w:t>ávěrečné zprávy z </w:t>
      </w:r>
      <w:r w:rsidR="0091201F">
        <w:rPr>
          <w:rFonts w:eastAsia="Times New Roman" w:cstheme="minorHAnsi"/>
          <w:sz w:val="20"/>
          <w:szCs w:val="20"/>
        </w:rPr>
        <w:t>GA</w:t>
      </w:r>
      <w:r>
        <w:rPr>
          <w:rFonts w:eastAsia="Times New Roman" w:cstheme="minorHAnsi"/>
          <w:sz w:val="20"/>
          <w:szCs w:val="20"/>
        </w:rPr>
        <w:t xml:space="preserve"> </w:t>
      </w:r>
      <w:r w:rsidR="00F40045">
        <w:rPr>
          <w:rFonts w:eastAsia="Times New Roman" w:cstheme="minorHAnsi"/>
          <w:sz w:val="20"/>
          <w:szCs w:val="20"/>
        </w:rPr>
        <w:t>provedených</w:t>
      </w:r>
      <w:r>
        <w:rPr>
          <w:rFonts w:eastAsia="Times New Roman" w:cstheme="minorHAnsi"/>
          <w:sz w:val="20"/>
          <w:szCs w:val="20"/>
        </w:rPr>
        <w:t xml:space="preserve"> </w:t>
      </w:r>
      <w:r w:rsidR="00F40045">
        <w:rPr>
          <w:rFonts w:eastAsia="Times New Roman" w:cstheme="minorHAnsi"/>
          <w:sz w:val="20"/>
          <w:szCs w:val="20"/>
        </w:rPr>
        <w:t xml:space="preserve">v rámci </w:t>
      </w:r>
      <w:r>
        <w:rPr>
          <w:rFonts w:eastAsia="Times New Roman" w:cstheme="minorHAnsi"/>
          <w:sz w:val="20"/>
          <w:szCs w:val="20"/>
        </w:rPr>
        <w:t>projektů IGA.</w:t>
      </w:r>
    </w:p>
    <w:p w14:paraId="4FDA38A9" w14:textId="77777777" w:rsidR="0066092E" w:rsidRPr="00292A07" w:rsidRDefault="0066092E"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292A07">
        <w:rPr>
          <w:b/>
          <w:sz w:val="24"/>
          <w:szCs w:val="24"/>
        </w:rPr>
        <w:t xml:space="preserve">Příklad č. </w:t>
      </w:r>
      <w:r w:rsidR="00723F33">
        <w:rPr>
          <w:b/>
          <w:sz w:val="24"/>
          <w:szCs w:val="24"/>
        </w:rPr>
        <w:t>8</w:t>
      </w:r>
      <w:r w:rsidRPr="00292A07">
        <w:rPr>
          <w:b/>
          <w:sz w:val="24"/>
          <w:szCs w:val="24"/>
        </w:rPr>
        <w:t>:</w:t>
      </w:r>
    </w:p>
    <w:p w14:paraId="01BC82C4" w14:textId="49818E34" w:rsidR="003A7F99" w:rsidRPr="003A7F99" w:rsidRDefault="00985ED7" w:rsidP="003A7F99">
      <w:pPr>
        <w:pBdr>
          <w:top w:val="single" w:sz="4" w:space="1" w:color="auto"/>
          <w:left w:val="single" w:sz="4" w:space="4" w:color="auto"/>
          <w:bottom w:val="single" w:sz="4" w:space="1" w:color="auto"/>
          <w:right w:val="single" w:sz="4" w:space="4" w:color="auto"/>
        </w:pBdr>
        <w:spacing w:line="240" w:lineRule="auto"/>
        <w:jc w:val="both"/>
        <w:rPr>
          <w:rFonts w:ascii="Calibri" w:eastAsia="Calibri" w:hAnsi="Calibri" w:cs="Times New Roman"/>
          <w:sz w:val="24"/>
          <w:szCs w:val="24"/>
        </w:rPr>
      </w:pPr>
      <w:r w:rsidRPr="004D2551">
        <w:rPr>
          <w:rFonts w:ascii="Calibri" w:eastAsia="Calibri" w:hAnsi="Calibri" w:cs="Times New Roman"/>
          <w:sz w:val="24"/>
          <w:szCs w:val="24"/>
        </w:rPr>
        <w:t xml:space="preserve">Nejdéle </w:t>
      </w:r>
      <w:r w:rsidR="008A3B64">
        <w:rPr>
          <w:rFonts w:ascii="Calibri" w:eastAsia="Calibri" w:hAnsi="Calibri" w:cs="Times New Roman"/>
          <w:sz w:val="24"/>
          <w:szCs w:val="24"/>
        </w:rPr>
        <w:t>trval</w:t>
      </w:r>
      <w:r w:rsidRPr="004D2551">
        <w:rPr>
          <w:rFonts w:ascii="Calibri" w:eastAsia="Calibri" w:hAnsi="Calibri" w:cs="Times New Roman"/>
          <w:sz w:val="24"/>
          <w:szCs w:val="24"/>
        </w:rPr>
        <w:t xml:space="preserve"> projekt, který </w:t>
      </w:r>
      <w:r w:rsidR="008A3B64">
        <w:rPr>
          <w:rFonts w:ascii="Calibri" w:eastAsia="Calibri" w:hAnsi="Calibri" w:cs="Times New Roman"/>
          <w:sz w:val="24"/>
          <w:szCs w:val="24"/>
        </w:rPr>
        <w:t>realizoval</w:t>
      </w:r>
      <w:r w:rsidRPr="004D2551">
        <w:rPr>
          <w:rFonts w:ascii="Calibri" w:eastAsia="Calibri" w:hAnsi="Calibri" w:cs="Times New Roman"/>
          <w:sz w:val="24"/>
          <w:szCs w:val="24"/>
        </w:rPr>
        <w:t xml:space="preserve"> nejmenší</w:t>
      </w:r>
      <w:r w:rsidR="00AD619E">
        <w:rPr>
          <w:rFonts w:ascii="Calibri" w:eastAsia="Calibri" w:hAnsi="Calibri" w:cs="Times New Roman"/>
          <w:sz w:val="24"/>
          <w:szCs w:val="24"/>
        </w:rPr>
        <w:t xml:space="preserve"> kontrolovaný</w:t>
      </w:r>
      <w:r w:rsidRPr="004D2551">
        <w:rPr>
          <w:rFonts w:ascii="Calibri" w:eastAsia="Calibri" w:hAnsi="Calibri" w:cs="Times New Roman"/>
          <w:sz w:val="24"/>
          <w:szCs w:val="24"/>
        </w:rPr>
        <w:t xml:space="preserve"> podnik. V</w:t>
      </w:r>
      <w:r w:rsidR="002622B7">
        <w:rPr>
          <w:rFonts w:ascii="Calibri" w:eastAsia="Calibri" w:hAnsi="Calibri" w:cs="Times New Roman"/>
          <w:sz w:val="24"/>
          <w:szCs w:val="24"/>
        </w:rPr>
        <w:t> </w:t>
      </w:r>
      <w:r w:rsidRPr="004D2551">
        <w:rPr>
          <w:rFonts w:ascii="Calibri" w:eastAsia="Calibri" w:hAnsi="Calibri" w:cs="Times New Roman"/>
          <w:sz w:val="24"/>
          <w:szCs w:val="24"/>
        </w:rPr>
        <w:t xml:space="preserve">roce 2017 si </w:t>
      </w:r>
      <w:r w:rsidR="00462027">
        <w:rPr>
          <w:rFonts w:ascii="Calibri" w:eastAsia="Calibri" w:hAnsi="Calibri" w:cs="Times New Roman"/>
          <w:sz w:val="24"/>
          <w:szCs w:val="24"/>
        </w:rPr>
        <w:t>tento příjemce</w:t>
      </w:r>
      <w:r w:rsidRPr="004D2551">
        <w:rPr>
          <w:rFonts w:ascii="Calibri" w:eastAsia="Calibri" w:hAnsi="Calibri" w:cs="Times New Roman"/>
          <w:sz w:val="24"/>
          <w:szCs w:val="24"/>
        </w:rPr>
        <w:t xml:space="preserve"> nechal zpracovat genderový audit, z</w:t>
      </w:r>
      <w:r w:rsidR="004D2551" w:rsidRPr="004D2551">
        <w:rPr>
          <w:rFonts w:ascii="Calibri" w:eastAsia="Calibri" w:hAnsi="Calibri" w:cs="Times New Roman"/>
          <w:sz w:val="24"/>
          <w:szCs w:val="24"/>
        </w:rPr>
        <w:t xml:space="preserve"> </w:t>
      </w:r>
      <w:r w:rsidRPr="004D2551">
        <w:rPr>
          <w:rFonts w:ascii="Calibri" w:eastAsia="Calibri" w:hAnsi="Calibri" w:cs="Times New Roman"/>
          <w:sz w:val="24"/>
          <w:szCs w:val="24"/>
        </w:rPr>
        <w:t xml:space="preserve">něhož vyplynula </w:t>
      </w:r>
      <w:r w:rsidR="00D91C1C">
        <w:rPr>
          <w:rFonts w:ascii="Calibri" w:eastAsia="Calibri" w:hAnsi="Calibri" w:cs="Times New Roman"/>
          <w:sz w:val="24"/>
          <w:szCs w:val="24"/>
        </w:rPr>
        <w:t xml:space="preserve">i </w:t>
      </w:r>
      <w:r w:rsidRPr="004D2551">
        <w:rPr>
          <w:rFonts w:ascii="Calibri" w:eastAsia="Calibri" w:hAnsi="Calibri" w:cs="Times New Roman"/>
          <w:sz w:val="24"/>
          <w:szCs w:val="24"/>
        </w:rPr>
        <w:t xml:space="preserve">doporučení, </w:t>
      </w:r>
      <w:r w:rsidR="004D2551" w:rsidRPr="004D2551">
        <w:rPr>
          <w:rFonts w:ascii="Calibri" w:eastAsia="Calibri" w:hAnsi="Calibri" w:cs="Times New Roman"/>
          <w:sz w:val="24"/>
          <w:szCs w:val="24"/>
        </w:rPr>
        <w:t xml:space="preserve">která se </w:t>
      </w:r>
      <w:r w:rsidR="00D91C1C">
        <w:rPr>
          <w:rFonts w:ascii="Calibri" w:eastAsia="Calibri" w:hAnsi="Calibri" w:cs="Times New Roman"/>
          <w:sz w:val="24"/>
          <w:szCs w:val="24"/>
        </w:rPr>
        <w:t>ne</w:t>
      </w:r>
      <w:r w:rsidR="004D2551" w:rsidRPr="004D2551">
        <w:rPr>
          <w:rFonts w:ascii="Calibri" w:eastAsia="Calibri" w:hAnsi="Calibri" w:cs="Times New Roman"/>
          <w:sz w:val="24"/>
          <w:szCs w:val="24"/>
        </w:rPr>
        <w:t>vztahují k oblasti genderové rovnosti (např. „</w:t>
      </w:r>
      <w:r w:rsidR="004405E2">
        <w:rPr>
          <w:rFonts w:ascii="Calibri" w:eastAsia="Calibri" w:hAnsi="Calibri" w:cs="Times New Roman"/>
          <w:i/>
          <w:sz w:val="24"/>
          <w:szCs w:val="24"/>
        </w:rPr>
        <w:t>p</w:t>
      </w:r>
      <w:r w:rsidR="004D2551" w:rsidRPr="0066092E">
        <w:rPr>
          <w:rFonts w:ascii="Calibri" w:eastAsia="Calibri" w:hAnsi="Calibri" w:cs="Times New Roman"/>
          <w:i/>
          <w:sz w:val="24"/>
          <w:szCs w:val="24"/>
        </w:rPr>
        <w:t>ropracovat osobní PR a</w:t>
      </w:r>
      <w:r w:rsidR="00C923D4">
        <w:rPr>
          <w:rFonts w:ascii="Calibri" w:eastAsia="Calibri" w:hAnsi="Calibri" w:cs="Times New Roman"/>
          <w:i/>
          <w:sz w:val="24"/>
          <w:szCs w:val="24"/>
        </w:rPr>
        <w:t xml:space="preserve"> </w:t>
      </w:r>
      <w:r w:rsidR="004D2551" w:rsidRPr="0066092E">
        <w:rPr>
          <w:rFonts w:ascii="Calibri" w:eastAsia="Calibri" w:hAnsi="Calibri" w:cs="Times New Roman"/>
          <w:i/>
          <w:sz w:val="24"/>
          <w:szCs w:val="24"/>
        </w:rPr>
        <w:t>osobní značku osob, jež jsou ve vedení organizace</w:t>
      </w:r>
      <w:r w:rsidR="004D2551" w:rsidRPr="004D2551">
        <w:rPr>
          <w:rFonts w:ascii="Calibri" w:eastAsia="Calibri" w:hAnsi="Calibri" w:cs="Times New Roman"/>
          <w:sz w:val="24"/>
          <w:szCs w:val="24"/>
        </w:rPr>
        <w:t xml:space="preserve">“ apod.). V této době </w:t>
      </w:r>
      <w:r w:rsidRPr="004D2551">
        <w:rPr>
          <w:rFonts w:ascii="Calibri" w:eastAsia="Calibri" w:hAnsi="Calibri" w:cs="Times New Roman"/>
          <w:sz w:val="24"/>
          <w:szCs w:val="24"/>
        </w:rPr>
        <w:t xml:space="preserve">byli ve společnosti zaměstnáni jen </w:t>
      </w:r>
      <w:r w:rsidR="0066092E">
        <w:rPr>
          <w:rFonts w:ascii="Calibri" w:eastAsia="Calibri" w:hAnsi="Calibri" w:cs="Times New Roman"/>
          <w:sz w:val="24"/>
          <w:szCs w:val="24"/>
        </w:rPr>
        <w:t>tři</w:t>
      </w:r>
      <w:r w:rsidRPr="004D2551">
        <w:rPr>
          <w:rFonts w:ascii="Calibri" w:eastAsia="Calibri" w:hAnsi="Calibri" w:cs="Times New Roman"/>
          <w:sz w:val="24"/>
          <w:szCs w:val="24"/>
        </w:rPr>
        <w:t xml:space="preserve"> muži a </w:t>
      </w:r>
      <w:r w:rsidR="0066092E">
        <w:rPr>
          <w:rFonts w:ascii="Calibri" w:eastAsia="Calibri" w:hAnsi="Calibri" w:cs="Times New Roman"/>
          <w:sz w:val="24"/>
          <w:szCs w:val="24"/>
        </w:rPr>
        <w:t>čtyři</w:t>
      </w:r>
      <w:r w:rsidRPr="004D2551">
        <w:rPr>
          <w:rFonts w:ascii="Calibri" w:eastAsia="Calibri" w:hAnsi="Calibri" w:cs="Times New Roman"/>
          <w:sz w:val="24"/>
          <w:szCs w:val="24"/>
        </w:rPr>
        <w:t xml:space="preserve"> ženy. Obsazení dvou vedoucích pozic bylo </w:t>
      </w:r>
      <w:proofErr w:type="spellStart"/>
      <w:r w:rsidRPr="004D2551">
        <w:rPr>
          <w:rFonts w:ascii="Calibri" w:eastAsia="Calibri" w:hAnsi="Calibri" w:cs="Times New Roman"/>
          <w:sz w:val="24"/>
          <w:szCs w:val="24"/>
        </w:rPr>
        <w:t>genderově</w:t>
      </w:r>
      <w:proofErr w:type="spellEnd"/>
      <w:r w:rsidRPr="004D2551">
        <w:rPr>
          <w:rFonts w:ascii="Calibri" w:eastAsia="Calibri" w:hAnsi="Calibri" w:cs="Times New Roman"/>
          <w:sz w:val="24"/>
          <w:szCs w:val="24"/>
        </w:rPr>
        <w:t xml:space="preserve"> vyvážené. </w:t>
      </w:r>
      <w:r w:rsidR="004D2551" w:rsidRPr="004D2551">
        <w:rPr>
          <w:rFonts w:ascii="Calibri" w:eastAsia="Calibri" w:hAnsi="Calibri" w:cs="Times New Roman"/>
          <w:sz w:val="24"/>
          <w:szCs w:val="24"/>
        </w:rPr>
        <w:t xml:space="preserve">V </w:t>
      </w:r>
      <w:r w:rsidRPr="004D2551">
        <w:rPr>
          <w:rFonts w:ascii="Calibri" w:eastAsia="Calibri" w:hAnsi="Calibri" w:cs="Times New Roman"/>
          <w:sz w:val="24"/>
          <w:szCs w:val="24"/>
        </w:rPr>
        <w:t xml:space="preserve">době podání </w:t>
      </w:r>
      <w:r w:rsidR="004D2551" w:rsidRPr="004D2551">
        <w:rPr>
          <w:rFonts w:ascii="Calibri" w:eastAsia="Calibri" w:hAnsi="Calibri" w:cs="Times New Roman"/>
          <w:sz w:val="24"/>
          <w:szCs w:val="24"/>
        </w:rPr>
        <w:t>žádosti o dotaci</w:t>
      </w:r>
      <w:r w:rsidRPr="004D2551">
        <w:rPr>
          <w:rFonts w:ascii="Calibri" w:eastAsia="Calibri" w:hAnsi="Calibri" w:cs="Times New Roman"/>
          <w:sz w:val="24"/>
          <w:szCs w:val="24"/>
        </w:rPr>
        <w:t xml:space="preserve"> ve výzvě IGA č. 131 zaměstnával</w:t>
      </w:r>
      <w:r w:rsidR="0048308B">
        <w:rPr>
          <w:rFonts w:ascii="Calibri" w:eastAsia="Calibri" w:hAnsi="Calibri" w:cs="Times New Roman"/>
          <w:sz w:val="24"/>
          <w:szCs w:val="24"/>
        </w:rPr>
        <w:t xml:space="preserve"> příjemce</w:t>
      </w:r>
      <w:r w:rsidRPr="004D2551">
        <w:rPr>
          <w:rFonts w:ascii="Calibri" w:eastAsia="Calibri" w:hAnsi="Calibri" w:cs="Times New Roman"/>
          <w:sz w:val="24"/>
          <w:szCs w:val="24"/>
        </w:rPr>
        <w:t xml:space="preserve"> 10 osob (</w:t>
      </w:r>
      <w:r w:rsidR="0066092E">
        <w:rPr>
          <w:rFonts w:ascii="Calibri" w:eastAsia="Calibri" w:hAnsi="Calibri" w:cs="Times New Roman"/>
          <w:sz w:val="24"/>
          <w:szCs w:val="24"/>
        </w:rPr>
        <w:t>pět</w:t>
      </w:r>
      <w:r w:rsidR="004D2551" w:rsidRPr="004D2551">
        <w:rPr>
          <w:rFonts w:ascii="Calibri" w:eastAsia="Calibri" w:hAnsi="Calibri" w:cs="Times New Roman"/>
          <w:sz w:val="24"/>
          <w:szCs w:val="24"/>
        </w:rPr>
        <w:t xml:space="preserve"> </w:t>
      </w:r>
      <w:r w:rsidRPr="004D2551">
        <w:rPr>
          <w:rFonts w:ascii="Calibri" w:eastAsia="Calibri" w:hAnsi="Calibri" w:cs="Times New Roman"/>
          <w:sz w:val="24"/>
          <w:szCs w:val="24"/>
        </w:rPr>
        <w:t>žen a</w:t>
      </w:r>
      <w:r w:rsidR="000677D0">
        <w:rPr>
          <w:rFonts w:ascii="Calibri" w:eastAsia="Calibri" w:hAnsi="Calibri" w:cs="Times New Roman"/>
          <w:sz w:val="24"/>
          <w:szCs w:val="24"/>
        </w:rPr>
        <w:t> </w:t>
      </w:r>
      <w:r w:rsidR="0066092E">
        <w:rPr>
          <w:rFonts w:ascii="Calibri" w:eastAsia="Calibri" w:hAnsi="Calibri" w:cs="Times New Roman"/>
          <w:sz w:val="24"/>
          <w:szCs w:val="24"/>
        </w:rPr>
        <w:t>pět</w:t>
      </w:r>
      <w:r w:rsidRPr="004D2551">
        <w:rPr>
          <w:rFonts w:ascii="Calibri" w:eastAsia="Calibri" w:hAnsi="Calibri" w:cs="Times New Roman"/>
          <w:sz w:val="24"/>
          <w:szCs w:val="24"/>
        </w:rPr>
        <w:t xml:space="preserve"> mužů</w:t>
      </w:r>
      <w:r w:rsidR="004D2551" w:rsidRPr="004D2551">
        <w:rPr>
          <w:rFonts w:ascii="Calibri" w:eastAsia="Calibri" w:hAnsi="Calibri" w:cs="Times New Roman"/>
          <w:sz w:val="24"/>
          <w:szCs w:val="24"/>
        </w:rPr>
        <w:t xml:space="preserve">) a </w:t>
      </w:r>
      <w:r w:rsidR="004D2551">
        <w:rPr>
          <w:rFonts w:ascii="Calibri" w:eastAsia="Calibri" w:hAnsi="Calibri" w:cs="Times New Roman"/>
          <w:sz w:val="24"/>
          <w:szCs w:val="24"/>
        </w:rPr>
        <w:t xml:space="preserve">v </w:t>
      </w:r>
      <w:r w:rsidR="004D2551" w:rsidRPr="004D2551">
        <w:rPr>
          <w:rFonts w:ascii="Calibri" w:eastAsia="Calibri" w:hAnsi="Calibri" w:cs="Times New Roman"/>
          <w:sz w:val="24"/>
          <w:szCs w:val="24"/>
        </w:rPr>
        <w:t xml:space="preserve">průběhu realizace projektu se jejich počet pohyboval v rozmezí </w:t>
      </w:r>
      <w:r w:rsidR="004405E2">
        <w:rPr>
          <w:rFonts w:ascii="Calibri" w:eastAsia="Calibri" w:hAnsi="Calibri" w:cs="Times New Roman"/>
          <w:sz w:val="24"/>
          <w:szCs w:val="24"/>
        </w:rPr>
        <w:t xml:space="preserve">od </w:t>
      </w:r>
      <w:r w:rsidR="004D2551" w:rsidRPr="004D2551">
        <w:rPr>
          <w:rFonts w:ascii="Calibri" w:eastAsia="Calibri" w:hAnsi="Calibri" w:cs="Times New Roman"/>
          <w:sz w:val="24"/>
          <w:szCs w:val="24"/>
        </w:rPr>
        <w:t xml:space="preserve">12 </w:t>
      </w:r>
      <w:r w:rsidR="004405E2">
        <w:rPr>
          <w:rFonts w:ascii="Calibri" w:eastAsia="Calibri" w:hAnsi="Calibri" w:cs="Times New Roman"/>
          <w:sz w:val="24"/>
          <w:szCs w:val="24"/>
        </w:rPr>
        <w:t>do</w:t>
      </w:r>
      <w:r w:rsidR="004D2551" w:rsidRPr="004D2551">
        <w:rPr>
          <w:rFonts w:ascii="Calibri" w:eastAsia="Calibri" w:hAnsi="Calibri" w:cs="Times New Roman"/>
          <w:sz w:val="24"/>
          <w:szCs w:val="24"/>
        </w:rPr>
        <w:t xml:space="preserve"> 14. </w:t>
      </w:r>
      <w:r w:rsidR="004D2551">
        <w:rPr>
          <w:rFonts w:ascii="Calibri" w:eastAsia="Calibri" w:hAnsi="Calibri" w:cs="Times New Roman"/>
          <w:sz w:val="24"/>
          <w:szCs w:val="24"/>
        </w:rPr>
        <w:t>Ve srovnání s</w:t>
      </w:r>
      <w:r w:rsidR="00C923D4">
        <w:rPr>
          <w:rFonts w:ascii="Calibri" w:eastAsia="Calibri" w:hAnsi="Calibri" w:cs="Times New Roman"/>
          <w:sz w:val="24"/>
          <w:szCs w:val="24"/>
        </w:rPr>
        <w:t xml:space="preserve"> </w:t>
      </w:r>
      <w:r w:rsidR="004D2551">
        <w:rPr>
          <w:rFonts w:ascii="Calibri" w:eastAsia="Calibri" w:hAnsi="Calibri" w:cs="Times New Roman"/>
          <w:sz w:val="24"/>
          <w:szCs w:val="24"/>
        </w:rPr>
        <w:t>tím p</w:t>
      </w:r>
      <w:r w:rsidR="004D2551" w:rsidRPr="004D2551">
        <w:rPr>
          <w:rFonts w:ascii="Calibri" w:eastAsia="Calibri" w:hAnsi="Calibri" w:cs="Times New Roman"/>
          <w:sz w:val="24"/>
          <w:szCs w:val="24"/>
        </w:rPr>
        <w:t xml:space="preserve">očet </w:t>
      </w:r>
      <w:r w:rsidR="004405E2">
        <w:rPr>
          <w:rFonts w:ascii="Calibri" w:eastAsia="Calibri" w:hAnsi="Calibri" w:cs="Times New Roman"/>
          <w:sz w:val="24"/>
          <w:szCs w:val="24"/>
        </w:rPr>
        <w:t>účastníků</w:t>
      </w:r>
      <w:r w:rsidR="004405E2" w:rsidRPr="004D2551">
        <w:rPr>
          <w:rFonts w:ascii="Calibri" w:eastAsia="Calibri" w:hAnsi="Calibri" w:cs="Times New Roman"/>
          <w:sz w:val="24"/>
          <w:szCs w:val="24"/>
        </w:rPr>
        <w:t xml:space="preserve"> </w:t>
      </w:r>
      <w:r w:rsidR="004D2551" w:rsidRPr="004D2551">
        <w:rPr>
          <w:rFonts w:ascii="Calibri" w:eastAsia="Calibri" w:hAnsi="Calibri" w:cs="Times New Roman"/>
          <w:sz w:val="24"/>
          <w:szCs w:val="24"/>
        </w:rPr>
        <w:t>v</w:t>
      </w:r>
      <w:r w:rsidR="0066092E">
        <w:rPr>
          <w:rFonts w:ascii="Calibri" w:eastAsia="Calibri" w:hAnsi="Calibri" w:cs="Times New Roman"/>
          <w:sz w:val="24"/>
          <w:szCs w:val="24"/>
        </w:rPr>
        <w:t> </w:t>
      </w:r>
      <w:r w:rsidRPr="004D2551">
        <w:rPr>
          <w:rFonts w:ascii="Calibri" w:eastAsia="Calibri" w:hAnsi="Calibri" w:cs="Times New Roman"/>
          <w:sz w:val="24"/>
          <w:szCs w:val="24"/>
        </w:rPr>
        <w:t>realizačním týmu</w:t>
      </w:r>
      <w:r w:rsidR="004D2551">
        <w:rPr>
          <w:rFonts w:ascii="Calibri" w:eastAsia="Calibri" w:hAnsi="Calibri" w:cs="Times New Roman"/>
          <w:sz w:val="24"/>
          <w:szCs w:val="24"/>
        </w:rPr>
        <w:t xml:space="preserve"> projektu</w:t>
      </w:r>
      <w:r w:rsidRPr="004D2551">
        <w:rPr>
          <w:rFonts w:ascii="Calibri" w:eastAsia="Calibri" w:hAnsi="Calibri" w:cs="Times New Roman"/>
          <w:sz w:val="24"/>
          <w:szCs w:val="24"/>
        </w:rPr>
        <w:t>, kteří byli různými úvazky zapojeni v</w:t>
      </w:r>
      <w:r w:rsidR="004D2551" w:rsidRPr="004D2551">
        <w:rPr>
          <w:rFonts w:ascii="Calibri" w:eastAsia="Calibri" w:hAnsi="Calibri" w:cs="Times New Roman"/>
          <w:sz w:val="24"/>
          <w:szCs w:val="24"/>
        </w:rPr>
        <w:t xml:space="preserve"> </w:t>
      </w:r>
      <w:r w:rsidRPr="004D2551">
        <w:rPr>
          <w:rFonts w:ascii="Calibri" w:eastAsia="Calibri" w:hAnsi="Calibri" w:cs="Times New Roman"/>
          <w:sz w:val="24"/>
          <w:szCs w:val="24"/>
        </w:rPr>
        <w:t>projektu v</w:t>
      </w:r>
      <w:r w:rsidR="004D2551" w:rsidRPr="004D2551">
        <w:rPr>
          <w:rFonts w:ascii="Calibri" w:eastAsia="Calibri" w:hAnsi="Calibri" w:cs="Times New Roman"/>
          <w:sz w:val="24"/>
          <w:szCs w:val="24"/>
        </w:rPr>
        <w:t xml:space="preserve"> </w:t>
      </w:r>
      <w:r w:rsidRPr="004D2551">
        <w:rPr>
          <w:rFonts w:ascii="Calibri" w:eastAsia="Calibri" w:hAnsi="Calibri" w:cs="Times New Roman"/>
          <w:sz w:val="24"/>
          <w:szCs w:val="24"/>
        </w:rPr>
        <w:t>rámci přímých nákladů</w:t>
      </w:r>
      <w:r w:rsidR="004D2551">
        <w:rPr>
          <w:rFonts w:ascii="Calibri" w:eastAsia="Calibri" w:hAnsi="Calibri" w:cs="Times New Roman"/>
          <w:sz w:val="24"/>
          <w:szCs w:val="24"/>
        </w:rPr>
        <w:t>,</w:t>
      </w:r>
      <w:r w:rsidR="004D2551" w:rsidRPr="004D2551">
        <w:rPr>
          <w:rFonts w:ascii="Calibri" w:eastAsia="Calibri" w:hAnsi="Calibri" w:cs="Times New Roman"/>
          <w:sz w:val="24"/>
          <w:szCs w:val="24"/>
        </w:rPr>
        <w:t xml:space="preserve"> </w:t>
      </w:r>
      <w:r w:rsidR="004D2551">
        <w:rPr>
          <w:rFonts w:ascii="Calibri" w:eastAsia="Calibri" w:hAnsi="Calibri" w:cs="Times New Roman"/>
          <w:sz w:val="24"/>
          <w:szCs w:val="24"/>
        </w:rPr>
        <w:t xml:space="preserve">činil </w:t>
      </w:r>
      <w:r w:rsidR="0066092E">
        <w:rPr>
          <w:rFonts w:ascii="Calibri" w:eastAsia="Calibri" w:hAnsi="Calibri" w:cs="Times New Roman"/>
          <w:sz w:val="24"/>
          <w:szCs w:val="24"/>
        </w:rPr>
        <w:t>čtyři</w:t>
      </w:r>
      <w:r w:rsidRPr="004D2551">
        <w:rPr>
          <w:rFonts w:ascii="Calibri" w:eastAsia="Calibri" w:hAnsi="Calibri" w:cs="Times New Roman"/>
          <w:sz w:val="24"/>
          <w:szCs w:val="24"/>
        </w:rPr>
        <w:t xml:space="preserve"> osoby</w:t>
      </w:r>
      <w:r>
        <w:rPr>
          <w:rFonts w:ascii="Calibri" w:eastAsia="Calibri" w:hAnsi="Calibri" w:cs="Times New Roman"/>
          <w:sz w:val="24"/>
          <w:szCs w:val="24"/>
        </w:rPr>
        <w:t xml:space="preserve"> </w:t>
      </w:r>
      <w:r w:rsidR="004D2551">
        <w:rPr>
          <w:rFonts w:ascii="Calibri" w:eastAsia="Calibri" w:hAnsi="Calibri" w:cs="Times New Roman"/>
          <w:sz w:val="24"/>
          <w:szCs w:val="24"/>
        </w:rPr>
        <w:t>(</w:t>
      </w:r>
      <w:r>
        <w:rPr>
          <w:rFonts w:ascii="Calibri" w:eastAsia="Calibri" w:hAnsi="Calibri" w:cs="Times New Roman"/>
          <w:sz w:val="24"/>
          <w:szCs w:val="24"/>
        </w:rPr>
        <w:t>v</w:t>
      </w:r>
      <w:r w:rsidR="004D2551">
        <w:rPr>
          <w:rFonts w:ascii="Calibri" w:eastAsia="Calibri" w:hAnsi="Calibri" w:cs="Times New Roman"/>
          <w:sz w:val="24"/>
          <w:szCs w:val="24"/>
        </w:rPr>
        <w:t xml:space="preserve"> přepočtu</w:t>
      </w:r>
      <w:r>
        <w:rPr>
          <w:rFonts w:ascii="Calibri" w:eastAsia="Calibri" w:hAnsi="Calibri" w:cs="Times New Roman"/>
          <w:sz w:val="24"/>
          <w:szCs w:val="24"/>
        </w:rPr>
        <w:t xml:space="preserve"> na </w:t>
      </w:r>
      <w:r w:rsidR="004D2551">
        <w:rPr>
          <w:rFonts w:ascii="Calibri" w:eastAsia="Calibri" w:hAnsi="Calibri" w:cs="Times New Roman"/>
          <w:sz w:val="24"/>
          <w:szCs w:val="24"/>
        </w:rPr>
        <w:t xml:space="preserve">plné úvazky činil tento počet </w:t>
      </w:r>
      <w:r w:rsidR="004D2551" w:rsidRPr="004D2551">
        <w:rPr>
          <w:rFonts w:ascii="Calibri" w:eastAsia="Calibri" w:hAnsi="Calibri" w:cs="Times New Roman"/>
          <w:sz w:val="24"/>
          <w:szCs w:val="24"/>
        </w:rPr>
        <w:t>1,9</w:t>
      </w:r>
      <w:r w:rsidR="004D2551">
        <w:rPr>
          <w:rFonts w:ascii="Calibri" w:eastAsia="Calibri" w:hAnsi="Calibri" w:cs="Times New Roman"/>
          <w:sz w:val="24"/>
          <w:szCs w:val="24"/>
        </w:rPr>
        <w:t xml:space="preserve"> osob</w:t>
      </w:r>
      <w:r w:rsidR="004405E2">
        <w:rPr>
          <w:rFonts w:ascii="Calibri" w:eastAsia="Calibri" w:hAnsi="Calibri" w:cs="Times New Roman"/>
          <w:sz w:val="24"/>
          <w:szCs w:val="24"/>
        </w:rPr>
        <w:t>y</w:t>
      </w:r>
      <w:r w:rsidR="004D2551">
        <w:rPr>
          <w:rFonts w:ascii="Calibri" w:eastAsia="Calibri" w:hAnsi="Calibri" w:cs="Times New Roman"/>
          <w:sz w:val="24"/>
          <w:szCs w:val="24"/>
        </w:rPr>
        <w:t>)</w:t>
      </w:r>
      <w:r w:rsidR="004D2551" w:rsidRPr="004D2551">
        <w:rPr>
          <w:rFonts w:ascii="Calibri" w:eastAsia="Calibri" w:hAnsi="Calibri" w:cs="Times New Roman"/>
          <w:sz w:val="24"/>
          <w:szCs w:val="24"/>
        </w:rPr>
        <w:t>.</w:t>
      </w:r>
      <w:r w:rsidR="003A7F99" w:rsidRPr="003A7F99">
        <w:rPr>
          <w:rFonts w:ascii="Calibri" w:eastAsia="Calibri" w:hAnsi="Calibri" w:cs="Times New Roman"/>
          <w:sz w:val="24"/>
          <w:szCs w:val="24"/>
        </w:rPr>
        <w:t xml:space="preserve"> </w:t>
      </w:r>
      <w:r w:rsidR="004D2551">
        <w:rPr>
          <w:rFonts w:ascii="Calibri" w:eastAsia="Calibri" w:hAnsi="Calibri" w:cs="Times New Roman"/>
          <w:sz w:val="24"/>
          <w:szCs w:val="24"/>
        </w:rPr>
        <w:t>B</w:t>
      </w:r>
      <w:r w:rsidR="003A7F99" w:rsidRPr="003A7F99">
        <w:rPr>
          <w:rFonts w:ascii="Calibri" w:eastAsia="Calibri" w:hAnsi="Calibri" w:cs="Times New Roman"/>
          <w:sz w:val="24"/>
          <w:szCs w:val="24"/>
        </w:rPr>
        <w:t xml:space="preserve">ěžné měsíční </w:t>
      </w:r>
      <w:r w:rsidR="004D2551">
        <w:rPr>
          <w:rFonts w:ascii="Calibri" w:eastAsia="Calibri" w:hAnsi="Calibri" w:cs="Times New Roman"/>
          <w:sz w:val="24"/>
          <w:szCs w:val="24"/>
        </w:rPr>
        <w:t>výdaje realizačního týmu proplácené z dotace</w:t>
      </w:r>
      <w:r w:rsidR="003A7F99" w:rsidRPr="003A7F99">
        <w:rPr>
          <w:rFonts w:ascii="Calibri" w:eastAsia="Calibri" w:hAnsi="Calibri" w:cs="Times New Roman"/>
          <w:sz w:val="24"/>
          <w:szCs w:val="24"/>
        </w:rPr>
        <w:t xml:space="preserve"> činily </w:t>
      </w:r>
      <w:r w:rsidR="00787E31">
        <w:rPr>
          <w:rFonts w:ascii="Calibri" w:eastAsia="Calibri" w:hAnsi="Calibri" w:cs="Times New Roman"/>
          <w:sz w:val="24"/>
          <w:szCs w:val="24"/>
        </w:rPr>
        <w:t>skoro</w:t>
      </w:r>
      <w:r w:rsidR="00787E31" w:rsidRPr="003A7F99">
        <w:rPr>
          <w:rFonts w:ascii="Calibri" w:eastAsia="Calibri" w:hAnsi="Calibri" w:cs="Times New Roman"/>
          <w:sz w:val="24"/>
          <w:szCs w:val="24"/>
        </w:rPr>
        <w:t xml:space="preserve"> </w:t>
      </w:r>
      <w:r w:rsidR="003A7F99" w:rsidRPr="003A7F99">
        <w:rPr>
          <w:rFonts w:ascii="Calibri" w:eastAsia="Calibri" w:hAnsi="Calibri" w:cs="Times New Roman"/>
          <w:sz w:val="24"/>
          <w:szCs w:val="24"/>
        </w:rPr>
        <w:t>80</w:t>
      </w:r>
      <w:r w:rsidR="00C923D4">
        <w:rPr>
          <w:rFonts w:ascii="Calibri" w:eastAsia="Calibri" w:hAnsi="Calibri" w:cs="Times New Roman"/>
          <w:sz w:val="24"/>
          <w:szCs w:val="24"/>
        </w:rPr>
        <w:t xml:space="preserve"> </w:t>
      </w:r>
      <w:r w:rsidR="003A7F99" w:rsidRPr="003A7F99">
        <w:rPr>
          <w:rFonts w:ascii="Calibri" w:eastAsia="Calibri" w:hAnsi="Calibri" w:cs="Times New Roman"/>
          <w:sz w:val="24"/>
          <w:szCs w:val="24"/>
        </w:rPr>
        <w:t xml:space="preserve">tis. Kč. Celkové způsobilé výdaje projektu dosáhly výše </w:t>
      </w:r>
      <w:r w:rsidR="004405E2">
        <w:rPr>
          <w:rFonts w:ascii="Calibri" w:eastAsia="Calibri" w:hAnsi="Calibri" w:cs="Times New Roman"/>
          <w:sz w:val="24"/>
          <w:szCs w:val="24"/>
        </w:rPr>
        <w:t>4,7</w:t>
      </w:r>
      <w:r w:rsidR="003A7F99" w:rsidRPr="003A7F99">
        <w:rPr>
          <w:rFonts w:ascii="Calibri" w:eastAsia="Calibri" w:hAnsi="Calibri" w:cs="Times New Roman"/>
          <w:sz w:val="24"/>
          <w:szCs w:val="24"/>
        </w:rPr>
        <w:t xml:space="preserve"> mil. Kč, přičemž osobní náklady se na přímých způsobilých výdajích podílely </w:t>
      </w:r>
      <w:r w:rsidR="004D2551">
        <w:rPr>
          <w:rFonts w:ascii="Calibri" w:eastAsia="Calibri" w:hAnsi="Calibri" w:cs="Times New Roman"/>
          <w:sz w:val="24"/>
          <w:szCs w:val="24"/>
        </w:rPr>
        <w:t xml:space="preserve">celkovou </w:t>
      </w:r>
      <w:r w:rsidR="003A7F99" w:rsidRPr="003A7F99">
        <w:rPr>
          <w:rFonts w:ascii="Calibri" w:eastAsia="Calibri" w:hAnsi="Calibri" w:cs="Times New Roman"/>
          <w:sz w:val="24"/>
          <w:szCs w:val="24"/>
        </w:rPr>
        <w:t xml:space="preserve">částkou </w:t>
      </w:r>
      <w:r w:rsidR="00CE08A2">
        <w:rPr>
          <w:rFonts w:ascii="Calibri" w:eastAsia="Calibri" w:hAnsi="Calibri" w:cs="Times New Roman"/>
          <w:sz w:val="24"/>
          <w:szCs w:val="24"/>
        </w:rPr>
        <w:t>c</w:t>
      </w:r>
      <w:r w:rsidR="005C6DD2">
        <w:rPr>
          <w:rFonts w:ascii="Calibri" w:eastAsia="Calibri" w:hAnsi="Calibri" w:cs="Times New Roman"/>
          <w:sz w:val="24"/>
          <w:szCs w:val="24"/>
        </w:rPr>
        <w:t>ca</w:t>
      </w:r>
      <w:r w:rsidR="003A7F99" w:rsidRPr="003A7F99">
        <w:rPr>
          <w:rFonts w:ascii="Calibri" w:eastAsia="Calibri" w:hAnsi="Calibri" w:cs="Times New Roman"/>
          <w:sz w:val="24"/>
          <w:szCs w:val="24"/>
        </w:rPr>
        <w:t xml:space="preserve"> 2,7 mil. Kč.</w:t>
      </w:r>
      <w:r w:rsidR="005C6DD2">
        <w:rPr>
          <w:rFonts w:ascii="Calibri" w:eastAsia="Calibri" w:hAnsi="Calibri" w:cs="Times New Roman"/>
          <w:sz w:val="24"/>
          <w:szCs w:val="24"/>
        </w:rPr>
        <w:t xml:space="preserve"> Výše dotace přepočtená na jednoho zaměstnance u tohoto projektu činila 336 tis. Kč, přičemž průměr této hodnoty </w:t>
      </w:r>
      <w:r w:rsidR="00C923D4">
        <w:rPr>
          <w:rFonts w:ascii="Calibri" w:eastAsia="Calibri" w:hAnsi="Calibri" w:cs="Times New Roman"/>
          <w:sz w:val="24"/>
          <w:szCs w:val="24"/>
        </w:rPr>
        <w:br/>
      </w:r>
      <w:r w:rsidR="005C6DD2">
        <w:rPr>
          <w:rFonts w:ascii="Calibri" w:eastAsia="Calibri" w:hAnsi="Calibri" w:cs="Times New Roman"/>
          <w:sz w:val="24"/>
          <w:szCs w:val="24"/>
        </w:rPr>
        <w:t>u</w:t>
      </w:r>
      <w:r w:rsidR="00C923D4">
        <w:rPr>
          <w:rFonts w:ascii="Calibri" w:eastAsia="Calibri" w:hAnsi="Calibri" w:cs="Times New Roman"/>
          <w:sz w:val="24"/>
          <w:szCs w:val="24"/>
        </w:rPr>
        <w:t xml:space="preserve"> </w:t>
      </w:r>
      <w:r w:rsidR="005C6DD2">
        <w:rPr>
          <w:rFonts w:ascii="Calibri" w:eastAsia="Calibri" w:hAnsi="Calibri" w:cs="Times New Roman"/>
          <w:sz w:val="24"/>
          <w:szCs w:val="24"/>
        </w:rPr>
        <w:t xml:space="preserve">zbývajících osmi projektů </w:t>
      </w:r>
      <w:r w:rsidR="004405E2">
        <w:rPr>
          <w:rFonts w:ascii="Calibri" w:eastAsia="Calibri" w:hAnsi="Calibri" w:cs="Times New Roman"/>
          <w:sz w:val="24"/>
          <w:szCs w:val="24"/>
        </w:rPr>
        <w:t xml:space="preserve">kontrolovaných u </w:t>
      </w:r>
      <w:r w:rsidR="00F167B7">
        <w:rPr>
          <w:rFonts w:ascii="Calibri" w:eastAsia="Calibri" w:hAnsi="Calibri" w:cs="Times New Roman"/>
          <w:sz w:val="24"/>
          <w:szCs w:val="24"/>
        </w:rPr>
        <w:t xml:space="preserve">příjemců dotací </w:t>
      </w:r>
      <w:r w:rsidR="005C6DD2">
        <w:rPr>
          <w:rFonts w:ascii="Calibri" w:eastAsia="Calibri" w:hAnsi="Calibri" w:cs="Times New Roman"/>
          <w:sz w:val="24"/>
          <w:szCs w:val="24"/>
        </w:rPr>
        <w:t>činil 74</w:t>
      </w:r>
      <w:r w:rsidR="004405E2">
        <w:rPr>
          <w:rFonts w:ascii="Calibri" w:eastAsia="Calibri" w:hAnsi="Calibri" w:cs="Times New Roman"/>
          <w:sz w:val="24"/>
          <w:szCs w:val="24"/>
        </w:rPr>
        <w:t xml:space="preserve"> </w:t>
      </w:r>
      <w:r w:rsidR="005C6DD2">
        <w:rPr>
          <w:rFonts w:ascii="Calibri" w:eastAsia="Calibri" w:hAnsi="Calibri" w:cs="Times New Roman"/>
          <w:sz w:val="24"/>
          <w:szCs w:val="24"/>
        </w:rPr>
        <w:t>tis. Kč.</w:t>
      </w:r>
      <w:r w:rsidR="003A7F99" w:rsidRPr="003A7F99">
        <w:rPr>
          <w:rFonts w:ascii="Calibri" w:eastAsia="Calibri" w:hAnsi="Calibri" w:cs="Times New Roman"/>
          <w:sz w:val="24"/>
          <w:szCs w:val="24"/>
        </w:rPr>
        <w:t xml:space="preserve"> Výstupem projektu byly především koncepční dokumenty rozvoje organizace (dlouhodobé a</w:t>
      </w:r>
      <w:r w:rsidR="004405E2">
        <w:rPr>
          <w:rFonts w:ascii="Calibri" w:eastAsia="Calibri" w:hAnsi="Calibri" w:cs="Times New Roman"/>
          <w:sz w:val="24"/>
          <w:szCs w:val="24"/>
        </w:rPr>
        <w:t> </w:t>
      </w:r>
      <w:r w:rsidR="003A7F99" w:rsidRPr="003A7F99">
        <w:rPr>
          <w:rFonts w:ascii="Calibri" w:eastAsia="Calibri" w:hAnsi="Calibri" w:cs="Times New Roman"/>
          <w:sz w:val="24"/>
          <w:szCs w:val="24"/>
        </w:rPr>
        <w:t>střednědobé plány, výzkumné plány, strategie rozvoje lidských zdrojů, metodiky hodnocení, vnitřní směrnice) a realizovaná školení. Z</w:t>
      </w:r>
      <w:r w:rsidR="007E305C">
        <w:rPr>
          <w:rFonts w:ascii="Calibri" w:eastAsia="Calibri" w:hAnsi="Calibri" w:cs="Times New Roman"/>
          <w:sz w:val="24"/>
          <w:szCs w:val="24"/>
        </w:rPr>
        <w:t xml:space="preserve"> </w:t>
      </w:r>
      <w:r w:rsidR="003A7F99" w:rsidRPr="003A7F99">
        <w:rPr>
          <w:rFonts w:ascii="Calibri" w:eastAsia="Calibri" w:hAnsi="Calibri" w:cs="Times New Roman"/>
          <w:sz w:val="24"/>
          <w:szCs w:val="24"/>
        </w:rPr>
        <w:t xml:space="preserve">důvodu absence pracovních výkazů členů realizačního týmu či obdobných dokumentů neexistuje žádná auditní stopa uskutečněných činností ve vazbě na proplacené mzdy. </w:t>
      </w:r>
      <w:r w:rsidR="00887689">
        <w:rPr>
          <w:rFonts w:ascii="Calibri" w:eastAsia="Calibri" w:hAnsi="Calibri" w:cs="Times New Roman"/>
          <w:sz w:val="24"/>
          <w:szCs w:val="24"/>
        </w:rPr>
        <w:t xml:space="preserve">Příjemce </w:t>
      </w:r>
      <w:r w:rsidR="003A7F99" w:rsidRPr="003A7F99">
        <w:rPr>
          <w:rFonts w:ascii="Calibri" w:eastAsia="Calibri" w:hAnsi="Calibri" w:cs="Times New Roman"/>
          <w:sz w:val="24"/>
          <w:szCs w:val="24"/>
        </w:rPr>
        <w:t xml:space="preserve">ani </w:t>
      </w:r>
      <w:r w:rsidR="00887689">
        <w:rPr>
          <w:rFonts w:ascii="Calibri" w:eastAsia="Calibri" w:hAnsi="Calibri" w:cs="Times New Roman"/>
          <w:sz w:val="24"/>
          <w:szCs w:val="24"/>
        </w:rPr>
        <w:t>neprokázal</w:t>
      </w:r>
      <w:r w:rsidR="003A7F99" w:rsidRPr="003A7F99">
        <w:rPr>
          <w:rFonts w:ascii="Calibri" w:eastAsia="Calibri" w:hAnsi="Calibri" w:cs="Times New Roman"/>
          <w:sz w:val="24"/>
          <w:szCs w:val="24"/>
        </w:rPr>
        <w:t xml:space="preserve">, zda všechny dílčí aktivity probíhaly po celou </w:t>
      </w:r>
      <w:r w:rsidR="004D2551">
        <w:rPr>
          <w:rFonts w:ascii="Calibri" w:eastAsia="Calibri" w:hAnsi="Calibri" w:cs="Times New Roman"/>
          <w:sz w:val="24"/>
          <w:szCs w:val="24"/>
        </w:rPr>
        <w:t xml:space="preserve">dobu </w:t>
      </w:r>
      <w:r w:rsidR="003A7F99" w:rsidRPr="003A7F99">
        <w:rPr>
          <w:rFonts w:ascii="Calibri" w:eastAsia="Calibri" w:hAnsi="Calibri" w:cs="Times New Roman"/>
          <w:sz w:val="24"/>
          <w:szCs w:val="24"/>
        </w:rPr>
        <w:t>realizac</w:t>
      </w:r>
      <w:r w:rsidR="004D2551">
        <w:rPr>
          <w:rFonts w:ascii="Calibri" w:eastAsia="Calibri" w:hAnsi="Calibri" w:cs="Times New Roman"/>
          <w:sz w:val="24"/>
          <w:szCs w:val="24"/>
        </w:rPr>
        <w:t>e</w:t>
      </w:r>
      <w:r w:rsidR="003A7F99" w:rsidRPr="003A7F99">
        <w:rPr>
          <w:rFonts w:ascii="Calibri" w:eastAsia="Calibri" w:hAnsi="Calibri" w:cs="Times New Roman"/>
          <w:sz w:val="24"/>
          <w:szCs w:val="24"/>
        </w:rPr>
        <w:t xml:space="preserve"> projektu. </w:t>
      </w:r>
      <w:r w:rsidR="004D2551" w:rsidRPr="00985ED7">
        <w:rPr>
          <w:rFonts w:eastAsia="Times New Roman" w:cstheme="minorHAnsi"/>
          <w:sz w:val="24"/>
          <w:szCs w:val="24"/>
        </w:rPr>
        <w:t>NKÚ považuj</w:t>
      </w:r>
      <w:r w:rsidR="004D2551" w:rsidRPr="004D5AAE">
        <w:rPr>
          <w:rFonts w:eastAsia="Times New Roman" w:cstheme="minorHAnsi"/>
          <w:sz w:val="24"/>
          <w:szCs w:val="24"/>
        </w:rPr>
        <w:t>e</w:t>
      </w:r>
      <w:r w:rsidR="004D2551" w:rsidRPr="00985ED7">
        <w:rPr>
          <w:rFonts w:eastAsia="Times New Roman" w:cstheme="minorHAnsi"/>
          <w:sz w:val="24"/>
          <w:szCs w:val="24"/>
        </w:rPr>
        <w:t xml:space="preserve"> délku projektu </w:t>
      </w:r>
      <w:r w:rsidR="004D2551" w:rsidRPr="004D5AAE">
        <w:rPr>
          <w:rFonts w:eastAsia="Times New Roman" w:cstheme="minorHAnsi"/>
          <w:sz w:val="24"/>
          <w:szCs w:val="24"/>
        </w:rPr>
        <w:t xml:space="preserve">v trvání 36 měsíců </w:t>
      </w:r>
      <w:r w:rsidR="004D2551" w:rsidRPr="00985ED7">
        <w:rPr>
          <w:rFonts w:eastAsia="Times New Roman" w:cstheme="minorHAnsi"/>
          <w:sz w:val="24"/>
          <w:szCs w:val="24"/>
        </w:rPr>
        <w:t>za neadekvátní</w:t>
      </w:r>
      <w:r w:rsidR="004D2551" w:rsidRPr="004D5AAE">
        <w:rPr>
          <w:rFonts w:eastAsia="Times New Roman" w:cstheme="minorHAnsi"/>
          <w:sz w:val="24"/>
          <w:szCs w:val="24"/>
        </w:rPr>
        <w:t xml:space="preserve">, </w:t>
      </w:r>
      <w:r w:rsidR="004405E2">
        <w:rPr>
          <w:rFonts w:eastAsia="Times New Roman" w:cstheme="minorHAnsi"/>
          <w:sz w:val="24"/>
          <w:szCs w:val="24"/>
        </w:rPr>
        <w:t xml:space="preserve">zejména </w:t>
      </w:r>
      <w:r w:rsidR="004D2551" w:rsidRPr="004D5AAE">
        <w:rPr>
          <w:rFonts w:eastAsia="Times New Roman" w:cstheme="minorHAnsi"/>
          <w:sz w:val="24"/>
          <w:szCs w:val="24"/>
        </w:rPr>
        <w:t>vzhledem k</w:t>
      </w:r>
      <w:r w:rsidR="007E305C">
        <w:rPr>
          <w:rFonts w:eastAsia="Times New Roman" w:cstheme="minorHAnsi"/>
          <w:sz w:val="24"/>
          <w:szCs w:val="24"/>
        </w:rPr>
        <w:t xml:space="preserve"> </w:t>
      </w:r>
      <w:r w:rsidR="004D2551" w:rsidRPr="004D5AAE">
        <w:rPr>
          <w:rFonts w:eastAsia="Times New Roman" w:cstheme="minorHAnsi"/>
          <w:sz w:val="24"/>
          <w:szCs w:val="24"/>
        </w:rPr>
        <w:t xml:space="preserve">nízkému počtu zaměstnanců v poměru k velikosti realizačního týmu </w:t>
      </w:r>
      <w:r w:rsidR="004405E2">
        <w:rPr>
          <w:rFonts w:eastAsia="Times New Roman" w:cstheme="minorHAnsi"/>
          <w:sz w:val="24"/>
          <w:szCs w:val="24"/>
        </w:rPr>
        <w:t>i</w:t>
      </w:r>
      <w:r w:rsidR="004D2551" w:rsidRPr="004D5AAE">
        <w:rPr>
          <w:rFonts w:eastAsia="Times New Roman" w:cstheme="minorHAnsi"/>
          <w:sz w:val="24"/>
          <w:szCs w:val="24"/>
        </w:rPr>
        <w:t xml:space="preserve"> vzhledem k</w:t>
      </w:r>
      <w:r w:rsidR="002622B7">
        <w:rPr>
          <w:rFonts w:eastAsia="Times New Roman" w:cstheme="minorHAnsi"/>
          <w:sz w:val="24"/>
          <w:szCs w:val="24"/>
        </w:rPr>
        <w:t xml:space="preserve"> </w:t>
      </w:r>
      <w:r w:rsidR="004D2551" w:rsidRPr="004D5AAE">
        <w:rPr>
          <w:rFonts w:eastAsia="Times New Roman" w:cstheme="minorHAnsi"/>
          <w:sz w:val="24"/>
          <w:szCs w:val="24"/>
        </w:rPr>
        <w:t>neprokazatelnosti dopadu některých implementovaných doporučení na rovnost žen a mužů.</w:t>
      </w:r>
      <w:r w:rsidR="005508D7">
        <w:rPr>
          <w:rStyle w:val="Znakapoznpodarou"/>
          <w:rFonts w:eastAsia="Times New Roman" w:cstheme="minorHAnsi"/>
          <w:sz w:val="24"/>
          <w:szCs w:val="24"/>
        </w:rPr>
        <w:footnoteReference w:id="29"/>
      </w:r>
    </w:p>
    <w:p w14:paraId="37F144BD" w14:textId="77777777" w:rsidR="00832D73" w:rsidRDefault="00832D73" w:rsidP="00832D73">
      <w:pPr>
        <w:pStyle w:val="Mluvcnadpis"/>
      </w:pPr>
      <w:r>
        <w:t>Část auditorů neprokázala splnění kvalifikačních požadavků</w:t>
      </w:r>
    </w:p>
    <w:p w14:paraId="3DE6CE98" w14:textId="5FB2EE4F" w:rsidR="00832D73" w:rsidRPr="00533B6F" w:rsidRDefault="00832D73" w:rsidP="00832D73">
      <w:pPr>
        <w:pStyle w:val="JK4"/>
      </w:pPr>
      <w:r>
        <w:t>Standard GA stanoví, že v auditorském týmu má mít vždy minimálně jedna osoba prokazatelnou zkušenost s realizací min</w:t>
      </w:r>
      <w:r w:rsidR="005C2E1E">
        <w:t>imálně</w:t>
      </w:r>
      <w:r>
        <w:t xml:space="preserve"> tří genderových auditů v odpovídajícím typu AO, nebo výjimečně prokazatelnou znalost fungování odpovídajícího typu AO. Standard GA dále stanoví, že každý/á člen/</w:t>
      </w:r>
      <w:proofErr w:type="spellStart"/>
      <w:r>
        <w:t>ka</w:t>
      </w:r>
      <w:proofErr w:type="spellEnd"/>
      <w:r>
        <w:t xml:space="preserve"> auditorského týmu má ukončené vysokoškolské vzdělání minimálně bakalářského stupně a prokazatelnou tříletou praxi v oblasti rovnosti žen a mužů a/nebo genderových vztahů anebo ukončené vysokoškolské vzdělání minimálně bakalářského stupně a prokazatelnou publikační činnost v oblasti rovnosti žen a mužů a/nebo genderových vztahů. </w:t>
      </w:r>
    </w:p>
    <w:p w14:paraId="5A907615" w14:textId="0165558B" w:rsidR="00832D73" w:rsidRPr="00A51A34" w:rsidRDefault="00832D73" w:rsidP="00832D73">
      <w:pPr>
        <w:pStyle w:val="JK4"/>
      </w:pPr>
      <w:r>
        <w:t>U jednoho příjemce z</w:t>
      </w:r>
      <w:r w:rsidR="00F820FA">
        <w:t xml:space="preserve"> </w:t>
      </w:r>
      <w:r>
        <w:t>vybraného vzorku projektů NKÚ zjistil, že někteří členové auditorského týmu požadovanou kvalifikaci neprokázali.</w:t>
      </w:r>
    </w:p>
    <w:p w14:paraId="730EEDCD" w14:textId="77777777" w:rsidR="00832D73" w:rsidRPr="008953D6" w:rsidRDefault="00832D73" w:rsidP="00832D73">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8953D6">
        <w:rPr>
          <w:b/>
          <w:sz w:val="24"/>
          <w:szCs w:val="24"/>
        </w:rPr>
        <w:t xml:space="preserve">Příklad č. </w:t>
      </w:r>
      <w:r w:rsidR="00723F33">
        <w:rPr>
          <w:b/>
          <w:sz w:val="24"/>
          <w:szCs w:val="24"/>
        </w:rPr>
        <w:t>9</w:t>
      </w:r>
      <w:r w:rsidRPr="008953D6">
        <w:rPr>
          <w:b/>
          <w:sz w:val="24"/>
          <w:szCs w:val="24"/>
        </w:rPr>
        <w:t>:</w:t>
      </w:r>
    </w:p>
    <w:p w14:paraId="1EC5BA13" w14:textId="77777777" w:rsidR="00832D73" w:rsidRPr="009A1F51" w:rsidRDefault="00832D73" w:rsidP="00832D73">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9A1F51">
        <w:rPr>
          <w:sz w:val="24"/>
          <w:szCs w:val="24"/>
        </w:rPr>
        <w:t>Příjemce porušil podmínku týkající se účelu dotace, když nerealizoval genderové audity u</w:t>
      </w:r>
      <w:r>
        <w:rPr>
          <w:sz w:val="24"/>
          <w:szCs w:val="24"/>
        </w:rPr>
        <w:t> </w:t>
      </w:r>
      <w:r w:rsidRPr="009A1F51">
        <w:rPr>
          <w:sz w:val="24"/>
          <w:szCs w:val="24"/>
        </w:rPr>
        <w:t xml:space="preserve">zaměstnavatelů v souladu se Standardem </w:t>
      </w:r>
      <w:r>
        <w:rPr>
          <w:sz w:val="24"/>
          <w:szCs w:val="24"/>
        </w:rPr>
        <w:t>GA</w:t>
      </w:r>
      <w:r w:rsidRPr="009A1F51">
        <w:rPr>
          <w:sz w:val="24"/>
          <w:szCs w:val="24"/>
        </w:rPr>
        <w:t xml:space="preserve">, </w:t>
      </w:r>
      <w:r>
        <w:rPr>
          <w:sz w:val="24"/>
          <w:szCs w:val="24"/>
        </w:rPr>
        <w:t>neboť</w:t>
      </w:r>
      <w:r w:rsidRPr="009A1F51">
        <w:rPr>
          <w:sz w:val="24"/>
          <w:szCs w:val="24"/>
        </w:rPr>
        <w:t xml:space="preserve"> členové a členky auditorského týmu neměli prokazatelnou tříletou praxi v oblasti rovnosti žen a mužů a/nebo genderových vztahů anebo prokazatelnou publikační činnost v oblasti rovnosti žen a mužů a/nebo genderových vztahů. </w:t>
      </w:r>
      <w:r w:rsidRPr="00744814">
        <w:rPr>
          <w:sz w:val="24"/>
          <w:szCs w:val="24"/>
        </w:rPr>
        <w:t>Kromě toho členové auditorského týmu za účelem doložení své kvalifikace uváděli v</w:t>
      </w:r>
      <w:r>
        <w:rPr>
          <w:sz w:val="24"/>
          <w:szCs w:val="24"/>
        </w:rPr>
        <w:t> </w:t>
      </w:r>
      <w:r w:rsidRPr="00744814">
        <w:rPr>
          <w:sz w:val="24"/>
          <w:szCs w:val="24"/>
        </w:rPr>
        <w:t>životopisech zkušenosti s realizací genderových auditů u zaměstnavatelů, kteří zaměstnávali pou</w:t>
      </w:r>
      <w:r>
        <w:rPr>
          <w:sz w:val="24"/>
          <w:szCs w:val="24"/>
        </w:rPr>
        <w:t>ze</w:t>
      </w:r>
      <w:r w:rsidRPr="00744814">
        <w:rPr>
          <w:sz w:val="24"/>
          <w:szCs w:val="24"/>
        </w:rPr>
        <w:t xml:space="preserve"> </w:t>
      </w:r>
      <w:r>
        <w:rPr>
          <w:sz w:val="24"/>
          <w:szCs w:val="24"/>
        </w:rPr>
        <w:t>jednoho</w:t>
      </w:r>
      <w:r w:rsidRPr="00744814">
        <w:rPr>
          <w:sz w:val="24"/>
          <w:szCs w:val="24"/>
        </w:rPr>
        <w:t xml:space="preserve"> až </w:t>
      </w:r>
      <w:r>
        <w:rPr>
          <w:sz w:val="24"/>
          <w:szCs w:val="24"/>
        </w:rPr>
        <w:t>tři</w:t>
      </w:r>
      <w:r w:rsidRPr="00744814">
        <w:rPr>
          <w:sz w:val="24"/>
          <w:szCs w:val="24"/>
        </w:rPr>
        <w:t xml:space="preserve"> zaměstnance</w:t>
      </w:r>
      <w:r w:rsidRPr="005508D7">
        <w:rPr>
          <w:sz w:val="24"/>
          <w:szCs w:val="24"/>
        </w:rPr>
        <w:t>.</w:t>
      </w:r>
      <w:r w:rsidRPr="005508D7">
        <w:rPr>
          <w:rStyle w:val="Znakapoznpodarou"/>
          <w:sz w:val="24"/>
          <w:szCs w:val="24"/>
        </w:rPr>
        <w:footnoteReference w:id="30"/>
      </w:r>
    </w:p>
    <w:p w14:paraId="22803442" w14:textId="77777777" w:rsidR="00832D73" w:rsidRPr="0086071B" w:rsidRDefault="00832D73" w:rsidP="00832D73">
      <w:pPr>
        <w:pStyle w:val="Mluvcnadpis"/>
      </w:pPr>
      <w:r>
        <w:t>Genderové audity r</w:t>
      </w:r>
      <w:r w:rsidRPr="00EC174D">
        <w:t>ealiz</w:t>
      </w:r>
      <w:r>
        <w:t>ovali auditoři propojení s</w:t>
      </w:r>
      <w:r w:rsidRPr="00EC174D">
        <w:t xml:space="preserve"> </w:t>
      </w:r>
      <w:r>
        <w:t>auditovanými organizacemi</w:t>
      </w:r>
    </w:p>
    <w:p w14:paraId="2B619B26" w14:textId="77777777" w:rsidR="00832D73" w:rsidRPr="000409CF" w:rsidRDefault="00832D73" w:rsidP="00832D73">
      <w:pPr>
        <w:pStyle w:val="JK4"/>
      </w:pPr>
      <w:r w:rsidRPr="000409CF">
        <w:t xml:space="preserve">Standard GA předpokládá, že genderový audit je nejčastěji realizován nezávislou organizací s personálem vyškoleným obecně v tematice genderu a specificky v provádění genderového auditu (tzv. externí audit). </w:t>
      </w:r>
    </w:p>
    <w:p w14:paraId="5A89CC1B" w14:textId="09B93C02" w:rsidR="00832D73" w:rsidRDefault="00832D73" w:rsidP="00832D73">
      <w:pPr>
        <w:pStyle w:val="JK4"/>
      </w:pPr>
      <w:r>
        <w:t xml:space="preserve">NKÚ </w:t>
      </w:r>
      <w:r w:rsidR="005C2E1E">
        <w:t xml:space="preserve">však </w:t>
      </w:r>
      <w:r>
        <w:t xml:space="preserve">zjistil, že propojení auditorů s auditovanými organizacemi </w:t>
      </w:r>
      <w:r w:rsidR="005C2E1E">
        <w:t xml:space="preserve">se </w:t>
      </w:r>
      <w:r>
        <w:t>nevyskytovalo výjimečně</w:t>
      </w:r>
      <w:r w:rsidR="005F1E37">
        <w:t>,</w:t>
      </w:r>
      <w:r>
        <w:t xml:space="preserve"> jak předpokládal Standard GA. MPSV ve výzvách GA </w:t>
      </w:r>
      <w:r w:rsidRPr="003F571D">
        <w:t>připustilo možnost realizovat genderový audit</w:t>
      </w:r>
      <w:r>
        <w:t xml:space="preserve"> </w:t>
      </w:r>
      <w:r w:rsidRPr="003F571D">
        <w:t>vlastními silami, kdy zaměstnavatel audituje tzv. „sám sebe“</w:t>
      </w:r>
      <w:r>
        <w:t>.</w:t>
      </w:r>
      <w:r w:rsidRPr="003F571D">
        <w:t xml:space="preserve"> </w:t>
      </w:r>
      <w:r w:rsidRPr="00CA30EA">
        <w:rPr>
          <w:bCs/>
        </w:rPr>
        <w:t>NKÚ dále na vzorku vybraných projektů týkajících se implementace GA zjistil, že členové auditních týmů provádějících genderové audity se až v 89 % podíleli také na realizaci podpořených projektů.</w:t>
      </w:r>
      <w:r>
        <w:t xml:space="preserve"> V 56 % případů bylo dokonce zjištěno úplné propojení, tedy stav, kdy se člen auditního týmu podílel na realizaci projektu IGA a zároveň vypracovával jak genderový audit</w:t>
      </w:r>
      <w:r w:rsidRPr="00085305">
        <w:t>, který sloužil jako podklad pro realizaci vybraných opatření prováděn</w:t>
      </w:r>
      <w:r>
        <w:t>ých</w:t>
      </w:r>
      <w:r w:rsidRPr="00085305">
        <w:t xml:space="preserve"> v rámci projektu, tak genderový audit</w:t>
      </w:r>
      <w:r w:rsidR="007E305C">
        <w:t xml:space="preserve">, který </w:t>
      </w:r>
      <w:r w:rsidR="006812FB">
        <w:t>byl</w:t>
      </w:r>
      <w:r w:rsidR="007E305C">
        <w:t xml:space="preserve"> prov</w:t>
      </w:r>
      <w:r w:rsidR="006812FB">
        <w:t>eden</w:t>
      </w:r>
      <w:r w:rsidR="007E305C">
        <w:t xml:space="preserve"> </w:t>
      </w:r>
      <w:r w:rsidRPr="00085305">
        <w:t xml:space="preserve">na konci realizace projektu </w:t>
      </w:r>
      <w:r w:rsidR="007E305C">
        <w:t xml:space="preserve">a </w:t>
      </w:r>
      <w:r w:rsidR="006812FB">
        <w:t xml:space="preserve">měl </w:t>
      </w:r>
      <w:r w:rsidRPr="00085305">
        <w:t>osvědč</w:t>
      </w:r>
      <w:r w:rsidR="006812FB">
        <w:t>it</w:t>
      </w:r>
      <w:r w:rsidRPr="00085305">
        <w:t xml:space="preserve"> zdárnou implementaci vybraných opatření.</w:t>
      </w:r>
      <w:r>
        <w:t xml:space="preserve"> </w:t>
      </w:r>
      <w:r w:rsidRPr="001A3416">
        <w:t>Tento postup tak ztratil charakter výjimečn</w:t>
      </w:r>
      <w:r>
        <w:t xml:space="preserve">osti </w:t>
      </w:r>
      <w:r w:rsidR="007E305C">
        <w:t xml:space="preserve">(navzdory </w:t>
      </w:r>
      <w:r>
        <w:t>předpokl</w:t>
      </w:r>
      <w:r w:rsidR="007E305C">
        <w:t>adu uvedenému ve</w:t>
      </w:r>
      <w:r>
        <w:t xml:space="preserve"> Standard</w:t>
      </w:r>
      <w:r w:rsidR="007E305C">
        <w:t>u</w:t>
      </w:r>
      <w:r>
        <w:t xml:space="preserve"> GA</w:t>
      </w:r>
      <w:r w:rsidR="007E305C">
        <w:t>)</w:t>
      </w:r>
      <w:r>
        <w:t xml:space="preserve">, neboť jen v 11 % případů nebyla zjištěna žádná propojenost (graf č. </w:t>
      </w:r>
      <w:r w:rsidR="00723F33">
        <w:t>3</w:t>
      </w:r>
      <w:r>
        <w:t xml:space="preserve">). </w:t>
      </w:r>
    </w:p>
    <w:p w14:paraId="736816B3" w14:textId="25E579EB" w:rsidR="00832D73" w:rsidRPr="000409CF" w:rsidRDefault="00832D73" w:rsidP="00F239F9">
      <w:pPr>
        <w:keepNext/>
        <w:tabs>
          <w:tab w:val="right" w:pos="9072"/>
        </w:tabs>
        <w:spacing w:before="240" w:after="40" w:line="240" w:lineRule="auto"/>
        <w:jc w:val="both"/>
        <w:rPr>
          <w:rFonts w:ascii="Calibri" w:hAnsi="Calibri" w:cs="Calibri"/>
          <w:b/>
          <w:color w:val="000000" w:themeColor="text1"/>
          <w:sz w:val="24"/>
          <w:szCs w:val="24"/>
        </w:rPr>
      </w:pPr>
      <w:r w:rsidRPr="000409CF">
        <w:rPr>
          <w:rFonts w:ascii="Calibri" w:hAnsi="Calibri" w:cs="Calibri"/>
          <w:b/>
          <w:color w:val="000000" w:themeColor="text1"/>
          <w:sz w:val="24"/>
          <w:szCs w:val="24"/>
        </w:rPr>
        <w:t xml:space="preserve">Graf č. </w:t>
      </w:r>
      <w:r w:rsidR="00723F33">
        <w:rPr>
          <w:rFonts w:ascii="Calibri" w:hAnsi="Calibri" w:cs="Calibri"/>
          <w:b/>
          <w:color w:val="000000" w:themeColor="text1"/>
          <w:sz w:val="24"/>
          <w:szCs w:val="24"/>
        </w:rPr>
        <w:t>3</w:t>
      </w:r>
      <w:r w:rsidRPr="000409CF">
        <w:rPr>
          <w:rFonts w:ascii="Calibri" w:hAnsi="Calibri" w:cs="Calibri"/>
          <w:b/>
          <w:color w:val="000000" w:themeColor="text1"/>
          <w:sz w:val="24"/>
          <w:szCs w:val="24"/>
        </w:rPr>
        <w:t>: Přehled účasti genderov</w:t>
      </w:r>
      <w:r w:rsidR="006C0A7A">
        <w:rPr>
          <w:rFonts w:ascii="Calibri" w:hAnsi="Calibri" w:cs="Calibri"/>
          <w:b/>
          <w:color w:val="000000" w:themeColor="text1"/>
          <w:sz w:val="24"/>
          <w:szCs w:val="24"/>
        </w:rPr>
        <w:t xml:space="preserve">ých </w:t>
      </w:r>
      <w:r w:rsidRPr="000409CF">
        <w:rPr>
          <w:rFonts w:ascii="Calibri" w:hAnsi="Calibri" w:cs="Calibri"/>
          <w:b/>
          <w:color w:val="000000" w:themeColor="text1"/>
          <w:sz w:val="24"/>
          <w:szCs w:val="24"/>
        </w:rPr>
        <w:t>audit</w:t>
      </w:r>
      <w:r w:rsidR="006C0A7A">
        <w:rPr>
          <w:rFonts w:ascii="Calibri" w:hAnsi="Calibri" w:cs="Calibri"/>
          <w:b/>
          <w:color w:val="000000" w:themeColor="text1"/>
          <w:sz w:val="24"/>
          <w:szCs w:val="24"/>
        </w:rPr>
        <w:t>orů</w:t>
      </w:r>
      <w:r w:rsidRPr="000409CF">
        <w:rPr>
          <w:rFonts w:ascii="Calibri" w:hAnsi="Calibri" w:cs="Calibri"/>
          <w:b/>
          <w:color w:val="000000" w:themeColor="text1"/>
          <w:sz w:val="24"/>
          <w:szCs w:val="24"/>
        </w:rPr>
        <w:t xml:space="preserve"> na administraci projekt</w:t>
      </w:r>
      <w:r w:rsidR="006C0A7A">
        <w:rPr>
          <w:rFonts w:ascii="Calibri" w:hAnsi="Calibri" w:cs="Calibri"/>
          <w:b/>
          <w:color w:val="000000" w:themeColor="text1"/>
          <w:sz w:val="24"/>
          <w:szCs w:val="24"/>
        </w:rPr>
        <w:t>u</w:t>
      </w:r>
    </w:p>
    <w:p w14:paraId="7B3BCAA2" w14:textId="77777777" w:rsidR="00832D73" w:rsidRDefault="00832D73" w:rsidP="00832D73">
      <w:pPr>
        <w:pStyle w:val="JK4"/>
        <w:numPr>
          <w:ilvl w:val="0"/>
          <w:numId w:val="0"/>
        </w:numPr>
        <w:rPr>
          <w:highlight w:val="green"/>
        </w:rPr>
      </w:pPr>
      <w:r>
        <w:rPr>
          <w:noProof/>
        </w:rPr>
        <w:drawing>
          <wp:inline distT="0" distB="0" distL="0" distR="0" wp14:anchorId="3D635A7C" wp14:editId="764DE939">
            <wp:extent cx="5791200" cy="2419350"/>
            <wp:effectExtent l="0" t="0" r="0" b="0"/>
            <wp:docPr id="6" name="Graf 6">
              <a:extLst xmlns:a="http://schemas.openxmlformats.org/drawingml/2006/main">
                <a:ext uri="{FF2B5EF4-FFF2-40B4-BE49-F238E27FC236}">
                  <a16:creationId xmlns:a16="http://schemas.microsoft.com/office/drawing/2014/main" id="{F7F65262-37B7-4856-A3A8-8BFD32E42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D9A190" w14:textId="658537F5" w:rsidR="00832D73" w:rsidRDefault="00832D73" w:rsidP="00832D73">
      <w:pPr>
        <w:pStyle w:val="JK4"/>
        <w:numPr>
          <w:ilvl w:val="0"/>
          <w:numId w:val="0"/>
        </w:numPr>
        <w:rPr>
          <w:highlight w:val="green"/>
        </w:rPr>
      </w:pPr>
      <w:r>
        <w:rPr>
          <w:b/>
          <w:bCs/>
          <w:sz w:val="20"/>
          <w:szCs w:val="20"/>
        </w:rPr>
        <w:t xml:space="preserve">Zdroj: </w:t>
      </w:r>
      <w:r>
        <w:rPr>
          <w:bCs/>
          <w:sz w:val="20"/>
          <w:szCs w:val="20"/>
        </w:rPr>
        <w:t>IS MS2014+</w:t>
      </w:r>
      <w:r w:rsidR="007E305C">
        <w:rPr>
          <w:bCs/>
          <w:sz w:val="20"/>
          <w:szCs w:val="20"/>
        </w:rPr>
        <w:t>;</w:t>
      </w:r>
      <w:r>
        <w:rPr>
          <w:bCs/>
          <w:sz w:val="20"/>
          <w:szCs w:val="20"/>
        </w:rPr>
        <w:t xml:space="preserve"> </w:t>
      </w:r>
      <w:r>
        <w:rPr>
          <w:sz w:val="20"/>
          <w:szCs w:val="20"/>
        </w:rPr>
        <w:t>analýzu dat vypracoval NKÚ.</w:t>
      </w:r>
    </w:p>
    <w:p w14:paraId="1B17DCC5" w14:textId="453170ED" w:rsidR="00832D73" w:rsidRPr="006F508C" w:rsidRDefault="00832D73" w:rsidP="00832D73">
      <w:pPr>
        <w:pStyle w:val="JK4"/>
      </w:pPr>
      <w:r>
        <w:t>Situaci</w:t>
      </w:r>
      <w:r w:rsidRPr="006F508C">
        <w:t>,</w:t>
      </w:r>
      <w:r>
        <w:t xml:space="preserve"> kdy NKÚ zjistil, že </w:t>
      </w:r>
      <w:r w:rsidRPr="006F508C">
        <w:t>došlo k</w:t>
      </w:r>
      <w:r w:rsidR="007A02BD">
        <w:t xml:space="preserve"> </w:t>
      </w:r>
      <w:r w:rsidRPr="006F508C">
        <w:t xml:space="preserve">úplnému propojení auditorů a </w:t>
      </w:r>
      <w:r>
        <w:t>příjemce podpory</w:t>
      </w:r>
      <w:r w:rsidRPr="006F508C">
        <w:t xml:space="preserve"> v rámci projektu implementace GA, </w:t>
      </w:r>
      <w:r>
        <w:t>popisuje p</w:t>
      </w:r>
      <w:r w:rsidRPr="006F508C">
        <w:t>říklad č. 1</w:t>
      </w:r>
      <w:r w:rsidR="00723F33">
        <w:t>0</w:t>
      </w:r>
      <w:r w:rsidRPr="006F508C">
        <w:t>.</w:t>
      </w:r>
    </w:p>
    <w:p w14:paraId="7D7D21AB" w14:textId="77777777" w:rsidR="00832D73" w:rsidRPr="006F508C" w:rsidRDefault="00832D73" w:rsidP="00832D73">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6F508C">
        <w:rPr>
          <w:b/>
          <w:sz w:val="24"/>
          <w:szCs w:val="24"/>
        </w:rPr>
        <w:t>Příklad č. 1</w:t>
      </w:r>
      <w:r w:rsidR="00723F33">
        <w:rPr>
          <w:b/>
          <w:sz w:val="24"/>
          <w:szCs w:val="24"/>
        </w:rPr>
        <w:t>0</w:t>
      </w:r>
      <w:r w:rsidRPr="006F508C">
        <w:rPr>
          <w:b/>
          <w:sz w:val="24"/>
          <w:szCs w:val="24"/>
        </w:rPr>
        <w:t>:</w:t>
      </w:r>
    </w:p>
    <w:p w14:paraId="44818E7D" w14:textId="254B9DB4" w:rsidR="00832D73" w:rsidRPr="001716AD" w:rsidRDefault="00832D73" w:rsidP="00832D73">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GA</w:t>
      </w:r>
      <w:r w:rsidRPr="001716AD">
        <w:rPr>
          <w:sz w:val="24"/>
          <w:szCs w:val="24"/>
        </w:rPr>
        <w:t xml:space="preserve">, který byl podkladem pro </w:t>
      </w:r>
      <w:r>
        <w:rPr>
          <w:sz w:val="24"/>
          <w:szCs w:val="24"/>
        </w:rPr>
        <w:t>implementaci opatření k odstranění nerovností mezi ženami a muži</w:t>
      </w:r>
      <w:r w:rsidRPr="001716AD">
        <w:rPr>
          <w:sz w:val="24"/>
          <w:szCs w:val="24"/>
        </w:rPr>
        <w:t xml:space="preserve">, i </w:t>
      </w:r>
      <w:r>
        <w:rPr>
          <w:sz w:val="24"/>
          <w:szCs w:val="24"/>
        </w:rPr>
        <w:t xml:space="preserve">následný </w:t>
      </w:r>
      <w:r w:rsidRPr="001716AD">
        <w:rPr>
          <w:sz w:val="24"/>
          <w:szCs w:val="24"/>
        </w:rPr>
        <w:t>genderový audit, který</w:t>
      </w:r>
      <w:r>
        <w:rPr>
          <w:sz w:val="24"/>
          <w:szCs w:val="24"/>
        </w:rPr>
        <w:t xml:space="preserve"> měl prokázat</w:t>
      </w:r>
      <w:r w:rsidRPr="001716AD">
        <w:rPr>
          <w:sz w:val="24"/>
          <w:szCs w:val="24"/>
        </w:rPr>
        <w:t xml:space="preserve"> úspěšnou </w:t>
      </w:r>
      <w:r>
        <w:rPr>
          <w:sz w:val="24"/>
          <w:szCs w:val="24"/>
        </w:rPr>
        <w:t>realizaci</w:t>
      </w:r>
      <w:r w:rsidRPr="001716AD">
        <w:rPr>
          <w:sz w:val="24"/>
          <w:szCs w:val="24"/>
        </w:rPr>
        <w:t xml:space="preserve"> </w:t>
      </w:r>
      <w:r>
        <w:rPr>
          <w:sz w:val="24"/>
          <w:szCs w:val="24"/>
        </w:rPr>
        <w:t>implementovaných opatření</w:t>
      </w:r>
      <w:r w:rsidRPr="001716AD">
        <w:rPr>
          <w:sz w:val="24"/>
          <w:szCs w:val="24"/>
        </w:rPr>
        <w:t xml:space="preserve">, vykonala v pozici členky auditního týmu </w:t>
      </w:r>
      <w:r>
        <w:rPr>
          <w:sz w:val="24"/>
          <w:szCs w:val="24"/>
        </w:rPr>
        <w:t>jedna a táž osoba</w:t>
      </w:r>
      <w:r w:rsidRPr="001716AD">
        <w:rPr>
          <w:sz w:val="24"/>
          <w:szCs w:val="24"/>
        </w:rPr>
        <w:t xml:space="preserve">. Tato osoba přitom byla zároveň administrátorkou projektu, </w:t>
      </w:r>
      <w:r w:rsidR="007E305C">
        <w:rPr>
          <w:sz w:val="24"/>
          <w:szCs w:val="24"/>
        </w:rPr>
        <w:t>takže</w:t>
      </w:r>
      <w:r w:rsidR="007E305C" w:rsidRPr="001716AD">
        <w:rPr>
          <w:sz w:val="24"/>
          <w:szCs w:val="24"/>
        </w:rPr>
        <w:t xml:space="preserve"> </w:t>
      </w:r>
      <w:r w:rsidRPr="001716AD">
        <w:rPr>
          <w:sz w:val="24"/>
          <w:szCs w:val="24"/>
        </w:rPr>
        <w:t>ve spolupráci s příjemcem prováděla kompletní administrativní zabezpečení všech záležitostí souvisejících s realizací projektu</w:t>
      </w:r>
      <w:r>
        <w:rPr>
          <w:sz w:val="24"/>
          <w:szCs w:val="24"/>
        </w:rPr>
        <w:t xml:space="preserve"> IGA</w:t>
      </w:r>
      <w:r w:rsidRPr="001716AD">
        <w:rPr>
          <w:sz w:val="24"/>
          <w:szCs w:val="24"/>
        </w:rPr>
        <w:t xml:space="preserve">. Příjemce s ní uzavřel smlouvu o spolupráci, na </w:t>
      </w:r>
      <w:r>
        <w:rPr>
          <w:sz w:val="24"/>
          <w:szCs w:val="24"/>
        </w:rPr>
        <w:t xml:space="preserve">jejímž </w:t>
      </w:r>
      <w:r w:rsidRPr="001716AD">
        <w:rPr>
          <w:sz w:val="24"/>
          <w:szCs w:val="24"/>
        </w:rPr>
        <w:t>základě jí za úspěšnou realizaci projektu přísluš</w:t>
      </w:r>
      <w:r>
        <w:rPr>
          <w:sz w:val="24"/>
          <w:szCs w:val="24"/>
        </w:rPr>
        <w:t>ela</w:t>
      </w:r>
      <w:r w:rsidRPr="001716AD">
        <w:rPr>
          <w:sz w:val="24"/>
          <w:szCs w:val="24"/>
        </w:rPr>
        <w:t xml:space="preserve"> finanční odměna. </w:t>
      </w:r>
      <w:r>
        <w:rPr>
          <w:sz w:val="24"/>
          <w:szCs w:val="24"/>
        </w:rPr>
        <w:t>T</w:t>
      </w:r>
      <w:r w:rsidRPr="00CB353B">
        <w:rPr>
          <w:sz w:val="24"/>
          <w:szCs w:val="24"/>
        </w:rPr>
        <w:t>ato osoba</w:t>
      </w:r>
      <w:r w:rsidRPr="00CB353B" w:rsidDel="00F93C6B">
        <w:rPr>
          <w:sz w:val="24"/>
          <w:szCs w:val="24"/>
        </w:rPr>
        <w:t xml:space="preserve"> se </w:t>
      </w:r>
      <w:r>
        <w:rPr>
          <w:sz w:val="24"/>
          <w:szCs w:val="24"/>
        </w:rPr>
        <w:t>tedy účastnila auditu, který provedl analýzu fungování příjemce z</w:t>
      </w:r>
      <w:r w:rsidR="007E305C">
        <w:rPr>
          <w:sz w:val="24"/>
          <w:szCs w:val="24"/>
        </w:rPr>
        <w:t xml:space="preserve"> </w:t>
      </w:r>
      <w:r>
        <w:rPr>
          <w:sz w:val="24"/>
          <w:szCs w:val="24"/>
        </w:rPr>
        <w:t xml:space="preserve">pohledu genderové rovnosti, </w:t>
      </w:r>
      <w:proofErr w:type="spellStart"/>
      <w:r>
        <w:rPr>
          <w:sz w:val="24"/>
          <w:szCs w:val="24"/>
        </w:rPr>
        <w:t>spolu</w:t>
      </w:r>
      <w:r w:rsidRPr="00CB353B">
        <w:rPr>
          <w:sz w:val="24"/>
          <w:szCs w:val="24"/>
        </w:rPr>
        <w:t>navrhovala</w:t>
      </w:r>
      <w:proofErr w:type="spellEnd"/>
      <w:r w:rsidRPr="00CB353B">
        <w:rPr>
          <w:sz w:val="24"/>
          <w:szCs w:val="24"/>
        </w:rPr>
        <w:t xml:space="preserve"> opatření</w:t>
      </w:r>
      <w:r>
        <w:rPr>
          <w:sz w:val="24"/>
          <w:szCs w:val="24"/>
        </w:rPr>
        <w:t xml:space="preserve"> k</w:t>
      </w:r>
      <w:r w:rsidR="007E305C">
        <w:rPr>
          <w:sz w:val="24"/>
          <w:szCs w:val="24"/>
        </w:rPr>
        <w:t xml:space="preserve"> </w:t>
      </w:r>
      <w:r>
        <w:rPr>
          <w:sz w:val="24"/>
          <w:szCs w:val="24"/>
        </w:rPr>
        <w:t>řešení odhalených nedostatků a slabých míst</w:t>
      </w:r>
      <w:r w:rsidRPr="00CB353B">
        <w:rPr>
          <w:sz w:val="24"/>
          <w:szCs w:val="24"/>
        </w:rPr>
        <w:t>, podílela se na činnostech souvisejících s realizací opatření</w:t>
      </w:r>
      <w:r>
        <w:rPr>
          <w:sz w:val="24"/>
          <w:szCs w:val="24"/>
        </w:rPr>
        <w:t xml:space="preserve"> vybraných v</w:t>
      </w:r>
      <w:r w:rsidR="007E305C">
        <w:rPr>
          <w:sz w:val="24"/>
          <w:szCs w:val="24"/>
        </w:rPr>
        <w:t xml:space="preserve"> </w:t>
      </w:r>
      <w:r>
        <w:rPr>
          <w:sz w:val="24"/>
          <w:szCs w:val="24"/>
        </w:rPr>
        <w:t>rámci projektu příjemcem k</w:t>
      </w:r>
      <w:r w:rsidR="007E305C">
        <w:rPr>
          <w:sz w:val="24"/>
          <w:szCs w:val="24"/>
        </w:rPr>
        <w:t xml:space="preserve"> </w:t>
      </w:r>
      <w:proofErr w:type="gramStart"/>
      <w:r>
        <w:rPr>
          <w:sz w:val="24"/>
          <w:szCs w:val="24"/>
        </w:rPr>
        <w:t>realizaci</w:t>
      </w:r>
      <w:proofErr w:type="gramEnd"/>
      <w:r w:rsidRPr="00CB353B">
        <w:rPr>
          <w:sz w:val="24"/>
          <w:szCs w:val="24"/>
        </w:rPr>
        <w:t xml:space="preserve"> a nakonec se </w:t>
      </w:r>
      <w:r>
        <w:rPr>
          <w:sz w:val="24"/>
          <w:szCs w:val="24"/>
        </w:rPr>
        <w:t>účastnila</w:t>
      </w:r>
      <w:r w:rsidR="007E305C">
        <w:rPr>
          <w:sz w:val="24"/>
          <w:szCs w:val="24"/>
        </w:rPr>
        <w:t xml:space="preserve"> i</w:t>
      </w:r>
      <w:r w:rsidRPr="00CB353B">
        <w:rPr>
          <w:sz w:val="24"/>
          <w:szCs w:val="24"/>
        </w:rPr>
        <w:t xml:space="preserve"> hodnocení úspěšnosti projektu, </w:t>
      </w:r>
      <w:r>
        <w:rPr>
          <w:sz w:val="24"/>
          <w:szCs w:val="24"/>
        </w:rPr>
        <w:t>do kterého byla zapojena</w:t>
      </w:r>
      <w:r w:rsidRPr="00CB353B">
        <w:rPr>
          <w:sz w:val="24"/>
          <w:szCs w:val="24"/>
        </w:rPr>
        <w:t>.</w:t>
      </w:r>
      <w:r>
        <w:rPr>
          <w:rStyle w:val="Znakapoznpodarou"/>
          <w:sz w:val="24"/>
          <w:szCs w:val="24"/>
        </w:rPr>
        <w:footnoteReference w:id="31"/>
      </w:r>
    </w:p>
    <w:p w14:paraId="39442482" w14:textId="77777777" w:rsidR="00985ED7" w:rsidRPr="00823002" w:rsidRDefault="00393603" w:rsidP="000409CF">
      <w:pPr>
        <w:pStyle w:val="Mluvcnadpis"/>
      </w:pPr>
      <w:r>
        <w:t xml:space="preserve">MPSV </w:t>
      </w:r>
      <w:r w:rsidR="00C726A2">
        <w:t>ne</w:t>
      </w:r>
      <w:r w:rsidR="00046A68">
        <w:t>stanovil</w:t>
      </w:r>
      <w:r w:rsidR="0071201E">
        <w:t>o</w:t>
      </w:r>
      <w:r w:rsidR="00046A68">
        <w:t xml:space="preserve"> </w:t>
      </w:r>
      <w:r w:rsidR="00C726A2">
        <w:t>jednoznačn</w:t>
      </w:r>
      <w:r w:rsidR="00D91C1C">
        <w:t>é</w:t>
      </w:r>
      <w:r w:rsidR="00046A68" w:rsidDel="00D91C1C">
        <w:t xml:space="preserve"> </w:t>
      </w:r>
      <w:r w:rsidR="00046A68">
        <w:t xml:space="preserve">podmínky pro způsobilost výdajů </w:t>
      </w:r>
    </w:p>
    <w:p w14:paraId="06395391" w14:textId="60EDBE2F" w:rsidR="009A0E18" w:rsidRDefault="007B38A4" w:rsidP="000409CF">
      <w:pPr>
        <w:pStyle w:val="JK4"/>
      </w:pPr>
      <w:r>
        <w:t>Standard GA stanoví, že v</w:t>
      </w:r>
      <w:r w:rsidR="009A0E18" w:rsidRPr="009A0E18">
        <w:t xml:space="preserve"> rámci výzvy může každý zaměstnavatel projít genderovým auditem pouze jednou. Výjimku tvoří situace, kdy je z objektivních časových nebo místních důvodů auditována pouze část určité organizace. V takovém případě je možné, aby oddělená pracoviště jedné organizace prošla více nezávislými audity</w:t>
      </w:r>
      <w:r>
        <w:t>.</w:t>
      </w:r>
    </w:p>
    <w:p w14:paraId="604787F6" w14:textId="410F7CE6" w:rsidR="00BA0B6F" w:rsidRDefault="007B38A4" w:rsidP="000409CF">
      <w:pPr>
        <w:pStyle w:val="JK4"/>
      </w:pPr>
      <w:r>
        <w:t xml:space="preserve">NKÚ zjistil, že </w:t>
      </w:r>
      <w:r w:rsidR="001A6F2F" w:rsidRPr="001A6F2F">
        <w:t xml:space="preserve">MPSV ve výzvách GA </w:t>
      </w:r>
      <w:r w:rsidR="00EA0BDE">
        <w:t xml:space="preserve">nevysvětlilo </w:t>
      </w:r>
      <w:r w:rsidR="006812FB">
        <w:t xml:space="preserve">podrobně </w:t>
      </w:r>
      <w:r>
        <w:t xml:space="preserve">podmínky </w:t>
      </w:r>
      <w:r w:rsidR="00EA0BDE">
        <w:t>„</w:t>
      </w:r>
      <w:r w:rsidR="00EA0BDE" w:rsidRPr="001A6F2F">
        <w:t>objektivní</w:t>
      </w:r>
      <w:r>
        <w:t>ch</w:t>
      </w:r>
      <w:r w:rsidR="00EA0BDE" w:rsidRPr="001A6F2F">
        <w:t xml:space="preserve"> časov</w:t>
      </w:r>
      <w:r>
        <w:t>ých</w:t>
      </w:r>
      <w:r w:rsidR="00EA0BDE" w:rsidRPr="001A6F2F">
        <w:t xml:space="preserve"> nebo místní</w:t>
      </w:r>
      <w:r>
        <w:t>ch</w:t>
      </w:r>
      <w:r w:rsidR="00EA0BDE" w:rsidRPr="001A6F2F">
        <w:t xml:space="preserve"> důvod</w:t>
      </w:r>
      <w:r>
        <w:t>ů</w:t>
      </w:r>
      <w:r w:rsidR="00EA0BDE">
        <w:t>“</w:t>
      </w:r>
      <w:r>
        <w:t>, které příjemcům umožnily využ</w:t>
      </w:r>
      <w:r w:rsidR="006812FB">
        <w:t>ít</w:t>
      </w:r>
      <w:r>
        <w:t xml:space="preserve"> výše uveden</w:t>
      </w:r>
      <w:r w:rsidR="006812FB">
        <w:t>ou</w:t>
      </w:r>
      <w:r>
        <w:t xml:space="preserve"> výjimk</w:t>
      </w:r>
      <w:r w:rsidR="006812FB">
        <w:t>u</w:t>
      </w:r>
      <w:r w:rsidR="00EA0BDE">
        <w:t xml:space="preserve"> z pravidla, že u jednoho zaměstnavatele nesmí být v rámci jedné výzvy proveden více než jeden genderový audit.</w:t>
      </w:r>
      <w:r w:rsidR="001A6F2F" w:rsidRPr="001A6F2F">
        <w:t xml:space="preserve"> </w:t>
      </w:r>
    </w:p>
    <w:p w14:paraId="3337E19A" w14:textId="77777777" w:rsidR="006811CE" w:rsidRPr="00576196" w:rsidRDefault="006811CE"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576196">
        <w:rPr>
          <w:b/>
          <w:sz w:val="24"/>
          <w:szCs w:val="24"/>
        </w:rPr>
        <w:t>Příklad č. 1</w:t>
      </w:r>
      <w:r w:rsidR="008A3B64">
        <w:rPr>
          <w:b/>
          <w:sz w:val="24"/>
          <w:szCs w:val="24"/>
        </w:rPr>
        <w:t>1</w:t>
      </w:r>
      <w:r w:rsidRPr="00576196">
        <w:rPr>
          <w:b/>
          <w:sz w:val="24"/>
          <w:szCs w:val="24"/>
        </w:rPr>
        <w:t>:</w:t>
      </w:r>
    </w:p>
    <w:p w14:paraId="01D6A6BE" w14:textId="6ED83492" w:rsidR="000A4036" w:rsidRPr="000A4036" w:rsidRDefault="000A4036" w:rsidP="000A4036">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0A4036">
        <w:rPr>
          <w:sz w:val="24"/>
          <w:szCs w:val="24"/>
        </w:rPr>
        <w:t>Příjemce uskutečnil v rámci jednoho projektu genderové audity u centrály a jedné z poboček stejné organizace</w:t>
      </w:r>
      <w:r w:rsidR="00F0156B">
        <w:rPr>
          <w:sz w:val="24"/>
          <w:szCs w:val="24"/>
        </w:rPr>
        <w:t xml:space="preserve"> sídlící ve stejném městě</w:t>
      </w:r>
      <w:r w:rsidRPr="000A4036">
        <w:rPr>
          <w:sz w:val="24"/>
          <w:szCs w:val="24"/>
        </w:rPr>
        <w:t>. Jeden z hodnotitelů věcné správnosti projektu upozor</w:t>
      </w:r>
      <w:r w:rsidR="006812FB">
        <w:rPr>
          <w:sz w:val="24"/>
          <w:szCs w:val="24"/>
        </w:rPr>
        <w:t>nil</w:t>
      </w:r>
      <w:r w:rsidRPr="000A4036">
        <w:rPr>
          <w:sz w:val="24"/>
          <w:szCs w:val="24"/>
        </w:rPr>
        <w:t xml:space="preserve"> na to, že není jasné, z jakého důvodu </w:t>
      </w:r>
      <w:r w:rsidR="006812FB">
        <w:rPr>
          <w:sz w:val="24"/>
          <w:szCs w:val="24"/>
        </w:rPr>
        <w:t xml:space="preserve">hodlá </w:t>
      </w:r>
      <w:r w:rsidRPr="000A4036">
        <w:rPr>
          <w:sz w:val="24"/>
          <w:szCs w:val="24"/>
        </w:rPr>
        <w:t xml:space="preserve">příjemce realizovat genderové audity dvakrát u jednoho zaměstnavatele, a že tento postup by měl příjemce vysvětlit. Aniž by došlo k vysvětlení, poskytovatel příjemci podporu poskytl. NKÚ přitom zjistil, že vzdálenost obou pracovišť činí </w:t>
      </w:r>
      <w:r w:rsidR="00F0156B">
        <w:rPr>
          <w:sz w:val="24"/>
          <w:szCs w:val="24"/>
        </w:rPr>
        <w:t xml:space="preserve">pouhých </w:t>
      </w:r>
      <w:r w:rsidRPr="000A4036">
        <w:rPr>
          <w:sz w:val="24"/>
          <w:szCs w:val="24"/>
        </w:rPr>
        <w:t xml:space="preserve">9 km a seznam auditovaných dokumentů, na </w:t>
      </w:r>
      <w:r w:rsidR="00BF4EC7">
        <w:rPr>
          <w:sz w:val="24"/>
          <w:szCs w:val="24"/>
        </w:rPr>
        <w:t xml:space="preserve">jejichž </w:t>
      </w:r>
      <w:r w:rsidR="00BF4EC7" w:rsidRPr="000A4036">
        <w:rPr>
          <w:sz w:val="24"/>
          <w:szCs w:val="24"/>
        </w:rPr>
        <w:t>základě</w:t>
      </w:r>
      <w:r w:rsidRPr="000A4036">
        <w:rPr>
          <w:sz w:val="24"/>
          <w:szCs w:val="24"/>
        </w:rPr>
        <w:t xml:space="preserve"> byl genderový audit vykonán, </w:t>
      </w:r>
      <w:r w:rsidR="005F1E37">
        <w:rPr>
          <w:sz w:val="24"/>
          <w:szCs w:val="24"/>
        </w:rPr>
        <w:t>byl</w:t>
      </w:r>
      <w:r w:rsidRPr="000A4036">
        <w:rPr>
          <w:sz w:val="24"/>
          <w:szCs w:val="24"/>
        </w:rPr>
        <w:t xml:space="preserve"> pro obě pracoviště totožný. </w:t>
      </w:r>
      <w:r w:rsidR="006812FB">
        <w:rPr>
          <w:sz w:val="24"/>
          <w:szCs w:val="24"/>
        </w:rPr>
        <w:t xml:space="preserve">Kontrola naopak </w:t>
      </w:r>
      <w:r w:rsidR="00BF2CD6">
        <w:rPr>
          <w:sz w:val="24"/>
          <w:szCs w:val="24"/>
        </w:rPr>
        <w:t>nezjistil</w:t>
      </w:r>
      <w:r w:rsidR="006812FB">
        <w:rPr>
          <w:sz w:val="24"/>
          <w:szCs w:val="24"/>
        </w:rPr>
        <w:t>a</w:t>
      </w:r>
      <w:r w:rsidRPr="000A4036">
        <w:rPr>
          <w:sz w:val="24"/>
          <w:szCs w:val="24"/>
        </w:rPr>
        <w:t xml:space="preserve"> žádné jiné skutečnosti, které by prokazovaly existenci objektivních časových nebo místní</w:t>
      </w:r>
      <w:r w:rsidR="006811CE">
        <w:rPr>
          <w:sz w:val="24"/>
          <w:szCs w:val="24"/>
        </w:rPr>
        <w:t>ch</w:t>
      </w:r>
      <w:r w:rsidRPr="000A4036">
        <w:rPr>
          <w:sz w:val="24"/>
          <w:szCs w:val="24"/>
        </w:rPr>
        <w:t xml:space="preserve"> důvodů, na </w:t>
      </w:r>
      <w:r w:rsidR="00BF4EC7">
        <w:rPr>
          <w:sz w:val="24"/>
          <w:szCs w:val="24"/>
        </w:rPr>
        <w:t xml:space="preserve">jejichž </w:t>
      </w:r>
      <w:r w:rsidRPr="000A4036">
        <w:rPr>
          <w:sz w:val="24"/>
          <w:szCs w:val="24"/>
        </w:rPr>
        <w:t>základě by bylo účelné a efektivní provést genderov</w:t>
      </w:r>
      <w:r w:rsidR="00BF4EC7">
        <w:rPr>
          <w:sz w:val="24"/>
          <w:szCs w:val="24"/>
        </w:rPr>
        <w:t>é</w:t>
      </w:r>
      <w:r w:rsidRPr="000A4036">
        <w:rPr>
          <w:sz w:val="24"/>
          <w:szCs w:val="24"/>
        </w:rPr>
        <w:t xml:space="preserve"> audit</w:t>
      </w:r>
      <w:r w:rsidR="00BF4EC7">
        <w:rPr>
          <w:sz w:val="24"/>
          <w:szCs w:val="24"/>
        </w:rPr>
        <w:t>y</w:t>
      </w:r>
      <w:r w:rsidRPr="000A4036">
        <w:rPr>
          <w:sz w:val="24"/>
          <w:szCs w:val="24"/>
        </w:rPr>
        <w:t xml:space="preserve"> u t</w:t>
      </w:r>
      <w:r w:rsidR="00BF4EC7">
        <w:rPr>
          <w:sz w:val="24"/>
          <w:szCs w:val="24"/>
        </w:rPr>
        <w:t>ohoto příjemce</w:t>
      </w:r>
      <w:r w:rsidRPr="000A4036">
        <w:rPr>
          <w:sz w:val="24"/>
          <w:szCs w:val="24"/>
        </w:rPr>
        <w:t xml:space="preserve"> odděleně </w:t>
      </w:r>
      <w:r w:rsidR="00BF4EC7">
        <w:rPr>
          <w:sz w:val="24"/>
          <w:szCs w:val="24"/>
        </w:rPr>
        <w:t>na</w:t>
      </w:r>
      <w:r w:rsidRPr="000A4036">
        <w:rPr>
          <w:sz w:val="24"/>
          <w:szCs w:val="24"/>
        </w:rPr>
        <w:t xml:space="preserve"> </w:t>
      </w:r>
      <w:r w:rsidR="00BF4EC7">
        <w:rPr>
          <w:sz w:val="24"/>
          <w:szCs w:val="24"/>
        </w:rPr>
        <w:t xml:space="preserve">jeho </w:t>
      </w:r>
      <w:r w:rsidRPr="000A4036">
        <w:rPr>
          <w:sz w:val="24"/>
          <w:szCs w:val="24"/>
        </w:rPr>
        <w:t>dvou pracoviš</w:t>
      </w:r>
      <w:r w:rsidR="00BF4EC7">
        <w:rPr>
          <w:sz w:val="24"/>
          <w:szCs w:val="24"/>
        </w:rPr>
        <w:t>tích</w:t>
      </w:r>
      <w:r w:rsidRPr="000A4036">
        <w:rPr>
          <w:sz w:val="24"/>
          <w:szCs w:val="24"/>
        </w:rPr>
        <w:t xml:space="preserve"> a proplatit </w:t>
      </w:r>
      <w:r w:rsidR="00BF4EC7">
        <w:rPr>
          <w:sz w:val="24"/>
          <w:szCs w:val="24"/>
        </w:rPr>
        <w:t>je jako dva samostatné audity</w:t>
      </w:r>
      <w:r w:rsidRPr="000A4036">
        <w:rPr>
          <w:sz w:val="24"/>
          <w:szCs w:val="24"/>
        </w:rPr>
        <w:t>.</w:t>
      </w:r>
      <w:r>
        <w:rPr>
          <w:sz w:val="24"/>
          <w:szCs w:val="24"/>
        </w:rPr>
        <w:t xml:space="preserve"> </w:t>
      </w:r>
      <w:r w:rsidR="007B38A4" w:rsidRPr="007B38A4">
        <w:rPr>
          <w:sz w:val="24"/>
          <w:szCs w:val="24"/>
        </w:rPr>
        <w:t>MPSV p</w:t>
      </w:r>
      <w:r w:rsidR="00F167B7">
        <w:rPr>
          <w:sz w:val="24"/>
          <w:szCs w:val="24"/>
        </w:rPr>
        <w:t>oskytlo</w:t>
      </w:r>
      <w:r w:rsidR="007B38A4">
        <w:rPr>
          <w:sz w:val="24"/>
          <w:szCs w:val="24"/>
        </w:rPr>
        <w:t xml:space="preserve"> příjemci</w:t>
      </w:r>
      <w:r w:rsidR="007B38A4" w:rsidRPr="007B38A4">
        <w:rPr>
          <w:sz w:val="24"/>
          <w:szCs w:val="24"/>
        </w:rPr>
        <w:t xml:space="preserve"> podporu za genderový audit</w:t>
      </w:r>
      <w:r w:rsidR="00576196">
        <w:rPr>
          <w:sz w:val="24"/>
          <w:szCs w:val="24"/>
        </w:rPr>
        <w:t xml:space="preserve"> u centrály</w:t>
      </w:r>
      <w:r w:rsidR="007B38A4" w:rsidRPr="007B38A4">
        <w:rPr>
          <w:sz w:val="24"/>
          <w:szCs w:val="24"/>
        </w:rPr>
        <w:t xml:space="preserve"> ve výši 21</w:t>
      </w:r>
      <w:r w:rsidR="007B38A4">
        <w:rPr>
          <w:sz w:val="24"/>
          <w:szCs w:val="24"/>
        </w:rPr>
        <w:t>4</w:t>
      </w:r>
      <w:r w:rsidR="007B38A4" w:rsidRPr="007B38A4">
        <w:rPr>
          <w:sz w:val="24"/>
          <w:szCs w:val="24"/>
        </w:rPr>
        <w:t xml:space="preserve"> </w:t>
      </w:r>
      <w:r w:rsidR="007B38A4">
        <w:rPr>
          <w:sz w:val="24"/>
          <w:szCs w:val="24"/>
        </w:rPr>
        <w:t>tis. Kč a</w:t>
      </w:r>
      <w:r w:rsidR="007B38A4" w:rsidRPr="007B38A4">
        <w:rPr>
          <w:sz w:val="24"/>
          <w:szCs w:val="24"/>
        </w:rPr>
        <w:t xml:space="preserve"> ve výši 123 </w:t>
      </w:r>
      <w:r w:rsidR="007B38A4">
        <w:rPr>
          <w:sz w:val="24"/>
          <w:szCs w:val="24"/>
        </w:rPr>
        <w:t>tis.</w:t>
      </w:r>
      <w:r w:rsidR="007B38A4" w:rsidRPr="007B38A4">
        <w:rPr>
          <w:sz w:val="24"/>
          <w:szCs w:val="24"/>
        </w:rPr>
        <w:t xml:space="preserve"> Kč</w:t>
      </w:r>
      <w:r w:rsidR="007B38A4">
        <w:rPr>
          <w:sz w:val="24"/>
          <w:szCs w:val="24"/>
        </w:rPr>
        <w:t xml:space="preserve"> za audit u její pobočky</w:t>
      </w:r>
      <w:r w:rsidR="007B38A4" w:rsidRPr="007B38A4">
        <w:rPr>
          <w:sz w:val="24"/>
          <w:szCs w:val="24"/>
        </w:rPr>
        <w:t>.</w:t>
      </w:r>
      <w:r w:rsidR="005508D7">
        <w:rPr>
          <w:rStyle w:val="Znakapoznpodarou"/>
          <w:sz w:val="24"/>
          <w:szCs w:val="24"/>
        </w:rPr>
        <w:footnoteReference w:id="32"/>
      </w:r>
    </w:p>
    <w:p w14:paraId="22C779AD" w14:textId="7765B8A6" w:rsidR="0028156C" w:rsidRDefault="00A2363C" w:rsidP="000409CF">
      <w:pPr>
        <w:pStyle w:val="JK4"/>
      </w:pPr>
      <w:r>
        <w:t>V</w:t>
      </w:r>
      <w:r w:rsidR="00823002" w:rsidRPr="001A3416">
        <w:t>ýzv</w:t>
      </w:r>
      <w:r>
        <w:t>y</w:t>
      </w:r>
      <w:r w:rsidR="00823002" w:rsidRPr="001A3416">
        <w:t xml:space="preserve"> IGA </w:t>
      </w:r>
      <w:r w:rsidR="00C05076">
        <w:t>uvád</w:t>
      </w:r>
      <w:r w:rsidR="006812FB">
        <w:t>ěj</w:t>
      </w:r>
      <w:r w:rsidR="00C05076">
        <w:t xml:space="preserve">í </w:t>
      </w:r>
      <w:r w:rsidR="0002638E" w:rsidRPr="002D43D0">
        <w:t xml:space="preserve">jako způsobilou, avšak pouze doplňkovou aktivitu </w:t>
      </w:r>
      <w:r w:rsidR="0002638E" w:rsidRPr="001814A6">
        <w:t>„</w:t>
      </w:r>
      <w:r w:rsidR="006812FB">
        <w:rPr>
          <w:i/>
        </w:rPr>
        <w:t>p</w:t>
      </w:r>
      <w:r w:rsidR="0002638E" w:rsidRPr="002D43D0">
        <w:rPr>
          <w:i/>
        </w:rPr>
        <w:t>rofesní vzdělávání zaměstnanců/zaměstnankyň za účelem snížení horizontální a vertikální segregace v podniku</w:t>
      </w:r>
      <w:r w:rsidR="0002638E" w:rsidRPr="001814A6">
        <w:t>“</w:t>
      </w:r>
      <w:r w:rsidR="0002638E" w:rsidRPr="002D43D0">
        <w:t>.</w:t>
      </w:r>
      <w:r w:rsidR="0002638E">
        <w:t xml:space="preserve"> </w:t>
      </w:r>
      <w:r w:rsidR="00F16BB7" w:rsidRPr="00F16BB7">
        <w:t xml:space="preserve">Pokud však </w:t>
      </w:r>
      <w:r w:rsidR="00F16BB7">
        <w:t xml:space="preserve">v </w:t>
      </w:r>
      <w:r w:rsidR="00F16BB7" w:rsidRPr="00F16BB7">
        <w:t>podniku není horizontální nebo vertikální segregace zjištěna</w:t>
      </w:r>
      <w:r w:rsidR="00F16BB7">
        <w:t>,</w:t>
      </w:r>
      <w:r w:rsidR="00F16BB7" w:rsidRPr="00F16BB7">
        <w:t xml:space="preserve"> profesní vzdělávání způsobilou aktivitou není. Pokud by podpořené profesní vzdělávání mělo pozitivně ovlivnit riziko jen potenciálně hrozíc</w:t>
      </w:r>
      <w:r w:rsidR="00F16BB7">
        <w:t>í</w:t>
      </w:r>
      <w:r w:rsidR="00F16BB7" w:rsidRPr="00F16BB7">
        <w:t xml:space="preserve"> h</w:t>
      </w:r>
      <w:r w:rsidR="00F16BB7">
        <w:t xml:space="preserve">orizontální nebo vertikální </w:t>
      </w:r>
      <w:r w:rsidR="00F16BB7" w:rsidRPr="00F16BB7">
        <w:t>segregac</w:t>
      </w:r>
      <w:r w:rsidR="00F16BB7">
        <w:t>e</w:t>
      </w:r>
      <w:r w:rsidR="00F16BB7" w:rsidRPr="00F16BB7">
        <w:t xml:space="preserve"> zaměstnanců, nejednalo by se již o podporu rovnosti žen a mužů na trhu práce z hlediska odstranění segregace, ale o</w:t>
      </w:r>
      <w:r w:rsidR="004C3D03">
        <w:t> </w:t>
      </w:r>
      <w:r w:rsidR="00F16BB7" w:rsidRPr="00F16BB7">
        <w:t xml:space="preserve">podporu přímo profesního vzdělávání, což cílem prověřovaných výzev IGA nebylo. </w:t>
      </w:r>
      <w:r w:rsidR="00F16BB7">
        <w:t>NKÚ</w:t>
      </w:r>
      <w:r w:rsidR="00F16BB7" w:rsidDel="00C05076">
        <w:t xml:space="preserve"> </w:t>
      </w:r>
      <w:r w:rsidR="00F16BB7">
        <w:t>zjistil, že v</w:t>
      </w:r>
      <w:r w:rsidR="00F16BB7" w:rsidRPr="001A3416">
        <w:t>ýzv</w:t>
      </w:r>
      <w:r w:rsidR="00F16BB7">
        <w:t>y</w:t>
      </w:r>
      <w:r w:rsidR="00F16BB7" w:rsidRPr="001A3416">
        <w:t xml:space="preserve"> IGA </w:t>
      </w:r>
      <w:r w:rsidR="00F16BB7">
        <w:t xml:space="preserve">nestanovovaly </w:t>
      </w:r>
      <w:r w:rsidR="00F16BB7" w:rsidRPr="001A3416">
        <w:t>jednoznačnou podmínku realizovat u</w:t>
      </w:r>
      <w:r w:rsidR="00F16BB7">
        <w:t> </w:t>
      </w:r>
      <w:r w:rsidR="00F16BB7" w:rsidRPr="001A3416">
        <w:t xml:space="preserve">zaměstnavatelů jen ta školení, která mají </w:t>
      </w:r>
      <w:r w:rsidR="00123A97">
        <w:t xml:space="preserve">pro zaměstnance </w:t>
      </w:r>
      <w:r w:rsidR="00F16BB7" w:rsidRPr="001A3416">
        <w:t>prokazatelný přínos.</w:t>
      </w:r>
    </w:p>
    <w:p w14:paraId="5993B398" w14:textId="3B8BAC6B" w:rsidR="00823002" w:rsidRDefault="00A2363C" w:rsidP="000409CF">
      <w:pPr>
        <w:pStyle w:val="JK4"/>
      </w:pPr>
      <w:r>
        <w:t xml:space="preserve">NKÚ </w:t>
      </w:r>
      <w:r w:rsidR="0002638E">
        <w:t xml:space="preserve">na vybraném vzorku projektů </w:t>
      </w:r>
      <w:r>
        <w:t xml:space="preserve">zjistil, že </w:t>
      </w:r>
      <w:r w:rsidRPr="001A3416">
        <w:t>MPSV akceptov</w:t>
      </w:r>
      <w:r>
        <w:t>alo jako způsobilé projektové aktivity i taková školení,</w:t>
      </w:r>
      <w:r w:rsidRPr="001A3416">
        <w:t xml:space="preserve"> která ne</w:t>
      </w:r>
      <w:r>
        <w:t>byla</w:t>
      </w:r>
      <w:r w:rsidRPr="001A3416">
        <w:t xml:space="preserve"> pro cílovou skupinu zaměstnanců potřebná a využitelná</w:t>
      </w:r>
      <w:r w:rsidR="0002638E">
        <w:t>, neboť</w:t>
      </w:r>
      <w:r>
        <w:t xml:space="preserve"> </w:t>
      </w:r>
      <w:r w:rsidR="00823002" w:rsidRPr="001A3416">
        <w:t>nem</w:t>
      </w:r>
      <w:r>
        <w:t>ěla</w:t>
      </w:r>
      <w:r w:rsidR="00823002" w:rsidRPr="001A3416">
        <w:t xml:space="preserve"> potenciál přispět k narovnávání příležitostí </w:t>
      </w:r>
      <w:r>
        <w:t xml:space="preserve">pro ženy a muže </w:t>
      </w:r>
      <w:r w:rsidR="00823002" w:rsidRPr="001A3416">
        <w:t xml:space="preserve">v organizaci </w:t>
      </w:r>
      <w:r w:rsidR="00190BA6">
        <w:t>nebo</w:t>
      </w:r>
      <w:r w:rsidR="00823002" w:rsidRPr="001A3416">
        <w:t xml:space="preserve"> </w:t>
      </w:r>
      <w:r w:rsidR="0002638E">
        <w:t xml:space="preserve">ke </w:t>
      </w:r>
      <w:r w:rsidR="00823002" w:rsidRPr="001A3416">
        <w:t xml:space="preserve">snížení skutečné horizontální a vertikální segregace v podniku, a to z důvodu charakteru činností, které jsou v podniku vykonávány. </w:t>
      </w:r>
      <w:r w:rsidR="005F1E37">
        <w:t>P</w:t>
      </w:r>
      <w:r w:rsidR="002D269F">
        <w:t xml:space="preserve">eněžní </w:t>
      </w:r>
      <w:r w:rsidR="00823002" w:rsidRPr="001A3416">
        <w:t xml:space="preserve">prostředky </w:t>
      </w:r>
      <w:r w:rsidR="00943D90">
        <w:t>použité k úhradě</w:t>
      </w:r>
      <w:r w:rsidR="00823002" w:rsidRPr="001A3416">
        <w:t xml:space="preserve"> </w:t>
      </w:r>
      <w:r w:rsidR="00190BA6">
        <w:t xml:space="preserve">takových výukových aktivit </w:t>
      </w:r>
      <w:r w:rsidR="00823002" w:rsidRPr="001A3416">
        <w:t>nelze hodnotit jako účeln</w:t>
      </w:r>
      <w:r w:rsidR="00943D90">
        <w:t>ě vynaložené</w:t>
      </w:r>
      <w:r w:rsidR="00823002" w:rsidRPr="001A3416">
        <w:t>.</w:t>
      </w:r>
    </w:p>
    <w:p w14:paraId="125DC595" w14:textId="77777777" w:rsidR="0002638E" w:rsidRPr="0002638E" w:rsidRDefault="0002638E"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02638E">
        <w:rPr>
          <w:b/>
          <w:sz w:val="24"/>
          <w:szCs w:val="24"/>
        </w:rPr>
        <w:t>Příklad č. 1</w:t>
      </w:r>
      <w:r w:rsidR="008A3B64">
        <w:rPr>
          <w:b/>
          <w:sz w:val="24"/>
          <w:szCs w:val="24"/>
        </w:rPr>
        <w:t>2</w:t>
      </w:r>
      <w:r w:rsidRPr="0002638E">
        <w:rPr>
          <w:b/>
          <w:sz w:val="24"/>
          <w:szCs w:val="24"/>
        </w:rPr>
        <w:t>:</w:t>
      </w:r>
    </w:p>
    <w:p w14:paraId="3271A62B" w14:textId="65C3E054" w:rsidR="003A7F99" w:rsidRPr="003A7F99" w:rsidRDefault="003A7F99" w:rsidP="003A7F99">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3A7F99">
        <w:rPr>
          <w:sz w:val="24"/>
          <w:szCs w:val="24"/>
        </w:rPr>
        <w:t>Příjemce</w:t>
      </w:r>
      <w:r w:rsidR="0080728A">
        <w:rPr>
          <w:sz w:val="24"/>
          <w:szCs w:val="24"/>
        </w:rPr>
        <w:t>, stavební společnost,</w:t>
      </w:r>
      <w:r w:rsidRPr="003A7F99">
        <w:rPr>
          <w:sz w:val="24"/>
          <w:szCs w:val="24"/>
        </w:rPr>
        <w:t xml:space="preserve"> v době realizace projektu zaměstnával 10 osob, z </w:t>
      </w:r>
      <w:r w:rsidR="00190BA6">
        <w:rPr>
          <w:sz w:val="24"/>
          <w:szCs w:val="24"/>
        </w:rPr>
        <w:t>toho</w:t>
      </w:r>
      <w:r w:rsidRPr="003A7F99">
        <w:rPr>
          <w:sz w:val="24"/>
          <w:szCs w:val="24"/>
        </w:rPr>
        <w:t xml:space="preserve"> </w:t>
      </w:r>
      <w:r w:rsidR="00190BA6" w:rsidRPr="003A7F99">
        <w:rPr>
          <w:sz w:val="24"/>
          <w:szCs w:val="24"/>
        </w:rPr>
        <w:t xml:space="preserve">tři </w:t>
      </w:r>
      <w:r w:rsidRPr="003A7F99">
        <w:rPr>
          <w:sz w:val="24"/>
          <w:szCs w:val="24"/>
        </w:rPr>
        <w:t xml:space="preserve">byly manažerky a pět </w:t>
      </w:r>
      <w:r w:rsidR="00190BA6">
        <w:rPr>
          <w:sz w:val="24"/>
          <w:szCs w:val="24"/>
        </w:rPr>
        <w:t xml:space="preserve">zaměstnanců vykonávalo </w:t>
      </w:r>
      <w:r w:rsidRPr="003A7F99">
        <w:rPr>
          <w:sz w:val="24"/>
          <w:szCs w:val="24"/>
        </w:rPr>
        <w:t>dělnick</w:t>
      </w:r>
      <w:r w:rsidR="00190BA6">
        <w:rPr>
          <w:sz w:val="24"/>
          <w:szCs w:val="24"/>
        </w:rPr>
        <w:t>é</w:t>
      </w:r>
      <w:r w:rsidRPr="003A7F99">
        <w:rPr>
          <w:sz w:val="24"/>
          <w:szCs w:val="24"/>
        </w:rPr>
        <w:t>/technick</w:t>
      </w:r>
      <w:r w:rsidR="00190BA6">
        <w:rPr>
          <w:sz w:val="24"/>
          <w:szCs w:val="24"/>
        </w:rPr>
        <w:t>é</w:t>
      </w:r>
      <w:r w:rsidRPr="003A7F99">
        <w:rPr>
          <w:sz w:val="24"/>
          <w:szCs w:val="24"/>
        </w:rPr>
        <w:t xml:space="preserve"> profes</w:t>
      </w:r>
      <w:r w:rsidR="00190BA6">
        <w:rPr>
          <w:sz w:val="24"/>
          <w:szCs w:val="24"/>
        </w:rPr>
        <w:t>e</w:t>
      </w:r>
      <w:r w:rsidRPr="003A7F99">
        <w:rPr>
          <w:sz w:val="24"/>
          <w:szCs w:val="24"/>
        </w:rPr>
        <w:t xml:space="preserve">. </w:t>
      </w:r>
      <w:r w:rsidR="00A97615">
        <w:rPr>
          <w:sz w:val="24"/>
          <w:szCs w:val="24"/>
        </w:rPr>
        <w:t>Zbylými dvěma osobami byl</w:t>
      </w:r>
      <w:r w:rsidR="00190BA6">
        <w:rPr>
          <w:sz w:val="24"/>
          <w:szCs w:val="24"/>
        </w:rPr>
        <w:t>i</w:t>
      </w:r>
      <w:r w:rsidR="00A97615">
        <w:rPr>
          <w:sz w:val="24"/>
          <w:szCs w:val="24"/>
        </w:rPr>
        <w:t xml:space="preserve"> jednatelé společnosti (muž a žena), kteří vykonávali řídicí funkce. </w:t>
      </w:r>
      <w:r w:rsidRPr="003A7F99">
        <w:rPr>
          <w:sz w:val="24"/>
          <w:szCs w:val="24"/>
        </w:rPr>
        <w:t xml:space="preserve">Příjemce pro tyto zaměstnance </w:t>
      </w:r>
      <w:r w:rsidR="002153CF">
        <w:rPr>
          <w:sz w:val="24"/>
          <w:szCs w:val="24"/>
        </w:rPr>
        <w:t>v projektu trvajícím dva roky</w:t>
      </w:r>
      <w:r w:rsidRPr="003A7F99">
        <w:rPr>
          <w:sz w:val="24"/>
          <w:szCs w:val="24"/>
        </w:rPr>
        <w:t xml:space="preserve"> uskutečnil celkem 19 různých školení za </w:t>
      </w:r>
      <w:r w:rsidR="007A02BD">
        <w:rPr>
          <w:sz w:val="24"/>
          <w:szCs w:val="24"/>
        </w:rPr>
        <w:br/>
      </w:r>
      <w:r w:rsidRPr="003A7F99">
        <w:rPr>
          <w:sz w:val="24"/>
          <w:szCs w:val="24"/>
        </w:rPr>
        <w:t>503</w:t>
      </w:r>
      <w:r w:rsidR="007A02BD">
        <w:rPr>
          <w:sz w:val="24"/>
          <w:szCs w:val="24"/>
        </w:rPr>
        <w:t xml:space="preserve"> </w:t>
      </w:r>
      <w:r w:rsidRPr="003A7F99">
        <w:rPr>
          <w:sz w:val="24"/>
          <w:szCs w:val="24"/>
        </w:rPr>
        <w:t>tis. Kč. Mezi uskutečněná školení</w:t>
      </w:r>
      <w:r w:rsidR="002153CF">
        <w:rPr>
          <w:sz w:val="24"/>
          <w:szCs w:val="24"/>
        </w:rPr>
        <w:t>,</w:t>
      </w:r>
      <w:r w:rsidRPr="003A7F99">
        <w:rPr>
          <w:sz w:val="24"/>
          <w:szCs w:val="24"/>
        </w:rPr>
        <w:t xml:space="preserve"> </w:t>
      </w:r>
      <w:r w:rsidR="002153CF" w:rsidRPr="002153CF">
        <w:rPr>
          <w:sz w:val="24"/>
          <w:szCs w:val="24"/>
        </w:rPr>
        <w:t>každé v délce 16 hodin</w:t>
      </w:r>
      <w:r w:rsidR="002153CF">
        <w:rPr>
          <w:sz w:val="24"/>
          <w:szCs w:val="24"/>
        </w:rPr>
        <w:t>,</w:t>
      </w:r>
      <w:r w:rsidR="002153CF" w:rsidRPr="002153CF">
        <w:rPr>
          <w:sz w:val="24"/>
          <w:szCs w:val="24"/>
        </w:rPr>
        <w:t xml:space="preserve"> </w:t>
      </w:r>
      <w:r w:rsidRPr="003A7F99">
        <w:rPr>
          <w:sz w:val="24"/>
          <w:szCs w:val="24"/>
        </w:rPr>
        <w:t>patřil</w:t>
      </w:r>
      <w:r w:rsidR="00190BA6">
        <w:rPr>
          <w:sz w:val="24"/>
          <w:szCs w:val="24"/>
        </w:rPr>
        <w:t>y</w:t>
      </w:r>
      <w:r w:rsidRPr="003A7F99">
        <w:rPr>
          <w:sz w:val="24"/>
          <w:szCs w:val="24"/>
        </w:rPr>
        <w:t xml:space="preserve"> např.</w:t>
      </w:r>
      <w:r w:rsidR="00190BA6">
        <w:rPr>
          <w:sz w:val="24"/>
          <w:szCs w:val="24"/>
        </w:rPr>
        <w:t xml:space="preserve"> kurzy:</w:t>
      </w:r>
      <w:r w:rsidRPr="003A7F99">
        <w:rPr>
          <w:sz w:val="24"/>
          <w:szCs w:val="24"/>
        </w:rPr>
        <w:t xml:space="preserve"> </w:t>
      </w:r>
      <w:r w:rsidRPr="00BF4EC7">
        <w:rPr>
          <w:i/>
          <w:sz w:val="24"/>
          <w:szCs w:val="24"/>
        </w:rPr>
        <w:t xml:space="preserve">Asertivní jednání, </w:t>
      </w:r>
      <w:proofErr w:type="spellStart"/>
      <w:r w:rsidRPr="00BF4EC7">
        <w:rPr>
          <w:i/>
          <w:sz w:val="24"/>
          <w:szCs w:val="24"/>
        </w:rPr>
        <w:t>Time</w:t>
      </w:r>
      <w:proofErr w:type="spellEnd"/>
      <w:r w:rsidRPr="00BF4EC7">
        <w:rPr>
          <w:i/>
          <w:sz w:val="24"/>
          <w:szCs w:val="24"/>
        </w:rPr>
        <w:t xml:space="preserve"> management, Sebeřízení, Prezentační dovednosti </w:t>
      </w:r>
      <w:r w:rsidR="00BF4EC7">
        <w:rPr>
          <w:sz w:val="24"/>
          <w:szCs w:val="24"/>
        </w:rPr>
        <w:t>či</w:t>
      </w:r>
      <w:r w:rsidRPr="00BF4EC7">
        <w:rPr>
          <w:i/>
          <w:sz w:val="24"/>
          <w:szCs w:val="24"/>
        </w:rPr>
        <w:t xml:space="preserve"> Stres a jeho odstraňování</w:t>
      </w:r>
      <w:r w:rsidRPr="003A7F99">
        <w:rPr>
          <w:sz w:val="24"/>
          <w:szCs w:val="24"/>
        </w:rPr>
        <w:t xml:space="preserve">. Kromě toho, že žádné z 19 realizovaných školení se netýkalo výlučně problematiky genderové nerovnosti, NKÚ vyhodnotil, že některá školení měla pro zapojené dělnické </w:t>
      </w:r>
      <w:r w:rsidR="00417B21">
        <w:rPr>
          <w:sz w:val="24"/>
          <w:szCs w:val="24"/>
        </w:rPr>
        <w:t xml:space="preserve">stavební </w:t>
      </w:r>
      <w:r w:rsidRPr="003A7F99">
        <w:rPr>
          <w:sz w:val="24"/>
          <w:szCs w:val="24"/>
        </w:rPr>
        <w:t>profese jen velmi nízkou</w:t>
      </w:r>
      <w:r w:rsidR="005F1E37">
        <w:rPr>
          <w:sz w:val="24"/>
          <w:szCs w:val="24"/>
        </w:rPr>
        <w:t xml:space="preserve"> nebo žádnou</w:t>
      </w:r>
      <w:r w:rsidRPr="003A7F99">
        <w:rPr>
          <w:sz w:val="24"/>
          <w:szCs w:val="24"/>
        </w:rPr>
        <w:t xml:space="preserve"> využitelnost. Poskytovatel podpory</w:t>
      </w:r>
      <w:r w:rsidRPr="003A7F99" w:rsidDel="00123A97">
        <w:rPr>
          <w:sz w:val="24"/>
          <w:szCs w:val="24"/>
        </w:rPr>
        <w:t xml:space="preserve"> </w:t>
      </w:r>
      <w:r w:rsidR="00123A97" w:rsidRPr="003A7F99">
        <w:rPr>
          <w:sz w:val="24"/>
          <w:szCs w:val="24"/>
        </w:rPr>
        <w:t>všechn</w:t>
      </w:r>
      <w:r w:rsidR="00123A97">
        <w:rPr>
          <w:sz w:val="24"/>
          <w:szCs w:val="24"/>
        </w:rPr>
        <w:t>y</w:t>
      </w:r>
      <w:r w:rsidR="00123A97" w:rsidRPr="003A7F99">
        <w:rPr>
          <w:sz w:val="24"/>
          <w:szCs w:val="24"/>
        </w:rPr>
        <w:t xml:space="preserve"> </w:t>
      </w:r>
      <w:r w:rsidRPr="003A7F99">
        <w:rPr>
          <w:sz w:val="24"/>
          <w:szCs w:val="24"/>
        </w:rPr>
        <w:t xml:space="preserve">příjemcem </w:t>
      </w:r>
      <w:r w:rsidR="00123A97" w:rsidRPr="003A7F99">
        <w:rPr>
          <w:sz w:val="24"/>
          <w:szCs w:val="24"/>
        </w:rPr>
        <w:t>vykazovan</w:t>
      </w:r>
      <w:r w:rsidR="00123A97">
        <w:rPr>
          <w:sz w:val="24"/>
          <w:szCs w:val="24"/>
        </w:rPr>
        <w:t>é</w:t>
      </w:r>
      <w:r w:rsidR="00123A97" w:rsidRPr="003A7F99">
        <w:rPr>
          <w:sz w:val="24"/>
          <w:szCs w:val="24"/>
        </w:rPr>
        <w:t xml:space="preserve"> </w:t>
      </w:r>
      <w:r w:rsidR="00123A97">
        <w:rPr>
          <w:sz w:val="24"/>
          <w:szCs w:val="24"/>
        </w:rPr>
        <w:t>aktivity</w:t>
      </w:r>
      <w:r w:rsidR="00123A97" w:rsidRPr="003A7F99">
        <w:rPr>
          <w:sz w:val="24"/>
          <w:szCs w:val="24"/>
        </w:rPr>
        <w:t xml:space="preserve"> </w:t>
      </w:r>
      <w:r w:rsidRPr="003A7F99">
        <w:rPr>
          <w:sz w:val="24"/>
          <w:szCs w:val="24"/>
        </w:rPr>
        <w:t>schválil a proplatil.</w:t>
      </w:r>
      <w:r w:rsidR="005508D7">
        <w:rPr>
          <w:rStyle w:val="Znakapoznpodarou"/>
          <w:sz w:val="24"/>
          <w:szCs w:val="24"/>
        </w:rPr>
        <w:footnoteReference w:id="33"/>
      </w:r>
    </w:p>
    <w:p w14:paraId="4D008C92" w14:textId="77777777" w:rsidR="001A3416" w:rsidRPr="00280EC1" w:rsidRDefault="00FB0286" w:rsidP="000409CF">
      <w:pPr>
        <w:pStyle w:val="Mluvcnadpis"/>
        <w:rPr>
          <w:rFonts w:cstheme="minorHAnsi"/>
          <w:i/>
          <w:color w:val="1F4E79" w:themeColor="accent1" w:themeShade="80"/>
          <w:szCs w:val="28"/>
        </w:rPr>
      </w:pPr>
      <w:r w:rsidRPr="00FB0286">
        <w:t>Neexistence záznamů o vykazovaných aktivitách</w:t>
      </w:r>
    </w:p>
    <w:p w14:paraId="291DABC9" w14:textId="780F59D4" w:rsidR="002153CF" w:rsidRDefault="002153CF" w:rsidP="000409CF">
      <w:pPr>
        <w:pStyle w:val="JK4"/>
      </w:pPr>
      <w:r w:rsidRPr="002153CF">
        <w:t xml:space="preserve">NKÚ zjistil, že stanovené podmínky pro příjemce dotací u projektů IGA umožňovaly, aby kompletní pracovní výkazy členů realizačních týmů byly vedeny pouze ve vybraných případech. Proto </w:t>
      </w:r>
      <w:r w:rsidR="00190BA6">
        <w:t xml:space="preserve">u kontrolního </w:t>
      </w:r>
      <w:r w:rsidR="00190BA6" w:rsidRPr="002153CF">
        <w:t xml:space="preserve">vzorku </w:t>
      </w:r>
      <w:r w:rsidRPr="002153CF">
        <w:t xml:space="preserve">byly k dispozici pouze u dvou projektů a v jednom </w:t>
      </w:r>
      <w:r w:rsidR="00190BA6">
        <w:t xml:space="preserve">dalším </w:t>
      </w:r>
      <w:r w:rsidRPr="002153CF">
        <w:t>případě jen z</w:t>
      </w:r>
      <w:r w:rsidR="007751AC">
        <w:t xml:space="preserve"> </w:t>
      </w:r>
      <w:r w:rsidRPr="002153CF">
        <w:t>části.</w:t>
      </w:r>
      <w:r>
        <w:t xml:space="preserve"> N</w:t>
      </w:r>
      <w:r w:rsidR="00F155F0">
        <w:t xml:space="preserve">aopak u šesti příjemců </w:t>
      </w:r>
      <w:r w:rsidR="00F74D6D">
        <w:t>nemusely být</w:t>
      </w:r>
      <w:r w:rsidR="00F155F0">
        <w:t xml:space="preserve"> pracovní výkazy </w:t>
      </w:r>
      <w:r w:rsidR="00F74D6D">
        <w:t xml:space="preserve">vedeny </w:t>
      </w:r>
      <w:r w:rsidR="00F155F0">
        <w:t>vůbec</w:t>
      </w:r>
      <w:r w:rsidR="00EC5B80">
        <w:t xml:space="preserve"> (</w:t>
      </w:r>
      <w:r w:rsidR="00271B96">
        <w:t xml:space="preserve">graf č. </w:t>
      </w:r>
      <w:r w:rsidR="00E02CE7">
        <w:t>4</w:t>
      </w:r>
      <w:r w:rsidR="00EC5B80">
        <w:t>)</w:t>
      </w:r>
      <w:r w:rsidR="00271B96">
        <w:t xml:space="preserve">. </w:t>
      </w:r>
    </w:p>
    <w:p w14:paraId="72540353" w14:textId="77777777" w:rsidR="000121B3" w:rsidRPr="00D60E62" w:rsidRDefault="000121B3" w:rsidP="00D60E62">
      <w:pPr>
        <w:keepNext/>
        <w:spacing w:after="120" w:line="240" w:lineRule="auto"/>
        <w:jc w:val="both"/>
        <w:rPr>
          <w:rFonts w:eastAsia="Times New Roman" w:cstheme="minorHAnsi"/>
          <w:b/>
          <w:sz w:val="24"/>
          <w:szCs w:val="24"/>
        </w:rPr>
      </w:pPr>
      <w:r w:rsidRPr="00D60E62">
        <w:rPr>
          <w:rFonts w:eastAsia="Times New Roman" w:cstheme="minorHAnsi"/>
          <w:b/>
          <w:sz w:val="24"/>
          <w:szCs w:val="24"/>
        </w:rPr>
        <w:t xml:space="preserve">Graf č. </w:t>
      </w:r>
      <w:r w:rsidR="00E02CE7">
        <w:rPr>
          <w:rFonts w:eastAsia="Times New Roman" w:cstheme="minorHAnsi"/>
          <w:b/>
          <w:sz w:val="24"/>
          <w:szCs w:val="24"/>
        </w:rPr>
        <w:t>4</w:t>
      </w:r>
      <w:r w:rsidRPr="00D60E62">
        <w:rPr>
          <w:rFonts w:eastAsia="Times New Roman" w:cstheme="minorHAnsi"/>
          <w:b/>
          <w:sz w:val="24"/>
          <w:szCs w:val="24"/>
        </w:rPr>
        <w:t>: Vedení pracovních výkazů u vzorku projektů IGA</w:t>
      </w:r>
    </w:p>
    <w:p w14:paraId="1C108808" w14:textId="77777777" w:rsidR="000121B3" w:rsidRDefault="00D0102E" w:rsidP="004C3D03">
      <w:pPr>
        <w:pStyle w:val="JK4"/>
        <w:numPr>
          <w:ilvl w:val="0"/>
          <w:numId w:val="0"/>
        </w:numPr>
        <w:jc w:val="center"/>
      </w:pPr>
      <w:r>
        <w:rPr>
          <w:noProof/>
        </w:rPr>
        <w:drawing>
          <wp:inline distT="0" distB="0" distL="0" distR="0" wp14:anchorId="50CC285F" wp14:editId="63BC9E75">
            <wp:extent cx="4675146" cy="1932167"/>
            <wp:effectExtent l="0" t="0" r="0" b="0"/>
            <wp:docPr id="15" name="Graf 15">
              <a:extLst xmlns:a="http://schemas.openxmlformats.org/drawingml/2006/main">
                <a:ext uri="{FF2B5EF4-FFF2-40B4-BE49-F238E27FC236}">
                  <a16:creationId xmlns:a16="http://schemas.microsoft.com/office/drawing/2014/main" id="{65A97BF7-E589-491F-A35F-B4B7591BA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3F5E91" w14:textId="24130982" w:rsidR="00CF5E16" w:rsidRDefault="00CF5E16" w:rsidP="003F395E">
      <w:pPr>
        <w:pStyle w:val="JK4"/>
        <w:numPr>
          <w:ilvl w:val="0"/>
          <w:numId w:val="0"/>
        </w:numPr>
      </w:pPr>
      <w:r>
        <w:rPr>
          <w:b/>
          <w:bCs/>
          <w:sz w:val="20"/>
          <w:szCs w:val="20"/>
        </w:rPr>
        <w:t xml:space="preserve">Zdroj: </w:t>
      </w:r>
      <w:r w:rsidR="00E923EF">
        <w:rPr>
          <w:bCs/>
          <w:sz w:val="20"/>
          <w:szCs w:val="20"/>
        </w:rPr>
        <w:t>IS MS2014+</w:t>
      </w:r>
      <w:r w:rsidR="00190BA6">
        <w:rPr>
          <w:bCs/>
          <w:sz w:val="20"/>
          <w:szCs w:val="20"/>
        </w:rPr>
        <w:t>;</w:t>
      </w:r>
      <w:r w:rsidR="00E923EF">
        <w:rPr>
          <w:bCs/>
          <w:sz w:val="20"/>
          <w:szCs w:val="20"/>
        </w:rPr>
        <w:t xml:space="preserve"> </w:t>
      </w:r>
      <w:r>
        <w:rPr>
          <w:sz w:val="20"/>
          <w:szCs w:val="20"/>
        </w:rPr>
        <w:t>analýzu dat vypracoval NKÚ.</w:t>
      </w:r>
    </w:p>
    <w:p w14:paraId="371BBB57" w14:textId="09608F21" w:rsidR="00FD4535" w:rsidRDefault="001A3416" w:rsidP="000409CF">
      <w:pPr>
        <w:pStyle w:val="JK4"/>
      </w:pPr>
      <w:r w:rsidRPr="001A3416">
        <w:t xml:space="preserve">V důsledku nastavení pravidel pro vedení pracovních výkazů u části projektů neexistovaly záznamy, </w:t>
      </w:r>
      <w:r w:rsidR="00123A97">
        <w:t>dle kterých</w:t>
      </w:r>
      <w:r w:rsidRPr="001A3416">
        <w:t xml:space="preserve"> by bylo možné ověřit kvalitu vykonávaných pracovních činností členů realizačního týmu</w:t>
      </w:r>
      <w:r w:rsidR="00500CDE">
        <w:t>.</w:t>
      </w:r>
      <w:r w:rsidRPr="001A3416">
        <w:t xml:space="preserve"> </w:t>
      </w:r>
      <w:r w:rsidR="00500CDE" w:rsidRPr="001A3416">
        <w:t xml:space="preserve">Nebyl </w:t>
      </w:r>
      <w:r w:rsidR="00500CDE">
        <w:t xml:space="preserve">také </w:t>
      </w:r>
      <w:r w:rsidR="00500CDE" w:rsidRPr="001A3416">
        <w:t>stanoven konkrétní druh a rozsah dokladů, prokazující realizaci opatření implementovaných do praxe a</w:t>
      </w:r>
      <w:r w:rsidR="002F3C9B">
        <w:t xml:space="preserve"> </w:t>
      </w:r>
      <w:r w:rsidR="00500CDE" w:rsidRPr="001A3416">
        <w:t>zajišťujících zlepšení aspektů genderové rovnosti žen a mužů uvedených ve specifickém cíli 1.2.1</w:t>
      </w:r>
      <w:r w:rsidR="00F74D6D">
        <w:t xml:space="preserve"> OPZ</w:t>
      </w:r>
      <w:r w:rsidR="00500CDE" w:rsidRPr="001A3416">
        <w:t>,</w:t>
      </w:r>
      <w:r w:rsidR="00500CDE">
        <w:t xml:space="preserve"> </w:t>
      </w:r>
      <w:r w:rsidRPr="001A3416">
        <w:t xml:space="preserve">přičemž </w:t>
      </w:r>
      <w:r w:rsidR="00500CDE">
        <w:t>realizace těchto činností</w:t>
      </w:r>
      <w:r w:rsidRPr="001A3416">
        <w:t xml:space="preserve"> </w:t>
      </w:r>
      <w:r w:rsidR="00500CDE">
        <w:t xml:space="preserve">byla </w:t>
      </w:r>
      <w:r w:rsidRPr="001A3416">
        <w:t xml:space="preserve">u některých projektů </w:t>
      </w:r>
      <w:r w:rsidR="00500CDE">
        <w:t>prováděna</w:t>
      </w:r>
      <w:r w:rsidRPr="001A3416">
        <w:t xml:space="preserve"> až </w:t>
      </w:r>
      <w:r w:rsidR="0086081C">
        <w:t>tři</w:t>
      </w:r>
      <w:r w:rsidR="0086081C" w:rsidRPr="001A3416">
        <w:t xml:space="preserve"> </w:t>
      </w:r>
      <w:r w:rsidRPr="001A3416">
        <w:t>roky.</w:t>
      </w:r>
    </w:p>
    <w:p w14:paraId="3DEECA34" w14:textId="77777777" w:rsidR="00DE5B18" w:rsidRPr="00EC5B80" w:rsidRDefault="00DE5B18"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EC5B80">
        <w:rPr>
          <w:b/>
          <w:sz w:val="24"/>
          <w:szCs w:val="24"/>
        </w:rPr>
        <w:t>Příklad č. 1</w:t>
      </w:r>
      <w:r w:rsidR="008A3B64">
        <w:rPr>
          <w:b/>
          <w:sz w:val="24"/>
          <w:szCs w:val="24"/>
        </w:rPr>
        <w:t>3</w:t>
      </w:r>
      <w:r w:rsidRPr="00EC5B80">
        <w:rPr>
          <w:b/>
          <w:sz w:val="24"/>
          <w:szCs w:val="24"/>
        </w:rPr>
        <w:t>:</w:t>
      </w:r>
    </w:p>
    <w:p w14:paraId="0CCFFF51" w14:textId="1E2DB58B" w:rsidR="00541C78" w:rsidRDefault="0091653E" w:rsidP="00541C78">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 xml:space="preserve">U příjemce, výrobní společnosti, </w:t>
      </w:r>
      <w:r w:rsidR="005317CB">
        <w:rPr>
          <w:sz w:val="24"/>
          <w:szCs w:val="24"/>
        </w:rPr>
        <w:t xml:space="preserve">NKÚ zjistil, že do </w:t>
      </w:r>
      <w:r>
        <w:rPr>
          <w:sz w:val="24"/>
          <w:szCs w:val="24"/>
        </w:rPr>
        <w:t xml:space="preserve">projektu IGA </w:t>
      </w:r>
      <w:r w:rsidR="005317CB">
        <w:rPr>
          <w:sz w:val="24"/>
          <w:szCs w:val="24"/>
        </w:rPr>
        <w:t xml:space="preserve">byla </w:t>
      </w:r>
      <w:r>
        <w:rPr>
          <w:sz w:val="24"/>
          <w:szCs w:val="24"/>
        </w:rPr>
        <w:t xml:space="preserve">po dobu 10 měsíců zapojena </w:t>
      </w:r>
      <w:r w:rsidR="005317CB">
        <w:rPr>
          <w:sz w:val="24"/>
          <w:szCs w:val="24"/>
        </w:rPr>
        <w:t xml:space="preserve">i jednatelka </w:t>
      </w:r>
      <w:r w:rsidR="00F74D6D">
        <w:rPr>
          <w:sz w:val="24"/>
          <w:szCs w:val="24"/>
        </w:rPr>
        <w:t xml:space="preserve">této </w:t>
      </w:r>
      <w:r w:rsidR="005317CB">
        <w:rPr>
          <w:sz w:val="24"/>
          <w:szCs w:val="24"/>
        </w:rPr>
        <w:t>společnosti</w:t>
      </w:r>
      <w:r w:rsidR="00BE6244">
        <w:rPr>
          <w:sz w:val="24"/>
          <w:szCs w:val="24"/>
        </w:rPr>
        <w:t>, která s</w:t>
      </w:r>
      <w:r w:rsidR="00F74D6D">
        <w:rPr>
          <w:sz w:val="24"/>
          <w:szCs w:val="24"/>
        </w:rPr>
        <w:t> touto společností</w:t>
      </w:r>
      <w:r w:rsidR="00BE6244">
        <w:rPr>
          <w:sz w:val="24"/>
          <w:szCs w:val="24"/>
        </w:rPr>
        <w:t xml:space="preserve"> uzavřela</w:t>
      </w:r>
      <w:r w:rsidR="005317CB" w:rsidRPr="00161028">
        <w:rPr>
          <w:sz w:val="24"/>
          <w:szCs w:val="24"/>
        </w:rPr>
        <w:t xml:space="preserve"> pracovní smlouv</w:t>
      </w:r>
      <w:r w:rsidR="00BE6244">
        <w:rPr>
          <w:sz w:val="24"/>
          <w:szCs w:val="24"/>
        </w:rPr>
        <w:t>u</w:t>
      </w:r>
      <w:r w:rsidR="005317CB" w:rsidRPr="00161028">
        <w:rPr>
          <w:sz w:val="24"/>
          <w:szCs w:val="24"/>
        </w:rPr>
        <w:t xml:space="preserve"> </w:t>
      </w:r>
      <w:r w:rsidR="00BE6244">
        <w:rPr>
          <w:sz w:val="24"/>
          <w:szCs w:val="24"/>
        </w:rPr>
        <w:t xml:space="preserve">na práce na projektu </w:t>
      </w:r>
      <w:r w:rsidR="005317CB" w:rsidRPr="00161028">
        <w:rPr>
          <w:sz w:val="24"/>
          <w:szCs w:val="24"/>
        </w:rPr>
        <w:t xml:space="preserve">se stanovenou týdenní pracovní dobou 40 hodin a současně </w:t>
      </w:r>
      <w:r w:rsidR="00BE6244">
        <w:rPr>
          <w:sz w:val="24"/>
          <w:szCs w:val="24"/>
        </w:rPr>
        <w:t xml:space="preserve">vykonávala </w:t>
      </w:r>
      <w:r w:rsidR="005317CB" w:rsidRPr="00161028">
        <w:rPr>
          <w:sz w:val="24"/>
          <w:szCs w:val="24"/>
        </w:rPr>
        <w:t>pracovní činnost</w:t>
      </w:r>
      <w:r w:rsidR="00BE6244">
        <w:rPr>
          <w:sz w:val="24"/>
          <w:szCs w:val="24"/>
        </w:rPr>
        <w:t>i</w:t>
      </w:r>
      <w:r w:rsidR="005317CB" w:rsidRPr="00161028">
        <w:rPr>
          <w:sz w:val="24"/>
          <w:szCs w:val="24"/>
        </w:rPr>
        <w:t xml:space="preserve"> na pozici ředitelk</w:t>
      </w:r>
      <w:r w:rsidR="00F74D6D">
        <w:rPr>
          <w:sz w:val="24"/>
          <w:szCs w:val="24"/>
        </w:rPr>
        <w:t>y</w:t>
      </w:r>
      <w:r w:rsidR="005317CB" w:rsidRPr="00161028">
        <w:rPr>
          <w:sz w:val="24"/>
          <w:szCs w:val="24"/>
        </w:rPr>
        <w:t xml:space="preserve"> obchodu se </w:t>
      </w:r>
      <w:r w:rsidR="00BE6244">
        <w:rPr>
          <w:sz w:val="24"/>
          <w:szCs w:val="24"/>
        </w:rPr>
        <w:t>sjednanou</w:t>
      </w:r>
      <w:r w:rsidR="005317CB" w:rsidRPr="00161028">
        <w:rPr>
          <w:sz w:val="24"/>
          <w:szCs w:val="24"/>
        </w:rPr>
        <w:t xml:space="preserve"> pracovní dob</w:t>
      </w:r>
      <w:r w:rsidR="00BE6244">
        <w:rPr>
          <w:sz w:val="24"/>
          <w:szCs w:val="24"/>
        </w:rPr>
        <w:t>ou</w:t>
      </w:r>
      <w:r w:rsidR="005317CB" w:rsidRPr="00161028">
        <w:rPr>
          <w:sz w:val="24"/>
          <w:szCs w:val="24"/>
        </w:rPr>
        <w:t xml:space="preserve"> 20 hodin týdně.</w:t>
      </w:r>
      <w:r w:rsidR="005317CB">
        <w:rPr>
          <w:sz w:val="24"/>
          <w:szCs w:val="24"/>
        </w:rPr>
        <w:t xml:space="preserve"> </w:t>
      </w:r>
      <w:r w:rsidR="005317CB" w:rsidRPr="00161028">
        <w:rPr>
          <w:sz w:val="24"/>
          <w:szCs w:val="24"/>
        </w:rPr>
        <w:t xml:space="preserve">Celkový rozsah pracovní doby jednatelky společnosti </w:t>
      </w:r>
      <w:r w:rsidR="00BE6244">
        <w:rPr>
          <w:sz w:val="24"/>
          <w:szCs w:val="24"/>
        </w:rPr>
        <w:t>na základě obou</w:t>
      </w:r>
      <w:r w:rsidR="005317CB" w:rsidRPr="00161028">
        <w:rPr>
          <w:sz w:val="24"/>
          <w:szCs w:val="24"/>
        </w:rPr>
        <w:t xml:space="preserve"> pracovních </w:t>
      </w:r>
      <w:r w:rsidR="00BE6244">
        <w:rPr>
          <w:sz w:val="24"/>
          <w:szCs w:val="24"/>
        </w:rPr>
        <w:t>úvazků</w:t>
      </w:r>
      <w:r w:rsidR="005317CB" w:rsidRPr="00161028">
        <w:rPr>
          <w:sz w:val="24"/>
          <w:szCs w:val="24"/>
        </w:rPr>
        <w:t xml:space="preserve"> činil </w:t>
      </w:r>
      <w:r w:rsidR="00BE6244">
        <w:rPr>
          <w:sz w:val="24"/>
          <w:szCs w:val="24"/>
        </w:rPr>
        <w:t xml:space="preserve">celkem </w:t>
      </w:r>
      <w:r w:rsidR="005317CB" w:rsidRPr="00161028">
        <w:rPr>
          <w:sz w:val="24"/>
          <w:szCs w:val="24"/>
        </w:rPr>
        <w:t xml:space="preserve">60 hodin týdně. </w:t>
      </w:r>
      <w:r w:rsidR="005317CB">
        <w:rPr>
          <w:sz w:val="24"/>
          <w:szCs w:val="24"/>
        </w:rPr>
        <w:t xml:space="preserve">Za práci na projektu pobírala mzdu ve výši 26 119 Kč/měsíc. Dle znění platných podmínek dotace se na </w:t>
      </w:r>
      <w:r w:rsidR="00190BA6">
        <w:rPr>
          <w:sz w:val="24"/>
          <w:szCs w:val="24"/>
        </w:rPr>
        <w:t>uvedenou</w:t>
      </w:r>
      <w:r w:rsidR="005317CB">
        <w:rPr>
          <w:sz w:val="24"/>
          <w:szCs w:val="24"/>
        </w:rPr>
        <w:t xml:space="preserve"> pracovní pozici v</w:t>
      </w:r>
      <w:r w:rsidR="007751AC">
        <w:rPr>
          <w:sz w:val="24"/>
          <w:szCs w:val="24"/>
        </w:rPr>
        <w:t xml:space="preserve"> </w:t>
      </w:r>
      <w:r w:rsidR="005317CB">
        <w:rPr>
          <w:sz w:val="24"/>
          <w:szCs w:val="24"/>
        </w:rPr>
        <w:t xml:space="preserve">daném období nevztahovala povinnost vést pracovní výkazy. </w:t>
      </w:r>
    </w:p>
    <w:p w14:paraId="22827269" w14:textId="1EE9C94F" w:rsidR="00EF137B" w:rsidRDefault="002F3C9B" w:rsidP="00161028">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Stejný</w:t>
      </w:r>
      <w:r w:rsidR="00604DF5">
        <w:rPr>
          <w:sz w:val="24"/>
          <w:szCs w:val="24"/>
        </w:rPr>
        <w:t xml:space="preserve"> příjemce nedoložil </w:t>
      </w:r>
      <w:r>
        <w:rPr>
          <w:sz w:val="24"/>
          <w:szCs w:val="24"/>
        </w:rPr>
        <w:t xml:space="preserve">kontrole </w:t>
      </w:r>
      <w:r w:rsidR="006658D2">
        <w:rPr>
          <w:sz w:val="24"/>
          <w:szCs w:val="24"/>
        </w:rPr>
        <w:t xml:space="preserve">NKÚ </w:t>
      </w:r>
      <w:r w:rsidR="00604DF5" w:rsidRPr="00161028">
        <w:rPr>
          <w:sz w:val="24"/>
          <w:szCs w:val="24"/>
        </w:rPr>
        <w:t>žádn</w:t>
      </w:r>
      <w:r w:rsidR="00570CD3">
        <w:rPr>
          <w:sz w:val="24"/>
          <w:szCs w:val="24"/>
        </w:rPr>
        <w:t>ou</w:t>
      </w:r>
      <w:r w:rsidR="00604DF5" w:rsidRPr="00161028">
        <w:rPr>
          <w:sz w:val="24"/>
          <w:szCs w:val="24"/>
        </w:rPr>
        <w:t xml:space="preserve"> do</w:t>
      </w:r>
      <w:r w:rsidR="00570CD3">
        <w:rPr>
          <w:sz w:val="24"/>
          <w:szCs w:val="24"/>
        </w:rPr>
        <w:t>kumentaci</w:t>
      </w:r>
      <w:r w:rsidR="00E47B4F">
        <w:rPr>
          <w:sz w:val="24"/>
          <w:szCs w:val="24"/>
        </w:rPr>
        <w:t xml:space="preserve"> (např. výstupy činností nebo pracovní výkazy)</w:t>
      </w:r>
      <w:r w:rsidR="00604DF5">
        <w:rPr>
          <w:sz w:val="24"/>
          <w:szCs w:val="24"/>
        </w:rPr>
        <w:t xml:space="preserve"> </w:t>
      </w:r>
      <w:r w:rsidR="00161028" w:rsidRPr="00161028">
        <w:rPr>
          <w:sz w:val="24"/>
          <w:szCs w:val="24"/>
        </w:rPr>
        <w:t>týkající</w:t>
      </w:r>
      <w:r w:rsidR="00604DF5">
        <w:rPr>
          <w:sz w:val="24"/>
          <w:szCs w:val="24"/>
        </w:rPr>
        <w:t xml:space="preserve"> se </w:t>
      </w:r>
      <w:r w:rsidR="00570CD3">
        <w:rPr>
          <w:sz w:val="24"/>
          <w:szCs w:val="24"/>
        </w:rPr>
        <w:t xml:space="preserve">provádění prací realizačního týmu </w:t>
      </w:r>
      <w:r w:rsidR="00F74D6D">
        <w:rPr>
          <w:sz w:val="24"/>
          <w:szCs w:val="24"/>
        </w:rPr>
        <w:t xml:space="preserve">s </w:t>
      </w:r>
      <w:r w:rsidR="00E47B4F" w:rsidRPr="00161028">
        <w:rPr>
          <w:sz w:val="24"/>
          <w:szCs w:val="24"/>
        </w:rPr>
        <w:t>časov</w:t>
      </w:r>
      <w:r w:rsidR="00E47B4F">
        <w:rPr>
          <w:sz w:val="24"/>
          <w:szCs w:val="24"/>
        </w:rPr>
        <w:t>ou</w:t>
      </w:r>
      <w:r w:rsidR="00E47B4F" w:rsidRPr="00161028">
        <w:rPr>
          <w:sz w:val="24"/>
          <w:szCs w:val="24"/>
        </w:rPr>
        <w:t xml:space="preserve"> dotac</w:t>
      </w:r>
      <w:r w:rsidR="00E47B4F">
        <w:rPr>
          <w:sz w:val="24"/>
          <w:szCs w:val="24"/>
        </w:rPr>
        <w:t>í</w:t>
      </w:r>
      <w:r w:rsidR="00E47B4F" w:rsidRPr="00161028">
        <w:rPr>
          <w:sz w:val="24"/>
          <w:szCs w:val="24"/>
        </w:rPr>
        <w:t xml:space="preserve"> 2</w:t>
      </w:r>
      <w:r w:rsidR="00E47B4F">
        <w:rPr>
          <w:sz w:val="24"/>
          <w:szCs w:val="24"/>
        </w:rPr>
        <w:t> </w:t>
      </w:r>
      <w:r w:rsidR="00E47B4F" w:rsidRPr="00161028">
        <w:rPr>
          <w:sz w:val="24"/>
          <w:szCs w:val="24"/>
        </w:rPr>
        <w:t xml:space="preserve">064 </w:t>
      </w:r>
      <w:r w:rsidR="00E47B4F">
        <w:rPr>
          <w:sz w:val="24"/>
          <w:szCs w:val="24"/>
        </w:rPr>
        <w:t>p</w:t>
      </w:r>
      <w:r w:rsidR="00E47B4F" w:rsidRPr="00161028">
        <w:rPr>
          <w:sz w:val="24"/>
          <w:szCs w:val="24"/>
        </w:rPr>
        <w:t>racovn</w:t>
      </w:r>
      <w:r w:rsidR="00E47B4F">
        <w:rPr>
          <w:sz w:val="24"/>
          <w:szCs w:val="24"/>
        </w:rPr>
        <w:t>í</w:t>
      </w:r>
      <w:r w:rsidR="00E47B4F" w:rsidRPr="00161028">
        <w:rPr>
          <w:sz w:val="24"/>
          <w:szCs w:val="24"/>
        </w:rPr>
        <w:t>ch hodin</w:t>
      </w:r>
      <w:r w:rsidR="00E47B4F">
        <w:rPr>
          <w:sz w:val="24"/>
          <w:szCs w:val="24"/>
        </w:rPr>
        <w:t xml:space="preserve">, na něž byla vyplacena dotace ve výši 495 tis. Kč </w:t>
      </w:r>
      <w:r w:rsidR="00570CD3">
        <w:rPr>
          <w:sz w:val="24"/>
          <w:szCs w:val="24"/>
        </w:rPr>
        <w:t>v souvislosti s</w:t>
      </w:r>
      <w:r w:rsidR="00F74D6D">
        <w:rPr>
          <w:sz w:val="24"/>
          <w:szCs w:val="24"/>
        </w:rPr>
        <w:t xml:space="preserve"> projektovou </w:t>
      </w:r>
      <w:r w:rsidR="00570CD3">
        <w:rPr>
          <w:sz w:val="24"/>
          <w:szCs w:val="24"/>
        </w:rPr>
        <w:t xml:space="preserve">aktivitou </w:t>
      </w:r>
      <w:r>
        <w:rPr>
          <w:sz w:val="24"/>
          <w:szCs w:val="24"/>
        </w:rPr>
        <w:t>„</w:t>
      </w:r>
      <w:r w:rsidRPr="00F239F9">
        <w:rPr>
          <w:i/>
          <w:sz w:val="24"/>
          <w:szCs w:val="24"/>
        </w:rPr>
        <w:t>a</w:t>
      </w:r>
      <w:r w:rsidR="00161028" w:rsidRPr="00F74D6D">
        <w:rPr>
          <w:i/>
          <w:sz w:val="24"/>
          <w:szCs w:val="24"/>
        </w:rPr>
        <w:t>plikace doporučení vstupního genderového auditu do praxe společnost</w:t>
      </w:r>
      <w:r w:rsidR="006669CD" w:rsidRPr="00F74D6D">
        <w:rPr>
          <w:i/>
          <w:sz w:val="24"/>
          <w:szCs w:val="24"/>
        </w:rPr>
        <w:t>i</w:t>
      </w:r>
      <w:r>
        <w:rPr>
          <w:sz w:val="24"/>
          <w:szCs w:val="24"/>
        </w:rPr>
        <w:t>“, což odůvodnil tím, že</w:t>
      </w:r>
      <w:r w:rsidR="00161028" w:rsidRPr="00161028">
        <w:rPr>
          <w:sz w:val="24"/>
          <w:szCs w:val="24"/>
        </w:rPr>
        <w:t xml:space="preserve"> k </w:t>
      </w:r>
      <w:r>
        <w:rPr>
          <w:sz w:val="24"/>
          <w:szCs w:val="24"/>
        </w:rPr>
        <w:t>předmětným</w:t>
      </w:r>
      <w:r w:rsidR="00161028" w:rsidRPr="00161028">
        <w:rPr>
          <w:sz w:val="24"/>
          <w:szCs w:val="24"/>
        </w:rPr>
        <w:t xml:space="preserve"> činnostem </w:t>
      </w:r>
      <w:r w:rsidR="00570CD3">
        <w:rPr>
          <w:sz w:val="24"/>
          <w:szCs w:val="24"/>
        </w:rPr>
        <w:t xml:space="preserve">žádnou dokumentaci </w:t>
      </w:r>
      <w:r w:rsidR="00161028" w:rsidRPr="00161028">
        <w:rPr>
          <w:sz w:val="24"/>
          <w:szCs w:val="24"/>
        </w:rPr>
        <w:t>nepořizoval</w:t>
      </w:r>
      <w:r w:rsidR="00570CD3">
        <w:rPr>
          <w:sz w:val="24"/>
          <w:szCs w:val="24"/>
        </w:rPr>
        <w:t xml:space="preserve">. </w:t>
      </w:r>
    </w:p>
    <w:p w14:paraId="016BF187" w14:textId="10A7B4C2" w:rsidR="00161028" w:rsidRPr="00161028" w:rsidRDefault="00A647D3" w:rsidP="00161028">
      <w:pPr>
        <w:pBdr>
          <w:top w:val="single" w:sz="4" w:space="1" w:color="auto"/>
          <w:left w:val="single" w:sz="4" w:space="4" w:color="auto"/>
          <w:bottom w:val="single" w:sz="4" w:space="1" w:color="auto"/>
          <w:right w:val="single" w:sz="4" w:space="4" w:color="auto"/>
        </w:pBdr>
        <w:spacing w:line="240" w:lineRule="auto"/>
        <w:jc w:val="both"/>
        <w:rPr>
          <w:sz w:val="24"/>
          <w:szCs w:val="24"/>
        </w:rPr>
      </w:pPr>
      <w:r>
        <w:rPr>
          <w:sz w:val="24"/>
          <w:szCs w:val="24"/>
        </w:rPr>
        <w:t>R</w:t>
      </w:r>
      <w:r w:rsidR="00EF137B">
        <w:rPr>
          <w:sz w:val="24"/>
          <w:szCs w:val="24"/>
        </w:rPr>
        <w:t>ealizační tým v</w:t>
      </w:r>
      <w:r w:rsidR="00570CD3">
        <w:rPr>
          <w:sz w:val="24"/>
          <w:szCs w:val="24"/>
        </w:rPr>
        <w:t>e stejném období prov</w:t>
      </w:r>
      <w:r w:rsidR="002F3C9B">
        <w:rPr>
          <w:sz w:val="24"/>
          <w:szCs w:val="24"/>
        </w:rPr>
        <w:t>áděl</w:t>
      </w:r>
      <w:r w:rsidR="00570CD3">
        <w:rPr>
          <w:sz w:val="24"/>
          <w:szCs w:val="24"/>
        </w:rPr>
        <w:t xml:space="preserve"> činnost</w:t>
      </w:r>
      <w:r w:rsidR="002F3C9B">
        <w:rPr>
          <w:sz w:val="24"/>
          <w:szCs w:val="24"/>
        </w:rPr>
        <w:t>i</w:t>
      </w:r>
      <w:r w:rsidR="00570CD3">
        <w:rPr>
          <w:sz w:val="24"/>
          <w:szCs w:val="24"/>
        </w:rPr>
        <w:t xml:space="preserve"> spočívající v</w:t>
      </w:r>
      <w:r w:rsidR="002F3C9B">
        <w:rPr>
          <w:sz w:val="24"/>
          <w:szCs w:val="24"/>
        </w:rPr>
        <w:t xml:space="preserve"> </w:t>
      </w:r>
      <w:r w:rsidR="00570CD3">
        <w:rPr>
          <w:sz w:val="24"/>
          <w:szCs w:val="24"/>
        </w:rPr>
        <w:t xml:space="preserve">doplnění </w:t>
      </w:r>
      <w:r w:rsidR="00570CD3" w:rsidRPr="00161028">
        <w:rPr>
          <w:sz w:val="24"/>
          <w:szCs w:val="24"/>
        </w:rPr>
        <w:t xml:space="preserve">a dopracování </w:t>
      </w:r>
      <w:r w:rsidR="002F3C9B">
        <w:rPr>
          <w:i/>
          <w:sz w:val="24"/>
          <w:szCs w:val="24"/>
        </w:rPr>
        <w:t>s</w:t>
      </w:r>
      <w:r w:rsidR="00570CD3" w:rsidRPr="00F74D6D">
        <w:rPr>
          <w:i/>
          <w:sz w:val="24"/>
          <w:szCs w:val="24"/>
        </w:rPr>
        <w:t>měrnice pro komunikaci</w:t>
      </w:r>
      <w:r w:rsidR="00570CD3">
        <w:rPr>
          <w:sz w:val="24"/>
          <w:szCs w:val="24"/>
        </w:rPr>
        <w:t xml:space="preserve">, jejíž rozsah </w:t>
      </w:r>
      <w:r w:rsidR="00E47B4F">
        <w:rPr>
          <w:sz w:val="24"/>
          <w:szCs w:val="24"/>
        </w:rPr>
        <w:t>byl</w:t>
      </w:r>
      <w:r w:rsidR="00570CD3">
        <w:rPr>
          <w:sz w:val="24"/>
          <w:szCs w:val="24"/>
        </w:rPr>
        <w:t xml:space="preserve"> </w:t>
      </w:r>
      <w:r w:rsidR="00E47B4F">
        <w:rPr>
          <w:sz w:val="24"/>
          <w:szCs w:val="24"/>
        </w:rPr>
        <w:t xml:space="preserve">pouhé </w:t>
      </w:r>
      <w:r w:rsidR="006669CD">
        <w:rPr>
          <w:sz w:val="24"/>
          <w:szCs w:val="24"/>
        </w:rPr>
        <w:t xml:space="preserve">čtyři </w:t>
      </w:r>
      <w:r w:rsidR="00570CD3">
        <w:rPr>
          <w:sz w:val="24"/>
          <w:szCs w:val="24"/>
        </w:rPr>
        <w:t>stran</w:t>
      </w:r>
      <w:r w:rsidR="006669CD">
        <w:rPr>
          <w:sz w:val="24"/>
          <w:szCs w:val="24"/>
        </w:rPr>
        <w:t>y</w:t>
      </w:r>
      <w:r w:rsidR="00570CD3">
        <w:rPr>
          <w:sz w:val="24"/>
          <w:szCs w:val="24"/>
        </w:rPr>
        <w:t xml:space="preserve"> textu.</w:t>
      </w:r>
      <w:r w:rsidR="005508D7">
        <w:rPr>
          <w:rStyle w:val="Znakapoznpodarou"/>
          <w:sz w:val="24"/>
          <w:szCs w:val="24"/>
        </w:rPr>
        <w:footnoteReference w:id="34"/>
      </w:r>
    </w:p>
    <w:p w14:paraId="251D712E" w14:textId="06CAFFEC" w:rsidR="00BB1583" w:rsidRDefault="002B1732" w:rsidP="000409CF">
      <w:pPr>
        <w:pStyle w:val="JK4"/>
      </w:pPr>
      <w:r>
        <w:t>Z</w:t>
      </w:r>
      <w:r w:rsidR="002F3C9B">
        <w:t xml:space="preserve"> </w:t>
      </w:r>
      <w:r>
        <w:t xml:space="preserve">důvodu </w:t>
      </w:r>
      <w:r w:rsidR="0016740F">
        <w:t>absence</w:t>
      </w:r>
      <w:r>
        <w:t xml:space="preserve"> informací o rozsahu a kvalitě vykonaných prací u</w:t>
      </w:r>
      <w:r w:rsidR="002F3C9B">
        <w:t xml:space="preserve"> </w:t>
      </w:r>
      <w:r>
        <w:t xml:space="preserve">projektů </w:t>
      </w:r>
      <w:r w:rsidR="00257629">
        <w:br/>
      </w:r>
      <w:r>
        <w:t>z</w:t>
      </w:r>
      <w:r w:rsidR="00257629">
        <w:t xml:space="preserve"> </w:t>
      </w:r>
      <w:r>
        <w:t xml:space="preserve">kontrolovaného vzorku </w:t>
      </w:r>
      <w:r w:rsidR="00D65FBC">
        <w:t xml:space="preserve">nemohl </w:t>
      </w:r>
      <w:r w:rsidR="002F3C9B">
        <w:t xml:space="preserve">NKÚ </w:t>
      </w:r>
      <w:r w:rsidR="00D65FBC">
        <w:t xml:space="preserve">hodnotit </w:t>
      </w:r>
      <w:r>
        <w:t xml:space="preserve">hospodárnost </w:t>
      </w:r>
      <w:r w:rsidR="00541B15">
        <w:t>skutečně vynaložených peněžních prostředků poskytnutých na jejich realizaci</w:t>
      </w:r>
      <w:r w:rsidR="00E47B4F" w:rsidRPr="00E47B4F">
        <w:t xml:space="preserve"> </w:t>
      </w:r>
      <w:r w:rsidR="00E47B4F">
        <w:t>z</w:t>
      </w:r>
      <w:r w:rsidR="002622B7">
        <w:t xml:space="preserve"> </w:t>
      </w:r>
      <w:r w:rsidR="00E47B4F">
        <w:t>veřejných zdrojů</w:t>
      </w:r>
      <w:r w:rsidR="00541B15">
        <w:t xml:space="preserve">. NKÚ </w:t>
      </w:r>
      <w:r w:rsidR="00E47B4F">
        <w:t xml:space="preserve">tak </w:t>
      </w:r>
      <w:r w:rsidR="00541B15">
        <w:t xml:space="preserve">kontroloval pouze dodržení </w:t>
      </w:r>
      <w:r w:rsidR="009A0964">
        <w:t xml:space="preserve">rozpětí obvyklých </w:t>
      </w:r>
      <w:r w:rsidR="00541B15" w:rsidRPr="00E275E0">
        <w:t>jednotkových cen nakupovaných zařízení</w:t>
      </w:r>
      <w:r w:rsidR="00D70C37">
        <w:t>, obvyklých hodinových mzdových sazeb</w:t>
      </w:r>
      <w:r w:rsidR="00E47B4F">
        <w:t xml:space="preserve"> a dodržení pravidel pro výběr dodavatelů služeb</w:t>
      </w:r>
      <w:r w:rsidR="00541B15">
        <w:t>.</w:t>
      </w:r>
    </w:p>
    <w:p w14:paraId="758BC0D5" w14:textId="77777777" w:rsidR="00DB6BF3" w:rsidRDefault="00FB0286" w:rsidP="000409CF">
      <w:pPr>
        <w:pStyle w:val="Mluvcnadpis"/>
      </w:pPr>
      <w:r>
        <w:t>Neprůkaznost dosažených hodnot monitorovacích indikátorů</w:t>
      </w:r>
    </w:p>
    <w:p w14:paraId="0D71AFE5" w14:textId="77777777" w:rsidR="00136C1F" w:rsidRDefault="00136C1F" w:rsidP="000409CF">
      <w:pPr>
        <w:pStyle w:val="JK4"/>
      </w:pPr>
      <w:r>
        <w:t>Dle rozpočtových pravidel má s</w:t>
      </w:r>
      <w:r w:rsidR="00204558" w:rsidRPr="00204558">
        <w:t>právce kapitoly</w:t>
      </w:r>
      <w:r>
        <w:t>, v tomto případě MPSV,</w:t>
      </w:r>
      <w:r w:rsidR="00204558" w:rsidRPr="00204558">
        <w:t xml:space="preserve"> soustavně sled</w:t>
      </w:r>
      <w:r>
        <w:t>ovat</w:t>
      </w:r>
      <w:r w:rsidR="00204558" w:rsidRPr="00204558">
        <w:t xml:space="preserve"> a vyhodnoc</w:t>
      </w:r>
      <w:r>
        <w:t>ovat</w:t>
      </w:r>
      <w:r w:rsidR="00204558" w:rsidRPr="00204558">
        <w:t xml:space="preserve"> hospodárnost, efektivnost a účelnost vynakládání výdajů ve své kapitole</w:t>
      </w:r>
      <w:r>
        <w:rPr>
          <w:rStyle w:val="Znakapoznpodarou"/>
        </w:rPr>
        <w:footnoteReference w:id="35"/>
      </w:r>
      <w:r w:rsidR="00204558" w:rsidRPr="00204558">
        <w:t>.</w:t>
      </w:r>
      <w:r>
        <w:t xml:space="preserve"> </w:t>
      </w:r>
      <w:r w:rsidRPr="00136C1F">
        <w:t>MPSV zvolilo k hodnocení efektivnosti poskytnuté podpory evaluační přístup, kter</w:t>
      </w:r>
      <w:r w:rsidR="00610CEA">
        <w:t>ý</w:t>
      </w:r>
      <w:r w:rsidRPr="00136C1F">
        <w:t xml:space="preserve"> se obecně spoléhá i na kvalitativní postupy hodnocení.</w:t>
      </w:r>
      <w:r w:rsidR="00BA0E18">
        <w:rPr>
          <w:rStyle w:val="Znakapoznpodarou"/>
        </w:rPr>
        <w:footnoteReference w:id="36"/>
      </w:r>
      <w:r w:rsidRPr="00136C1F">
        <w:t xml:space="preserve"> NKÚ konstatuje, že dosavadní hodnocení evaluátorů vztahující se k výzvám GA a IGA bylo zaměřeno převážně na hodnocení skutečnosti, zda téma genderové rovnosti v příslušné organizaci rezonuje a v jaké míře téma genderové rovnosti tzv. „prorůstá“ do jednotlivých oblastí chodu organizace</w:t>
      </w:r>
      <w:r w:rsidR="004D3E0F">
        <w:t>,</w:t>
      </w:r>
      <w:r w:rsidRPr="00136C1F">
        <w:t xml:space="preserve"> nikoli na skutečnou změnu spočívající v odstraňování nerovností.</w:t>
      </w:r>
    </w:p>
    <w:p w14:paraId="5D758D7A" w14:textId="14CFD51C" w:rsidR="00762ACD" w:rsidRPr="00AF7F13" w:rsidRDefault="00762ACD" w:rsidP="00C92ADB">
      <w:pPr>
        <w:pStyle w:val="JK4"/>
      </w:pPr>
      <w:r w:rsidRPr="00AF7F13">
        <w:t xml:space="preserve">MPSV nenastavilo specifické indikátory k vyhodnocení </w:t>
      </w:r>
      <w:r w:rsidR="002F3C9B">
        <w:t>vlivu</w:t>
      </w:r>
      <w:r w:rsidRPr="00AF7F13">
        <w:t xml:space="preserve"> implementace doporučení </w:t>
      </w:r>
      <w:r w:rsidR="00CE79C7">
        <w:t xml:space="preserve">genderových auditů </w:t>
      </w:r>
      <w:r w:rsidR="002F3C9B">
        <w:t>na</w:t>
      </w:r>
      <w:r w:rsidRPr="00AF7F13">
        <w:t xml:space="preserve"> chod </w:t>
      </w:r>
      <w:r w:rsidR="00CE79C7">
        <w:t xml:space="preserve">podpořených </w:t>
      </w:r>
      <w:r w:rsidRPr="00AF7F13">
        <w:t>organizac</w:t>
      </w:r>
      <w:r w:rsidR="00CE79C7">
        <w:t>í</w:t>
      </w:r>
      <w:r w:rsidR="009069B2">
        <w:t>.</w:t>
      </w:r>
      <w:r w:rsidR="009069B2" w:rsidRPr="00AF7F13">
        <w:t xml:space="preserve"> </w:t>
      </w:r>
      <w:r w:rsidR="009069B2">
        <w:t>S</w:t>
      </w:r>
      <w:r w:rsidR="009069B2" w:rsidRPr="00AF7F13">
        <w:t>kutečný</w:t>
      </w:r>
      <w:r w:rsidRPr="00AF7F13">
        <w:t xml:space="preserve"> pokrok lze sledovat jen prostřednictvím indikátorů 5 01 05 </w:t>
      </w:r>
      <w:r w:rsidRPr="0042157B">
        <w:rPr>
          <w:i/>
        </w:rPr>
        <w:t>Počet zaměstnavatelů, kteří podporují flexibilní formy práce</w:t>
      </w:r>
      <w:r w:rsidRPr="00AF7F13">
        <w:t xml:space="preserve"> a 5 01 30 </w:t>
      </w:r>
      <w:r w:rsidRPr="0042157B">
        <w:rPr>
          <w:i/>
        </w:rPr>
        <w:t>Počet osob pracujících v rámci flexibilních forem práce</w:t>
      </w:r>
      <w:r w:rsidRPr="00AF7F13">
        <w:t xml:space="preserve">. </w:t>
      </w:r>
      <w:r w:rsidR="006658D2">
        <w:t xml:space="preserve">MPSV </w:t>
      </w:r>
      <w:r w:rsidR="00332CA3">
        <w:t xml:space="preserve">nemonitorovalo </w:t>
      </w:r>
      <w:r w:rsidR="002F3C9B">
        <w:t xml:space="preserve">systematicky, jaký mají </w:t>
      </w:r>
      <w:r w:rsidR="00C92ADB">
        <w:t>poskytnuté podpory</w:t>
      </w:r>
      <w:r w:rsidR="002F3C9B">
        <w:t xml:space="preserve"> vliv na vývoj situace </w:t>
      </w:r>
      <w:r w:rsidR="00CE79C7">
        <w:t>v</w:t>
      </w:r>
      <w:r w:rsidR="00C92ADB">
        <w:t xml:space="preserve"> </w:t>
      </w:r>
      <w:r w:rsidR="00CE79C7">
        <w:t>oblasti rovného odměňování</w:t>
      </w:r>
      <w:r w:rsidR="00E65B63">
        <w:t xml:space="preserve">, snižování horizontální nebo vertikální segregace žen a mužů na pracovních pozicích </w:t>
      </w:r>
      <w:r w:rsidR="002F3C9B">
        <w:t>či v oblasti</w:t>
      </w:r>
      <w:r w:rsidR="00E65B63">
        <w:t xml:space="preserve"> snižování rizika obtěžování na pracovištích</w:t>
      </w:r>
      <w:r w:rsidRPr="00AF7F13">
        <w:t>.</w:t>
      </w:r>
      <w:r>
        <w:t xml:space="preserve"> </w:t>
      </w:r>
      <w:r w:rsidRPr="00AF7F13">
        <w:t xml:space="preserve">Reálný dopad změn </w:t>
      </w:r>
      <w:r w:rsidR="00C92ADB">
        <w:t>na</w:t>
      </w:r>
      <w:r w:rsidRPr="00AF7F13">
        <w:t xml:space="preserve"> chod podniků, konkrétně dopad na oblast rovnosti žen a</w:t>
      </w:r>
      <w:r w:rsidR="00257629">
        <w:t xml:space="preserve"> </w:t>
      </w:r>
      <w:r w:rsidRPr="00AF7F13">
        <w:t xml:space="preserve">mužů, tj. efektivnost poskytnutých prostředků, tak </w:t>
      </w:r>
      <w:r w:rsidR="00107DA7">
        <w:t>MPSV</w:t>
      </w:r>
      <w:r w:rsidR="00107DA7" w:rsidRPr="00AF7F13">
        <w:t xml:space="preserve"> </w:t>
      </w:r>
      <w:r w:rsidR="00107DA7">
        <w:t>ne</w:t>
      </w:r>
      <w:r w:rsidR="00107DA7" w:rsidRPr="00AF7F13">
        <w:t>vyhodnocov</w:t>
      </w:r>
      <w:r w:rsidR="00107DA7">
        <w:t>alo</w:t>
      </w:r>
      <w:r w:rsidRPr="00AF7F13">
        <w:t>.</w:t>
      </w:r>
      <w:r w:rsidR="000F175A">
        <w:rPr>
          <w:rStyle w:val="Znakapoznpodarou"/>
        </w:rPr>
        <w:footnoteReference w:id="37"/>
      </w:r>
      <w:r w:rsidR="009069B2">
        <w:t xml:space="preserve"> </w:t>
      </w:r>
    </w:p>
    <w:p w14:paraId="724EA001" w14:textId="77777777" w:rsidR="009069B2" w:rsidRPr="00EC5B80" w:rsidRDefault="009069B2" w:rsidP="00292A07">
      <w:pPr>
        <w:keepNext/>
        <w:pBdr>
          <w:top w:val="single" w:sz="4" w:space="1" w:color="auto"/>
          <w:left w:val="single" w:sz="4" w:space="4" w:color="auto"/>
          <w:bottom w:val="single" w:sz="4" w:space="1" w:color="auto"/>
          <w:right w:val="single" w:sz="4" w:space="4" w:color="auto"/>
        </w:pBdr>
        <w:spacing w:after="60" w:line="240" w:lineRule="auto"/>
        <w:jc w:val="both"/>
        <w:rPr>
          <w:b/>
          <w:sz w:val="24"/>
          <w:szCs w:val="24"/>
        </w:rPr>
      </w:pPr>
      <w:r w:rsidRPr="00EC5B80">
        <w:rPr>
          <w:b/>
          <w:sz w:val="24"/>
          <w:szCs w:val="24"/>
        </w:rPr>
        <w:t>Příklad č. 1</w:t>
      </w:r>
      <w:r w:rsidR="00723F33">
        <w:rPr>
          <w:b/>
          <w:sz w:val="24"/>
          <w:szCs w:val="24"/>
        </w:rPr>
        <w:t>4</w:t>
      </w:r>
      <w:r w:rsidRPr="00EC5B80">
        <w:rPr>
          <w:b/>
          <w:sz w:val="24"/>
          <w:szCs w:val="24"/>
        </w:rPr>
        <w:t>:</w:t>
      </w:r>
    </w:p>
    <w:p w14:paraId="4D5D2E5E" w14:textId="44D7BA10" w:rsidR="00823002" w:rsidRPr="008948F3" w:rsidRDefault="000F175A" w:rsidP="008948F3">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8948F3">
        <w:rPr>
          <w:sz w:val="24"/>
          <w:szCs w:val="24"/>
        </w:rPr>
        <w:t>P</w:t>
      </w:r>
      <w:r w:rsidR="005504C3" w:rsidRPr="008948F3">
        <w:rPr>
          <w:sz w:val="24"/>
          <w:szCs w:val="24"/>
        </w:rPr>
        <w:t xml:space="preserve">ro </w:t>
      </w:r>
      <w:r w:rsidRPr="008948F3">
        <w:rPr>
          <w:sz w:val="24"/>
          <w:szCs w:val="24"/>
        </w:rPr>
        <w:t xml:space="preserve">projekty </w:t>
      </w:r>
      <w:r w:rsidR="005504C3" w:rsidRPr="008948F3">
        <w:rPr>
          <w:sz w:val="24"/>
          <w:szCs w:val="24"/>
        </w:rPr>
        <w:t xml:space="preserve">GA </w:t>
      </w:r>
      <w:r w:rsidRPr="008948F3">
        <w:rPr>
          <w:sz w:val="24"/>
          <w:szCs w:val="24"/>
        </w:rPr>
        <w:t xml:space="preserve">byl stanoven </w:t>
      </w:r>
      <w:r w:rsidR="005504C3" w:rsidRPr="008948F3">
        <w:rPr>
          <w:sz w:val="24"/>
          <w:szCs w:val="24"/>
        </w:rPr>
        <w:t xml:space="preserve">jediný </w:t>
      </w:r>
      <w:r w:rsidRPr="008948F3">
        <w:rPr>
          <w:sz w:val="24"/>
          <w:szCs w:val="24"/>
        </w:rPr>
        <w:t xml:space="preserve">monitorovací </w:t>
      </w:r>
      <w:r w:rsidR="005504C3" w:rsidRPr="008948F3">
        <w:rPr>
          <w:sz w:val="24"/>
          <w:szCs w:val="24"/>
        </w:rPr>
        <w:t xml:space="preserve">indikátor </w:t>
      </w:r>
      <w:r w:rsidRPr="008948F3">
        <w:rPr>
          <w:sz w:val="24"/>
          <w:szCs w:val="24"/>
        </w:rPr>
        <w:t>„</w:t>
      </w:r>
      <w:r w:rsidR="00C92ADB">
        <w:rPr>
          <w:i/>
          <w:sz w:val="24"/>
          <w:szCs w:val="24"/>
        </w:rPr>
        <w:t>p</w:t>
      </w:r>
      <w:r w:rsidR="005504C3" w:rsidRPr="00EC5B80">
        <w:rPr>
          <w:i/>
          <w:sz w:val="24"/>
          <w:szCs w:val="24"/>
        </w:rPr>
        <w:t>očet napsaných a zveřejněných analytických a strategických dokumentů (vč. evaluačních)</w:t>
      </w:r>
      <w:r w:rsidRPr="008948F3">
        <w:rPr>
          <w:sz w:val="24"/>
          <w:szCs w:val="24"/>
        </w:rPr>
        <w:t>“, přičemž počet zpracovaných dokumentů odpovídal počtu zpracovaných závěrečných zpráv z genderov</w:t>
      </w:r>
      <w:r w:rsidR="00C92ADB">
        <w:rPr>
          <w:sz w:val="24"/>
          <w:szCs w:val="24"/>
        </w:rPr>
        <w:t>ých</w:t>
      </w:r>
      <w:r w:rsidRPr="008948F3">
        <w:rPr>
          <w:sz w:val="24"/>
          <w:szCs w:val="24"/>
        </w:rPr>
        <w:t xml:space="preserve"> audit</w:t>
      </w:r>
      <w:r w:rsidR="00C92ADB">
        <w:rPr>
          <w:sz w:val="24"/>
          <w:szCs w:val="24"/>
        </w:rPr>
        <w:t>ů</w:t>
      </w:r>
      <w:r w:rsidRPr="008948F3">
        <w:rPr>
          <w:sz w:val="24"/>
          <w:szCs w:val="24"/>
        </w:rPr>
        <w:t>.</w:t>
      </w:r>
    </w:p>
    <w:p w14:paraId="0AC89B34" w14:textId="5F7EA992" w:rsidR="00823002" w:rsidRPr="008948F3" w:rsidRDefault="000F175A" w:rsidP="008948F3">
      <w:pPr>
        <w:pBdr>
          <w:top w:val="single" w:sz="4" w:space="1" w:color="auto"/>
          <w:left w:val="single" w:sz="4" w:space="4" w:color="auto"/>
          <w:bottom w:val="single" w:sz="4" w:space="1" w:color="auto"/>
          <w:right w:val="single" w:sz="4" w:space="4" w:color="auto"/>
        </w:pBdr>
        <w:spacing w:line="240" w:lineRule="auto"/>
        <w:jc w:val="both"/>
        <w:rPr>
          <w:sz w:val="24"/>
          <w:szCs w:val="24"/>
        </w:rPr>
      </w:pPr>
      <w:r w:rsidRPr="008948F3">
        <w:rPr>
          <w:sz w:val="24"/>
          <w:szCs w:val="24"/>
        </w:rPr>
        <w:t xml:space="preserve">MPSV </w:t>
      </w:r>
      <w:r w:rsidR="00C92ADB" w:rsidRPr="008948F3">
        <w:rPr>
          <w:sz w:val="24"/>
          <w:szCs w:val="24"/>
        </w:rPr>
        <w:t xml:space="preserve">ve výzvách IGA </w:t>
      </w:r>
      <w:r w:rsidR="008948F3" w:rsidRPr="008948F3">
        <w:rPr>
          <w:sz w:val="24"/>
          <w:szCs w:val="24"/>
        </w:rPr>
        <w:t>v</w:t>
      </w:r>
      <w:r w:rsidR="00C92ADB">
        <w:rPr>
          <w:sz w:val="24"/>
          <w:szCs w:val="24"/>
        </w:rPr>
        <w:t xml:space="preserve"> </w:t>
      </w:r>
      <w:r w:rsidR="000F4846" w:rsidRPr="008948F3">
        <w:rPr>
          <w:sz w:val="24"/>
          <w:szCs w:val="24"/>
        </w:rPr>
        <w:t>souvislosti s</w:t>
      </w:r>
      <w:r w:rsidR="00C92ADB">
        <w:rPr>
          <w:sz w:val="24"/>
          <w:szCs w:val="24"/>
        </w:rPr>
        <w:t xml:space="preserve"> </w:t>
      </w:r>
      <w:r w:rsidR="000F4846" w:rsidRPr="008948F3">
        <w:rPr>
          <w:sz w:val="24"/>
          <w:szCs w:val="24"/>
        </w:rPr>
        <w:t xml:space="preserve">monitorovacím indikátorem </w:t>
      </w:r>
      <w:r w:rsidR="008948F3" w:rsidRPr="008948F3">
        <w:rPr>
          <w:sz w:val="24"/>
          <w:szCs w:val="24"/>
        </w:rPr>
        <w:t>„</w:t>
      </w:r>
      <w:r w:rsidR="00C92ADB">
        <w:rPr>
          <w:i/>
          <w:sz w:val="24"/>
          <w:szCs w:val="24"/>
        </w:rPr>
        <w:t>ú</w:t>
      </w:r>
      <w:r w:rsidR="008948F3" w:rsidRPr="00EC5B80">
        <w:rPr>
          <w:i/>
          <w:sz w:val="24"/>
          <w:szCs w:val="24"/>
        </w:rPr>
        <w:t>častníci, kteří získali kvalifikaci po ukončení své účasti</w:t>
      </w:r>
      <w:r w:rsidR="008948F3" w:rsidRPr="008948F3">
        <w:rPr>
          <w:sz w:val="24"/>
          <w:szCs w:val="24"/>
        </w:rPr>
        <w:t>“</w:t>
      </w:r>
      <w:r w:rsidR="001A59DC">
        <w:rPr>
          <w:rStyle w:val="Znakapoznpodarou"/>
          <w:sz w:val="24"/>
          <w:szCs w:val="24"/>
        </w:rPr>
        <w:footnoteReference w:id="38"/>
      </w:r>
      <w:r w:rsidR="000F4846" w:rsidRPr="008948F3">
        <w:rPr>
          <w:sz w:val="24"/>
          <w:szCs w:val="24"/>
        </w:rPr>
        <w:t xml:space="preserve"> žádným způsobem nespecifikovalo kvalifikaci, ke které lze získat potvrzení o jejím dosažení v rámci účasti na projektu. </w:t>
      </w:r>
      <w:r w:rsidR="008948F3" w:rsidRPr="008948F3">
        <w:rPr>
          <w:sz w:val="24"/>
          <w:szCs w:val="24"/>
        </w:rPr>
        <w:t>Příjemce nebyl instruován, k jakým školením se má indikátor vztahovat (např. zda se má jednat o školení zaměřené jen na genderovou problematiku s</w:t>
      </w:r>
      <w:r w:rsidR="007A02BD">
        <w:rPr>
          <w:sz w:val="24"/>
          <w:szCs w:val="24"/>
        </w:rPr>
        <w:t xml:space="preserve"> </w:t>
      </w:r>
      <w:r w:rsidR="008948F3" w:rsidRPr="008948F3">
        <w:rPr>
          <w:sz w:val="24"/>
          <w:szCs w:val="24"/>
        </w:rPr>
        <w:t>potenciálem změnit např. skutečnou vertikální a/nebo horizontální segregaci v podniku, zda se jedná výhradně o akreditované kurzy, popř. zda bude započítáváno plnění indikátoru na základě účasti zaměstnanců na všech školeních, kter</w:t>
      </w:r>
      <w:r w:rsidR="00C92ADB">
        <w:rPr>
          <w:sz w:val="24"/>
          <w:szCs w:val="24"/>
        </w:rPr>
        <w:t>á</w:t>
      </w:r>
      <w:r w:rsidR="008948F3" w:rsidRPr="008948F3">
        <w:rPr>
          <w:sz w:val="24"/>
          <w:szCs w:val="24"/>
        </w:rPr>
        <w:t xml:space="preserve"> příjemce realizuje). Tato situace vedla k tomu, že </w:t>
      </w:r>
      <w:r w:rsidR="00823002" w:rsidRPr="008948F3">
        <w:rPr>
          <w:sz w:val="24"/>
          <w:szCs w:val="24"/>
        </w:rPr>
        <w:t>n</w:t>
      </w:r>
      <w:r w:rsidR="00E65B63">
        <w:rPr>
          <w:sz w:val="24"/>
          <w:szCs w:val="24"/>
        </w:rPr>
        <w:t>ebylo možné</w:t>
      </w:r>
      <w:r w:rsidR="00823002" w:rsidRPr="008948F3">
        <w:rPr>
          <w:sz w:val="24"/>
          <w:szCs w:val="24"/>
        </w:rPr>
        <w:t xml:space="preserve"> prokázat, zda a jaké změny bylo dosaženo u účastníků vzdělávacích akcí</w:t>
      </w:r>
      <w:r w:rsidR="008948F3" w:rsidRPr="008948F3">
        <w:rPr>
          <w:sz w:val="24"/>
          <w:szCs w:val="24"/>
        </w:rPr>
        <w:t>.</w:t>
      </w:r>
    </w:p>
    <w:p w14:paraId="4CF6BF34" w14:textId="77777777" w:rsidR="005C6DD2" w:rsidRDefault="005C6DD2">
      <w:pPr>
        <w:rPr>
          <w:rFonts w:cstheme="minorHAnsi"/>
          <w:b/>
          <w:i/>
          <w:color w:val="1F4E79" w:themeColor="accent1" w:themeShade="80"/>
          <w:sz w:val="24"/>
          <w:szCs w:val="28"/>
          <w:highlight w:val="yellow"/>
        </w:rPr>
        <w:sectPr w:rsidR="005C6DD2" w:rsidSect="00E25F54">
          <w:footerReference w:type="default" r:id="rId16"/>
          <w:footerReference w:type="first" r:id="rId17"/>
          <w:pgSz w:w="11906" w:h="16838"/>
          <w:pgMar w:top="1417" w:right="1417" w:bottom="1417" w:left="1417" w:header="708" w:footer="708" w:gutter="0"/>
          <w:cols w:space="708"/>
          <w:titlePg/>
          <w:docGrid w:linePitch="360"/>
        </w:sectPr>
      </w:pPr>
    </w:p>
    <w:p w14:paraId="31121944" w14:textId="77777777" w:rsidR="005C6DD2" w:rsidRPr="00F56517" w:rsidRDefault="005C6DD2" w:rsidP="005C6DD2">
      <w:pPr>
        <w:spacing w:before="600" w:after="60" w:line="240" w:lineRule="auto"/>
        <w:jc w:val="both"/>
        <w:rPr>
          <w:b/>
          <w:sz w:val="24"/>
          <w:szCs w:val="24"/>
        </w:rPr>
      </w:pPr>
      <w:r w:rsidRPr="00F56517">
        <w:rPr>
          <w:b/>
          <w:sz w:val="24"/>
          <w:szCs w:val="24"/>
        </w:rPr>
        <w:t>Seznam zkratek</w:t>
      </w:r>
      <w:r w:rsidR="00D91A84">
        <w:rPr>
          <w:b/>
          <w:sz w:val="24"/>
          <w:szCs w:val="24"/>
        </w:rPr>
        <w:t xml:space="preserve"> a vysvětlení pojmů</w:t>
      </w:r>
    </w:p>
    <w:p w14:paraId="1E600458" w14:textId="3AD6BE55" w:rsidR="00932F6B" w:rsidRPr="00B20D59" w:rsidRDefault="0041558E" w:rsidP="00646457">
      <w:pPr>
        <w:spacing w:after="60" w:line="240" w:lineRule="auto"/>
        <w:ind w:left="4253" w:hanging="4253"/>
        <w:rPr>
          <w:rFonts w:cs="Calibri"/>
          <w:color w:val="000000" w:themeColor="text1"/>
          <w:sz w:val="24"/>
          <w:szCs w:val="24"/>
        </w:rPr>
      </w:pPr>
      <w:r w:rsidRPr="00B20D59">
        <w:rPr>
          <w:rFonts w:cs="Calibri"/>
          <w:color w:val="000000" w:themeColor="text1"/>
          <w:sz w:val="24"/>
          <w:szCs w:val="24"/>
        </w:rPr>
        <w:t>AO</w:t>
      </w:r>
      <w:r w:rsidR="00B20D59" w:rsidRPr="00B20D59">
        <w:rPr>
          <w:rFonts w:cs="Calibri"/>
          <w:color w:val="000000" w:themeColor="text1"/>
          <w:sz w:val="24"/>
          <w:szCs w:val="24"/>
        </w:rPr>
        <w:tab/>
      </w:r>
      <w:r w:rsidR="00646457">
        <w:rPr>
          <w:rFonts w:cs="Calibri"/>
          <w:color w:val="000000" w:themeColor="text1"/>
          <w:sz w:val="24"/>
          <w:szCs w:val="24"/>
        </w:rPr>
        <w:t>a</w:t>
      </w:r>
      <w:r w:rsidR="00EF7B26">
        <w:rPr>
          <w:rFonts w:cs="Calibri"/>
          <w:color w:val="000000" w:themeColor="text1"/>
          <w:sz w:val="24"/>
          <w:szCs w:val="24"/>
        </w:rPr>
        <w:t xml:space="preserve">uditovaná </w:t>
      </w:r>
      <w:r w:rsidR="00B20D59">
        <w:rPr>
          <w:rFonts w:cs="Calibri"/>
          <w:color w:val="000000" w:themeColor="text1"/>
          <w:sz w:val="24"/>
          <w:szCs w:val="24"/>
        </w:rPr>
        <w:t>organizace</w:t>
      </w:r>
    </w:p>
    <w:p w14:paraId="6493781C" w14:textId="38CFF422" w:rsidR="00B41550" w:rsidRDefault="005C6DD2" w:rsidP="00646457">
      <w:pPr>
        <w:spacing w:after="60" w:line="240" w:lineRule="auto"/>
        <w:ind w:left="4253" w:hanging="4253"/>
        <w:rPr>
          <w:rFonts w:cs="Calibri"/>
          <w:color w:val="000000" w:themeColor="text1"/>
          <w:sz w:val="24"/>
          <w:szCs w:val="24"/>
        </w:rPr>
      </w:pPr>
      <w:r w:rsidRPr="00046F3E" w:rsidDel="0091201F">
        <w:rPr>
          <w:rFonts w:cs="Calibri"/>
          <w:color w:val="000000" w:themeColor="text1"/>
          <w:sz w:val="24"/>
          <w:szCs w:val="24"/>
        </w:rPr>
        <w:t>ČR</w:t>
      </w:r>
      <w:r w:rsidRPr="00046F3E" w:rsidDel="0091201F">
        <w:rPr>
          <w:rFonts w:cs="Calibri"/>
          <w:color w:val="000000" w:themeColor="text1"/>
          <w:sz w:val="24"/>
          <w:szCs w:val="24"/>
        </w:rPr>
        <w:tab/>
        <w:t>Česká republika</w:t>
      </w:r>
    </w:p>
    <w:p w14:paraId="0873C9B4" w14:textId="1CD58D34" w:rsidR="005C6DD2" w:rsidRPr="00046F3E" w:rsidRDefault="005C6DD2" w:rsidP="00646457">
      <w:pPr>
        <w:spacing w:after="60" w:line="240" w:lineRule="auto"/>
        <w:ind w:left="4253" w:hanging="4253"/>
        <w:rPr>
          <w:sz w:val="24"/>
          <w:szCs w:val="24"/>
        </w:rPr>
      </w:pPr>
      <w:r w:rsidRPr="00046F3E">
        <w:rPr>
          <w:sz w:val="24"/>
          <w:szCs w:val="24"/>
        </w:rPr>
        <w:t>EU</w:t>
      </w:r>
      <w:r w:rsidRPr="00046F3E">
        <w:rPr>
          <w:sz w:val="24"/>
          <w:szCs w:val="24"/>
        </w:rPr>
        <w:tab/>
        <w:t>Evropská unie</w:t>
      </w:r>
    </w:p>
    <w:p w14:paraId="5D0DB7B6" w14:textId="2E9BB728" w:rsidR="00F16FE4" w:rsidRDefault="00F16FE4" w:rsidP="00646457">
      <w:pPr>
        <w:spacing w:after="60" w:line="240" w:lineRule="auto"/>
        <w:ind w:left="4253" w:hanging="4253"/>
        <w:rPr>
          <w:sz w:val="24"/>
          <w:szCs w:val="24"/>
        </w:rPr>
      </w:pPr>
      <w:r>
        <w:rPr>
          <w:sz w:val="24"/>
          <w:szCs w:val="24"/>
        </w:rPr>
        <w:t>GA</w:t>
      </w:r>
      <w:r>
        <w:rPr>
          <w:sz w:val="24"/>
          <w:szCs w:val="24"/>
        </w:rPr>
        <w:tab/>
      </w:r>
      <w:r w:rsidR="00646457">
        <w:rPr>
          <w:sz w:val="24"/>
          <w:szCs w:val="24"/>
        </w:rPr>
        <w:t>g</w:t>
      </w:r>
      <w:r>
        <w:rPr>
          <w:sz w:val="24"/>
          <w:szCs w:val="24"/>
        </w:rPr>
        <w:t>enderový audit</w:t>
      </w:r>
      <w:r w:rsidR="00646457">
        <w:rPr>
          <w:sz w:val="24"/>
          <w:szCs w:val="24"/>
        </w:rPr>
        <w:t xml:space="preserve"> (genderové audity)</w:t>
      </w:r>
    </w:p>
    <w:p w14:paraId="724D993B" w14:textId="7F216579" w:rsidR="00F16FE4" w:rsidRDefault="00F16FE4" w:rsidP="00646457">
      <w:pPr>
        <w:spacing w:after="60" w:line="240" w:lineRule="auto"/>
        <w:ind w:left="4253" w:hanging="4253"/>
        <w:rPr>
          <w:sz w:val="24"/>
          <w:szCs w:val="24"/>
        </w:rPr>
      </w:pPr>
      <w:r>
        <w:rPr>
          <w:sz w:val="24"/>
          <w:szCs w:val="24"/>
        </w:rPr>
        <w:t>IGA</w:t>
      </w:r>
      <w:r>
        <w:rPr>
          <w:sz w:val="24"/>
          <w:szCs w:val="24"/>
        </w:rPr>
        <w:tab/>
      </w:r>
      <w:r w:rsidR="00646457">
        <w:rPr>
          <w:sz w:val="24"/>
          <w:szCs w:val="24"/>
        </w:rPr>
        <w:t>i</w:t>
      </w:r>
      <w:r>
        <w:rPr>
          <w:sz w:val="24"/>
          <w:szCs w:val="24"/>
        </w:rPr>
        <w:t xml:space="preserve">mplementace </w:t>
      </w:r>
      <w:r w:rsidR="00646457">
        <w:rPr>
          <w:sz w:val="24"/>
          <w:szCs w:val="24"/>
        </w:rPr>
        <w:t xml:space="preserve">doporučení </w:t>
      </w:r>
      <w:r>
        <w:rPr>
          <w:sz w:val="24"/>
          <w:szCs w:val="24"/>
        </w:rPr>
        <w:t>genderového auditu</w:t>
      </w:r>
      <w:r w:rsidR="00646457">
        <w:rPr>
          <w:sz w:val="24"/>
          <w:szCs w:val="24"/>
        </w:rPr>
        <w:t xml:space="preserve"> (</w:t>
      </w:r>
      <w:r>
        <w:rPr>
          <w:sz w:val="24"/>
          <w:szCs w:val="24"/>
        </w:rPr>
        <w:t>genderových auditů</w:t>
      </w:r>
      <w:r w:rsidR="00646457">
        <w:rPr>
          <w:sz w:val="24"/>
          <w:szCs w:val="24"/>
        </w:rPr>
        <w:t>)</w:t>
      </w:r>
    </w:p>
    <w:p w14:paraId="25FC5DA7" w14:textId="0B3567F9" w:rsidR="00F16FE4" w:rsidRDefault="00F16FE4" w:rsidP="00646457">
      <w:pPr>
        <w:spacing w:after="60" w:line="240" w:lineRule="auto"/>
        <w:ind w:left="4253" w:hanging="4253"/>
        <w:rPr>
          <w:sz w:val="24"/>
          <w:szCs w:val="24"/>
        </w:rPr>
      </w:pPr>
      <w:r>
        <w:rPr>
          <w:sz w:val="24"/>
          <w:szCs w:val="24"/>
        </w:rPr>
        <w:t>IS</w:t>
      </w:r>
      <w:r>
        <w:rPr>
          <w:sz w:val="24"/>
          <w:szCs w:val="24"/>
        </w:rPr>
        <w:tab/>
      </w:r>
      <w:r w:rsidR="00646457">
        <w:rPr>
          <w:sz w:val="24"/>
          <w:szCs w:val="24"/>
        </w:rPr>
        <w:t>i</w:t>
      </w:r>
      <w:r>
        <w:rPr>
          <w:sz w:val="24"/>
          <w:szCs w:val="24"/>
        </w:rPr>
        <w:t>nformační systém</w:t>
      </w:r>
    </w:p>
    <w:p w14:paraId="5DA194D3" w14:textId="290D7EFF" w:rsidR="005C6DD2" w:rsidRDefault="005C6DD2" w:rsidP="00646457">
      <w:pPr>
        <w:spacing w:after="60" w:line="240" w:lineRule="auto"/>
        <w:ind w:left="4253" w:hanging="4253"/>
        <w:rPr>
          <w:sz w:val="24"/>
          <w:szCs w:val="24"/>
        </w:rPr>
      </w:pPr>
      <w:r w:rsidRPr="00046F3E">
        <w:rPr>
          <w:sz w:val="24"/>
          <w:szCs w:val="24"/>
        </w:rPr>
        <w:t>MPSV</w:t>
      </w:r>
      <w:r w:rsidRPr="00046F3E">
        <w:rPr>
          <w:sz w:val="24"/>
          <w:szCs w:val="24"/>
        </w:rPr>
        <w:tab/>
        <w:t>Ministerstvo práce a sociálních věcí</w:t>
      </w:r>
    </w:p>
    <w:p w14:paraId="05CDC339" w14:textId="39EA0021" w:rsidR="00646457" w:rsidRPr="00046F3E" w:rsidRDefault="00646457" w:rsidP="00646457">
      <w:pPr>
        <w:spacing w:after="60" w:line="240" w:lineRule="auto"/>
        <w:ind w:left="4253" w:hanging="4253"/>
        <w:rPr>
          <w:sz w:val="24"/>
          <w:szCs w:val="24"/>
        </w:rPr>
      </w:pPr>
      <w:bookmarkStart w:id="6" w:name="_Hlk128688870"/>
      <w:r>
        <w:rPr>
          <w:sz w:val="24"/>
          <w:szCs w:val="24"/>
        </w:rPr>
        <w:t>MS2014+</w:t>
      </w:r>
      <w:r>
        <w:rPr>
          <w:sz w:val="24"/>
          <w:szCs w:val="24"/>
        </w:rPr>
        <w:tab/>
        <w:t>monitorovací systém evropských strukturálních a investičních fondů pro programové období 2014–2020</w:t>
      </w:r>
    </w:p>
    <w:bookmarkEnd w:id="6"/>
    <w:p w14:paraId="1AD75598" w14:textId="755CAF6B" w:rsidR="005C6DD2" w:rsidRPr="00046F3E" w:rsidRDefault="005C6DD2" w:rsidP="00646457">
      <w:pPr>
        <w:spacing w:after="60" w:line="240" w:lineRule="auto"/>
        <w:ind w:left="4253" w:hanging="4253"/>
        <w:rPr>
          <w:sz w:val="24"/>
          <w:szCs w:val="24"/>
        </w:rPr>
      </w:pPr>
      <w:r w:rsidRPr="00046F3E">
        <w:rPr>
          <w:sz w:val="24"/>
          <w:szCs w:val="24"/>
        </w:rPr>
        <w:t>NKÚ</w:t>
      </w:r>
      <w:r w:rsidRPr="00046F3E">
        <w:rPr>
          <w:sz w:val="24"/>
          <w:szCs w:val="24"/>
        </w:rPr>
        <w:tab/>
        <w:t>Nejvyšší kontrolní úřad</w:t>
      </w:r>
    </w:p>
    <w:p w14:paraId="51FB741F" w14:textId="1AE27DEC" w:rsidR="005C6DD2" w:rsidRDefault="005C6DD2" w:rsidP="00646457">
      <w:pPr>
        <w:spacing w:after="60" w:line="240" w:lineRule="auto"/>
        <w:ind w:left="4253" w:hanging="4253"/>
        <w:rPr>
          <w:rFonts w:cstheme="minorHAnsi"/>
          <w:bCs/>
          <w:i/>
          <w:sz w:val="24"/>
          <w:szCs w:val="24"/>
        </w:rPr>
      </w:pPr>
      <w:r w:rsidRPr="00046F3E">
        <w:rPr>
          <w:rFonts w:cstheme="minorHAnsi"/>
          <w:bCs/>
          <w:sz w:val="24"/>
          <w:szCs w:val="24"/>
        </w:rPr>
        <w:t>OPZ</w:t>
      </w:r>
      <w:r w:rsidRPr="00046F3E">
        <w:rPr>
          <w:rFonts w:cstheme="minorHAnsi"/>
          <w:bCs/>
          <w:sz w:val="24"/>
          <w:szCs w:val="24"/>
        </w:rPr>
        <w:tab/>
      </w:r>
      <w:r w:rsidR="00646457">
        <w:rPr>
          <w:rFonts w:cstheme="minorHAnsi"/>
          <w:bCs/>
          <w:sz w:val="24"/>
          <w:szCs w:val="24"/>
        </w:rPr>
        <w:t>o</w:t>
      </w:r>
      <w:r w:rsidRPr="007865B9">
        <w:rPr>
          <w:rFonts w:cstheme="minorHAnsi"/>
          <w:sz w:val="24"/>
          <w:szCs w:val="24"/>
        </w:rPr>
        <w:t>perační program</w:t>
      </w:r>
      <w:r w:rsidRPr="00151C56">
        <w:rPr>
          <w:rFonts w:cstheme="minorHAnsi"/>
          <w:bCs/>
          <w:i/>
          <w:sz w:val="24"/>
          <w:szCs w:val="24"/>
        </w:rPr>
        <w:t xml:space="preserve"> Zaměstnanost</w:t>
      </w:r>
      <w:r>
        <w:rPr>
          <w:rFonts w:cstheme="minorHAnsi"/>
          <w:bCs/>
          <w:i/>
          <w:sz w:val="24"/>
          <w:szCs w:val="24"/>
        </w:rPr>
        <w:t xml:space="preserve"> 2014–2020</w:t>
      </w:r>
    </w:p>
    <w:p w14:paraId="36A2A32D" w14:textId="7E057EA1" w:rsidR="005C6DD2" w:rsidRDefault="005C6DD2" w:rsidP="00646457">
      <w:pPr>
        <w:spacing w:after="60" w:line="240" w:lineRule="auto"/>
        <w:ind w:left="4253" w:hanging="4253"/>
        <w:rPr>
          <w:rFonts w:cstheme="minorHAnsi"/>
          <w:bCs/>
          <w:sz w:val="24"/>
          <w:szCs w:val="24"/>
        </w:rPr>
      </w:pPr>
      <w:r>
        <w:rPr>
          <w:rFonts w:cstheme="minorHAnsi"/>
          <w:bCs/>
          <w:sz w:val="24"/>
          <w:szCs w:val="24"/>
        </w:rPr>
        <w:t>SC</w:t>
      </w:r>
      <w:r>
        <w:rPr>
          <w:rFonts w:cstheme="minorHAnsi"/>
          <w:bCs/>
          <w:sz w:val="24"/>
          <w:szCs w:val="24"/>
        </w:rPr>
        <w:tab/>
      </w:r>
      <w:r w:rsidR="00646457">
        <w:rPr>
          <w:rFonts w:cstheme="minorHAnsi"/>
          <w:bCs/>
          <w:sz w:val="24"/>
          <w:szCs w:val="24"/>
        </w:rPr>
        <w:t>s</w:t>
      </w:r>
      <w:r>
        <w:rPr>
          <w:rFonts w:cstheme="minorHAnsi"/>
          <w:bCs/>
          <w:sz w:val="24"/>
          <w:szCs w:val="24"/>
        </w:rPr>
        <w:t>pecifický cíl</w:t>
      </w:r>
    </w:p>
    <w:p w14:paraId="185ACDFE" w14:textId="79DFC6E5" w:rsidR="00150389" w:rsidRDefault="00150389" w:rsidP="00646457">
      <w:pPr>
        <w:spacing w:after="60" w:line="240" w:lineRule="auto"/>
        <w:ind w:left="4253" w:hanging="4253"/>
        <w:rPr>
          <w:rFonts w:cstheme="minorHAnsi"/>
          <w:bCs/>
          <w:sz w:val="24"/>
          <w:szCs w:val="24"/>
        </w:rPr>
      </w:pPr>
      <w:r>
        <w:rPr>
          <w:rFonts w:cstheme="minorHAnsi"/>
          <w:bCs/>
          <w:sz w:val="24"/>
          <w:szCs w:val="24"/>
        </w:rPr>
        <w:t>SC 1.2.1</w:t>
      </w:r>
      <w:r>
        <w:rPr>
          <w:rFonts w:cstheme="minorHAnsi"/>
          <w:bCs/>
          <w:sz w:val="24"/>
          <w:szCs w:val="24"/>
        </w:rPr>
        <w:tab/>
      </w:r>
      <w:r w:rsidR="00646457">
        <w:rPr>
          <w:rFonts w:cstheme="minorHAnsi"/>
          <w:bCs/>
          <w:sz w:val="24"/>
          <w:szCs w:val="24"/>
        </w:rPr>
        <w:t>s</w:t>
      </w:r>
      <w:r w:rsidRPr="00292790">
        <w:rPr>
          <w:rFonts w:cstheme="minorHAnsi"/>
          <w:bCs/>
          <w:sz w:val="24"/>
          <w:szCs w:val="24"/>
        </w:rPr>
        <w:t>pecifick</w:t>
      </w:r>
      <w:r>
        <w:rPr>
          <w:rFonts w:cstheme="minorHAnsi"/>
          <w:bCs/>
          <w:sz w:val="24"/>
          <w:szCs w:val="24"/>
        </w:rPr>
        <w:t>ý</w:t>
      </w:r>
      <w:r w:rsidRPr="00292790">
        <w:rPr>
          <w:rFonts w:cstheme="minorHAnsi"/>
          <w:bCs/>
          <w:sz w:val="24"/>
          <w:szCs w:val="24"/>
        </w:rPr>
        <w:t xml:space="preserve"> cíl </w:t>
      </w:r>
      <w:r w:rsidR="00646457">
        <w:rPr>
          <w:rFonts w:cstheme="minorHAnsi"/>
          <w:bCs/>
          <w:sz w:val="24"/>
          <w:szCs w:val="24"/>
        </w:rPr>
        <w:t xml:space="preserve">OPZ </w:t>
      </w:r>
      <w:r>
        <w:rPr>
          <w:rFonts w:cstheme="minorHAnsi"/>
          <w:bCs/>
          <w:sz w:val="24"/>
          <w:szCs w:val="24"/>
        </w:rPr>
        <w:t>1</w:t>
      </w:r>
      <w:r w:rsidRPr="00292790">
        <w:rPr>
          <w:rFonts w:cstheme="minorHAnsi"/>
          <w:bCs/>
          <w:sz w:val="24"/>
          <w:szCs w:val="24"/>
        </w:rPr>
        <w:t>.</w:t>
      </w:r>
      <w:r>
        <w:rPr>
          <w:rFonts w:cstheme="minorHAnsi"/>
          <w:bCs/>
          <w:sz w:val="24"/>
          <w:szCs w:val="24"/>
        </w:rPr>
        <w:t>2</w:t>
      </w:r>
      <w:r w:rsidRPr="00292790">
        <w:rPr>
          <w:rFonts w:cstheme="minorHAnsi"/>
          <w:bCs/>
          <w:sz w:val="24"/>
          <w:szCs w:val="24"/>
        </w:rPr>
        <w:t>.</w:t>
      </w:r>
      <w:r>
        <w:rPr>
          <w:rFonts w:cstheme="minorHAnsi"/>
          <w:bCs/>
          <w:sz w:val="24"/>
          <w:szCs w:val="24"/>
        </w:rPr>
        <w:t>1</w:t>
      </w:r>
      <w:r w:rsidRPr="00292790">
        <w:rPr>
          <w:rFonts w:cstheme="minorHAnsi"/>
          <w:bCs/>
          <w:sz w:val="24"/>
          <w:szCs w:val="24"/>
        </w:rPr>
        <w:t xml:space="preserve"> </w:t>
      </w:r>
    </w:p>
    <w:p w14:paraId="6E9D382D" w14:textId="18DE2A7E" w:rsidR="00EF7B26" w:rsidRDefault="00EF7B26" w:rsidP="00646457">
      <w:pPr>
        <w:spacing w:after="60" w:line="240" w:lineRule="auto"/>
        <w:ind w:left="4253" w:hanging="4253"/>
        <w:rPr>
          <w:rFonts w:cstheme="minorHAnsi"/>
          <w:bCs/>
          <w:sz w:val="24"/>
          <w:szCs w:val="24"/>
        </w:rPr>
      </w:pPr>
      <w:r>
        <w:rPr>
          <w:rFonts w:cstheme="minorHAnsi"/>
          <w:bCs/>
          <w:sz w:val="24"/>
          <w:szCs w:val="24"/>
        </w:rPr>
        <w:t>SR</w:t>
      </w:r>
      <w:r>
        <w:rPr>
          <w:rFonts w:cstheme="minorHAnsi"/>
          <w:bCs/>
          <w:sz w:val="24"/>
          <w:szCs w:val="24"/>
        </w:rPr>
        <w:tab/>
      </w:r>
      <w:r w:rsidR="00646457">
        <w:rPr>
          <w:rFonts w:cstheme="minorHAnsi"/>
          <w:bCs/>
          <w:sz w:val="24"/>
          <w:szCs w:val="24"/>
        </w:rPr>
        <w:t>s</w:t>
      </w:r>
      <w:r>
        <w:rPr>
          <w:rFonts w:cstheme="minorHAnsi"/>
          <w:bCs/>
          <w:sz w:val="24"/>
          <w:szCs w:val="24"/>
        </w:rPr>
        <w:t>tátní rozpočet</w:t>
      </w:r>
    </w:p>
    <w:p w14:paraId="20810B50" w14:textId="77777777" w:rsidR="00F16FE4" w:rsidRDefault="00F16FE4" w:rsidP="00646457">
      <w:pPr>
        <w:tabs>
          <w:tab w:val="left" w:pos="1843"/>
        </w:tabs>
        <w:spacing w:after="60" w:line="240" w:lineRule="auto"/>
        <w:ind w:left="4254" w:hanging="4254"/>
        <w:rPr>
          <w:rFonts w:cstheme="minorHAnsi"/>
          <w:sz w:val="24"/>
          <w:szCs w:val="24"/>
        </w:rPr>
      </w:pPr>
      <w:r>
        <w:rPr>
          <w:rFonts w:cstheme="minorHAnsi"/>
          <w:sz w:val="24"/>
          <w:szCs w:val="24"/>
        </w:rPr>
        <w:t>Standard GA</w:t>
      </w:r>
      <w:r>
        <w:rPr>
          <w:rFonts w:cstheme="minorHAnsi"/>
          <w:sz w:val="24"/>
          <w:szCs w:val="24"/>
        </w:rPr>
        <w:tab/>
      </w:r>
      <w:r w:rsidR="0091201F">
        <w:rPr>
          <w:rFonts w:cstheme="minorHAnsi"/>
          <w:sz w:val="24"/>
          <w:szCs w:val="24"/>
        </w:rPr>
        <w:tab/>
      </w:r>
      <w:r w:rsidR="00DE2821" w:rsidRPr="009F6890">
        <w:rPr>
          <w:rFonts w:cstheme="minorHAnsi"/>
          <w:i/>
          <w:sz w:val="24"/>
          <w:szCs w:val="24"/>
        </w:rPr>
        <w:t>Standard genderového auditu</w:t>
      </w:r>
      <w:r w:rsidR="00564AE8">
        <w:rPr>
          <w:rFonts w:cstheme="minorHAnsi"/>
          <w:sz w:val="24"/>
          <w:szCs w:val="24"/>
        </w:rPr>
        <w:t>;</w:t>
      </w:r>
      <w:r w:rsidR="00DE2821">
        <w:rPr>
          <w:rFonts w:cstheme="minorHAnsi"/>
          <w:sz w:val="24"/>
          <w:szCs w:val="24"/>
        </w:rPr>
        <w:t xml:space="preserve"> </w:t>
      </w:r>
      <w:r w:rsidR="00EF7B26">
        <w:rPr>
          <w:rFonts w:cstheme="minorHAnsi"/>
          <w:sz w:val="24"/>
          <w:szCs w:val="24"/>
        </w:rPr>
        <w:t>v</w:t>
      </w:r>
      <w:r w:rsidR="00DE2821" w:rsidRPr="00DE2821">
        <w:rPr>
          <w:rFonts w:cstheme="minorHAnsi"/>
          <w:sz w:val="24"/>
          <w:szCs w:val="24"/>
        </w:rPr>
        <w:t>ydal Úřad vlády České republiky, Odbor lidských práv a ochrany menšin, březen 2016, verze č. 2</w:t>
      </w:r>
    </w:p>
    <w:p w14:paraId="119BC45F" w14:textId="581EF800" w:rsidR="00F16FE4" w:rsidRPr="00F16FE4" w:rsidRDefault="00F16FE4" w:rsidP="00646457">
      <w:pPr>
        <w:tabs>
          <w:tab w:val="left" w:pos="1843"/>
        </w:tabs>
        <w:spacing w:after="60" w:line="240" w:lineRule="auto"/>
        <w:ind w:left="4254" w:hanging="4254"/>
        <w:rPr>
          <w:rFonts w:cstheme="minorHAnsi"/>
          <w:sz w:val="24"/>
          <w:szCs w:val="24"/>
        </w:rPr>
      </w:pPr>
      <w:r>
        <w:rPr>
          <w:rFonts w:cstheme="minorHAnsi"/>
          <w:sz w:val="24"/>
          <w:szCs w:val="24"/>
        </w:rPr>
        <w:t>Strategie</w:t>
      </w:r>
      <w:r>
        <w:rPr>
          <w:rFonts w:cstheme="minorHAnsi"/>
          <w:sz w:val="24"/>
          <w:szCs w:val="24"/>
        </w:rPr>
        <w:tab/>
      </w:r>
      <w:r w:rsidR="0091201F">
        <w:rPr>
          <w:rFonts w:cstheme="minorHAnsi"/>
          <w:sz w:val="24"/>
          <w:szCs w:val="24"/>
        </w:rPr>
        <w:tab/>
      </w:r>
      <w:r w:rsidR="00564AE8" w:rsidRPr="009F6890">
        <w:rPr>
          <w:rFonts w:cstheme="minorHAnsi"/>
          <w:i/>
          <w:sz w:val="24"/>
          <w:szCs w:val="24"/>
        </w:rPr>
        <w:t>Vládní strategi</w:t>
      </w:r>
      <w:r w:rsidR="0095045B" w:rsidRPr="009F6890">
        <w:rPr>
          <w:rFonts w:cstheme="minorHAnsi"/>
          <w:i/>
          <w:sz w:val="24"/>
          <w:szCs w:val="24"/>
        </w:rPr>
        <w:t>e</w:t>
      </w:r>
      <w:r w:rsidR="00564AE8" w:rsidRPr="009F6890">
        <w:rPr>
          <w:rFonts w:cstheme="minorHAnsi"/>
          <w:i/>
          <w:sz w:val="24"/>
          <w:szCs w:val="24"/>
        </w:rPr>
        <w:t xml:space="preserve"> pro rovnost žen a mužů v České republice na léta 2014–2020</w:t>
      </w:r>
      <w:r w:rsidR="00564AE8">
        <w:rPr>
          <w:rFonts w:cstheme="minorHAnsi"/>
          <w:sz w:val="24"/>
          <w:szCs w:val="24"/>
        </w:rPr>
        <w:t>;</w:t>
      </w:r>
      <w:r w:rsidR="00564AE8" w:rsidRPr="00564AE8">
        <w:rPr>
          <w:rFonts w:cstheme="minorHAnsi"/>
          <w:sz w:val="24"/>
          <w:szCs w:val="24"/>
        </w:rPr>
        <w:t xml:space="preserve"> </w:t>
      </w:r>
      <w:r w:rsidR="00EF7B26">
        <w:rPr>
          <w:rFonts w:cstheme="minorHAnsi"/>
          <w:sz w:val="24"/>
          <w:szCs w:val="24"/>
        </w:rPr>
        <w:t>s</w:t>
      </w:r>
      <w:r w:rsidR="00EF7B26" w:rsidRPr="00564AE8">
        <w:rPr>
          <w:rFonts w:cstheme="minorHAnsi"/>
          <w:sz w:val="24"/>
          <w:szCs w:val="24"/>
        </w:rPr>
        <w:t>chválen</w:t>
      </w:r>
      <w:r w:rsidR="00EF7B26">
        <w:rPr>
          <w:rFonts w:cstheme="minorHAnsi"/>
          <w:sz w:val="24"/>
          <w:szCs w:val="24"/>
        </w:rPr>
        <w:t>a</w:t>
      </w:r>
      <w:r w:rsidR="00EF7B26" w:rsidRPr="00564AE8">
        <w:rPr>
          <w:rFonts w:cstheme="minorHAnsi"/>
          <w:sz w:val="24"/>
          <w:szCs w:val="24"/>
        </w:rPr>
        <w:t xml:space="preserve"> </w:t>
      </w:r>
      <w:r w:rsidR="00564AE8" w:rsidRPr="00564AE8">
        <w:rPr>
          <w:rFonts w:cstheme="minorHAnsi"/>
          <w:sz w:val="24"/>
          <w:szCs w:val="24"/>
        </w:rPr>
        <w:t>usnesením vlády ČR ze dne 12. listopadu 2014 č.</w:t>
      </w:r>
      <w:r w:rsidR="00646457">
        <w:rPr>
          <w:rFonts w:cstheme="minorHAnsi"/>
          <w:sz w:val="24"/>
          <w:szCs w:val="24"/>
        </w:rPr>
        <w:t> </w:t>
      </w:r>
      <w:r w:rsidR="00564AE8" w:rsidRPr="00564AE8">
        <w:rPr>
          <w:rFonts w:cstheme="minorHAnsi"/>
          <w:sz w:val="24"/>
          <w:szCs w:val="24"/>
        </w:rPr>
        <w:t>931</w:t>
      </w:r>
    </w:p>
    <w:p w14:paraId="1FC92EDB" w14:textId="0B26164C" w:rsidR="005C6DD2" w:rsidRDefault="00646457" w:rsidP="00646457">
      <w:pPr>
        <w:tabs>
          <w:tab w:val="left" w:pos="1843"/>
        </w:tabs>
        <w:spacing w:after="60" w:line="240" w:lineRule="auto"/>
        <w:ind w:left="4253" w:hanging="4252"/>
        <w:rPr>
          <w:rFonts w:cstheme="minorHAnsi"/>
          <w:bCs/>
          <w:sz w:val="24"/>
          <w:szCs w:val="24"/>
        </w:rPr>
      </w:pPr>
      <w:r>
        <w:rPr>
          <w:rFonts w:cstheme="minorHAnsi"/>
          <w:bCs/>
          <w:sz w:val="24"/>
          <w:szCs w:val="24"/>
        </w:rPr>
        <w:t>v</w:t>
      </w:r>
      <w:r w:rsidR="00B50B33">
        <w:rPr>
          <w:rFonts w:cstheme="minorHAnsi"/>
          <w:bCs/>
          <w:sz w:val="24"/>
          <w:szCs w:val="24"/>
        </w:rPr>
        <w:t xml:space="preserve">ybrané </w:t>
      </w:r>
      <w:r w:rsidR="005C6DD2">
        <w:rPr>
          <w:rFonts w:cstheme="minorHAnsi"/>
          <w:bCs/>
          <w:sz w:val="24"/>
          <w:szCs w:val="24"/>
        </w:rPr>
        <w:t>projekty</w:t>
      </w:r>
      <w:r w:rsidR="005C6DD2">
        <w:rPr>
          <w:rFonts w:cstheme="minorHAnsi"/>
          <w:bCs/>
          <w:sz w:val="24"/>
          <w:szCs w:val="24"/>
        </w:rPr>
        <w:tab/>
      </w:r>
      <w:r w:rsidR="00B41550">
        <w:rPr>
          <w:rFonts w:cstheme="minorHAnsi"/>
          <w:bCs/>
          <w:sz w:val="24"/>
          <w:szCs w:val="24"/>
        </w:rPr>
        <w:tab/>
      </w:r>
      <w:r w:rsidR="005C6DD2">
        <w:rPr>
          <w:rFonts w:cstheme="minorHAnsi"/>
          <w:bCs/>
          <w:sz w:val="24"/>
          <w:szCs w:val="24"/>
        </w:rPr>
        <w:t xml:space="preserve">vzorek </w:t>
      </w:r>
      <w:r w:rsidR="005C6DD2" w:rsidRPr="00046F3E">
        <w:rPr>
          <w:rFonts w:cstheme="minorHAnsi"/>
          <w:bCs/>
          <w:sz w:val="24"/>
          <w:szCs w:val="24"/>
        </w:rPr>
        <w:t>1</w:t>
      </w:r>
      <w:r w:rsidR="005C6DD2">
        <w:rPr>
          <w:rFonts w:cstheme="minorHAnsi"/>
          <w:bCs/>
          <w:sz w:val="24"/>
          <w:szCs w:val="24"/>
        </w:rPr>
        <w:t>4</w:t>
      </w:r>
      <w:r w:rsidR="005C6DD2" w:rsidRPr="00046F3E">
        <w:rPr>
          <w:rFonts w:cstheme="minorHAnsi"/>
          <w:bCs/>
          <w:sz w:val="24"/>
          <w:szCs w:val="24"/>
        </w:rPr>
        <w:t xml:space="preserve"> projektů </w:t>
      </w:r>
      <w:r>
        <w:rPr>
          <w:rFonts w:cstheme="minorHAnsi"/>
          <w:bCs/>
          <w:sz w:val="24"/>
          <w:szCs w:val="24"/>
        </w:rPr>
        <w:t>kontrolovaných</w:t>
      </w:r>
      <w:r w:rsidR="00DD53F4">
        <w:rPr>
          <w:rFonts w:cstheme="minorHAnsi"/>
          <w:bCs/>
          <w:sz w:val="24"/>
          <w:szCs w:val="24"/>
        </w:rPr>
        <w:t xml:space="preserve"> Nejvyšším kontrolním úřadem</w:t>
      </w:r>
      <w:r w:rsidRPr="00046F3E">
        <w:rPr>
          <w:rFonts w:cstheme="minorHAnsi"/>
          <w:bCs/>
          <w:sz w:val="24"/>
          <w:szCs w:val="24"/>
        </w:rPr>
        <w:t xml:space="preserve"> </w:t>
      </w:r>
      <w:r w:rsidR="005C6DD2" w:rsidRPr="00046F3E">
        <w:rPr>
          <w:rFonts w:cstheme="minorHAnsi"/>
          <w:bCs/>
          <w:sz w:val="24"/>
          <w:szCs w:val="24"/>
        </w:rPr>
        <w:t>u 1</w:t>
      </w:r>
      <w:r w:rsidR="005C6DD2">
        <w:rPr>
          <w:rFonts w:cstheme="minorHAnsi"/>
          <w:bCs/>
          <w:sz w:val="24"/>
          <w:szCs w:val="24"/>
        </w:rPr>
        <w:t>4</w:t>
      </w:r>
      <w:r w:rsidR="005C6DD2" w:rsidRPr="00046F3E">
        <w:rPr>
          <w:rFonts w:cstheme="minorHAnsi"/>
          <w:bCs/>
          <w:sz w:val="24"/>
          <w:szCs w:val="24"/>
        </w:rPr>
        <w:t xml:space="preserve"> příjemců podpory</w:t>
      </w:r>
    </w:p>
    <w:p w14:paraId="3F2DD0C7" w14:textId="413D454C" w:rsidR="00DD53F4" w:rsidRDefault="00DD53F4" w:rsidP="009F6890">
      <w:pPr>
        <w:spacing w:after="60" w:line="240" w:lineRule="auto"/>
        <w:ind w:left="4253" w:hanging="4252"/>
        <w:rPr>
          <w:rFonts w:cstheme="minorHAnsi"/>
          <w:bCs/>
          <w:sz w:val="24"/>
          <w:szCs w:val="24"/>
        </w:rPr>
      </w:pPr>
      <w:r>
        <w:rPr>
          <w:rFonts w:cstheme="minorHAnsi"/>
          <w:bCs/>
          <w:sz w:val="24"/>
          <w:szCs w:val="24"/>
        </w:rPr>
        <w:t>výzva č. 28</w:t>
      </w:r>
      <w:r>
        <w:rPr>
          <w:rFonts w:cstheme="minorHAnsi"/>
          <w:bCs/>
          <w:sz w:val="24"/>
          <w:szCs w:val="24"/>
        </w:rPr>
        <w:tab/>
      </w:r>
      <w:r w:rsidRPr="00DD53F4">
        <w:rPr>
          <w:rFonts w:cstheme="minorHAnsi"/>
          <w:bCs/>
          <w:sz w:val="24"/>
          <w:szCs w:val="24"/>
        </w:rPr>
        <w:t>v</w:t>
      </w:r>
      <w:r w:rsidRPr="009F6890">
        <w:rPr>
          <w:sz w:val="24"/>
          <w:szCs w:val="24"/>
        </w:rPr>
        <w:t xml:space="preserve">ýzva č. 03_15_028 </w:t>
      </w:r>
      <w:r w:rsidRPr="009F6890">
        <w:rPr>
          <w:i/>
          <w:sz w:val="24"/>
          <w:szCs w:val="24"/>
        </w:rPr>
        <w:t>Implementace Vládní strategie pro rovnost žen a mužů v České republice na léta 2014–2020 Praha</w:t>
      </w:r>
    </w:p>
    <w:p w14:paraId="04173FD5" w14:textId="2C37AD4D" w:rsidR="00B50B33" w:rsidRDefault="00646457" w:rsidP="00646457">
      <w:pPr>
        <w:tabs>
          <w:tab w:val="left" w:pos="1843"/>
        </w:tabs>
        <w:spacing w:after="60" w:line="240" w:lineRule="auto"/>
        <w:ind w:left="4254" w:hanging="4254"/>
        <w:rPr>
          <w:rFonts w:cstheme="minorHAnsi"/>
          <w:bCs/>
          <w:sz w:val="24"/>
          <w:szCs w:val="24"/>
        </w:rPr>
      </w:pPr>
      <w:r>
        <w:rPr>
          <w:rFonts w:cstheme="minorHAnsi"/>
          <w:bCs/>
          <w:sz w:val="24"/>
          <w:szCs w:val="24"/>
        </w:rPr>
        <w:t>v</w:t>
      </w:r>
      <w:r w:rsidR="00B50B33">
        <w:rPr>
          <w:rFonts w:cstheme="minorHAnsi"/>
          <w:bCs/>
          <w:sz w:val="24"/>
          <w:szCs w:val="24"/>
        </w:rPr>
        <w:t xml:space="preserve">ýzvy č. 50 a 51 nebo </w:t>
      </w:r>
      <w:r>
        <w:rPr>
          <w:rFonts w:cstheme="minorHAnsi"/>
          <w:bCs/>
          <w:sz w:val="24"/>
          <w:szCs w:val="24"/>
        </w:rPr>
        <w:t>v</w:t>
      </w:r>
      <w:r w:rsidR="00B50B33">
        <w:rPr>
          <w:rFonts w:cstheme="minorHAnsi"/>
          <w:bCs/>
          <w:sz w:val="24"/>
          <w:szCs w:val="24"/>
        </w:rPr>
        <w:t>ýzvy GA</w:t>
      </w:r>
      <w:r w:rsidR="00B50B33">
        <w:rPr>
          <w:rFonts w:cstheme="minorHAnsi"/>
          <w:bCs/>
          <w:sz w:val="24"/>
          <w:szCs w:val="24"/>
        </w:rPr>
        <w:tab/>
      </w:r>
      <w:r w:rsidR="00DD53F4">
        <w:rPr>
          <w:rFonts w:cstheme="minorHAnsi"/>
          <w:bCs/>
          <w:sz w:val="24"/>
          <w:szCs w:val="24"/>
        </w:rPr>
        <w:t>v</w:t>
      </w:r>
      <w:r w:rsidR="00B50B33" w:rsidRPr="003F395E">
        <w:rPr>
          <w:sz w:val="24"/>
          <w:szCs w:val="24"/>
        </w:rPr>
        <w:t xml:space="preserve">ýzvy č. 03_16_050 a 03_16_051 </w:t>
      </w:r>
      <w:r w:rsidR="00B50B33" w:rsidRPr="009F6890">
        <w:rPr>
          <w:i/>
          <w:sz w:val="24"/>
          <w:szCs w:val="24"/>
        </w:rPr>
        <w:t>Realizace genderových auditů u zaměstnavatelů</w:t>
      </w:r>
    </w:p>
    <w:p w14:paraId="0AF891AB" w14:textId="1B808C52" w:rsidR="00B50B33" w:rsidRDefault="00646457" w:rsidP="00646457">
      <w:pPr>
        <w:tabs>
          <w:tab w:val="left" w:pos="1843"/>
        </w:tabs>
        <w:spacing w:after="60" w:line="240" w:lineRule="auto"/>
        <w:ind w:left="4254" w:hanging="4254"/>
        <w:rPr>
          <w:rFonts w:cstheme="minorHAnsi"/>
          <w:bCs/>
          <w:sz w:val="24"/>
          <w:szCs w:val="24"/>
        </w:rPr>
      </w:pPr>
      <w:r>
        <w:rPr>
          <w:rFonts w:cstheme="minorHAnsi"/>
          <w:bCs/>
          <w:sz w:val="24"/>
          <w:szCs w:val="24"/>
        </w:rPr>
        <w:t>v</w:t>
      </w:r>
      <w:r w:rsidR="00B50B33">
        <w:rPr>
          <w:rFonts w:cstheme="minorHAnsi"/>
          <w:bCs/>
          <w:sz w:val="24"/>
          <w:szCs w:val="24"/>
        </w:rPr>
        <w:t xml:space="preserve">ýzvy č. 130 a 131 nebo </w:t>
      </w:r>
      <w:r>
        <w:rPr>
          <w:rFonts w:cstheme="minorHAnsi"/>
          <w:bCs/>
          <w:sz w:val="24"/>
          <w:szCs w:val="24"/>
        </w:rPr>
        <w:t>v</w:t>
      </w:r>
      <w:r w:rsidR="00B50B33">
        <w:rPr>
          <w:rFonts w:cstheme="minorHAnsi"/>
          <w:bCs/>
          <w:sz w:val="24"/>
          <w:szCs w:val="24"/>
        </w:rPr>
        <w:t>ýzvy IGA</w:t>
      </w:r>
      <w:r w:rsidR="00B50B33">
        <w:rPr>
          <w:rFonts w:cstheme="minorHAnsi"/>
          <w:bCs/>
          <w:sz w:val="24"/>
          <w:szCs w:val="24"/>
        </w:rPr>
        <w:tab/>
      </w:r>
      <w:r w:rsidR="00DD53F4">
        <w:rPr>
          <w:rFonts w:cstheme="minorHAnsi"/>
          <w:bCs/>
          <w:sz w:val="24"/>
          <w:szCs w:val="24"/>
        </w:rPr>
        <w:t>v</w:t>
      </w:r>
      <w:r w:rsidR="00B50B33" w:rsidRPr="00B50B33">
        <w:rPr>
          <w:rFonts w:cstheme="minorHAnsi"/>
          <w:bCs/>
          <w:sz w:val="24"/>
          <w:szCs w:val="24"/>
        </w:rPr>
        <w:t>ýzv</w:t>
      </w:r>
      <w:r w:rsidR="00B50B33">
        <w:rPr>
          <w:rFonts w:cstheme="minorHAnsi"/>
          <w:bCs/>
          <w:sz w:val="24"/>
          <w:szCs w:val="24"/>
        </w:rPr>
        <w:t>y</w:t>
      </w:r>
      <w:r w:rsidR="00B50B33" w:rsidRPr="00B50B33">
        <w:rPr>
          <w:rFonts w:cstheme="minorHAnsi"/>
          <w:bCs/>
          <w:sz w:val="24"/>
          <w:szCs w:val="24"/>
        </w:rPr>
        <w:t xml:space="preserve"> č. 03_17_130 a 03_17_131 </w:t>
      </w:r>
      <w:r w:rsidR="00B50B33" w:rsidRPr="009F6890">
        <w:rPr>
          <w:rFonts w:cstheme="minorHAnsi"/>
          <w:bCs/>
          <w:i/>
          <w:sz w:val="24"/>
          <w:szCs w:val="24"/>
        </w:rPr>
        <w:t>Implementace doporučení genderového auditu u zaměstnavatelů</w:t>
      </w:r>
    </w:p>
    <w:p w14:paraId="0EEF05E2" w14:textId="77777777" w:rsidR="00C24004" w:rsidRPr="00C24004" w:rsidRDefault="00C24004" w:rsidP="00C24004">
      <w:pPr>
        <w:rPr>
          <w:rFonts w:cstheme="minorHAnsi"/>
          <w:sz w:val="24"/>
          <w:szCs w:val="28"/>
          <w:highlight w:val="yellow"/>
        </w:rPr>
      </w:pPr>
    </w:p>
    <w:p w14:paraId="02C1711E" w14:textId="77777777" w:rsidR="00C24004" w:rsidRPr="00C24004" w:rsidRDefault="00C24004" w:rsidP="00C24004">
      <w:pPr>
        <w:rPr>
          <w:rFonts w:cstheme="minorHAnsi"/>
          <w:sz w:val="24"/>
          <w:szCs w:val="28"/>
          <w:highlight w:val="yellow"/>
        </w:rPr>
      </w:pPr>
    </w:p>
    <w:p w14:paraId="521D4059" w14:textId="77777777" w:rsidR="0064016E" w:rsidRPr="00C24004" w:rsidRDefault="0064016E" w:rsidP="00C24004">
      <w:pPr>
        <w:tabs>
          <w:tab w:val="center" w:pos="4536"/>
        </w:tabs>
        <w:rPr>
          <w:rFonts w:cstheme="minorHAnsi"/>
          <w:color w:val="FFFFFF" w:themeColor="background1"/>
          <w:sz w:val="24"/>
          <w:szCs w:val="28"/>
          <w:highlight w:val="yellow"/>
        </w:rPr>
        <w:sectPr w:rsidR="0064016E" w:rsidRPr="00C24004" w:rsidSect="00D02D27">
          <w:headerReference w:type="first" r:id="rId18"/>
          <w:pgSz w:w="11906" w:h="16838"/>
          <w:pgMar w:top="1417" w:right="1417" w:bottom="1417" w:left="1417" w:header="708" w:footer="708" w:gutter="0"/>
          <w:cols w:space="708"/>
          <w:titlePg/>
          <w:docGrid w:linePitch="360"/>
        </w:sectPr>
      </w:pPr>
    </w:p>
    <w:p w14:paraId="473A75DE" w14:textId="77777777" w:rsidR="009F17EB" w:rsidRPr="0027290E" w:rsidRDefault="0033359A" w:rsidP="0033574A">
      <w:pPr>
        <w:keepNext/>
        <w:spacing w:before="120" w:after="40" w:line="240" w:lineRule="auto"/>
        <w:ind w:left="1275" w:hanging="1559"/>
        <w:rPr>
          <w:b/>
          <w:sz w:val="24"/>
        </w:rPr>
      </w:pPr>
      <w:r>
        <w:rPr>
          <w:b/>
          <w:sz w:val="24"/>
        </w:rPr>
        <w:t xml:space="preserve">Příloha č. 1: </w:t>
      </w:r>
      <w:r w:rsidR="00896D4B">
        <w:rPr>
          <w:b/>
          <w:sz w:val="24"/>
        </w:rPr>
        <w:t>Přehled výzev a projektů, které NKÚ kontroloval u příjemců podpory</w:t>
      </w:r>
    </w:p>
    <w:tbl>
      <w:tblPr>
        <w:tblW w:w="14771" w:type="dxa"/>
        <w:tblInd w:w="-289" w:type="dxa"/>
        <w:tblCellMar>
          <w:left w:w="70" w:type="dxa"/>
          <w:right w:w="70" w:type="dxa"/>
        </w:tblCellMar>
        <w:tblLook w:val="04A0" w:firstRow="1" w:lastRow="0" w:firstColumn="1" w:lastColumn="0" w:noHBand="0" w:noVBand="1"/>
      </w:tblPr>
      <w:tblGrid>
        <w:gridCol w:w="1474"/>
        <w:gridCol w:w="1191"/>
        <w:gridCol w:w="1191"/>
        <w:gridCol w:w="7655"/>
        <w:gridCol w:w="992"/>
        <w:gridCol w:w="1134"/>
        <w:gridCol w:w="1134"/>
      </w:tblGrid>
      <w:tr w:rsidR="00394D8E" w:rsidRPr="00C2324B" w14:paraId="4F5304A2" w14:textId="77777777" w:rsidTr="009F6890">
        <w:trPr>
          <w:trHeight w:val="1005"/>
        </w:trPr>
        <w:tc>
          <w:tcPr>
            <w:tcW w:w="1474" w:type="dxa"/>
            <w:vMerge w:val="restart"/>
            <w:tcBorders>
              <w:top w:val="single" w:sz="4" w:space="0" w:color="auto"/>
              <w:left w:val="single" w:sz="4" w:space="0" w:color="auto"/>
              <w:bottom w:val="single" w:sz="4" w:space="0" w:color="auto"/>
              <w:right w:val="single" w:sz="4" w:space="0" w:color="auto"/>
            </w:tcBorders>
            <w:shd w:val="clear" w:color="000000" w:fill="E5F1FF"/>
            <w:vAlign w:val="center"/>
            <w:hideMark/>
          </w:tcPr>
          <w:p w14:paraId="28C8A6D5"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Výzva</w:t>
            </w:r>
          </w:p>
        </w:tc>
        <w:tc>
          <w:tcPr>
            <w:tcW w:w="2382" w:type="dxa"/>
            <w:gridSpan w:val="2"/>
            <w:tcBorders>
              <w:top w:val="single" w:sz="4" w:space="0" w:color="auto"/>
              <w:left w:val="nil"/>
              <w:bottom w:val="single" w:sz="4" w:space="0" w:color="auto"/>
              <w:right w:val="single" w:sz="4" w:space="0" w:color="auto"/>
            </w:tcBorders>
            <w:shd w:val="clear" w:color="000000" w:fill="E5F1FF"/>
            <w:vAlign w:val="center"/>
            <w:hideMark/>
          </w:tcPr>
          <w:p w14:paraId="34B50369" w14:textId="7C1FE51F"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 xml:space="preserve">Objem </w:t>
            </w:r>
            <w:r w:rsidR="00DD53F4" w:rsidRPr="00C2324B">
              <w:rPr>
                <w:rFonts w:ascii="Calibri" w:eastAsia="Times New Roman" w:hAnsi="Calibri" w:cs="Calibri"/>
                <w:b/>
                <w:bCs/>
                <w:color w:val="000000"/>
                <w:sz w:val="20"/>
                <w:szCs w:val="20"/>
                <w:lang w:eastAsia="cs-CZ"/>
              </w:rPr>
              <w:t xml:space="preserve">dotací </w:t>
            </w:r>
            <w:r w:rsidR="00DD53F4">
              <w:rPr>
                <w:rFonts w:ascii="Calibri" w:eastAsia="Times New Roman" w:hAnsi="Calibri" w:cs="Calibri"/>
                <w:b/>
                <w:bCs/>
                <w:color w:val="000000"/>
                <w:sz w:val="20"/>
                <w:szCs w:val="20"/>
                <w:lang w:eastAsia="cs-CZ"/>
              </w:rPr>
              <w:t>vy</w:t>
            </w:r>
            <w:r w:rsidRPr="00C2324B">
              <w:rPr>
                <w:rFonts w:ascii="Calibri" w:eastAsia="Times New Roman" w:hAnsi="Calibri" w:cs="Calibri"/>
                <w:b/>
                <w:bCs/>
                <w:color w:val="000000"/>
                <w:sz w:val="20"/>
                <w:szCs w:val="20"/>
                <w:lang w:eastAsia="cs-CZ"/>
              </w:rPr>
              <w:t xml:space="preserve">placených na realizované projekty </w:t>
            </w:r>
          </w:p>
        </w:tc>
        <w:tc>
          <w:tcPr>
            <w:tcW w:w="7655" w:type="dxa"/>
            <w:tcBorders>
              <w:top w:val="single" w:sz="4" w:space="0" w:color="auto"/>
              <w:left w:val="single" w:sz="4" w:space="0" w:color="auto"/>
              <w:bottom w:val="single" w:sz="4" w:space="0" w:color="000000"/>
              <w:right w:val="single" w:sz="4" w:space="0" w:color="auto"/>
            </w:tcBorders>
            <w:shd w:val="clear" w:color="000000" w:fill="E5F1FF"/>
            <w:vAlign w:val="center"/>
            <w:hideMark/>
          </w:tcPr>
          <w:p w14:paraId="1F50984E"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Název projektu</w:t>
            </w:r>
            <w:r w:rsidRPr="00C2324B">
              <w:rPr>
                <w:rFonts w:ascii="Calibri" w:eastAsia="Times New Roman" w:hAnsi="Calibri" w:cs="Calibri"/>
                <w:b/>
                <w:bCs/>
                <w:color w:val="000000"/>
                <w:sz w:val="20"/>
                <w:szCs w:val="20"/>
                <w:lang w:eastAsia="cs-CZ"/>
              </w:rPr>
              <w:br/>
              <w:t>(název příjemce)</w:t>
            </w:r>
          </w:p>
        </w:tc>
        <w:tc>
          <w:tcPr>
            <w:tcW w:w="992" w:type="dxa"/>
            <w:tcBorders>
              <w:top w:val="single" w:sz="4" w:space="0" w:color="auto"/>
              <w:left w:val="single" w:sz="4" w:space="0" w:color="auto"/>
              <w:bottom w:val="single" w:sz="4" w:space="0" w:color="000000"/>
              <w:right w:val="single" w:sz="4" w:space="0" w:color="auto"/>
            </w:tcBorders>
            <w:shd w:val="clear" w:color="000000" w:fill="E5F1FF"/>
            <w:vAlign w:val="center"/>
            <w:hideMark/>
          </w:tcPr>
          <w:p w14:paraId="71EFB4E9"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proofErr w:type="spellStart"/>
            <w:r w:rsidRPr="00C2324B">
              <w:rPr>
                <w:rFonts w:ascii="Calibri" w:eastAsia="Times New Roman" w:hAnsi="Calibri" w:cs="Calibri"/>
                <w:b/>
                <w:bCs/>
                <w:color w:val="000000"/>
                <w:sz w:val="20"/>
                <w:szCs w:val="20"/>
                <w:lang w:eastAsia="cs-CZ"/>
              </w:rPr>
              <w:t>Reg</w:t>
            </w:r>
            <w:proofErr w:type="spellEnd"/>
            <w:r>
              <w:rPr>
                <w:rFonts w:ascii="Calibri" w:eastAsia="Times New Roman" w:hAnsi="Calibri" w:cs="Calibri"/>
                <w:b/>
                <w:bCs/>
                <w:color w:val="000000"/>
                <w:sz w:val="20"/>
                <w:szCs w:val="20"/>
                <w:lang w:eastAsia="cs-CZ"/>
              </w:rPr>
              <w:t>.</w:t>
            </w:r>
            <w:r w:rsidRPr="00C2324B">
              <w:rPr>
                <w:rFonts w:ascii="Calibri" w:eastAsia="Times New Roman" w:hAnsi="Calibri" w:cs="Calibri"/>
                <w:b/>
                <w:bCs/>
                <w:color w:val="000000"/>
                <w:sz w:val="20"/>
                <w:szCs w:val="20"/>
                <w:lang w:eastAsia="cs-CZ"/>
              </w:rPr>
              <w:t xml:space="preserve"> číslo projektu</w:t>
            </w:r>
            <w:r w:rsidRPr="00C2324B">
              <w:rPr>
                <w:rFonts w:ascii="Calibri" w:eastAsia="Times New Roman" w:hAnsi="Calibri" w:cs="Calibri"/>
                <w:b/>
                <w:bCs/>
                <w:color w:val="000000"/>
                <w:sz w:val="20"/>
                <w:szCs w:val="20"/>
                <w:lang w:eastAsia="cs-CZ"/>
              </w:rPr>
              <w:br/>
              <w:t>(poslední pětičíslí)</w:t>
            </w:r>
          </w:p>
        </w:tc>
        <w:tc>
          <w:tcPr>
            <w:tcW w:w="2268" w:type="dxa"/>
            <w:gridSpan w:val="2"/>
            <w:tcBorders>
              <w:top w:val="single" w:sz="4" w:space="0" w:color="auto"/>
              <w:left w:val="nil"/>
              <w:bottom w:val="single" w:sz="4" w:space="0" w:color="auto"/>
              <w:right w:val="single" w:sz="4" w:space="0" w:color="auto"/>
            </w:tcBorders>
            <w:shd w:val="clear" w:color="000000" w:fill="E5F1FF"/>
            <w:vAlign w:val="center"/>
            <w:hideMark/>
          </w:tcPr>
          <w:p w14:paraId="13FC40EA" w14:textId="10E2F4B9"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 xml:space="preserve">Objem </w:t>
            </w:r>
            <w:r w:rsidR="00DD53F4" w:rsidRPr="00C2324B">
              <w:rPr>
                <w:rFonts w:ascii="Calibri" w:eastAsia="Times New Roman" w:hAnsi="Calibri" w:cs="Calibri"/>
                <w:b/>
                <w:bCs/>
                <w:color w:val="000000"/>
                <w:sz w:val="20"/>
                <w:szCs w:val="20"/>
                <w:lang w:eastAsia="cs-CZ"/>
              </w:rPr>
              <w:t xml:space="preserve">dotací </w:t>
            </w:r>
            <w:r w:rsidR="00DD53F4">
              <w:rPr>
                <w:rFonts w:ascii="Calibri" w:eastAsia="Times New Roman" w:hAnsi="Calibri" w:cs="Calibri"/>
                <w:b/>
                <w:bCs/>
                <w:color w:val="000000"/>
                <w:sz w:val="20"/>
                <w:szCs w:val="20"/>
                <w:lang w:eastAsia="cs-CZ"/>
              </w:rPr>
              <w:t>vy</w:t>
            </w:r>
            <w:r w:rsidRPr="00C2324B">
              <w:rPr>
                <w:rFonts w:ascii="Calibri" w:eastAsia="Times New Roman" w:hAnsi="Calibri" w:cs="Calibri"/>
                <w:b/>
                <w:bCs/>
                <w:color w:val="000000"/>
                <w:sz w:val="20"/>
                <w:szCs w:val="20"/>
                <w:lang w:eastAsia="cs-CZ"/>
              </w:rPr>
              <w:t>placených na</w:t>
            </w:r>
            <w:r w:rsidR="00CD27F2">
              <w:rPr>
                <w:rFonts w:ascii="Calibri" w:eastAsia="Times New Roman" w:hAnsi="Calibri" w:cs="Calibri"/>
                <w:b/>
                <w:bCs/>
                <w:color w:val="000000"/>
                <w:sz w:val="20"/>
                <w:szCs w:val="20"/>
                <w:lang w:eastAsia="cs-CZ"/>
              </w:rPr>
              <w:t xml:space="preserve"> </w:t>
            </w:r>
            <w:r w:rsidRPr="00C2324B">
              <w:rPr>
                <w:rFonts w:ascii="Calibri" w:eastAsia="Times New Roman" w:hAnsi="Calibri" w:cs="Calibri"/>
                <w:b/>
                <w:bCs/>
                <w:color w:val="000000"/>
                <w:sz w:val="20"/>
                <w:szCs w:val="20"/>
                <w:lang w:eastAsia="cs-CZ"/>
              </w:rPr>
              <w:t>projekty kontrolované NKÚ</w:t>
            </w:r>
            <w:r w:rsidR="00DD53F4">
              <w:rPr>
                <w:rFonts w:ascii="Calibri" w:eastAsia="Times New Roman" w:hAnsi="Calibri" w:cs="Calibri"/>
                <w:b/>
                <w:bCs/>
                <w:color w:val="000000"/>
                <w:sz w:val="20"/>
                <w:szCs w:val="20"/>
                <w:lang w:eastAsia="cs-CZ"/>
              </w:rPr>
              <w:t xml:space="preserve"> </w:t>
            </w:r>
            <w:r w:rsidRPr="00C2324B">
              <w:rPr>
                <w:rFonts w:ascii="Calibri" w:eastAsia="Times New Roman" w:hAnsi="Calibri" w:cs="Calibri"/>
                <w:b/>
                <w:bCs/>
                <w:color w:val="000000"/>
                <w:sz w:val="20"/>
                <w:szCs w:val="20"/>
                <w:lang w:eastAsia="cs-CZ"/>
              </w:rPr>
              <w:t>u příjemců</w:t>
            </w:r>
          </w:p>
        </w:tc>
      </w:tr>
      <w:tr w:rsidR="00CD27F2" w:rsidRPr="00C2324B" w14:paraId="20DF0228" w14:textId="77777777" w:rsidTr="00CD27F2">
        <w:trPr>
          <w:trHeight w:val="300"/>
        </w:trPr>
        <w:tc>
          <w:tcPr>
            <w:tcW w:w="1474" w:type="dxa"/>
            <w:vMerge/>
            <w:tcBorders>
              <w:top w:val="single" w:sz="4" w:space="0" w:color="auto"/>
              <w:left w:val="single" w:sz="4" w:space="0" w:color="auto"/>
              <w:bottom w:val="single" w:sz="4" w:space="0" w:color="auto"/>
              <w:right w:val="single" w:sz="4" w:space="0" w:color="auto"/>
            </w:tcBorders>
            <w:vAlign w:val="center"/>
            <w:hideMark/>
          </w:tcPr>
          <w:p w14:paraId="3EE59A76" w14:textId="77777777" w:rsidR="00C2324B" w:rsidRPr="00C2324B" w:rsidRDefault="00C2324B" w:rsidP="00C2324B">
            <w:pPr>
              <w:spacing w:after="0" w:line="240" w:lineRule="auto"/>
              <w:rPr>
                <w:rFonts w:ascii="Calibri" w:eastAsia="Times New Roman" w:hAnsi="Calibri" w:cs="Calibri"/>
                <w:b/>
                <w:bCs/>
                <w:color w:val="000000"/>
                <w:sz w:val="20"/>
                <w:szCs w:val="20"/>
                <w:lang w:eastAsia="cs-CZ"/>
              </w:rPr>
            </w:pPr>
          </w:p>
        </w:tc>
        <w:tc>
          <w:tcPr>
            <w:tcW w:w="1191" w:type="dxa"/>
            <w:tcBorders>
              <w:top w:val="nil"/>
              <w:left w:val="nil"/>
              <w:bottom w:val="nil"/>
              <w:right w:val="single" w:sz="4" w:space="0" w:color="auto"/>
            </w:tcBorders>
            <w:shd w:val="clear" w:color="000000" w:fill="E5F1FF"/>
            <w:vAlign w:val="center"/>
            <w:hideMark/>
          </w:tcPr>
          <w:p w14:paraId="09637205"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Zdroje EU</w:t>
            </w:r>
          </w:p>
        </w:tc>
        <w:tc>
          <w:tcPr>
            <w:tcW w:w="1191" w:type="dxa"/>
            <w:tcBorders>
              <w:top w:val="nil"/>
              <w:left w:val="nil"/>
              <w:bottom w:val="nil"/>
              <w:right w:val="single" w:sz="4" w:space="0" w:color="auto"/>
            </w:tcBorders>
            <w:shd w:val="clear" w:color="000000" w:fill="E5F1FF"/>
            <w:vAlign w:val="center"/>
            <w:hideMark/>
          </w:tcPr>
          <w:p w14:paraId="4719D26D"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Zdroje SR</w:t>
            </w:r>
          </w:p>
        </w:tc>
        <w:tc>
          <w:tcPr>
            <w:tcW w:w="7655" w:type="dxa"/>
            <w:vMerge w:val="restart"/>
            <w:tcBorders>
              <w:top w:val="single" w:sz="4" w:space="0" w:color="auto"/>
              <w:left w:val="single" w:sz="4" w:space="0" w:color="auto"/>
              <w:bottom w:val="single" w:sz="4" w:space="0" w:color="000000"/>
              <w:right w:val="single" w:sz="4" w:space="0" w:color="auto"/>
            </w:tcBorders>
            <w:vAlign w:val="center"/>
            <w:hideMark/>
          </w:tcPr>
          <w:p w14:paraId="44AA8AAC" w14:textId="77777777" w:rsidR="00C2324B" w:rsidRPr="00C2324B" w:rsidRDefault="00C2324B" w:rsidP="00C2324B">
            <w:pPr>
              <w:spacing w:after="0" w:line="240" w:lineRule="auto"/>
              <w:rPr>
                <w:rFonts w:ascii="Calibri" w:eastAsia="Times New Roman" w:hAnsi="Calibri" w:cs="Calibri"/>
                <w:b/>
                <w:bCs/>
                <w:color w:val="000000"/>
                <w:sz w:val="20"/>
                <w:szCs w:val="20"/>
                <w:lang w:eastAsia="cs-CZ"/>
              </w:rPr>
            </w:pP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5D96B19D" w14:textId="77777777" w:rsidR="00C2324B" w:rsidRPr="00C2324B" w:rsidRDefault="00C2324B" w:rsidP="00C2324B">
            <w:pPr>
              <w:spacing w:after="0" w:line="240" w:lineRule="auto"/>
              <w:rPr>
                <w:rFonts w:ascii="Calibri" w:eastAsia="Times New Roman" w:hAnsi="Calibri" w:cs="Calibri"/>
                <w:b/>
                <w:bCs/>
                <w:color w:val="000000"/>
                <w:sz w:val="20"/>
                <w:szCs w:val="20"/>
                <w:lang w:eastAsia="cs-CZ"/>
              </w:rPr>
            </w:pPr>
          </w:p>
        </w:tc>
        <w:tc>
          <w:tcPr>
            <w:tcW w:w="1134" w:type="dxa"/>
            <w:tcBorders>
              <w:top w:val="nil"/>
              <w:left w:val="nil"/>
              <w:bottom w:val="nil"/>
              <w:right w:val="single" w:sz="4" w:space="0" w:color="auto"/>
            </w:tcBorders>
            <w:shd w:val="clear" w:color="000000" w:fill="E5F1FF"/>
            <w:vAlign w:val="center"/>
            <w:hideMark/>
          </w:tcPr>
          <w:p w14:paraId="7928B8A9"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Zdroje EU</w:t>
            </w:r>
          </w:p>
        </w:tc>
        <w:tc>
          <w:tcPr>
            <w:tcW w:w="1134" w:type="dxa"/>
            <w:tcBorders>
              <w:top w:val="nil"/>
              <w:left w:val="nil"/>
              <w:bottom w:val="nil"/>
              <w:right w:val="single" w:sz="4" w:space="0" w:color="auto"/>
            </w:tcBorders>
            <w:shd w:val="clear" w:color="000000" w:fill="E5F1FF"/>
            <w:vAlign w:val="center"/>
            <w:hideMark/>
          </w:tcPr>
          <w:p w14:paraId="2A41296D"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Zdroje SR</w:t>
            </w:r>
          </w:p>
        </w:tc>
      </w:tr>
      <w:tr w:rsidR="00CD27F2" w:rsidRPr="00C2324B" w14:paraId="45FCF810" w14:textId="77777777" w:rsidTr="00CD27F2">
        <w:trPr>
          <w:trHeight w:val="285"/>
        </w:trPr>
        <w:tc>
          <w:tcPr>
            <w:tcW w:w="1474" w:type="dxa"/>
            <w:vMerge/>
            <w:tcBorders>
              <w:top w:val="single" w:sz="4" w:space="0" w:color="auto"/>
              <w:left w:val="single" w:sz="4" w:space="0" w:color="auto"/>
              <w:bottom w:val="single" w:sz="4" w:space="0" w:color="auto"/>
              <w:right w:val="single" w:sz="4" w:space="0" w:color="auto"/>
            </w:tcBorders>
            <w:vAlign w:val="center"/>
            <w:hideMark/>
          </w:tcPr>
          <w:p w14:paraId="26627DEB" w14:textId="77777777" w:rsidR="00C2324B" w:rsidRPr="00C2324B" w:rsidRDefault="00C2324B" w:rsidP="00C2324B">
            <w:pPr>
              <w:spacing w:after="0" w:line="240" w:lineRule="auto"/>
              <w:rPr>
                <w:rFonts w:ascii="Calibri" w:eastAsia="Times New Roman" w:hAnsi="Calibri" w:cs="Calibri"/>
                <w:b/>
                <w:bCs/>
                <w:color w:val="000000"/>
                <w:sz w:val="20"/>
                <w:szCs w:val="20"/>
                <w:lang w:eastAsia="cs-CZ"/>
              </w:rPr>
            </w:pPr>
          </w:p>
        </w:tc>
        <w:tc>
          <w:tcPr>
            <w:tcW w:w="1191" w:type="dxa"/>
            <w:tcBorders>
              <w:top w:val="nil"/>
              <w:left w:val="nil"/>
              <w:bottom w:val="single" w:sz="4" w:space="0" w:color="auto"/>
              <w:right w:val="single" w:sz="4" w:space="0" w:color="auto"/>
            </w:tcBorders>
            <w:shd w:val="clear" w:color="000000" w:fill="E5F1FF"/>
            <w:vAlign w:val="center"/>
            <w:hideMark/>
          </w:tcPr>
          <w:p w14:paraId="2B855B7E"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(v Kč)</w:t>
            </w:r>
          </w:p>
        </w:tc>
        <w:tc>
          <w:tcPr>
            <w:tcW w:w="1191" w:type="dxa"/>
            <w:tcBorders>
              <w:top w:val="nil"/>
              <w:left w:val="nil"/>
              <w:bottom w:val="single" w:sz="4" w:space="0" w:color="auto"/>
              <w:right w:val="single" w:sz="4" w:space="0" w:color="auto"/>
            </w:tcBorders>
            <w:shd w:val="clear" w:color="000000" w:fill="E5F1FF"/>
            <w:vAlign w:val="center"/>
            <w:hideMark/>
          </w:tcPr>
          <w:p w14:paraId="3613B050"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(v Kč)</w:t>
            </w:r>
          </w:p>
        </w:tc>
        <w:tc>
          <w:tcPr>
            <w:tcW w:w="7655" w:type="dxa"/>
            <w:vMerge/>
            <w:tcBorders>
              <w:top w:val="single" w:sz="4" w:space="0" w:color="auto"/>
              <w:left w:val="single" w:sz="4" w:space="0" w:color="auto"/>
              <w:bottom w:val="single" w:sz="4" w:space="0" w:color="000000"/>
              <w:right w:val="single" w:sz="4" w:space="0" w:color="auto"/>
            </w:tcBorders>
            <w:vAlign w:val="center"/>
            <w:hideMark/>
          </w:tcPr>
          <w:p w14:paraId="2C5FC81A" w14:textId="77777777" w:rsidR="00C2324B" w:rsidRPr="00C2324B" w:rsidRDefault="00C2324B" w:rsidP="00C2324B">
            <w:pPr>
              <w:spacing w:after="0" w:line="240" w:lineRule="auto"/>
              <w:rPr>
                <w:rFonts w:ascii="Calibri" w:eastAsia="Times New Roman" w:hAnsi="Calibri" w:cs="Calibri"/>
                <w:b/>
                <w:bCs/>
                <w:color w:val="000000"/>
                <w:sz w:val="20"/>
                <w:szCs w:val="20"/>
                <w:lang w:eastAsia="cs-CZ"/>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18C5B85" w14:textId="77777777" w:rsidR="00C2324B" w:rsidRPr="00C2324B" w:rsidRDefault="00C2324B" w:rsidP="00C2324B">
            <w:pPr>
              <w:spacing w:after="0" w:line="240" w:lineRule="auto"/>
              <w:rPr>
                <w:rFonts w:ascii="Calibri" w:eastAsia="Times New Roman" w:hAnsi="Calibri" w:cs="Calibri"/>
                <w:b/>
                <w:bCs/>
                <w:color w:val="000000"/>
                <w:sz w:val="20"/>
                <w:szCs w:val="20"/>
                <w:lang w:eastAsia="cs-CZ"/>
              </w:rPr>
            </w:pPr>
          </w:p>
        </w:tc>
        <w:tc>
          <w:tcPr>
            <w:tcW w:w="1134" w:type="dxa"/>
            <w:tcBorders>
              <w:top w:val="nil"/>
              <w:left w:val="nil"/>
              <w:bottom w:val="single" w:sz="4" w:space="0" w:color="auto"/>
              <w:right w:val="single" w:sz="4" w:space="0" w:color="auto"/>
            </w:tcBorders>
            <w:shd w:val="clear" w:color="000000" w:fill="E5F1FF"/>
            <w:vAlign w:val="center"/>
            <w:hideMark/>
          </w:tcPr>
          <w:p w14:paraId="309FE17F"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(v Kč)</w:t>
            </w:r>
          </w:p>
        </w:tc>
        <w:tc>
          <w:tcPr>
            <w:tcW w:w="1134" w:type="dxa"/>
            <w:tcBorders>
              <w:top w:val="nil"/>
              <w:left w:val="nil"/>
              <w:bottom w:val="single" w:sz="4" w:space="0" w:color="auto"/>
              <w:right w:val="single" w:sz="4" w:space="0" w:color="auto"/>
            </w:tcBorders>
            <w:shd w:val="clear" w:color="000000" w:fill="E5F1FF"/>
            <w:vAlign w:val="center"/>
            <w:hideMark/>
          </w:tcPr>
          <w:p w14:paraId="009A996F"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(v Kč)</w:t>
            </w:r>
          </w:p>
        </w:tc>
      </w:tr>
      <w:tr w:rsidR="00CD27F2" w:rsidRPr="00C2324B" w14:paraId="1DECA3B8" w14:textId="77777777" w:rsidTr="00CD27F2">
        <w:trPr>
          <w:trHeight w:val="300"/>
        </w:trPr>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14:paraId="14C55542" w14:textId="55B2558E"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č. 50 </w:t>
            </w:r>
            <w:r w:rsidR="00CD27F2">
              <w:rPr>
                <w:rFonts w:ascii="Calibri" w:eastAsia="Times New Roman" w:hAnsi="Calibri" w:cs="Calibri"/>
                <w:color w:val="000000"/>
                <w:sz w:val="20"/>
                <w:szCs w:val="20"/>
                <w:lang w:eastAsia="cs-CZ"/>
              </w:rPr>
              <w:br/>
              <w:t>(</w:t>
            </w:r>
            <w:r w:rsidRPr="00C2324B">
              <w:rPr>
                <w:rFonts w:ascii="Calibri" w:eastAsia="Times New Roman" w:hAnsi="Calibri" w:cs="Calibri"/>
                <w:color w:val="000000"/>
                <w:sz w:val="20"/>
                <w:szCs w:val="20"/>
                <w:lang w:eastAsia="cs-CZ"/>
              </w:rPr>
              <w:t>GA realizované mimo Prahu</w:t>
            </w:r>
            <w:r w:rsidR="00CD27F2">
              <w:rPr>
                <w:rFonts w:ascii="Calibri" w:eastAsia="Times New Roman" w:hAnsi="Calibri" w:cs="Calibri"/>
                <w:color w:val="000000"/>
                <w:sz w:val="20"/>
                <w:szCs w:val="20"/>
                <w:lang w:eastAsia="cs-CZ"/>
              </w:rPr>
              <w:t>)</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716482F1"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13 942 453</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380039B5"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1 782 532</w:t>
            </w:r>
          </w:p>
        </w:tc>
        <w:tc>
          <w:tcPr>
            <w:tcW w:w="7655" w:type="dxa"/>
            <w:tcBorders>
              <w:top w:val="nil"/>
              <w:left w:val="nil"/>
              <w:bottom w:val="single" w:sz="4" w:space="0" w:color="auto"/>
              <w:right w:val="single" w:sz="4" w:space="0" w:color="auto"/>
            </w:tcBorders>
            <w:shd w:val="clear" w:color="auto" w:fill="auto"/>
            <w:vAlign w:val="center"/>
            <w:hideMark/>
          </w:tcPr>
          <w:p w14:paraId="7BB2ACCB"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roofErr w:type="spellStart"/>
            <w:r w:rsidRPr="00C2324B">
              <w:rPr>
                <w:rFonts w:ascii="Calibri" w:eastAsia="Times New Roman" w:hAnsi="Calibri" w:cs="Calibri"/>
                <w:color w:val="000000"/>
                <w:sz w:val="20"/>
                <w:szCs w:val="20"/>
                <w:lang w:eastAsia="cs-CZ"/>
              </w:rPr>
              <w:t>Genderově</w:t>
            </w:r>
            <w:proofErr w:type="spellEnd"/>
            <w:r w:rsidRPr="00C2324B">
              <w:rPr>
                <w:rFonts w:ascii="Calibri" w:eastAsia="Times New Roman" w:hAnsi="Calibri" w:cs="Calibri"/>
                <w:color w:val="000000"/>
                <w:sz w:val="20"/>
                <w:szCs w:val="20"/>
                <w:lang w:eastAsia="cs-CZ"/>
              </w:rPr>
              <w:t xml:space="preserve"> transparentní rovnost (Modrý Maják, </w:t>
            </w:r>
            <w:proofErr w:type="spellStart"/>
            <w:r w:rsidRPr="00C2324B">
              <w:rPr>
                <w:rFonts w:ascii="Calibri" w:eastAsia="Times New Roman" w:hAnsi="Calibri" w:cs="Calibri"/>
                <w:color w:val="000000"/>
                <w:sz w:val="20"/>
                <w:szCs w:val="20"/>
                <w:lang w:eastAsia="cs-CZ"/>
              </w:rPr>
              <w:t>z.s</w:t>
            </w:r>
            <w:proofErr w:type="spellEnd"/>
            <w:r w:rsidRPr="00C2324B">
              <w:rPr>
                <w:rFonts w:ascii="Calibri" w:eastAsia="Times New Roman" w:hAnsi="Calibri" w:cs="Calibri"/>
                <w:color w:val="000000"/>
                <w:sz w:val="20"/>
                <w:szCs w:val="20"/>
                <w:lang w:eastAsia="cs-CZ"/>
              </w:rPr>
              <w:t>.)</w:t>
            </w:r>
          </w:p>
        </w:tc>
        <w:tc>
          <w:tcPr>
            <w:tcW w:w="992" w:type="dxa"/>
            <w:tcBorders>
              <w:top w:val="nil"/>
              <w:left w:val="nil"/>
              <w:bottom w:val="single" w:sz="4" w:space="0" w:color="auto"/>
              <w:right w:val="single" w:sz="4" w:space="0" w:color="auto"/>
            </w:tcBorders>
            <w:shd w:val="clear" w:color="auto" w:fill="auto"/>
            <w:vAlign w:val="center"/>
            <w:hideMark/>
          </w:tcPr>
          <w:p w14:paraId="109BD1FF"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*06254</w:t>
            </w:r>
          </w:p>
        </w:tc>
        <w:tc>
          <w:tcPr>
            <w:tcW w:w="1134" w:type="dxa"/>
            <w:tcBorders>
              <w:top w:val="nil"/>
              <w:left w:val="nil"/>
              <w:bottom w:val="single" w:sz="4" w:space="0" w:color="auto"/>
              <w:right w:val="single" w:sz="4" w:space="0" w:color="auto"/>
            </w:tcBorders>
            <w:shd w:val="clear" w:color="auto" w:fill="auto"/>
            <w:vAlign w:val="center"/>
            <w:hideMark/>
          </w:tcPr>
          <w:p w14:paraId="44D3ECFE"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670 879</w:t>
            </w:r>
          </w:p>
        </w:tc>
        <w:tc>
          <w:tcPr>
            <w:tcW w:w="1134" w:type="dxa"/>
            <w:tcBorders>
              <w:top w:val="nil"/>
              <w:left w:val="nil"/>
              <w:bottom w:val="single" w:sz="4" w:space="0" w:color="auto"/>
              <w:right w:val="single" w:sz="4" w:space="0" w:color="auto"/>
            </w:tcBorders>
            <w:shd w:val="clear" w:color="auto" w:fill="auto"/>
            <w:vAlign w:val="center"/>
            <w:hideMark/>
          </w:tcPr>
          <w:p w14:paraId="11379F72"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118 390</w:t>
            </w:r>
          </w:p>
        </w:tc>
      </w:tr>
      <w:tr w:rsidR="00CD27F2" w:rsidRPr="00C2324B" w14:paraId="57809286"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1A519261"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4669401F"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4ECDB788"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4506C72E"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Genderové audity pro členské firmy AČN (Asociace českých nábytkářů)</w:t>
            </w:r>
          </w:p>
        </w:tc>
        <w:tc>
          <w:tcPr>
            <w:tcW w:w="992" w:type="dxa"/>
            <w:tcBorders>
              <w:top w:val="nil"/>
              <w:left w:val="nil"/>
              <w:bottom w:val="single" w:sz="4" w:space="0" w:color="auto"/>
              <w:right w:val="single" w:sz="4" w:space="0" w:color="auto"/>
            </w:tcBorders>
            <w:shd w:val="clear" w:color="auto" w:fill="auto"/>
            <w:vAlign w:val="center"/>
            <w:hideMark/>
          </w:tcPr>
          <w:p w14:paraId="30140355"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*06306</w:t>
            </w:r>
          </w:p>
        </w:tc>
        <w:tc>
          <w:tcPr>
            <w:tcW w:w="1134" w:type="dxa"/>
            <w:tcBorders>
              <w:top w:val="nil"/>
              <w:left w:val="nil"/>
              <w:bottom w:val="single" w:sz="4" w:space="0" w:color="auto"/>
              <w:right w:val="single" w:sz="4" w:space="0" w:color="auto"/>
            </w:tcBorders>
            <w:shd w:val="clear" w:color="auto" w:fill="auto"/>
            <w:vAlign w:val="center"/>
            <w:hideMark/>
          </w:tcPr>
          <w:p w14:paraId="0AD0A2A2"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636 000</w:t>
            </w:r>
          </w:p>
        </w:tc>
        <w:tc>
          <w:tcPr>
            <w:tcW w:w="1134" w:type="dxa"/>
            <w:tcBorders>
              <w:top w:val="nil"/>
              <w:left w:val="nil"/>
              <w:bottom w:val="single" w:sz="4" w:space="0" w:color="auto"/>
              <w:right w:val="single" w:sz="4" w:space="0" w:color="auto"/>
            </w:tcBorders>
            <w:shd w:val="clear" w:color="auto" w:fill="auto"/>
            <w:vAlign w:val="center"/>
            <w:hideMark/>
          </w:tcPr>
          <w:p w14:paraId="00FBD0A9"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112 236</w:t>
            </w:r>
          </w:p>
        </w:tc>
      </w:tr>
      <w:tr w:rsidR="00CD27F2" w:rsidRPr="00C2324B" w14:paraId="74179607"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7A82022F"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689AB2C4"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11C90669"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6807B1A0"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Realizace genderových auditů </w:t>
            </w:r>
            <w:r>
              <w:rPr>
                <w:rFonts w:ascii="Calibri" w:eastAsia="Times New Roman" w:hAnsi="Calibri" w:cs="Calibri"/>
                <w:color w:val="000000"/>
                <w:sz w:val="20"/>
                <w:szCs w:val="20"/>
                <w:lang w:eastAsia="cs-CZ"/>
              </w:rPr>
              <w:t>–</w:t>
            </w:r>
            <w:r w:rsidRPr="00C2324B">
              <w:rPr>
                <w:rFonts w:ascii="Calibri" w:eastAsia="Times New Roman" w:hAnsi="Calibri" w:cs="Calibri"/>
                <w:color w:val="000000"/>
                <w:sz w:val="20"/>
                <w:szCs w:val="20"/>
                <w:lang w:eastAsia="cs-CZ"/>
              </w:rPr>
              <w:t xml:space="preserve"> PP Projekty s. r. o. (PP Projekty s.r.o.)</w:t>
            </w:r>
          </w:p>
        </w:tc>
        <w:tc>
          <w:tcPr>
            <w:tcW w:w="992" w:type="dxa"/>
            <w:tcBorders>
              <w:top w:val="nil"/>
              <w:left w:val="nil"/>
              <w:bottom w:val="single" w:sz="4" w:space="0" w:color="auto"/>
              <w:right w:val="single" w:sz="4" w:space="0" w:color="auto"/>
            </w:tcBorders>
            <w:shd w:val="clear" w:color="auto" w:fill="auto"/>
            <w:vAlign w:val="center"/>
            <w:hideMark/>
          </w:tcPr>
          <w:p w14:paraId="0A362BE8"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*06197</w:t>
            </w:r>
          </w:p>
        </w:tc>
        <w:tc>
          <w:tcPr>
            <w:tcW w:w="1134" w:type="dxa"/>
            <w:tcBorders>
              <w:top w:val="nil"/>
              <w:left w:val="nil"/>
              <w:bottom w:val="single" w:sz="4" w:space="0" w:color="auto"/>
              <w:right w:val="single" w:sz="4" w:space="0" w:color="auto"/>
            </w:tcBorders>
            <w:shd w:val="clear" w:color="auto" w:fill="auto"/>
            <w:vAlign w:val="center"/>
            <w:hideMark/>
          </w:tcPr>
          <w:p w14:paraId="5B3F2285"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905 250</w:t>
            </w:r>
          </w:p>
        </w:tc>
        <w:tc>
          <w:tcPr>
            <w:tcW w:w="1134" w:type="dxa"/>
            <w:tcBorders>
              <w:top w:val="nil"/>
              <w:left w:val="nil"/>
              <w:bottom w:val="single" w:sz="4" w:space="0" w:color="auto"/>
              <w:right w:val="single" w:sz="4" w:space="0" w:color="auto"/>
            </w:tcBorders>
            <w:shd w:val="clear" w:color="auto" w:fill="auto"/>
            <w:vAlign w:val="center"/>
            <w:hideMark/>
          </w:tcPr>
          <w:p w14:paraId="201C2DD9"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62E01C86"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47E36D39"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7AE20616"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4C1066CA"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2C442355"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Gender audity v prostředí obecních/městských úřadů (MEPCO, s.r.o.)</w:t>
            </w:r>
          </w:p>
        </w:tc>
        <w:tc>
          <w:tcPr>
            <w:tcW w:w="992" w:type="dxa"/>
            <w:tcBorders>
              <w:top w:val="nil"/>
              <w:left w:val="nil"/>
              <w:bottom w:val="single" w:sz="4" w:space="0" w:color="auto"/>
              <w:right w:val="single" w:sz="4" w:space="0" w:color="auto"/>
            </w:tcBorders>
            <w:shd w:val="clear" w:color="auto" w:fill="auto"/>
            <w:vAlign w:val="center"/>
            <w:hideMark/>
          </w:tcPr>
          <w:p w14:paraId="4D0C4673"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*06316</w:t>
            </w:r>
          </w:p>
        </w:tc>
        <w:tc>
          <w:tcPr>
            <w:tcW w:w="1134" w:type="dxa"/>
            <w:tcBorders>
              <w:top w:val="nil"/>
              <w:left w:val="nil"/>
              <w:bottom w:val="single" w:sz="4" w:space="0" w:color="auto"/>
              <w:right w:val="single" w:sz="4" w:space="0" w:color="auto"/>
            </w:tcBorders>
            <w:shd w:val="clear" w:color="auto" w:fill="auto"/>
            <w:vAlign w:val="center"/>
            <w:hideMark/>
          </w:tcPr>
          <w:p w14:paraId="6AF78A0F"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1 196 571</w:t>
            </w:r>
          </w:p>
        </w:tc>
        <w:tc>
          <w:tcPr>
            <w:tcW w:w="1134" w:type="dxa"/>
            <w:tcBorders>
              <w:top w:val="nil"/>
              <w:left w:val="nil"/>
              <w:bottom w:val="single" w:sz="4" w:space="0" w:color="auto"/>
              <w:right w:val="single" w:sz="4" w:space="0" w:color="auto"/>
            </w:tcBorders>
            <w:shd w:val="clear" w:color="auto" w:fill="auto"/>
            <w:vAlign w:val="center"/>
            <w:hideMark/>
          </w:tcPr>
          <w:p w14:paraId="35784AF3"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7127272B" w14:textId="77777777" w:rsidTr="00CD27F2">
        <w:trPr>
          <w:trHeight w:val="765"/>
        </w:trPr>
        <w:tc>
          <w:tcPr>
            <w:tcW w:w="1474" w:type="dxa"/>
            <w:tcBorders>
              <w:top w:val="nil"/>
              <w:left w:val="single" w:sz="4" w:space="0" w:color="auto"/>
              <w:bottom w:val="single" w:sz="4" w:space="0" w:color="auto"/>
              <w:right w:val="single" w:sz="4" w:space="0" w:color="auto"/>
            </w:tcBorders>
            <w:shd w:val="clear" w:color="auto" w:fill="auto"/>
            <w:vAlign w:val="center"/>
            <w:hideMark/>
          </w:tcPr>
          <w:p w14:paraId="4AB32F20" w14:textId="0AED2E9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č. 51 </w:t>
            </w:r>
            <w:r w:rsidR="00CD27F2">
              <w:rPr>
                <w:rFonts w:ascii="Calibri" w:eastAsia="Times New Roman" w:hAnsi="Calibri" w:cs="Calibri"/>
                <w:color w:val="000000"/>
                <w:sz w:val="20"/>
                <w:szCs w:val="20"/>
                <w:lang w:eastAsia="cs-CZ"/>
              </w:rPr>
              <w:br/>
              <w:t>(</w:t>
            </w:r>
            <w:r w:rsidRPr="00C2324B">
              <w:rPr>
                <w:rFonts w:ascii="Calibri" w:eastAsia="Times New Roman" w:hAnsi="Calibri" w:cs="Calibri"/>
                <w:color w:val="000000"/>
                <w:sz w:val="20"/>
                <w:szCs w:val="20"/>
                <w:lang w:eastAsia="cs-CZ"/>
              </w:rPr>
              <w:t>GA realizované v</w:t>
            </w:r>
            <w:r w:rsidR="00CD27F2">
              <w:rPr>
                <w:rFonts w:ascii="Calibri" w:eastAsia="Times New Roman" w:hAnsi="Calibri" w:cs="Calibri"/>
                <w:color w:val="000000"/>
                <w:sz w:val="20"/>
                <w:szCs w:val="20"/>
                <w:lang w:eastAsia="cs-CZ"/>
              </w:rPr>
              <w:t> </w:t>
            </w:r>
            <w:r w:rsidRPr="00C2324B">
              <w:rPr>
                <w:rFonts w:ascii="Calibri" w:eastAsia="Times New Roman" w:hAnsi="Calibri" w:cs="Calibri"/>
                <w:color w:val="000000"/>
                <w:sz w:val="20"/>
                <w:szCs w:val="20"/>
                <w:lang w:eastAsia="cs-CZ"/>
              </w:rPr>
              <w:t>Praze</w:t>
            </w:r>
            <w:r w:rsidR="00CD27F2">
              <w:rPr>
                <w:rFonts w:ascii="Calibri" w:eastAsia="Times New Roman" w:hAnsi="Calibri" w:cs="Calibri"/>
                <w:color w:val="000000"/>
                <w:sz w:val="20"/>
                <w:szCs w:val="20"/>
                <w:lang w:eastAsia="cs-CZ"/>
              </w:rPr>
              <w:t>)</w:t>
            </w:r>
          </w:p>
        </w:tc>
        <w:tc>
          <w:tcPr>
            <w:tcW w:w="1191" w:type="dxa"/>
            <w:tcBorders>
              <w:top w:val="nil"/>
              <w:left w:val="nil"/>
              <w:bottom w:val="single" w:sz="4" w:space="0" w:color="auto"/>
              <w:right w:val="single" w:sz="4" w:space="0" w:color="auto"/>
            </w:tcBorders>
            <w:shd w:val="clear" w:color="auto" w:fill="auto"/>
            <w:vAlign w:val="center"/>
            <w:hideMark/>
          </w:tcPr>
          <w:p w14:paraId="5723AE6C"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1 969 937</w:t>
            </w:r>
          </w:p>
        </w:tc>
        <w:tc>
          <w:tcPr>
            <w:tcW w:w="1191" w:type="dxa"/>
            <w:tcBorders>
              <w:top w:val="nil"/>
              <w:left w:val="nil"/>
              <w:bottom w:val="single" w:sz="4" w:space="0" w:color="auto"/>
              <w:right w:val="single" w:sz="4" w:space="0" w:color="auto"/>
            </w:tcBorders>
            <w:shd w:val="clear" w:color="auto" w:fill="auto"/>
            <w:vAlign w:val="center"/>
            <w:hideMark/>
          </w:tcPr>
          <w:p w14:paraId="0EE7503C"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1 766 461</w:t>
            </w:r>
          </w:p>
        </w:tc>
        <w:tc>
          <w:tcPr>
            <w:tcW w:w="7655" w:type="dxa"/>
            <w:tcBorders>
              <w:top w:val="nil"/>
              <w:left w:val="nil"/>
              <w:bottom w:val="single" w:sz="4" w:space="0" w:color="auto"/>
              <w:right w:val="single" w:sz="4" w:space="0" w:color="auto"/>
            </w:tcBorders>
            <w:shd w:val="clear" w:color="auto" w:fill="auto"/>
            <w:vAlign w:val="center"/>
            <w:hideMark/>
          </w:tcPr>
          <w:p w14:paraId="5AFDCFF5" w14:textId="6698398B"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Blíže k rovnosti </w:t>
            </w:r>
            <w:r>
              <w:rPr>
                <w:rFonts w:ascii="Calibri" w:eastAsia="Times New Roman" w:hAnsi="Calibri" w:cs="Calibri"/>
                <w:color w:val="000000"/>
                <w:sz w:val="20"/>
                <w:szCs w:val="20"/>
                <w:lang w:eastAsia="cs-CZ"/>
              </w:rPr>
              <w:t>–</w:t>
            </w:r>
            <w:r w:rsidRPr="00C2324B">
              <w:rPr>
                <w:rFonts w:ascii="Calibri" w:eastAsia="Times New Roman" w:hAnsi="Calibri" w:cs="Calibri"/>
                <w:color w:val="000000"/>
                <w:sz w:val="20"/>
                <w:szCs w:val="20"/>
                <w:lang w:eastAsia="cs-CZ"/>
              </w:rPr>
              <w:t xml:space="preserve"> realizace genderových auditů u zaměstnavatelů v Praze </w:t>
            </w:r>
            <w:r w:rsidR="00DD53F4">
              <w:rPr>
                <w:rFonts w:ascii="Calibri" w:eastAsia="Times New Roman" w:hAnsi="Calibri" w:cs="Calibri"/>
                <w:color w:val="000000"/>
                <w:sz w:val="20"/>
                <w:szCs w:val="20"/>
                <w:lang w:eastAsia="cs-CZ"/>
              </w:rPr>
              <w:br/>
            </w:r>
            <w:r w:rsidRPr="00C2324B">
              <w:rPr>
                <w:rFonts w:ascii="Calibri" w:eastAsia="Times New Roman" w:hAnsi="Calibri" w:cs="Calibri"/>
                <w:color w:val="000000"/>
                <w:sz w:val="20"/>
                <w:szCs w:val="20"/>
                <w:lang w:eastAsia="cs-CZ"/>
              </w:rPr>
              <w:t xml:space="preserve">(Gender </w:t>
            </w:r>
            <w:proofErr w:type="spellStart"/>
            <w:r w:rsidRPr="00C2324B">
              <w:rPr>
                <w:rFonts w:ascii="Calibri" w:eastAsia="Times New Roman" w:hAnsi="Calibri" w:cs="Calibri"/>
                <w:color w:val="000000"/>
                <w:sz w:val="20"/>
                <w:szCs w:val="20"/>
                <w:lang w:eastAsia="cs-CZ"/>
              </w:rPr>
              <w:t>studies</w:t>
            </w:r>
            <w:proofErr w:type="spellEnd"/>
            <w:r w:rsidRPr="00C2324B">
              <w:rPr>
                <w:rFonts w:ascii="Calibri" w:eastAsia="Times New Roman" w:hAnsi="Calibri" w:cs="Calibri"/>
                <w:color w:val="000000"/>
                <w:sz w:val="20"/>
                <w:szCs w:val="20"/>
                <w:lang w:eastAsia="cs-CZ"/>
              </w:rPr>
              <w:t>, o.p.s.)</w:t>
            </w:r>
          </w:p>
        </w:tc>
        <w:tc>
          <w:tcPr>
            <w:tcW w:w="992" w:type="dxa"/>
            <w:tcBorders>
              <w:top w:val="nil"/>
              <w:left w:val="nil"/>
              <w:bottom w:val="single" w:sz="4" w:space="0" w:color="auto"/>
              <w:right w:val="single" w:sz="4" w:space="0" w:color="auto"/>
            </w:tcBorders>
            <w:shd w:val="clear" w:color="auto" w:fill="auto"/>
            <w:noWrap/>
            <w:vAlign w:val="center"/>
            <w:hideMark/>
          </w:tcPr>
          <w:p w14:paraId="561FD2C1"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*06240</w:t>
            </w:r>
          </w:p>
        </w:tc>
        <w:tc>
          <w:tcPr>
            <w:tcW w:w="1134" w:type="dxa"/>
            <w:tcBorders>
              <w:top w:val="nil"/>
              <w:left w:val="nil"/>
              <w:bottom w:val="single" w:sz="4" w:space="0" w:color="auto"/>
              <w:right w:val="single" w:sz="4" w:space="0" w:color="auto"/>
            </w:tcBorders>
            <w:shd w:val="clear" w:color="auto" w:fill="auto"/>
            <w:vAlign w:val="center"/>
            <w:hideMark/>
          </w:tcPr>
          <w:p w14:paraId="1DE50D68"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861 036</w:t>
            </w:r>
          </w:p>
        </w:tc>
        <w:tc>
          <w:tcPr>
            <w:tcW w:w="1134" w:type="dxa"/>
            <w:tcBorders>
              <w:top w:val="nil"/>
              <w:left w:val="nil"/>
              <w:bottom w:val="single" w:sz="4" w:space="0" w:color="auto"/>
              <w:right w:val="single" w:sz="4" w:space="0" w:color="auto"/>
            </w:tcBorders>
            <w:shd w:val="clear" w:color="auto" w:fill="auto"/>
            <w:vAlign w:val="center"/>
            <w:hideMark/>
          </w:tcPr>
          <w:p w14:paraId="774019B5"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861 036</w:t>
            </w:r>
          </w:p>
        </w:tc>
      </w:tr>
      <w:tr w:rsidR="00CD27F2" w:rsidRPr="00C2324B" w14:paraId="03EE0CCA" w14:textId="77777777" w:rsidTr="00CD27F2">
        <w:trPr>
          <w:trHeight w:val="510"/>
        </w:trPr>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14:paraId="0616848D" w14:textId="36BB8EDF"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č. 130 </w:t>
            </w:r>
            <w:r w:rsidR="00CD27F2">
              <w:rPr>
                <w:rFonts w:ascii="Calibri" w:eastAsia="Times New Roman" w:hAnsi="Calibri" w:cs="Calibri"/>
                <w:color w:val="000000"/>
                <w:sz w:val="20"/>
                <w:szCs w:val="20"/>
                <w:lang w:eastAsia="cs-CZ"/>
              </w:rPr>
              <w:br/>
              <w:t>(</w:t>
            </w:r>
            <w:r w:rsidRPr="00C2324B">
              <w:rPr>
                <w:rFonts w:ascii="Calibri" w:eastAsia="Times New Roman" w:hAnsi="Calibri" w:cs="Calibri"/>
                <w:color w:val="000000"/>
                <w:sz w:val="20"/>
                <w:szCs w:val="20"/>
                <w:lang w:eastAsia="cs-CZ"/>
              </w:rPr>
              <w:t>IGA realizované mimo Prahu</w:t>
            </w:r>
            <w:r w:rsidR="00CD27F2">
              <w:rPr>
                <w:rFonts w:ascii="Calibri" w:eastAsia="Times New Roman" w:hAnsi="Calibri" w:cs="Calibri"/>
                <w:color w:val="000000"/>
                <w:sz w:val="20"/>
                <w:szCs w:val="20"/>
                <w:lang w:eastAsia="cs-CZ"/>
              </w:rPr>
              <w:t>)</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28E7C64D"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82 339 694</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5EAF50D6"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6 096 733</w:t>
            </w:r>
          </w:p>
        </w:tc>
        <w:tc>
          <w:tcPr>
            <w:tcW w:w="7655" w:type="dxa"/>
            <w:tcBorders>
              <w:top w:val="nil"/>
              <w:left w:val="nil"/>
              <w:bottom w:val="single" w:sz="4" w:space="0" w:color="auto"/>
              <w:right w:val="single" w:sz="4" w:space="0" w:color="auto"/>
            </w:tcBorders>
            <w:shd w:val="clear" w:color="auto" w:fill="auto"/>
            <w:vAlign w:val="center"/>
            <w:hideMark/>
          </w:tcPr>
          <w:p w14:paraId="06BD0BEB"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Implementace doporučených opatření genderového auditu společnosti SUTOR </w:t>
            </w:r>
            <w:proofErr w:type="spellStart"/>
            <w:r w:rsidRPr="00C2324B">
              <w:rPr>
                <w:rFonts w:ascii="Calibri" w:eastAsia="Times New Roman" w:hAnsi="Calibri" w:cs="Calibri"/>
                <w:color w:val="000000"/>
                <w:sz w:val="20"/>
                <w:szCs w:val="20"/>
                <w:lang w:eastAsia="cs-CZ"/>
              </w:rPr>
              <w:t>Global</w:t>
            </w:r>
            <w:proofErr w:type="spellEnd"/>
            <w:r w:rsidRPr="00C2324B">
              <w:rPr>
                <w:rFonts w:ascii="Calibri" w:eastAsia="Times New Roman" w:hAnsi="Calibri" w:cs="Calibri"/>
                <w:color w:val="000000"/>
                <w:sz w:val="20"/>
                <w:szCs w:val="20"/>
                <w:lang w:eastAsia="cs-CZ"/>
              </w:rPr>
              <w:t xml:space="preserve"> s. r. o. (SUTOR </w:t>
            </w:r>
            <w:proofErr w:type="spellStart"/>
            <w:r w:rsidRPr="00C2324B">
              <w:rPr>
                <w:rFonts w:ascii="Calibri" w:eastAsia="Times New Roman" w:hAnsi="Calibri" w:cs="Calibri"/>
                <w:color w:val="000000"/>
                <w:sz w:val="20"/>
                <w:szCs w:val="20"/>
                <w:lang w:eastAsia="cs-CZ"/>
              </w:rPr>
              <w:t>Global</w:t>
            </w:r>
            <w:proofErr w:type="spellEnd"/>
            <w:r w:rsidRPr="00C2324B">
              <w:rPr>
                <w:rFonts w:ascii="Calibri" w:eastAsia="Times New Roman" w:hAnsi="Calibri" w:cs="Calibri"/>
                <w:color w:val="000000"/>
                <w:sz w:val="20"/>
                <w:szCs w:val="20"/>
                <w:lang w:eastAsia="cs-CZ"/>
              </w:rPr>
              <w:t xml:space="preserve"> s. r. o.)</w:t>
            </w:r>
          </w:p>
        </w:tc>
        <w:tc>
          <w:tcPr>
            <w:tcW w:w="992" w:type="dxa"/>
            <w:tcBorders>
              <w:top w:val="nil"/>
              <w:left w:val="nil"/>
              <w:bottom w:val="single" w:sz="4" w:space="0" w:color="auto"/>
              <w:right w:val="single" w:sz="4" w:space="0" w:color="auto"/>
            </w:tcBorders>
            <w:shd w:val="clear" w:color="auto" w:fill="auto"/>
            <w:vAlign w:val="center"/>
            <w:hideMark/>
          </w:tcPr>
          <w:p w14:paraId="1D7EF89C"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*10528</w:t>
            </w:r>
          </w:p>
        </w:tc>
        <w:tc>
          <w:tcPr>
            <w:tcW w:w="1134" w:type="dxa"/>
            <w:tcBorders>
              <w:top w:val="nil"/>
              <w:left w:val="nil"/>
              <w:bottom w:val="single" w:sz="4" w:space="0" w:color="auto"/>
              <w:right w:val="single" w:sz="4" w:space="0" w:color="auto"/>
            </w:tcBorders>
            <w:shd w:val="clear" w:color="auto" w:fill="auto"/>
            <w:vAlign w:val="center"/>
            <w:hideMark/>
          </w:tcPr>
          <w:p w14:paraId="2B144207"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1 076 272</w:t>
            </w:r>
          </w:p>
        </w:tc>
        <w:tc>
          <w:tcPr>
            <w:tcW w:w="1134" w:type="dxa"/>
            <w:tcBorders>
              <w:top w:val="nil"/>
              <w:left w:val="nil"/>
              <w:bottom w:val="single" w:sz="4" w:space="0" w:color="auto"/>
              <w:right w:val="single" w:sz="4" w:space="0" w:color="auto"/>
            </w:tcBorders>
            <w:shd w:val="clear" w:color="auto" w:fill="auto"/>
            <w:vAlign w:val="center"/>
            <w:hideMark/>
          </w:tcPr>
          <w:p w14:paraId="4335D9B7"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44F2FE37" w14:textId="77777777" w:rsidTr="00CD27F2">
        <w:trPr>
          <w:trHeight w:val="510"/>
        </w:trPr>
        <w:tc>
          <w:tcPr>
            <w:tcW w:w="1474" w:type="dxa"/>
            <w:vMerge/>
            <w:tcBorders>
              <w:top w:val="nil"/>
              <w:left w:val="single" w:sz="4" w:space="0" w:color="auto"/>
              <w:bottom w:val="single" w:sz="4" w:space="0" w:color="auto"/>
              <w:right w:val="single" w:sz="4" w:space="0" w:color="auto"/>
            </w:tcBorders>
            <w:vAlign w:val="center"/>
            <w:hideMark/>
          </w:tcPr>
          <w:p w14:paraId="5E6D438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20C54B78"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4BED0CDD"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6013650E"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TRUHLAŘÍK s.r.o. - Implementace doporučení vycházejících ze zpracovaného genderového auditu (TRUHLAŘÍK s.r.o.)</w:t>
            </w:r>
          </w:p>
        </w:tc>
        <w:tc>
          <w:tcPr>
            <w:tcW w:w="992" w:type="dxa"/>
            <w:tcBorders>
              <w:top w:val="nil"/>
              <w:left w:val="nil"/>
              <w:bottom w:val="single" w:sz="4" w:space="0" w:color="auto"/>
              <w:right w:val="single" w:sz="4" w:space="0" w:color="auto"/>
            </w:tcBorders>
            <w:shd w:val="clear" w:color="auto" w:fill="auto"/>
            <w:vAlign w:val="center"/>
            <w:hideMark/>
          </w:tcPr>
          <w:p w14:paraId="6318C411"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*10233</w:t>
            </w:r>
          </w:p>
        </w:tc>
        <w:tc>
          <w:tcPr>
            <w:tcW w:w="1134" w:type="dxa"/>
            <w:tcBorders>
              <w:top w:val="nil"/>
              <w:left w:val="nil"/>
              <w:bottom w:val="single" w:sz="4" w:space="0" w:color="auto"/>
              <w:right w:val="single" w:sz="4" w:space="0" w:color="auto"/>
            </w:tcBorders>
            <w:shd w:val="clear" w:color="auto" w:fill="auto"/>
            <w:vAlign w:val="center"/>
            <w:hideMark/>
          </w:tcPr>
          <w:p w14:paraId="4826B54A"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1 477 225</w:t>
            </w:r>
          </w:p>
        </w:tc>
        <w:tc>
          <w:tcPr>
            <w:tcW w:w="1134" w:type="dxa"/>
            <w:tcBorders>
              <w:top w:val="nil"/>
              <w:left w:val="nil"/>
              <w:bottom w:val="single" w:sz="4" w:space="0" w:color="auto"/>
              <w:right w:val="single" w:sz="4" w:space="0" w:color="auto"/>
            </w:tcBorders>
            <w:shd w:val="clear" w:color="auto" w:fill="auto"/>
            <w:vAlign w:val="center"/>
            <w:hideMark/>
          </w:tcPr>
          <w:p w14:paraId="1005AE0E"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240CD0B7" w14:textId="77777777" w:rsidTr="00CD27F2">
        <w:trPr>
          <w:trHeight w:val="510"/>
        </w:trPr>
        <w:tc>
          <w:tcPr>
            <w:tcW w:w="1474" w:type="dxa"/>
            <w:vMerge/>
            <w:tcBorders>
              <w:top w:val="nil"/>
              <w:left w:val="single" w:sz="4" w:space="0" w:color="auto"/>
              <w:bottom w:val="single" w:sz="4" w:space="0" w:color="auto"/>
              <w:right w:val="single" w:sz="4" w:space="0" w:color="auto"/>
            </w:tcBorders>
            <w:vAlign w:val="center"/>
            <w:hideMark/>
          </w:tcPr>
          <w:p w14:paraId="390F677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1F01E248"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26529CA7"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4A508AD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Implementace doporučení genderového auditu společnosti DOPRAVNÍ PODNIK měst Mostu a</w:t>
            </w:r>
            <w:r>
              <w:rPr>
                <w:rFonts w:ascii="Calibri" w:eastAsia="Times New Roman" w:hAnsi="Calibri" w:cs="Calibri"/>
                <w:color w:val="000000"/>
                <w:sz w:val="20"/>
                <w:szCs w:val="20"/>
                <w:lang w:eastAsia="cs-CZ"/>
              </w:rPr>
              <w:t> </w:t>
            </w:r>
            <w:r w:rsidRPr="00C2324B">
              <w:rPr>
                <w:rFonts w:ascii="Calibri" w:eastAsia="Times New Roman" w:hAnsi="Calibri" w:cs="Calibri"/>
                <w:color w:val="000000"/>
                <w:sz w:val="20"/>
                <w:szCs w:val="20"/>
                <w:lang w:eastAsia="cs-CZ"/>
              </w:rPr>
              <w:t>Litvínova, a.s. (DOPRAVNÍ PODNIK měst Mostu a Litvínova, a.s.)</w:t>
            </w:r>
          </w:p>
        </w:tc>
        <w:tc>
          <w:tcPr>
            <w:tcW w:w="992" w:type="dxa"/>
            <w:tcBorders>
              <w:top w:val="nil"/>
              <w:left w:val="nil"/>
              <w:bottom w:val="single" w:sz="4" w:space="0" w:color="auto"/>
              <w:right w:val="single" w:sz="4" w:space="0" w:color="auto"/>
            </w:tcBorders>
            <w:shd w:val="clear" w:color="auto" w:fill="auto"/>
            <w:vAlign w:val="center"/>
            <w:hideMark/>
          </w:tcPr>
          <w:p w14:paraId="0EEBEBBF"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*10587</w:t>
            </w:r>
          </w:p>
        </w:tc>
        <w:tc>
          <w:tcPr>
            <w:tcW w:w="1134" w:type="dxa"/>
            <w:tcBorders>
              <w:top w:val="nil"/>
              <w:left w:val="nil"/>
              <w:bottom w:val="single" w:sz="4" w:space="0" w:color="auto"/>
              <w:right w:val="single" w:sz="4" w:space="0" w:color="auto"/>
            </w:tcBorders>
            <w:shd w:val="clear" w:color="auto" w:fill="auto"/>
            <w:vAlign w:val="center"/>
            <w:hideMark/>
          </w:tcPr>
          <w:p w14:paraId="0BBFBF5A"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2 000 745</w:t>
            </w:r>
          </w:p>
        </w:tc>
        <w:tc>
          <w:tcPr>
            <w:tcW w:w="1134" w:type="dxa"/>
            <w:tcBorders>
              <w:top w:val="nil"/>
              <w:left w:val="nil"/>
              <w:bottom w:val="single" w:sz="4" w:space="0" w:color="auto"/>
              <w:right w:val="single" w:sz="4" w:space="0" w:color="auto"/>
            </w:tcBorders>
            <w:shd w:val="clear" w:color="auto" w:fill="auto"/>
            <w:vAlign w:val="center"/>
            <w:hideMark/>
          </w:tcPr>
          <w:p w14:paraId="561CA5AD"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4DB6EACA"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1AAFC16B"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639BDD8A"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6D8EF5C2"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207712A2" w14:textId="1624132C"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AQUA Program s.r.o.</w:t>
            </w:r>
            <w:r w:rsidR="00DD53F4">
              <w:rPr>
                <w:rFonts w:ascii="Calibri" w:eastAsia="Times New Roman" w:hAnsi="Calibri" w:cs="Calibri"/>
                <w:color w:val="000000"/>
                <w:sz w:val="20"/>
                <w:szCs w:val="20"/>
                <w:lang w:eastAsia="cs-CZ"/>
              </w:rPr>
              <w:t xml:space="preserve"> </w:t>
            </w:r>
            <w:r w:rsidRPr="00C2324B">
              <w:rPr>
                <w:rFonts w:ascii="Calibri" w:eastAsia="Times New Roman" w:hAnsi="Calibri" w:cs="Calibri"/>
                <w:color w:val="000000"/>
                <w:sz w:val="20"/>
                <w:szCs w:val="20"/>
                <w:lang w:eastAsia="cs-CZ"/>
              </w:rPr>
              <w:t>- Implementace genderového auditu (AQUA Program s.r.o.)</w:t>
            </w:r>
          </w:p>
        </w:tc>
        <w:tc>
          <w:tcPr>
            <w:tcW w:w="992" w:type="dxa"/>
            <w:tcBorders>
              <w:top w:val="nil"/>
              <w:left w:val="nil"/>
              <w:bottom w:val="single" w:sz="4" w:space="0" w:color="auto"/>
              <w:right w:val="single" w:sz="4" w:space="0" w:color="auto"/>
            </w:tcBorders>
            <w:shd w:val="clear" w:color="auto" w:fill="auto"/>
            <w:vAlign w:val="center"/>
            <w:hideMark/>
          </w:tcPr>
          <w:p w14:paraId="13128DC5"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*09674</w:t>
            </w:r>
          </w:p>
        </w:tc>
        <w:tc>
          <w:tcPr>
            <w:tcW w:w="1134" w:type="dxa"/>
            <w:tcBorders>
              <w:top w:val="nil"/>
              <w:left w:val="nil"/>
              <w:bottom w:val="single" w:sz="4" w:space="0" w:color="auto"/>
              <w:right w:val="single" w:sz="4" w:space="0" w:color="auto"/>
            </w:tcBorders>
            <w:shd w:val="clear" w:color="auto" w:fill="auto"/>
            <w:vAlign w:val="center"/>
            <w:hideMark/>
          </w:tcPr>
          <w:p w14:paraId="49D58BE4"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1 253 478</w:t>
            </w:r>
          </w:p>
        </w:tc>
        <w:tc>
          <w:tcPr>
            <w:tcW w:w="1134" w:type="dxa"/>
            <w:tcBorders>
              <w:top w:val="nil"/>
              <w:left w:val="nil"/>
              <w:bottom w:val="single" w:sz="4" w:space="0" w:color="auto"/>
              <w:right w:val="single" w:sz="4" w:space="0" w:color="auto"/>
            </w:tcBorders>
            <w:shd w:val="clear" w:color="auto" w:fill="auto"/>
            <w:vAlign w:val="center"/>
            <w:hideMark/>
          </w:tcPr>
          <w:p w14:paraId="2064950E"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282A7578"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7D5A23C4"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061B14F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5800C7E9"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3102109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Implementace doporučení GA ve firmě YABOK s.r.o. (YABOK s.r.o.)</w:t>
            </w:r>
          </w:p>
        </w:tc>
        <w:tc>
          <w:tcPr>
            <w:tcW w:w="992" w:type="dxa"/>
            <w:tcBorders>
              <w:top w:val="nil"/>
              <w:left w:val="nil"/>
              <w:bottom w:val="single" w:sz="4" w:space="0" w:color="auto"/>
              <w:right w:val="single" w:sz="4" w:space="0" w:color="auto"/>
            </w:tcBorders>
            <w:shd w:val="clear" w:color="auto" w:fill="auto"/>
            <w:vAlign w:val="center"/>
            <w:hideMark/>
          </w:tcPr>
          <w:p w14:paraId="3743F7C8"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*10172</w:t>
            </w:r>
          </w:p>
        </w:tc>
        <w:tc>
          <w:tcPr>
            <w:tcW w:w="1134" w:type="dxa"/>
            <w:tcBorders>
              <w:top w:val="nil"/>
              <w:left w:val="nil"/>
              <w:bottom w:val="single" w:sz="4" w:space="0" w:color="auto"/>
              <w:right w:val="single" w:sz="4" w:space="0" w:color="auto"/>
            </w:tcBorders>
            <w:shd w:val="clear" w:color="auto" w:fill="auto"/>
            <w:vAlign w:val="center"/>
            <w:hideMark/>
          </w:tcPr>
          <w:p w14:paraId="45857598"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1 907 627</w:t>
            </w:r>
          </w:p>
        </w:tc>
        <w:tc>
          <w:tcPr>
            <w:tcW w:w="1134" w:type="dxa"/>
            <w:tcBorders>
              <w:top w:val="nil"/>
              <w:left w:val="nil"/>
              <w:bottom w:val="single" w:sz="4" w:space="0" w:color="auto"/>
              <w:right w:val="single" w:sz="4" w:space="0" w:color="auto"/>
            </w:tcBorders>
            <w:shd w:val="clear" w:color="auto" w:fill="auto"/>
            <w:vAlign w:val="center"/>
            <w:hideMark/>
          </w:tcPr>
          <w:p w14:paraId="2BFD1C11"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5796F466"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7FE94665"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333E8DA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01CDD86E"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50F49860"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Aplikace výstupů gender auditu do společnosti Moderní škola s.r.o. (Moderní škola s.r.o.)</w:t>
            </w:r>
          </w:p>
        </w:tc>
        <w:tc>
          <w:tcPr>
            <w:tcW w:w="992" w:type="dxa"/>
            <w:tcBorders>
              <w:top w:val="nil"/>
              <w:left w:val="nil"/>
              <w:bottom w:val="single" w:sz="4" w:space="0" w:color="auto"/>
              <w:right w:val="single" w:sz="4" w:space="0" w:color="auto"/>
            </w:tcBorders>
            <w:shd w:val="clear" w:color="auto" w:fill="auto"/>
            <w:vAlign w:val="center"/>
            <w:hideMark/>
          </w:tcPr>
          <w:p w14:paraId="52867F5B"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*10196</w:t>
            </w:r>
          </w:p>
        </w:tc>
        <w:tc>
          <w:tcPr>
            <w:tcW w:w="1134" w:type="dxa"/>
            <w:tcBorders>
              <w:top w:val="nil"/>
              <w:left w:val="nil"/>
              <w:bottom w:val="single" w:sz="4" w:space="0" w:color="auto"/>
              <w:right w:val="single" w:sz="4" w:space="0" w:color="auto"/>
            </w:tcBorders>
            <w:shd w:val="clear" w:color="auto" w:fill="auto"/>
            <w:vAlign w:val="center"/>
            <w:hideMark/>
          </w:tcPr>
          <w:p w14:paraId="0CD0A6CB"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2 407 340</w:t>
            </w:r>
          </w:p>
        </w:tc>
        <w:tc>
          <w:tcPr>
            <w:tcW w:w="1134" w:type="dxa"/>
            <w:tcBorders>
              <w:top w:val="nil"/>
              <w:left w:val="nil"/>
              <w:bottom w:val="single" w:sz="4" w:space="0" w:color="auto"/>
              <w:right w:val="single" w:sz="4" w:space="0" w:color="auto"/>
            </w:tcBorders>
            <w:shd w:val="clear" w:color="auto" w:fill="auto"/>
            <w:vAlign w:val="center"/>
            <w:hideMark/>
          </w:tcPr>
          <w:p w14:paraId="3B9B8054"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17002EBE" w14:textId="77777777" w:rsidTr="00CD27F2">
        <w:trPr>
          <w:trHeight w:val="300"/>
        </w:trPr>
        <w:tc>
          <w:tcPr>
            <w:tcW w:w="1474" w:type="dxa"/>
            <w:vMerge/>
            <w:tcBorders>
              <w:top w:val="nil"/>
              <w:left w:val="single" w:sz="4" w:space="0" w:color="auto"/>
              <w:bottom w:val="single" w:sz="4" w:space="0" w:color="auto"/>
              <w:right w:val="single" w:sz="4" w:space="0" w:color="auto"/>
            </w:tcBorders>
            <w:vAlign w:val="center"/>
            <w:hideMark/>
          </w:tcPr>
          <w:p w14:paraId="552ADDBF"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6889C96B"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0900F055"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041093EC"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Gut </w:t>
            </w:r>
            <w:proofErr w:type="spellStart"/>
            <w:r w:rsidRPr="00C2324B">
              <w:rPr>
                <w:rFonts w:ascii="Calibri" w:eastAsia="Times New Roman" w:hAnsi="Calibri" w:cs="Calibri"/>
                <w:color w:val="000000"/>
                <w:sz w:val="20"/>
                <w:szCs w:val="20"/>
                <w:lang w:eastAsia="cs-CZ"/>
              </w:rPr>
              <w:t>alimentari</w:t>
            </w:r>
            <w:proofErr w:type="spellEnd"/>
            <w:r w:rsidRPr="00C2324B">
              <w:rPr>
                <w:rFonts w:ascii="Calibri" w:eastAsia="Times New Roman" w:hAnsi="Calibri" w:cs="Calibri"/>
                <w:color w:val="000000"/>
                <w:sz w:val="20"/>
                <w:szCs w:val="20"/>
                <w:lang w:eastAsia="cs-CZ"/>
              </w:rPr>
              <w:t xml:space="preserve"> s.r.o. - Implementace genderového auditu (Gut </w:t>
            </w:r>
            <w:proofErr w:type="spellStart"/>
            <w:r w:rsidRPr="00C2324B">
              <w:rPr>
                <w:rFonts w:ascii="Calibri" w:eastAsia="Times New Roman" w:hAnsi="Calibri" w:cs="Calibri"/>
                <w:color w:val="000000"/>
                <w:sz w:val="20"/>
                <w:szCs w:val="20"/>
                <w:lang w:eastAsia="cs-CZ"/>
              </w:rPr>
              <w:t>alimentari</w:t>
            </w:r>
            <w:proofErr w:type="spellEnd"/>
            <w:r w:rsidRPr="00C2324B">
              <w:rPr>
                <w:rFonts w:ascii="Calibri" w:eastAsia="Times New Roman" w:hAnsi="Calibri" w:cs="Calibri"/>
                <w:color w:val="000000"/>
                <w:sz w:val="20"/>
                <w:szCs w:val="20"/>
                <w:lang w:eastAsia="cs-CZ"/>
              </w:rPr>
              <w:t xml:space="preserve"> s.r.o.)</w:t>
            </w:r>
          </w:p>
        </w:tc>
        <w:tc>
          <w:tcPr>
            <w:tcW w:w="992" w:type="dxa"/>
            <w:tcBorders>
              <w:top w:val="nil"/>
              <w:left w:val="nil"/>
              <w:bottom w:val="single" w:sz="4" w:space="0" w:color="auto"/>
              <w:right w:val="single" w:sz="4" w:space="0" w:color="auto"/>
            </w:tcBorders>
            <w:shd w:val="clear" w:color="auto" w:fill="auto"/>
            <w:vAlign w:val="center"/>
            <w:hideMark/>
          </w:tcPr>
          <w:p w14:paraId="0B076A34"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*10542</w:t>
            </w:r>
          </w:p>
        </w:tc>
        <w:tc>
          <w:tcPr>
            <w:tcW w:w="1134" w:type="dxa"/>
            <w:tcBorders>
              <w:top w:val="nil"/>
              <w:left w:val="nil"/>
              <w:bottom w:val="single" w:sz="4" w:space="0" w:color="auto"/>
              <w:right w:val="single" w:sz="4" w:space="0" w:color="auto"/>
            </w:tcBorders>
            <w:shd w:val="clear" w:color="auto" w:fill="auto"/>
            <w:vAlign w:val="center"/>
            <w:hideMark/>
          </w:tcPr>
          <w:p w14:paraId="3681F979"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2 964 375</w:t>
            </w:r>
          </w:p>
        </w:tc>
        <w:tc>
          <w:tcPr>
            <w:tcW w:w="1134" w:type="dxa"/>
            <w:tcBorders>
              <w:top w:val="nil"/>
              <w:left w:val="nil"/>
              <w:bottom w:val="single" w:sz="4" w:space="0" w:color="auto"/>
              <w:right w:val="single" w:sz="4" w:space="0" w:color="auto"/>
            </w:tcBorders>
            <w:shd w:val="clear" w:color="auto" w:fill="auto"/>
            <w:vAlign w:val="center"/>
            <w:hideMark/>
          </w:tcPr>
          <w:p w14:paraId="334C73B8"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28575BA0" w14:textId="77777777" w:rsidTr="00CD27F2">
        <w:trPr>
          <w:trHeight w:val="360"/>
        </w:trPr>
        <w:tc>
          <w:tcPr>
            <w:tcW w:w="1474" w:type="dxa"/>
            <w:vMerge w:val="restart"/>
            <w:tcBorders>
              <w:top w:val="nil"/>
              <w:left w:val="single" w:sz="4" w:space="0" w:color="auto"/>
              <w:bottom w:val="single" w:sz="4" w:space="0" w:color="auto"/>
              <w:right w:val="single" w:sz="4" w:space="0" w:color="auto"/>
            </w:tcBorders>
            <w:shd w:val="clear" w:color="auto" w:fill="auto"/>
            <w:vAlign w:val="center"/>
            <w:hideMark/>
          </w:tcPr>
          <w:p w14:paraId="7D0DDAC7" w14:textId="11C0E0E4"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 xml:space="preserve">č. 131 </w:t>
            </w:r>
            <w:r w:rsidR="00CD27F2">
              <w:rPr>
                <w:rFonts w:ascii="Calibri" w:eastAsia="Times New Roman" w:hAnsi="Calibri" w:cs="Calibri"/>
                <w:color w:val="000000"/>
                <w:sz w:val="20"/>
                <w:szCs w:val="20"/>
                <w:lang w:eastAsia="cs-CZ"/>
              </w:rPr>
              <w:br/>
              <w:t>(</w:t>
            </w:r>
            <w:r w:rsidRPr="00C2324B">
              <w:rPr>
                <w:rFonts w:ascii="Calibri" w:eastAsia="Times New Roman" w:hAnsi="Calibri" w:cs="Calibri"/>
                <w:color w:val="000000"/>
                <w:sz w:val="20"/>
                <w:szCs w:val="20"/>
                <w:lang w:eastAsia="cs-CZ"/>
              </w:rPr>
              <w:t>IGA realizované v</w:t>
            </w:r>
            <w:r w:rsidR="00CD27F2">
              <w:rPr>
                <w:rFonts w:ascii="Calibri" w:eastAsia="Times New Roman" w:hAnsi="Calibri" w:cs="Calibri"/>
                <w:color w:val="000000"/>
                <w:sz w:val="20"/>
                <w:szCs w:val="20"/>
                <w:lang w:eastAsia="cs-CZ"/>
              </w:rPr>
              <w:t> </w:t>
            </w:r>
            <w:r w:rsidRPr="00C2324B">
              <w:rPr>
                <w:rFonts w:ascii="Calibri" w:eastAsia="Times New Roman" w:hAnsi="Calibri" w:cs="Calibri"/>
                <w:color w:val="000000"/>
                <w:sz w:val="20"/>
                <w:szCs w:val="20"/>
                <w:lang w:eastAsia="cs-CZ"/>
              </w:rPr>
              <w:t>Praze</w:t>
            </w:r>
            <w:r w:rsidR="00CD27F2">
              <w:rPr>
                <w:rFonts w:ascii="Calibri" w:eastAsia="Times New Roman" w:hAnsi="Calibri" w:cs="Calibri"/>
                <w:color w:val="000000"/>
                <w:sz w:val="20"/>
                <w:szCs w:val="20"/>
                <w:lang w:eastAsia="cs-CZ"/>
              </w:rPr>
              <w:t>)</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178F077F"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8 809 124</w:t>
            </w:r>
          </w:p>
        </w:tc>
        <w:tc>
          <w:tcPr>
            <w:tcW w:w="1191" w:type="dxa"/>
            <w:vMerge w:val="restart"/>
            <w:tcBorders>
              <w:top w:val="nil"/>
              <w:left w:val="single" w:sz="4" w:space="0" w:color="auto"/>
              <w:bottom w:val="single" w:sz="4" w:space="0" w:color="auto"/>
              <w:right w:val="single" w:sz="4" w:space="0" w:color="auto"/>
            </w:tcBorders>
            <w:shd w:val="clear" w:color="auto" w:fill="auto"/>
            <w:vAlign w:val="center"/>
            <w:hideMark/>
          </w:tcPr>
          <w:p w14:paraId="651F48B5"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3 382 827</w:t>
            </w:r>
          </w:p>
        </w:tc>
        <w:tc>
          <w:tcPr>
            <w:tcW w:w="7655" w:type="dxa"/>
            <w:tcBorders>
              <w:top w:val="nil"/>
              <w:left w:val="nil"/>
              <w:bottom w:val="single" w:sz="4" w:space="0" w:color="auto"/>
              <w:right w:val="single" w:sz="4" w:space="0" w:color="auto"/>
            </w:tcBorders>
            <w:shd w:val="clear" w:color="auto" w:fill="auto"/>
            <w:vAlign w:val="center"/>
            <w:hideMark/>
          </w:tcPr>
          <w:p w14:paraId="7C354315"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Zlepšení podmínek a prostředí pro práci výzkumných pracovníků (INESAN, s.r.o.)</w:t>
            </w:r>
          </w:p>
        </w:tc>
        <w:tc>
          <w:tcPr>
            <w:tcW w:w="992" w:type="dxa"/>
            <w:tcBorders>
              <w:top w:val="nil"/>
              <w:left w:val="nil"/>
              <w:bottom w:val="single" w:sz="4" w:space="0" w:color="auto"/>
              <w:right w:val="single" w:sz="4" w:space="0" w:color="auto"/>
            </w:tcBorders>
            <w:shd w:val="clear" w:color="auto" w:fill="auto"/>
            <w:vAlign w:val="center"/>
            <w:hideMark/>
          </w:tcPr>
          <w:p w14:paraId="225B7C16"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*09323</w:t>
            </w:r>
          </w:p>
        </w:tc>
        <w:tc>
          <w:tcPr>
            <w:tcW w:w="1134" w:type="dxa"/>
            <w:tcBorders>
              <w:top w:val="nil"/>
              <w:left w:val="nil"/>
              <w:bottom w:val="single" w:sz="4" w:space="0" w:color="auto"/>
              <w:right w:val="single" w:sz="4" w:space="0" w:color="auto"/>
            </w:tcBorders>
            <w:shd w:val="clear" w:color="auto" w:fill="auto"/>
            <w:vAlign w:val="center"/>
            <w:hideMark/>
          </w:tcPr>
          <w:p w14:paraId="2AB40A6C"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2 476 123</w:t>
            </w:r>
          </w:p>
        </w:tc>
        <w:tc>
          <w:tcPr>
            <w:tcW w:w="1134" w:type="dxa"/>
            <w:tcBorders>
              <w:top w:val="nil"/>
              <w:left w:val="nil"/>
              <w:bottom w:val="single" w:sz="4" w:space="0" w:color="auto"/>
              <w:right w:val="single" w:sz="4" w:space="0" w:color="auto"/>
            </w:tcBorders>
            <w:shd w:val="clear" w:color="auto" w:fill="auto"/>
            <w:vAlign w:val="center"/>
            <w:hideMark/>
          </w:tcPr>
          <w:p w14:paraId="58008E13"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2 228 511</w:t>
            </w:r>
          </w:p>
        </w:tc>
      </w:tr>
      <w:tr w:rsidR="00CD27F2" w:rsidRPr="00C2324B" w14:paraId="2B62C310" w14:textId="77777777" w:rsidTr="00CD27F2">
        <w:trPr>
          <w:trHeight w:val="360"/>
        </w:trPr>
        <w:tc>
          <w:tcPr>
            <w:tcW w:w="1474" w:type="dxa"/>
            <w:vMerge/>
            <w:tcBorders>
              <w:top w:val="nil"/>
              <w:left w:val="single" w:sz="4" w:space="0" w:color="auto"/>
              <w:bottom w:val="single" w:sz="4" w:space="0" w:color="auto"/>
              <w:right w:val="single" w:sz="4" w:space="0" w:color="auto"/>
            </w:tcBorders>
            <w:vAlign w:val="center"/>
            <w:hideMark/>
          </w:tcPr>
          <w:p w14:paraId="3A62D21B"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7C232C7F"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1191" w:type="dxa"/>
            <w:vMerge/>
            <w:tcBorders>
              <w:top w:val="nil"/>
              <w:left w:val="single" w:sz="4" w:space="0" w:color="auto"/>
              <w:bottom w:val="single" w:sz="4" w:space="0" w:color="auto"/>
              <w:right w:val="single" w:sz="4" w:space="0" w:color="auto"/>
            </w:tcBorders>
            <w:vAlign w:val="center"/>
            <w:hideMark/>
          </w:tcPr>
          <w:p w14:paraId="6C6F0A68" w14:textId="77777777" w:rsidR="00C2324B" w:rsidRPr="00C2324B" w:rsidRDefault="00C2324B" w:rsidP="00C2324B">
            <w:pPr>
              <w:spacing w:after="0" w:line="240" w:lineRule="auto"/>
              <w:rPr>
                <w:rFonts w:ascii="Calibri" w:eastAsia="Times New Roman" w:hAnsi="Calibri" w:cs="Calibri"/>
                <w:color w:val="000000"/>
                <w:sz w:val="20"/>
                <w:szCs w:val="20"/>
                <w:lang w:eastAsia="cs-CZ"/>
              </w:rPr>
            </w:pPr>
          </w:p>
        </w:tc>
        <w:tc>
          <w:tcPr>
            <w:tcW w:w="7655" w:type="dxa"/>
            <w:tcBorders>
              <w:top w:val="nil"/>
              <w:left w:val="nil"/>
              <w:bottom w:val="single" w:sz="4" w:space="0" w:color="auto"/>
              <w:right w:val="single" w:sz="4" w:space="0" w:color="auto"/>
            </w:tcBorders>
            <w:shd w:val="clear" w:color="auto" w:fill="auto"/>
            <w:vAlign w:val="center"/>
            <w:hideMark/>
          </w:tcPr>
          <w:p w14:paraId="7AEF24CC" w14:textId="01002ABF" w:rsidR="00C2324B" w:rsidRPr="00C2324B" w:rsidRDefault="00C2324B" w:rsidP="00C2324B">
            <w:pPr>
              <w:spacing w:after="0" w:line="240" w:lineRule="auto"/>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BARVY FRAMAR s.r.o.</w:t>
            </w:r>
            <w:r w:rsidR="00DD53F4">
              <w:rPr>
                <w:rFonts w:ascii="Calibri" w:eastAsia="Times New Roman" w:hAnsi="Calibri" w:cs="Calibri"/>
                <w:color w:val="000000"/>
                <w:sz w:val="20"/>
                <w:szCs w:val="20"/>
                <w:lang w:eastAsia="cs-CZ"/>
              </w:rPr>
              <w:t xml:space="preserve"> </w:t>
            </w:r>
            <w:r w:rsidRPr="00C2324B">
              <w:rPr>
                <w:rFonts w:ascii="Calibri" w:eastAsia="Times New Roman" w:hAnsi="Calibri" w:cs="Calibri"/>
                <w:color w:val="000000"/>
                <w:sz w:val="20"/>
                <w:szCs w:val="20"/>
                <w:lang w:eastAsia="cs-CZ"/>
              </w:rPr>
              <w:t>- Implementace genderového auditu (BARVY FRAMAR s.r.o.)</w:t>
            </w:r>
          </w:p>
        </w:tc>
        <w:tc>
          <w:tcPr>
            <w:tcW w:w="992" w:type="dxa"/>
            <w:tcBorders>
              <w:top w:val="nil"/>
              <w:left w:val="nil"/>
              <w:bottom w:val="single" w:sz="4" w:space="0" w:color="auto"/>
              <w:right w:val="single" w:sz="4" w:space="0" w:color="auto"/>
            </w:tcBorders>
            <w:shd w:val="clear" w:color="auto" w:fill="auto"/>
            <w:vAlign w:val="center"/>
            <w:hideMark/>
          </w:tcPr>
          <w:p w14:paraId="4363B167" w14:textId="77777777" w:rsidR="00C2324B" w:rsidRPr="00C2324B" w:rsidRDefault="00C2324B" w:rsidP="00C2324B">
            <w:pPr>
              <w:spacing w:after="0" w:line="240" w:lineRule="auto"/>
              <w:jc w:val="center"/>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*10460</w:t>
            </w:r>
          </w:p>
        </w:tc>
        <w:tc>
          <w:tcPr>
            <w:tcW w:w="1134" w:type="dxa"/>
            <w:tcBorders>
              <w:top w:val="nil"/>
              <w:left w:val="nil"/>
              <w:bottom w:val="single" w:sz="4" w:space="0" w:color="auto"/>
              <w:right w:val="single" w:sz="4" w:space="0" w:color="auto"/>
            </w:tcBorders>
            <w:shd w:val="clear" w:color="auto" w:fill="auto"/>
            <w:vAlign w:val="center"/>
            <w:hideMark/>
          </w:tcPr>
          <w:p w14:paraId="629989AB"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773 061</w:t>
            </w:r>
          </w:p>
        </w:tc>
        <w:tc>
          <w:tcPr>
            <w:tcW w:w="1134" w:type="dxa"/>
            <w:tcBorders>
              <w:top w:val="nil"/>
              <w:left w:val="nil"/>
              <w:bottom w:val="single" w:sz="4" w:space="0" w:color="auto"/>
              <w:right w:val="single" w:sz="4" w:space="0" w:color="auto"/>
            </w:tcBorders>
            <w:shd w:val="clear" w:color="auto" w:fill="auto"/>
            <w:vAlign w:val="center"/>
            <w:hideMark/>
          </w:tcPr>
          <w:p w14:paraId="37434960" w14:textId="77777777" w:rsidR="00C2324B" w:rsidRPr="00C2324B" w:rsidRDefault="00C2324B" w:rsidP="00C2324B">
            <w:pPr>
              <w:spacing w:after="0" w:line="240" w:lineRule="auto"/>
              <w:jc w:val="right"/>
              <w:rPr>
                <w:rFonts w:ascii="Calibri" w:eastAsia="Times New Roman" w:hAnsi="Calibri" w:cs="Calibri"/>
                <w:color w:val="000000"/>
                <w:sz w:val="20"/>
                <w:szCs w:val="20"/>
                <w:lang w:eastAsia="cs-CZ"/>
              </w:rPr>
            </w:pPr>
            <w:r w:rsidRPr="00C2324B">
              <w:rPr>
                <w:rFonts w:ascii="Calibri" w:eastAsia="Times New Roman" w:hAnsi="Calibri" w:cs="Calibri"/>
                <w:color w:val="000000"/>
                <w:sz w:val="20"/>
                <w:szCs w:val="20"/>
                <w:lang w:eastAsia="cs-CZ"/>
              </w:rPr>
              <w:t>0</w:t>
            </w:r>
          </w:p>
        </w:tc>
      </w:tr>
      <w:tr w:rsidR="00CD27F2" w:rsidRPr="00C2324B" w14:paraId="42C028E0" w14:textId="77777777" w:rsidTr="00CD27F2">
        <w:trPr>
          <w:trHeight w:val="510"/>
        </w:trPr>
        <w:tc>
          <w:tcPr>
            <w:tcW w:w="1474" w:type="dxa"/>
            <w:tcBorders>
              <w:top w:val="nil"/>
              <w:left w:val="single" w:sz="4" w:space="0" w:color="auto"/>
              <w:bottom w:val="single" w:sz="4" w:space="0" w:color="auto"/>
              <w:right w:val="single" w:sz="4" w:space="0" w:color="auto"/>
            </w:tcBorders>
            <w:shd w:val="clear" w:color="auto" w:fill="auto"/>
            <w:vAlign w:val="center"/>
            <w:hideMark/>
          </w:tcPr>
          <w:p w14:paraId="06E218D4"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Celkem</w:t>
            </w:r>
          </w:p>
        </w:tc>
        <w:tc>
          <w:tcPr>
            <w:tcW w:w="1191" w:type="dxa"/>
            <w:tcBorders>
              <w:top w:val="nil"/>
              <w:left w:val="nil"/>
              <w:bottom w:val="single" w:sz="4" w:space="0" w:color="auto"/>
              <w:right w:val="single" w:sz="4" w:space="0" w:color="auto"/>
            </w:tcBorders>
            <w:shd w:val="clear" w:color="auto" w:fill="auto"/>
            <w:vAlign w:val="center"/>
            <w:hideMark/>
          </w:tcPr>
          <w:p w14:paraId="2ADF3297" w14:textId="77777777" w:rsidR="00C2324B" w:rsidRPr="00C2324B" w:rsidRDefault="00C2324B" w:rsidP="00C2324B">
            <w:pPr>
              <w:spacing w:after="0" w:line="240" w:lineRule="auto"/>
              <w:jc w:val="right"/>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107 061 208</w:t>
            </w:r>
          </w:p>
        </w:tc>
        <w:tc>
          <w:tcPr>
            <w:tcW w:w="1191" w:type="dxa"/>
            <w:tcBorders>
              <w:top w:val="nil"/>
              <w:left w:val="nil"/>
              <w:bottom w:val="single" w:sz="4" w:space="0" w:color="auto"/>
              <w:right w:val="single" w:sz="4" w:space="0" w:color="auto"/>
            </w:tcBorders>
            <w:shd w:val="clear" w:color="auto" w:fill="auto"/>
            <w:vAlign w:val="center"/>
            <w:hideMark/>
          </w:tcPr>
          <w:p w14:paraId="4FA49FD3" w14:textId="77777777" w:rsidR="00C2324B" w:rsidRPr="00C2324B" w:rsidRDefault="00C2324B" w:rsidP="00C2324B">
            <w:pPr>
              <w:spacing w:after="0" w:line="240" w:lineRule="auto"/>
              <w:jc w:val="right"/>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13 028 553</w:t>
            </w:r>
          </w:p>
        </w:tc>
        <w:tc>
          <w:tcPr>
            <w:tcW w:w="7655" w:type="dxa"/>
            <w:tcBorders>
              <w:top w:val="nil"/>
              <w:left w:val="nil"/>
              <w:bottom w:val="single" w:sz="4" w:space="0" w:color="auto"/>
              <w:right w:val="single" w:sz="4" w:space="0" w:color="auto"/>
            </w:tcBorders>
            <w:shd w:val="clear" w:color="auto" w:fill="auto"/>
            <w:vAlign w:val="center"/>
            <w:hideMark/>
          </w:tcPr>
          <w:p w14:paraId="79943ABD" w14:textId="77777777" w:rsidR="00C2324B" w:rsidRPr="00C2324B" w:rsidRDefault="00C2324B" w:rsidP="00C2324B">
            <w:pPr>
              <w:spacing w:after="0" w:line="240" w:lineRule="auto"/>
              <w:jc w:val="center"/>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 </w:t>
            </w:r>
          </w:p>
        </w:tc>
        <w:tc>
          <w:tcPr>
            <w:tcW w:w="992" w:type="dxa"/>
            <w:tcBorders>
              <w:top w:val="nil"/>
              <w:left w:val="nil"/>
              <w:bottom w:val="single" w:sz="4" w:space="0" w:color="auto"/>
              <w:right w:val="single" w:sz="4" w:space="0" w:color="auto"/>
            </w:tcBorders>
            <w:shd w:val="clear" w:color="auto" w:fill="auto"/>
            <w:noWrap/>
            <w:vAlign w:val="center"/>
            <w:hideMark/>
          </w:tcPr>
          <w:p w14:paraId="469E63BD" w14:textId="77777777" w:rsidR="00C2324B" w:rsidRPr="00C2324B" w:rsidRDefault="00C2324B" w:rsidP="00C2324B">
            <w:pPr>
              <w:spacing w:after="0" w:line="240" w:lineRule="auto"/>
              <w:jc w:val="right"/>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 </w:t>
            </w:r>
          </w:p>
        </w:tc>
        <w:tc>
          <w:tcPr>
            <w:tcW w:w="1134" w:type="dxa"/>
            <w:tcBorders>
              <w:top w:val="nil"/>
              <w:left w:val="nil"/>
              <w:bottom w:val="single" w:sz="4" w:space="0" w:color="auto"/>
              <w:right w:val="single" w:sz="4" w:space="0" w:color="auto"/>
            </w:tcBorders>
            <w:shd w:val="clear" w:color="auto" w:fill="auto"/>
            <w:vAlign w:val="center"/>
            <w:hideMark/>
          </w:tcPr>
          <w:p w14:paraId="456525E6" w14:textId="77777777" w:rsidR="00C2324B" w:rsidRPr="00C2324B" w:rsidRDefault="00C2324B" w:rsidP="00C2324B">
            <w:pPr>
              <w:spacing w:after="0" w:line="240" w:lineRule="auto"/>
              <w:jc w:val="right"/>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20 605 985</w:t>
            </w:r>
          </w:p>
        </w:tc>
        <w:tc>
          <w:tcPr>
            <w:tcW w:w="1134" w:type="dxa"/>
            <w:tcBorders>
              <w:top w:val="nil"/>
              <w:left w:val="nil"/>
              <w:bottom w:val="single" w:sz="4" w:space="0" w:color="auto"/>
              <w:right w:val="single" w:sz="4" w:space="0" w:color="auto"/>
            </w:tcBorders>
            <w:shd w:val="clear" w:color="auto" w:fill="auto"/>
            <w:vAlign w:val="center"/>
            <w:hideMark/>
          </w:tcPr>
          <w:p w14:paraId="546BB308" w14:textId="77777777" w:rsidR="00C2324B" w:rsidRPr="00C2324B" w:rsidRDefault="00C2324B" w:rsidP="00C2324B">
            <w:pPr>
              <w:spacing w:after="0" w:line="240" w:lineRule="auto"/>
              <w:jc w:val="right"/>
              <w:rPr>
                <w:rFonts w:ascii="Calibri" w:eastAsia="Times New Roman" w:hAnsi="Calibri" w:cs="Calibri"/>
                <w:b/>
                <w:bCs/>
                <w:color w:val="000000"/>
                <w:sz w:val="20"/>
                <w:szCs w:val="20"/>
                <w:lang w:eastAsia="cs-CZ"/>
              </w:rPr>
            </w:pPr>
            <w:r w:rsidRPr="00C2324B">
              <w:rPr>
                <w:rFonts w:ascii="Calibri" w:eastAsia="Times New Roman" w:hAnsi="Calibri" w:cs="Calibri"/>
                <w:b/>
                <w:bCs/>
                <w:color w:val="000000"/>
                <w:sz w:val="20"/>
                <w:szCs w:val="20"/>
                <w:lang w:eastAsia="cs-CZ"/>
              </w:rPr>
              <w:t>3 320 173</w:t>
            </w:r>
          </w:p>
        </w:tc>
      </w:tr>
    </w:tbl>
    <w:p w14:paraId="60ECF396" w14:textId="06D2677F" w:rsidR="00896D4B" w:rsidRPr="00CF0981" w:rsidRDefault="00896D4B" w:rsidP="009F6890">
      <w:pPr>
        <w:pStyle w:val="KP-normlnbezodsazen"/>
        <w:keepNext/>
        <w:spacing w:before="40"/>
        <w:ind w:left="283" w:hanging="567"/>
        <w:rPr>
          <w:sz w:val="20"/>
          <w:szCs w:val="20"/>
        </w:rPr>
      </w:pPr>
      <w:r w:rsidRPr="00C06C8E">
        <w:rPr>
          <w:b/>
          <w:sz w:val="20"/>
          <w:szCs w:val="20"/>
        </w:rPr>
        <w:t>Zdroj</w:t>
      </w:r>
      <w:r w:rsidRPr="00974945">
        <w:rPr>
          <w:b/>
          <w:sz w:val="20"/>
          <w:szCs w:val="20"/>
        </w:rPr>
        <w:t>:</w:t>
      </w:r>
      <w:r w:rsidRPr="00CF0981">
        <w:rPr>
          <w:sz w:val="20"/>
          <w:szCs w:val="20"/>
        </w:rPr>
        <w:t xml:space="preserve"> </w:t>
      </w:r>
      <w:r w:rsidR="00DD53F4">
        <w:rPr>
          <w:sz w:val="20"/>
          <w:szCs w:val="20"/>
        </w:rPr>
        <w:tab/>
      </w:r>
      <w:r w:rsidR="00FC3B5C">
        <w:rPr>
          <w:sz w:val="20"/>
          <w:szCs w:val="20"/>
        </w:rPr>
        <w:t>V</w:t>
      </w:r>
      <w:r>
        <w:rPr>
          <w:sz w:val="20"/>
          <w:szCs w:val="20"/>
        </w:rPr>
        <w:t xml:space="preserve">ypracoval </w:t>
      </w:r>
      <w:r w:rsidRPr="00CF0981">
        <w:rPr>
          <w:sz w:val="20"/>
          <w:szCs w:val="20"/>
        </w:rPr>
        <w:t xml:space="preserve">NKÚ dle dat </w:t>
      </w:r>
      <w:r>
        <w:rPr>
          <w:sz w:val="20"/>
          <w:szCs w:val="20"/>
        </w:rPr>
        <w:t>IS MS2014+, stav k 09/2022.</w:t>
      </w:r>
    </w:p>
    <w:p w14:paraId="7D49B601" w14:textId="0E220962" w:rsidR="00896D4B" w:rsidRDefault="00896D4B" w:rsidP="009F6890">
      <w:pPr>
        <w:ind w:left="283" w:hanging="567"/>
        <w:jc w:val="both"/>
        <w:rPr>
          <w:sz w:val="20"/>
          <w:szCs w:val="20"/>
        </w:rPr>
      </w:pPr>
      <w:r w:rsidRPr="008A67AF">
        <w:rPr>
          <w:b/>
          <w:sz w:val="20"/>
          <w:szCs w:val="20"/>
        </w:rPr>
        <w:t>Pozn.</w:t>
      </w:r>
      <w:r w:rsidRPr="00974945">
        <w:rPr>
          <w:b/>
          <w:sz w:val="20"/>
          <w:szCs w:val="20"/>
        </w:rPr>
        <w:t>:</w:t>
      </w:r>
      <w:r w:rsidRPr="00CF0981">
        <w:rPr>
          <w:sz w:val="20"/>
          <w:szCs w:val="20"/>
        </w:rPr>
        <w:t xml:space="preserve"> </w:t>
      </w:r>
      <w:r w:rsidR="00DD53F4">
        <w:rPr>
          <w:sz w:val="20"/>
          <w:szCs w:val="20"/>
        </w:rPr>
        <w:tab/>
      </w:r>
      <w:r w:rsidR="0060440A">
        <w:rPr>
          <w:sz w:val="20"/>
          <w:szCs w:val="20"/>
        </w:rPr>
        <w:t>Částky za jednotlivé projekty jsou z</w:t>
      </w:r>
      <w:r w:rsidR="006574BC">
        <w:rPr>
          <w:sz w:val="20"/>
          <w:szCs w:val="20"/>
        </w:rPr>
        <w:t>aokrouhlen</w:t>
      </w:r>
      <w:r w:rsidR="0060440A">
        <w:rPr>
          <w:sz w:val="20"/>
          <w:szCs w:val="20"/>
        </w:rPr>
        <w:t>y</w:t>
      </w:r>
      <w:r w:rsidR="006574BC">
        <w:rPr>
          <w:sz w:val="20"/>
          <w:szCs w:val="20"/>
        </w:rPr>
        <w:t xml:space="preserve"> na celé </w:t>
      </w:r>
      <w:r w:rsidR="00DD53F4">
        <w:rPr>
          <w:sz w:val="20"/>
          <w:szCs w:val="20"/>
        </w:rPr>
        <w:t>koruny</w:t>
      </w:r>
      <w:r w:rsidR="006574BC">
        <w:rPr>
          <w:sz w:val="20"/>
          <w:szCs w:val="20"/>
        </w:rPr>
        <w:t>.</w:t>
      </w:r>
      <w:r w:rsidR="0060440A">
        <w:rPr>
          <w:sz w:val="20"/>
          <w:szCs w:val="20"/>
        </w:rPr>
        <w:t xml:space="preserve"> Toto zaokrouhlení je důvodem rozdíl</w:t>
      </w:r>
      <w:r w:rsidR="00DD53F4">
        <w:rPr>
          <w:sz w:val="20"/>
          <w:szCs w:val="20"/>
        </w:rPr>
        <w:t>u</w:t>
      </w:r>
      <w:r w:rsidR="0060440A">
        <w:rPr>
          <w:sz w:val="20"/>
          <w:szCs w:val="20"/>
        </w:rPr>
        <w:t xml:space="preserve"> mezi součtem hodnot za jednotlivé projekty a částkou uvedenou v řádku </w:t>
      </w:r>
      <w:r w:rsidR="00DD53F4">
        <w:rPr>
          <w:sz w:val="20"/>
          <w:szCs w:val="20"/>
        </w:rPr>
        <w:t>„</w:t>
      </w:r>
      <w:r w:rsidR="0060440A">
        <w:rPr>
          <w:sz w:val="20"/>
          <w:szCs w:val="20"/>
        </w:rPr>
        <w:t>Celkem“.</w:t>
      </w:r>
    </w:p>
    <w:p w14:paraId="0FD82F84" w14:textId="77777777" w:rsidR="0033574A" w:rsidRPr="0027290E" w:rsidRDefault="0033359A" w:rsidP="0033574A">
      <w:pPr>
        <w:keepNext/>
        <w:keepLines/>
        <w:spacing w:before="120" w:after="40" w:line="240" w:lineRule="auto"/>
        <w:ind w:left="1275" w:hanging="1559"/>
        <w:rPr>
          <w:b/>
          <w:sz w:val="24"/>
        </w:rPr>
      </w:pPr>
      <w:bookmarkStart w:id="7" w:name="_Hlk124519843"/>
      <w:r>
        <w:rPr>
          <w:b/>
          <w:sz w:val="24"/>
        </w:rPr>
        <w:t xml:space="preserve">Příloha č. 2: </w:t>
      </w:r>
      <w:r w:rsidR="00F313AB">
        <w:rPr>
          <w:b/>
          <w:sz w:val="24"/>
        </w:rPr>
        <w:t xml:space="preserve">Hodnocení potenciálu kontrolovaných projektů </w:t>
      </w:r>
      <w:r w:rsidR="00F313AB" w:rsidRPr="00F313AB">
        <w:rPr>
          <w:b/>
          <w:sz w:val="24"/>
        </w:rPr>
        <w:t>přispět k</w:t>
      </w:r>
      <w:r w:rsidR="00F313AB">
        <w:rPr>
          <w:b/>
          <w:sz w:val="24"/>
        </w:rPr>
        <w:t>e</w:t>
      </w:r>
      <w:r w:rsidR="00F313AB" w:rsidRPr="00F313AB">
        <w:rPr>
          <w:b/>
          <w:sz w:val="24"/>
        </w:rPr>
        <w:t xml:space="preserve"> snížení rozdílů v postavení žen a mužů na trhu práce</w:t>
      </w:r>
      <w:bookmarkEnd w:id="7"/>
    </w:p>
    <w:tbl>
      <w:tblPr>
        <w:tblpPr w:leftFromText="142" w:rightFromText="142" w:vertAnchor="text" w:horzAnchor="margin" w:tblpX="-294" w:tblpY="-5"/>
        <w:tblOverlap w:val="never"/>
        <w:tblW w:w="5109" w:type="pct"/>
        <w:tblCellMar>
          <w:left w:w="70" w:type="dxa"/>
          <w:right w:w="70" w:type="dxa"/>
        </w:tblCellMar>
        <w:tblLook w:val="04A0" w:firstRow="1" w:lastRow="0" w:firstColumn="1" w:lastColumn="0" w:noHBand="0" w:noVBand="1"/>
      </w:tblPr>
      <w:tblGrid>
        <w:gridCol w:w="1481"/>
        <w:gridCol w:w="1642"/>
        <w:gridCol w:w="1707"/>
        <w:gridCol w:w="1887"/>
        <w:gridCol w:w="1576"/>
        <w:gridCol w:w="1713"/>
        <w:gridCol w:w="1567"/>
        <w:gridCol w:w="1436"/>
        <w:gridCol w:w="1290"/>
      </w:tblGrid>
      <w:tr w:rsidR="00A91FA9" w:rsidRPr="00E9672C" w14:paraId="3C74AF26" w14:textId="77777777" w:rsidTr="00A91FA9">
        <w:trPr>
          <w:trHeight w:val="1114"/>
        </w:trPr>
        <w:tc>
          <w:tcPr>
            <w:tcW w:w="51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A384D6"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bookmarkStart w:id="8" w:name="_Hlk122603626"/>
            <w:proofErr w:type="spellStart"/>
            <w:r w:rsidRPr="00A455AC">
              <w:rPr>
                <w:rFonts w:ascii="Calibri" w:eastAsia="Times New Roman" w:hAnsi="Calibri" w:cs="Calibri"/>
                <w:b/>
                <w:bCs/>
                <w:color w:val="000000"/>
                <w:sz w:val="20"/>
                <w:szCs w:val="20"/>
                <w:lang w:eastAsia="cs-CZ"/>
              </w:rPr>
              <w:t>Reg</w:t>
            </w:r>
            <w:proofErr w:type="spellEnd"/>
            <w:r w:rsidRPr="00A455AC">
              <w:rPr>
                <w:rFonts w:ascii="Calibri" w:eastAsia="Times New Roman" w:hAnsi="Calibri" w:cs="Calibri"/>
                <w:b/>
                <w:bCs/>
                <w:color w:val="000000"/>
                <w:sz w:val="20"/>
                <w:szCs w:val="20"/>
                <w:lang w:eastAsia="cs-CZ"/>
              </w:rPr>
              <w:t>. číslo projektu</w:t>
            </w:r>
          </w:p>
        </w:tc>
        <w:tc>
          <w:tcPr>
            <w:tcW w:w="5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2BF42F"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Snížení rozdílů v</w:t>
            </w:r>
            <w:r w:rsidR="0033359A">
              <w:rPr>
                <w:rFonts w:ascii="Calibri" w:eastAsia="Times New Roman" w:hAnsi="Calibri" w:cs="Calibri"/>
                <w:b/>
                <w:bCs/>
                <w:color w:val="000000"/>
                <w:sz w:val="20"/>
                <w:szCs w:val="20"/>
                <w:lang w:eastAsia="cs-CZ"/>
              </w:rPr>
              <w:t> </w:t>
            </w:r>
            <w:r w:rsidRPr="00A455AC">
              <w:rPr>
                <w:rFonts w:ascii="Calibri" w:eastAsia="Times New Roman" w:hAnsi="Calibri" w:cs="Calibri"/>
                <w:b/>
                <w:bCs/>
                <w:color w:val="000000"/>
                <w:sz w:val="20"/>
                <w:szCs w:val="20"/>
                <w:lang w:eastAsia="cs-CZ"/>
              </w:rPr>
              <w:t>odměňování žen a mužů za stejnou práci</w:t>
            </w:r>
          </w:p>
        </w:tc>
        <w:tc>
          <w:tcPr>
            <w:tcW w:w="5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43A563"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Snížení vertikální a</w:t>
            </w:r>
            <w:r w:rsidR="0033359A">
              <w:rPr>
                <w:rFonts w:ascii="Calibri" w:eastAsia="Times New Roman" w:hAnsi="Calibri" w:cs="Calibri"/>
                <w:b/>
                <w:bCs/>
                <w:color w:val="000000"/>
                <w:sz w:val="20"/>
                <w:szCs w:val="20"/>
                <w:lang w:eastAsia="cs-CZ"/>
              </w:rPr>
              <w:t> </w:t>
            </w:r>
            <w:r w:rsidRPr="00A455AC">
              <w:rPr>
                <w:rFonts w:ascii="Calibri" w:eastAsia="Times New Roman" w:hAnsi="Calibri" w:cs="Calibri"/>
                <w:b/>
                <w:bCs/>
                <w:color w:val="000000"/>
                <w:sz w:val="20"/>
                <w:szCs w:val="20"/>
                <w:lang w:eastAsia="cs-CZ"/>
              </w:rPr>
              <w:t>horizontální segregace žen a</w:t>
            </w:r>
            <w:r w:rsidR="0033359A">
              <w:rPr>
                <w:rFonts w:ascii="Calibri" w:eastAsia="Times New Roman" w:hAnsi="Calibri" w:cs="Calibri"/>
                <w:b/>
                <w:bCs/>
                <w:color w:val="000000"/>
                <w:sz w:val="20"/>
                <w:szCs w:val="20"/>
                <w:lang w:eastAsia="cs-CZ"/>
              </w:rPr>
              <w:t> </w:t>
            </w:r>
            <w:r w:rsidRPr="00A455AC">
              <w:rPr>
                <w:rFonts w:ascii="Calibri" w:eastAsia="Times New Roman" w:hAnsi="Calibri" w:cs="Calibri"/>
                <w:b/>
                <w:bCs/>
                <w:color w:val="000000"/>
                <w:sz w:val="20"/>
                <w:szCs w:val="20"/>
                <w:lang w:eastAsia="cs-CZ"/>
              </w:rPr>
              <w:t>mužů</w:t>
            </w:r>
          </w:p>
        </w:tc>
        <w:tc>
          <w:tcPr>
            <w:tcW w:w="6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2C9989"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Odstraňování překážek pro slaďování pracovního a</w:t>
            </w:r>
            <w:r w:rsidR="00E0425E">
              <w:rPr>
                <w:rFonts w:ascii="Calibri" w:eastAsia="Times New Roman" w:hAnsi="Calibri" w:cs="Calibri"/>
                <w:b/>
                <w:bCs/>
                <w:color w:val="000000"/>
                <w:sz w:val="20"/>
                <w:szCs w:val="20"/>
                <w:lang w:eastAsia="cs-CZ"/>
              </w:rPr>
              <w:t> </w:t>
            </w:r>
            <w:r w:rsidRPr="00A455AC">
              <w:rPr>
                <w:rFonts w:ascii="Calibri" w:eastAsia="Times New Roman" w:hAnsi="Calibri" w:cs="Calibri"/>
                <w:b/>
                <w:bCs/>
                <w:color w:val="000000"/>
                <w:sz w:val="20"/>
                <w:szCs w:val="20"/>
                <w:lang w:eastAsia="cs-CZ"/>
              </w:rPr>
              <w:t>osobního života</w:t>
            </w:r>
          </w:p>
        </w:tc>
        <w:tc>
          <w:tcPr>
            <w:tcW w:w="55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80AFD0E"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Snížení rizika obtěžování na pracovišti</w:t>
            </w:r>
          </w:p>
        </w:tc>
        <w:tc>
          <w:tcPr>
            <w:tcW w:w="5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9AC539"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Informování o</w:t>
            </w:r>
            <w:r w:rsidR="0033359A">
              <w:rPr>
                <w:rFonts w:ascii="Calibri" w:eastAsia="Times New Roman" w:hAnsi="Calibri" w:cs="Calibri"/>
                <w:b/>
                <w:bCs/>
                <w:color w:val="000000"/>
                <w:sz w:val="20"/>
                <w:szCs w:val="20"/>
                <w:lang w:eastAsia="cs-CZ"/>
              </w:rPr>
              <w:t> </w:t>
            </w:r>
            <w:r w:rsidRPr="00A455AC">
              <w:rPr>
                <w:rFonts w:ascii="Calibri" w:eastAsia="Times New Roman" w:hAnsi="Calibri" w:cs="Calibri"/>
                <w:b/>
                <w:bCs/>
                <w:color w:val="000000"/>
                <w:sz w:val="20"/>
                <w:szCs w:val="20"/>
                <w:lang w:eastAsia="cs-CZ"/>
              </w:rPr>
              <w:t>genderové problematice</w:t>
            </w:r>
          </w:p>
        </w:tc>
        <w:tc>
          <w:tcPr>
            <w:tcW w:w="54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8CEBF6" w14:textId="74F33A5B"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 xml:space="preserve">Výše </w:t>
            </w:r>
            <w:r w:rsidR="00BC48D0" w:rsidRPr="00A455AC">
              <w:rPr>
                <w:rFonts w:ascii="Calibri" w:eastAsia="Times New Roman" w:hAnsi="Calibri" w:cs="Calibri"/>
                <w:b/>
                <w:bCs/>
                <w:color w:val="000000"/>
                <w:sz w:val="20"/>
                <w:szCs w:val="20"/>
                <w:lang w:eastAsia="cs-CZ"/>
              </w:rPr>
              <w:t xml:space="preserve">dotace </w:t>
            </w:r>
            <w:r w:rsidR="00BC48D0">
              <w:rPr>
                <w:rFonts w:ascii="Calibri" w:eastAsia="Times New Roman" w:hAnsi="Calibri" w:cs="Calibri"/>
                <w:b/>
                <w:bCs/>
                <w:color w:val="000000"/>
                <w:sz w:val="20"/>
                <w:szCs w:val="20"/>
                <w:lang w:eastAsia="cs-CZ"/>
              </w:rPr>
              <w:t>vy</w:t>
            </w:r>
            <w:r w:rsidRPr="00A455AC">
              <w:rPr>
                <w:rFonts w:ascii="Calibri" w:eastAsia="Times New Roman" w:hAnsi="Calibri" w:cs="Calibri"/>
                <w:b/>
                <w:bCs/>
                <w:color w:val="000000"/>
                <w:sz w:val="20"/>
                <w:szCs w:val="20"/>
                <w:lang w:eastAsia="cs-CZ"/>
              </w:rPr>
              <w:t>placené na projekt</w:t>
            </w:r>
          </w:p>
          <w:p w14:paraId="2D44DE16"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(v Kč)</w:t>
            </w:r>
          </w:p>
        </w:tc>
        <w:tc>
          <w:tcPr>
            <w:tcW w:w="50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8C1CA"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Zjištěné nezpůsobilé výdaje</w:t>
            </w:r>
          </w:p>
          <w:p w14:paraId="58FF4D61" w14:textId="77777777" w:rsidR="0033574A" w:rsidRPr="00A455AC" w:rsidRDefault="0033574A" w:rsidP="0033574A">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(v Kč)</w:t>
            </w:r>
          </w:p>
        </w:tc>
        <w:tc>
          <w:tcPr>
            <w:tcW w:w="45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486AC3" w14:textId="3212BBC8" w:rsidR="0033574A" w:rsidRPr="00A455AC" w:rsidRDefault="00BC48D0" w:rsidP="00116FE7">
            <w:pPr>
              <w:keepNext/>
              <w:keepLines/>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color w:val="000000"/>
                <w:sz w:val="20"/>
                <w:szCs w:val="20"/>
                <w:lang w:eastAsia="cs-CZ"/>
              </w:rPr>
              <w:t xml:space="preserve">– </w:t>
            </w:r>
            <w:r>
              <w:rPr>
                <w:rFonts w:ascii="Calibri" w:eastAsia="Times New Roman" w:hAnsi="Calibri" w:cs="Calibri"/>
                <w:b/>
                <w:bCs/>
                <w:color w:val="000000"/>
                <w:sz w:val="20"/>
                <w:szCs w:val="20"/>
                <w:lang w:eastAsia="cs-CZ"/>
              </w:rPr>
              <w:t>z</w:t>
            </w:r>
            <w:r w:rsidR="0033574A" w:rsidRPr="00A455AC">
              <w:rPr>
                <w:rFonts w:ascii="Calibri" w:eastAsia="Times New Roman" w:hAnsi="Calibri" w:cs="Calibri"/>
                <w:b/>
                <w:bCs/>
                <w:color w:val="000000"/>
                <w:sz w:val="20"/>
                <w:szCs w:val="20"/>
                <w:lang w:eastAsia="cs-CZ"/>
              </w:rPr>
              <w:t xml:space="preserve"> toho nesrovnalost</w:t>
            </w:r>
          </w:p>
          <w:p w14:paraId="5634A397" w14:textId="77777777" w:rsidR="0033574A" w:rsidRPr="00A455AC" w:rsidRDefault="0033574A" w:rsidP="00C76EE4">
            <w:pPr>
              <w:keepNext/>
              <w:keepLines/>
              <w:spacing w:after="0" w:line="240" w:lineRule="auto"/>
              <w:jc w:val="center"/>
              <w:rPr>
                <w:rFonts w:ascii="Calibri" w:eastAsia="Times New Roman" w:hAnsi="Calibri" w:cs="Calibri"/>
                <w:b/>
                <w:bCs/>
                <w:color w:val="000000"/>
                <w:sz w:val="20"/>
                <w:szCs w:val="20"/>
                <w:lang w:eastAsia="cs-CZ"/>
              </w:rPr>
            </w:pPr>
            <w:r w:rsidRPr="00A455AC">
              <w:rPr>
                <w:rFonts w:ascii="Calibri" w:eastAsia="Times New Roman" w:hAnsi="Calibri" w:cs="Calibri"/>
                <w:b/>
                <w:bCs/>
                <w:color w:val="000000"/>
                <w:sz w:val="20"/>
                <w:szCs w:val="20"/>
                <w:lang w:eastAsia="cs-CZ"/>
              </w:rPr>
              <w:t>(v Kč)</w:t>
            </w:r>
          </w:p>
        </w:tc>
      </w:tr>
      <w:tr w:rsidR="00A91FA9" w:rsidRPr="00CA3701" w14:paraId="780A50A3"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0FBB"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*06254</w:t>
            </w:r>
          </w:p>
        </w:tc>
        <w:tc>
          <w:tcPr>
            <w:tcW w:w="574" w:type="pct"/>
            <w:tcBorders>
              <w:top w:val="single" w:sz="4" w:space="0" w:color="auto"/>
              <w:left w:val="nil"/>
              <w:bottom w:val="single" w:sz="4" w:space="0" w:color="auto"/>
              <w:right w:val="single" w:sz="4" w:space="0" w:color="auto"/>
            </w:tcBorders>
            <w:shd w:val="clear" w:color="000000" w:fill="FF0000"/>
            <w:noWrap/>
            <w:vAlign w:val="bottom"/>
          </w:tcPr>
          <w:p w14:paraId="5D186B5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nil"/>
              <w:bottom w:val="single" w:sz="4" w:space="0" w:color="auto"/>
              <w:right w:val="single" w:sz="4" w:space="0" w:color="auto"/>
            </w:tcBorders>
            <w:shd w:val="clear" w:color="000000" w:fill="FF0000"/>
            <w:vAlign w:val="bottom"/>
          </w:tcPr>
          <w:p w14:paraId="0CDB1D30"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nil"/>
              <w:bottom w:val="single" w:sz="4" w:space="0" w:color="auto"/>
              <w:right w:val="single" w:sz="4" w:space="0" w:color="auto"/>
            </w:tcBorders>
            <w:shd w:val="clear" w:color="000000" w:fill="FF0000"/>
            <w:vAlign w:val="bottom"/>
          </w:tcPr>
          <w:p w14:paraId="4CFB647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nil"/>
              <w:bottom w:val="single" w:sz="4" w:space="0" w:color="auto"/>
              <w:right w:val="single" w:sz="4" w:space="0" w:color="auto"/>
            </w:tcBorders>
            <w:shd w:val="clear" w:color="000000" w:fill="FF0000"/>
            <w:vAlign w:val="bottom"/>
          </w:tcPr>
          <w:p w14:paraId="634A4BF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nil"/>
              <w:bottom w:val="single" w:sz="4" w:space="0" w:color="auto"/>
              <w:right w:val="single" w:sz="4" w:space="0" w:color="auto"/>
            </w:tcBorders>
            <w:shd w:val="clear" w:color="auto" w:fill="548235"/>
            <w:vAlign w:val="bottom"/>
          </w:tcPr>
          <w:p w14:paraId="34517D61"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3B79F"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789</w:t>
            </w:r>
            <w:r>
              <w:rPr>
                <w:rFonts w:ascii="Calibri" w:hAnsi="Calibri" w:cs="Calibri"/>
                <w:bCs/>
                <w:color w:val="000000"/>
                <w:sz w:val="20"/>
                <w:szCs w:val="20"/>
              </w:rPr>
              <w:t xml:space="preserve"> </w:t>
            </w:r>
            <w:r w:rsidRPr="00BD638C">
              <w:rPr>
                <w:rFonts w:ascii="Calibri" w:hAnsi="Calibri" w:cs="Calibri"/>
                <w:bCs/>
                <w:color w:val="000000"/>
                <w:sz w:val="20"/>
                <w:szCs w:val="20"/>
              </w:rPr>
              <w:t>269</w:t>
            </w:r>
          </w:p>
        </w:tc>
        <w:tc>
          <w:tcPr>
            <w:tcW w:w="502" w:type="pct"/>
            <w:tcBorders>
              <w:top w:val="single" w:sz="4" w:space="0" w:color="auto"/>
              <w:left w:val="single" w:sz="4" w:space="0" w:color="auto"/>
              <w:bottom w:val="single" w:sz="4" w:space="0" w:color="auto"/>
              <w:right w:val="single" w:sz="4" w:space="0" w:color="auto"/>
            </w:tcBorders>
            <w:shd w:val="clear" w:color="auto" w:fill="auto"/>
            <w:vAlign w:val="bottom"/>
          </w:tcPr>
          <w:p w14:paraId="01E8303F"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789</w:t>
            </w:r>
            <w:r>
              <w:rPr>
                <w:rFonts w:ascii="Calibri" w:hAnsi="Calibri" w:cs="Calibri"/>
                <w:bCs/>
                <w:color w:val="000000"/>
                <w:sz w:val="20"/>
                <w:szCs w:val="20"/>
              </w:rPr>
              <w:t xml:space="preserve"> </w:t>
            </w:r>
            <w:r w:rsidRPr="00BD638C">
              <w:rPr>
                <w:rFonts w:ascii="Calibri" w:hAnsi="Calibri" w:cs="Calibri"/>
                <w:bCs/>
                <w:color w:val="000000"/>
                <w:sz w:val="20"/>
                <w:szCs w:val="20"/>
              </w:rPr>
              <w:t>269</w:t>
            </w:r>
          </w:p>
        </w:tc>
        <w:tc>
          <w:tcPr>
            <w:tcW w:w="451" w:type="pct"/>
            <w:tcBorders>
              <w:top w:val="single" w:sz="4" w:space="0" w:color="auto"/>
              <w:left w:val="nil"/>
              <w:bottom w:val="single" w:sz="4" w:space="0" w:color="auto"/>
              <w:right w:val="single" w:sz="4" w:space="0" w:color="auto"/>
            </w:tcBorders>
            <w:shd w:val="clear" w:color="auto" w:fill="auto"/>
            <w:vAlign w:val="bottom"/>
          </w:tcPr>
          <w:p w14:paraId="438FA06D"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670</w:t>
            </w:r>
            <w:r>
              <w:rPr>
                <w:rFonts w:ascii="Calibri" w:hAnsi="Calibri" w:cs="Calibri"/>
                <w:bCs/>
                <w:color w:val="000000"/>
                <w:sz w:val="20"/>
                <w:szCs w:val="20"/>
              </w:rPr>
              <w:t xml:space="preserve"> </w:t>
            </w:r>
            <w:r w:rsidRPr="00BD638C">
              <w:rPr>
                <w:rFonts w:ascii="Calibri" w:hAnsi="Calibri" w:cs="Calibri"/>
                <w:bCs/>
                <w:color w:val="000000"/>
                <w:sz w:val="20"/>
                <w:szCs w:val="20"/>
              </w:rPr>
              <w:t>878</w:t>
            </w:r>
          </w:p>
        </w:tc>
      </w:tr>
      <w:tr w:rsidR="00A91FA9" w:rsidRPr="00CA3701" w14:paraId="2C3A2BD3"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4624B"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*06306</w:t>
            </w:r>
          </w:p>
        </w:tc>
        <w:tc>
          <w:tcPr>
            <w:tcW w:w="574" w:type="pct"/>
            <w:tcBorders>
              <w:top w:val="single" w:sz="4" w:space="0" w:color="auto"/>
              <w:left w:val="nil"/>
              <w:bottom w:val="single" w:sz="4" w:space="0" w:color="auto"/>
              <w:right w:val="single" w:sz="4" w:space="0" w:color="auto"/>
            </w:tcBorders>
            <w:shd w:val="clear" w:color="000000" w:fill="FF0000"/>
            <w:noWrap/>
            <w:vAlign w:val="center"/>
          </w:tcPr>
          <w:p w14:paraId="0EFBB270"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nil"/>
              <w:bottom w:val="single" w:sz="4" w:space="0" w:color="auto"/>
              <w:right w:val="single" w:sz="4" w:space="0" w:color="auto"/>
            </w:tcBorders>
            <w:shd w:val="clear" w:color="000000" w:fill="FF0000"/>
            <w:noWrap/>
            <w:vAlign w:val="center"/>
          </w:tcPr>
          <w:p w14:paraId="68F9285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nil"/>
              <w:bottom w:val="single" w:sz="4" w:space="0" w:color="auto"/>
              <w:right w:val="single" w:sz="4" w:space="0" w:color="auto"/>
            </w:tcBorders>
            <w:shd w:val="clear" w:color="000000" w:fill="FF0000"/>
            <w:noWrap/>
            <w:vAlign w:val="center"/>
          </w:tcPr>
          <w:p w14:paraId="398D472E"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nil"/>
              <w:bottom w:val="single" w:sz="4" w:space="0" w:color="auto"/>
              <w:right w:val="single" w:sz="4" w:space="0" w:color="auto"/>
            </w:tcBorders>
            <w:shd w:val="clear" w:color="000000" w:fill="FF0000"/>
            <w:noWrap/>
            <w:vAlign w:val="center"/>
          </w:tcPr>
          <w:p w14:paraId="7BF084A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nil"/>
              <w:bottom w:val="single" w:sz="4" w:space="0" w:color="auto"/>
              <w:right w:val="single" w:sz="4" w:space="0" w:color="auto"/>
            </w:tcBorders>
            <w:shd w:val="clear" w:color="000000" w:fill="548235"/>
            <w:noWrap/>
            <w:vAlign w:val="center"/>
          </w:tcPr>
          <w:p w14:paraId="551EE04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8FC2C4"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748</w:t>
            </w:r>
            <w:r>
              <w:rPr>
                <w:rFonts w:ascii="Calibri" w:hAnsi="Calibri" w:cs="Calibri"/>
                <w:bCs/>
                <w:color w:val="000000"/>
                <w:sz w:val="20"/>
                <w:szCs w:val="20"/>
              </w:rPr>
              <w:t xml:space="preserve"> </w:t>
            </w:r>
            <w:r w:rsidRPr="00BD638C">
              <w:rPr>
                <w:rFonts w:ascii="Calibri" w:hAnsi="Calibri" w:cs="Calibri"/>
                <w:bCs/>
                <w:color w:val="000000"/>
                <w:sz w:val="20"/>
                <w:szCs w:val="20"/>
              </w:rPr>
              <w:t>236</w:t>
            </w:r>
          </w:p>
        </w:tc>
        <w:tc>
          <w:tcPr>
            <w:tcW w:w="502" w:type="pct"/>
            <w:tcBorders>
              <w:top w:val="single" w:sz="4" w:space="0" w:color="auto"/>
              <w:left w:val="single" w:sz="4" w:space="0" w:color="auto"/>
              <w:bottom w:val="single" w:sz="4" w:space="0" w:color="auto"/>
              <w:right w:val="single" w:sz="4" w:space="0" w:color="auto"/>
            </w:tcBorders>
            <w:shd w:val="clear" w:color="auto" w:fill="auto"/>
            <w:vAlign w:val="bottom"/>
          </w:tcPr>
          <w:p w14:paraId="522F960B"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748</w:t>
            </w:r>
            <w:r>
              <w:rPr>
                <w:rFonts w:ascii="Calibri" w:hAnsi="Calibri" w:cs="Calibri"/>
                <w:bCs/>
                <w:color w:val="000000"/>
                <w:sz w:val="20"/>
                <w:szCs w:val="20"/>
              </w:rPr>
              <w:t xml:space="preserve"> </w:t>
            </w:r>
            <w:r w:rsidRPr="00BD638C">
              <w:rPr>
                <w:rFonts w:ascii="Calibri" w:hAnsi="Calibri" w:cs="Calibri"/>
                <w:bCs/>
                <w:color w:val="000000"/>
                <w:sz w:val="20"/>
                <w:szCs w:val="20"/>
              </w:rPr>
              <w:t>236</w:t>
            </w:r>
          </w:p>
        </w:tc>
        <w:tc>
          <w:tcPr>
            <w:tcW w:w="451" w:type="pct"/>
            <w:tcBorders>
              <w:top w:val="single" w:sz="4" w:space="0" w:color="auto"/>
              <w:left w:val="nil"/>
              <w:bottom w:val="single" w:sz="4" w:space="0" w:color="auto"/>
              <w:right w:val="single" w:sz="4" w:space="0" w:color="auto"/>
            </w:tcBorders>
            <w:shd w:val="clear" w:color="auto" w:fill="auto"/>
            <w:vAlign w:val="bottom"/>
          </w:tcPr>
          <w:p w14:paraId="069C10B9"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636</w:t>
            </w:r>
            <w:r>
              <w:rPr>
                <w:rFonts w:ascii="Calibri" w:hAnsi="Calibri" w:cs="Calibri"/>
                <w:bCs/>
                <w:color w:val="000000"/>
                <w:sz w:val="20"/>
                <w:szCs w:val="20"/>
              </w:rPr>
              <w:t xml:space="preserve"> </w:t>
            </w:r>
            <w:r w:rsidRPr="00BD638C">
              <w:rPr>
                <w:rFonts w:ascii="Calibri" w:hAnsi="Calibri" w:cs="Calibri"/>
                <w:bCs/>
                <w:color w:val="000000"/>
                <w:sz w:val="20"/>
                <w:szCs w:val="20"/>
              </w:rPr>
              <w:t>001</w:t>
            </w:r>
          </w:p>
        </w:tc>
      </w:tr>
      <w:tr w:rsidR="00A91FA9" w:rsidRPr="00CA3701" w14:paraId="74E7113B"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1458"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*06197</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540953E0"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04E3A56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2C4CF88C"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1FE7D912"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1C7F429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2A2D10"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905</w:t>
            </w:r>
            <w:r>
              <w:rPr>
                <w:rFonts w:ascii="Calibri" w:hAnsi="Calibri" w:cs="Calibri"/>
                <w:bCs/>
                <w:color w:val="000000"/>
                <w:sz w:val="20"/>
                <w:szCs w:val="20"/>
              </w:rPr>
              <w:t xml:space="preserve"> </w:t>
            </w:r>
            <w:r w:rsidRPr="00BD638C">
              <w:rPr>
                <w:rFonts w:ascii="Calibri" w:hAnsi="Calibri" w:cs="Calibri"/>
                <w:bCs/>
                <w:color w:val="000000"/>
                <w:sz w:val="20"/>
                <w:szCs w:val="20"/>
              </w:rPr>
              <w:t>250</w:t>
            </w:r>
          </w:p>
        </w:tc>
        <w:tc>
          <w:tcPr>
            <w:tcW w:w="502" w:type="pct"/>
            <w:tcBorders>
              <w:top w:val="single" w:sz="4" w:space="0" w:color="auto"/>
              <w:left w:val="single" w:sz="4" w:space="0" w:color="auto"/>
              <w:bottom w:val="single" w:sz="4" w:space="0" w:color="auto"/>
              <w:right w:val="single" w:sz="4" w:space="0" w:color="auto"/>
            </w:tcBorders>
            <w:vAlign w:val="center"/>
          </w:tcPr>
          <w:p w14:paraId="420F9DF9"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6C2C2728"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70C361EF"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CED42"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*06316</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3C76DB50"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36C859D7"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3F2B556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7C7881D8"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361A4078"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27FEF5"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w:t>
            </w:r>
            <w:r>
              <w:rPr>
                <w:rFonts w:ascii="Calibri" w:hAnsi="Calibri" w:cs="Calibri"/>
                <w:bCs/>
                <w:color w:val="000000"/>
                <w:sz w:val="20"/>
                <w:szCs w:val="20"/>
              </w:rPr>
              <w:t xml:space="preserve"> </w:t>
            </w:r>
            <w:r w:rsidRPr="00BD638C">
              <w:rPr>
                <w:rFonts w:ascii="Calibri" w:hAnsi="Calibri" w:cs="Calibri"/>
                <w:bCs/>
                <w:color w:val="000000"/>
                <w:sz w:val="20"/>
                <w:szCs w:val="20"/>
              </w:rPr>
              <w:t>196</w:t>
            </w:r>
            <w:r>
              <w:rPr>
                <w:rFonts w:ascii="Calibri" w:hAnsi="Calibri" w:cs="Calibri"/>
                <w:bCs/>
                <w:color w:val="000000"/>
                <w:sz w:val="20"/>
                <w:szCs w:val="20"/>
              </w:rPr>
              <w:t xml:space="preserve"> </w:t>
            </w:r>
            <w:r w:rsidRPr="00BD638C">
              <w:rPr>
                <w:rFonts w:ascii="Calibri" w:hAnsi="Calibri" w:cs="Calibri"/>
                <w:bCs/>
                <w:color w:val="000000"/>
                <w:sz w:val="20"/>
                <w:szCs w:val="20"/>
              </w:rPr>
              <w:t>571</w:t>
            </w:r>
          </w:p>
        </w:tc>
        <w:tc>
          <w:tcPr>
            <w:tcW w:w="502" w:type="pct"/>
            <w:tcBorders>
              <w:top w:val="single" w:sz="4" w:space="0" w:color="auto"/>
              <w:left w:val="single" w:sz="4" w:space="0" w:color="auto"/>
              <w:bottom w:val="single" w:sz="4" w:space="0" w:color="auto"/>
              <w:right w:val="single" w:sz="4" w:space="0" w:color="auto"/>
            </w:tcBorders>
            <w:vAlign w:val="center"/>
          </w:tcPr>
          <w:p w14:paraId="216CBBCC"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636D3CD3"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4C8E676D"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14A0" w14:textId="77777777" w:rsidR="00A91FA9" w:rsidRPr="00A455AC" w:rsidRDefault="00A91FA9"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*06240</w:t>
            </w:r>
          </w:p>
        </w:tc>
        <w:tc>
          <w:tcPr>
            <w:tcW w:w="574" w:type="pct"/>
            <w:tcBorders>
              <w:top w:val="single" w:sz="4" w:space="0" w:color="auto"/>
              <w:left w:val="nil"/>
              <w:bottom w:val="single" w:sz="4" w:space="0" w:color="auto"/>
              <w:right w:val="single" w:sz="4" w:space="0" w:color="auto"/>
            </w:tcBorders>
            <w:shd w:val="clear" w:color="000000" w:fill="FF0000"/>
            <w:noWrap/>
            <w:vAlign w:val="center"/>
          </w:tcPr>
          <w:p w14:paraId="62D0E8E8" w14:textId="77777777" w:rsidR="00A91FA9" w:rsidRPr="00CA3701" w:rsidRDefault="00A91FA9"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nil"/>
              <w:bottom w:val="single" w:sz="4" w:space="0" w:color="auto"/>
              <w:right w:val="single" w:sz="4" w:space="0" w:color="auto"/>
            </w:tcBorders>
            <w:shd w:val="clear" w:color="000000" w:fill="A6A6A6"/>
            <w:noWrap/>
            <w:vAlign w:val="bottom"/>
          </w:tcPr>
          <w:p w14:paraId="784BB3FD" w14:textId="77777777" w:rsidR="00A91FA9" w:rsidRPr="00CA3701" w:rsidRDefault="00A91FA9"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nil"/>
              <w:bottom w:val="single" w:sz="4" w:space="0" w:color="auto"/>
              <w:right w:val="single" w:sz="4" w:space="0" w:color="auto"/>
            </w:tcBorders>
            <w:shd w:val="clear" w:color="000000" w:fill="A6A6A6"/>
            <w:vAlign w:val="bottom"/>
          </w:tcPr>
          <w:p w14:paraId="0B44F443" w14:textId="77777777" w:rsidR="00A91FA9" w:rsidRPr="00CA3701" w:rsidRDefault="00A91FA9"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nil"/>
              <w:bottom w:val="single" w:sz="4" w:space="0" w:color="auto"/>
              <w:right w:val="single" w:sz="4" w:space="0" w:color="auto"/>
            </w:tcBorders>
            <w:shd w:val="clear" w:color="000000" w:fill="A6A6A6"/>
            <w:vAlign w:val="bottom"/>
          </w:tcPr>
          <w:p w14:paraId="6F5B71D9" w14:textId="77777777" w:rsidR="00A91FA9" w:rsidRPr="00CA3701" w:rsidRDefault="00A91FA9" w:rsidP="0033574A">
            <w:pPr>
              <w:keepNext/>
              <w:keepLines/>
              <w:spacing w:after="60" w:line="240" w:lineRule="auto"/>
              <w:jc w:val="center"/>
              <w:rPr>
                <w:rFonts w:eastAsia="Times New Roman" w:cs="Calibri"/>
                <w:color w:val="000000"/>
                <w:sz w:val="20"/>
                <w:szCs w:val="20"/>
                <w:lang w:eastAsia="cs-CZ"/>
              </w:rPr>
            </w:pPr>
          </w:p>
        </w:tc>
        <w:tc>
          <w:tcPr>
            <w:tcW w:w="599" w:type="pct"/>
            <w:tcBorders>
              <w:top w:val="single" w:sz="4" w:space="0" w:color="auto"/>
              <w:left w:val="nil"/>
              <w:bottom w:val="single" w:sz="4" w:space="0" w:color="auto"/>
              <w:right w:val="single" w:sz="4" w:space="0" w:color="auto"/>
            </w:tcBorders>
            <w:shd w:val="clear" w:color="000000" w:fill="A6A6A6"/>
            <w:vAlign w:val="bottom"/>
          </w:tcPr>
          <w:p w14:paraId="0384019F" w14:textId="1E7E8F49" w:rsidR="00A91FA9" w:rsidRPr="00CA3701" w:rsidRDefault="00A91FA9"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A3EF578" w14:textId="77777777" w:rsidR="00A91FA9" w:rsidRPr="00BD638C" w:rsidRDefault="00A91FA9"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w:t>
            </w:r>
            <w:r>
              <w:rPr>
                <w:rFonts w:ascii="Calibri" w:hAnsi="Calibri" w:cs="Calibri"/>
                <w:bCs/>
                <w:color w:val="000000"/>
                <w:sz w:val="20"/>
                <w:szCs w:val="20"/>
              </w:rPr>
              <w:t xml:space="preserve"> </w:t>
            </w:r>
            <w:r w:rsidRPr="00BD638C">
              <w:rPr>
                <w:rFonts w:ascii="Calibri" w:hAnsi="Calibri" w:cs="Calibri"/>
                <w:bCs/>
                <w:color w:val="000000"/>
                <w:sz w:val="20"/>
                <w:szCs w:val="20"/>
              </w:rPr>
              <w:t>722</w:t>
            </w:r>
            <w:r>
              <w:rPr>
                <w:rFonts w:ascii="Calibri" w:hAnsi="Calibri" w:cs="Calibri"/>
                <w:bCs/>
                <w:color w:val="000000"/>
                <w:sz w:val="20"/>
                <w:szCs w:val="20"/>
              </w:rPr>
              <w:t xml:space="preserve"> </w:t>
            </w:r>
            <w:r w:rsidRPr="00BD638C">
              <w:rPr>
                <w:rFonts w:ascii="Calibri" w:hAnsi="Calibri" w:cs="Calibri"/>
                <w:bCs/>
                <w:color w:val="000000"/>
                <w:sz w:val="20"/>
                <w:szCs w:val="20"/>
              </w:rPr>
              <w:t>07</w:t>
            </w:r>
            <w:r>
              <w:rPr>
                <w:rFonts w:ascii="Calibri" w:hAnsi="Calibri" w:cs="Calibri"/>
                <w:bCs/>
                <w:color w:val="000000"/>
                <w:sz w:val="20"/>
                <w:szCs w:val="20"/>
              </w:rPr>
              <w:t>2</w:t>
            </w:r>
          </w:p>
        </w:tc>
        <w:tc>
          <w:tcPr>
            <w:tcW w:w="502" w:type="pct"/>
            <w:tcBorders>
              <w:top w:val="single" w:sz="4" w:space="0" w:color="auto"/>
              <w:left w:val="nil"/>
              <w:bottom w:val="single" w:sz="4" w:space="0" w:color="auto"/>
              <w:right w:val="single" w:sz="4" w:space="0" w:color="auto"/>
            </w:tcBorders>
            <w:shd w:val="clear" w:color="auto" w:fill="auto"/>
            <w:vAlign w:val="bottom"/>
          </w:tcPr>
          <w:p w14:paraId="5C5BEC16" w14:textId="77777777" w:rsidR="00A91FA9" w:rsidRPr="00BD638C" w:rsidRDefault="00A91FA9"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18</w:t>
            </w:r>
            <w:r>
              <w:rPr>
                <w:rFonts w:ascii="Calibri" w:hAnsi="Calibri" w:cs="Calibri"/>
                <w:bCs/>
                <w:color w:val="000000"/>
                <w:sz w:val="20"/>
                <w:szCs w:val="20"/>
              </w:rPr>
              <w:t xml:space="preserve"> </w:t>
            </w:r>
            <w:r w:rsidRPr="00BD638C">
              <w:rPr>
                <w:rFonts w:ascii="Calibri" w:hAnsi="Calibri" w:cs="Calibri"/>
                <w:bCs/>
                <w:color w:val="000000"/>
                <w:sz w:val="20"/>
                <w:szCs w:val="20"/>
              </w:rPr>
              <w:t>168</w:t>
            </w:r>
          </w:p>
        </w:tc>
        <w:tc>
          <w:tcPr>
            <w:tcW w:w="451" w:type="pct"/>
            <w:tcBorders>
              <w:top w:val="single" w:sz="4" w:space="0" w:color="auto"/>
              <w:left w:val="nil"/>
              <w:bottom w:val="single" w:sz="4" w:space="0" w:color="auto"/>
              <w:right w:val="single" w:sz="4" w:space="0" w:color="auto"/>
            </w:tcBorders>
            <w:shd w:val="clear" w:color="auto" w:fill="auto"/>
            <w:vAlign w:val="bottom"/>
          </w:tcPr>
          <w:p w14:paraId="4D7CEC9F" w14:textId="77777777" w:rsidR="00A91FA9" w:rsidRPr="00BD638C" w:rsidRDefault="00A91FA9"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9</w:t>
            </w:r>
            <w:r>
              <w:rPr>
                <w:rFonts w:ascii="Calibri" w:hAnsi="Calibri" w:cs="Calibri"/>
                <w:bCs/>
                <w:color w:val="000000"/>
                <w:sz w:val="20"/>
                <w:szCs w:val="20"/>
              </w:rPr>
              <w:t xml:space="preserve"> </w:t>
            </w:r>
            <w:r w:rsidRPr="00BD638C">
              <w:rPr>
                <w:rFonts w:ascii="Calibri" w:hAnsi="Calibri" w:cs="Calibri"/>
                <w:bCs/>
                <w:color w:val="000000"/>
                <w:sz w:val="20"/>
                <w:szCs w:val="20"/>
              </w:rPr>
              <w:t>084</w:t>
            </w:r>
          </w:p>
        </w:tc>
      </w:tr>
      <w:tr w:rsidR="00A91FA9" w:rsidRPr="00CA3701" w14:paraId="4F9443EE"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2AE5F"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*10528</w:t>
            </w:r>
          </w:p>
        </w:tc>
        <w:tc>
          <w:tcPr>
            <w:tcW w:w="574" w:type="pct"/>
            <w:tcBorders>
              <w:top w:val="single" w:sz="4" w:space="0" w:color="auto"/>
              <w:left w:val="single" w:sz="4" w:space="0" w:color="auto"/>
              <w:bottom w:val="single" w:sz="4" w:space="0" w:color="auto"/>
              <w:right w:val="single" w:sz="4" w:space="0" w:color="auto"/>
            </w:tcBorders>
            <w:shd w:val="clear" w:color="auto" w:fill="FF0000"/>
            <w:noWrap/>
            <w:vAlign w:val="bottom"/>
          </w:tcPr>
          <w:p w14:paraId="638829F5"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auto" w:fill="FF0000"/>
            <w:noWrap/>
            <w:vAlign w:val="bottom"/>
          </w:tcPr>
          <w:p w14:paraId="79BE85B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1D1D15BA"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7FD73C6F"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7F36738B"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FB9A33"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w:t>
            </w:r>
            <w:r>
              <w:rPr>
                <w:rFonts w:ascii="Calibri" w:hAnsi="Calibri" w:cs="Calibri"/>
                <w:bCs/>
                <w:color w:val="000000"/>
                <w:sz w:val="20"/>
                <w:szCs w:val="20"/>
              </w:rPr>
              <w:t xml:space="preserve"> </w:t>
            </w:r>
            <w:r w:rsidRPr="00BD638C">
              <w:rPr>
                <w:rFonts w:ascii="Calibri" w:hAnsi="Calibri" w:cs="Calibri"/>
                <w:bCs/>
                <w:color w:val="000000"/>
                <w:sz w:val="20"/>
                <w:szCs w:val="20"/>
              </w:rPr>
              <w:t>076</w:t>
            </w:r>
            <w:r>
              <w:rPr>
                <w:rFonts w:ascii="Calibri" w:hAnsi="Calibri" w:cs="Calibri"/>
                <w:bCs/>
                <w:color w:val="000000"/>
                <w:sz w:val="20"/>
                <w:szCs w:val="20"/>
              </w:rPr>
              <w:t xml:space="preserve"> </w:t>
            </w:r>
            <w:r w:rsidRPr="00BD638C">
              <w:rPr>
                <w:rFonts w:ascii="Calibri" w:hAnsi="Calibri" w:cs="Calibri"/>
                <w:bCs/>
                <w:color w:val="000000"/>
                <w:sz w:val="20"/>
                <w:szCs w:val="20"/>
              </w:rPr>
              <w:t>272</w:t>
            </w:r>
          </w:p>
        </w:tc>
        <w:tc>
          <w:tcPr>
            <w:tcW w:w="502" w:type="pct"/>
            <w:tcBorders>
              <w:top w:val="single" w:sz="4" w:space="0" w:color="auto"/>
              <w:left w:val="single" w:sz="4" w:space="0" w:color="auto"/>
              <w:bottom w:val="single" w:sz="4" w:space="0" w:color="auto"/>
              <w:right w:val="single" w:sz="4" w:space="0" w:color="auto"/>
            </w:tcBorders>
            <w:vAlign w:val="center"/>
          </w:tcPr>
          <w:p w14:paraId="5D57765C"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7F648D78"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6E0A9E39"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EEDBC"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*10233</w:t>
            </w:r>
          </w:p>
        </w:tc>
        <w:tc>
          <w:tcPr>
            <w:tcW w:w="574" w:type="pct"/>
            <w:tcBorders>
              <w:top w:val="single" w:sz="4" w:space="0" w:color="auto"/>
              <w:left w:val="single" w:sz="4" w:space="0" w:color="auto"/>
              <w:bottom w:val="single" w:sz="4" w:space="0" w:color="auto"/>
              <w:right w:val="single" w:sz="4" w:space="0" w:color="auto"/>
            </w:tcBorders>
            <w:shd w:val="clear" w:color="auto" w:fill="FF0000"/>
            <w:noWrap/>
            <w:vAlign w:val="bottom"/>
          </w:tcPr>
          <w:p w14:paraId="1FF30AD5"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auto" w:fill="FF0000"/>
            <w:vAlign w:val="bottom"/>
          </w:tcPr>
          <w:p w14:paraId="49F3566F"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auto" w:fill="FF0000"/>
            <w:vAlign w:val="bottom"/>
          </w:tcPr>
          <w:p w14:paraId="1747BDF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bottom"/>
          </w:tcPr>
          <w:p w14:paraId="3650485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bottom"/>
          </w:tcPr>
          <w:p w14:paraId="40F3D24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D6A8C2"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w:t>
            </w:r>
            <w:r>
              <w:rPr>
                <w:rFonts w:ascii="Calibri" w:hAnsi="Calibri" w:cs="Calibri"/>
                <w:bCs/>
                <w:color w:val="000000"/>
                <w:sz w:val="20"/>
                <w:szCs w:val="20"/>
              </w:rPr>
              <w:t xml:space="preserve"> </w:t>
            </w:r>
            <w:r w:rsidRPr="00BD638C">
              <w:rPr>
                <w:rFonts w:ascii="Calibri" w:hAnsi="Calibri" w:cs="Calibri"/>
                <w:bCs/>
                <w:color w:val="000000"/>
                <w:sz w:val="20"/>
                <w:szCs w:val="20"/>
              </w:rPr>
              <w:t>477</w:t>
            </w:r>
            <w:r>
              <w:rPr>
                <w:rFonts w:ascii="Calibri" w:hAnsi="Calibri" w:cs="Calibri"/>
                <w:bCs/>
                <w:color w:val="000000"/>
                <w:sz w:val="20"/>
                <w:szCs w:val="20"/>
              </w:rPr>
              <w:t xml:space="preserve"> </w:t>
            </w:r>
            <w:r w:rsidRPr="00BD638C">
              <w:rPr>
                <w:rFonts w:ascii="Calibri" w:hAnsi="Calibri" w:cs="Calibri"/>
                <w:bCs/>
                <w:color w:val="000000"/>
                <w:sz w:val="20"/>
                <w:szCs w:val="20"/>
              </w:rPr>
              <w:t>225</w:t>
            </w:r>
          </w:p>
        </w:tc>
        <w:tc>
          <w:tcPr>
            <w:tcW w:w="502" w:type="pct"/>
            <w:tcBorders>
              <w:top w:val="single" w:sz="4" w:space="0" w:color="auto"/>
              <w:left w:val="single" w:sz="4" w:space="0" w:color="auto"/>
              <w:bottom w:val="single" w:sz="4" w:space="0" w:color="auto"/>
              <w:right w:val="single" w:sz="4" w:space="0" w:color="auto"/>
            </w:tcBorders>
            <w:vAlign w:val="center"/>
          </w:tcPr>
          <w:p w14:paraId="1A1518CF"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36657A1E"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202A8F21"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4DBEE"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*10587</w:t>
            </w:r>
          </w:p>
        </w:tc>
        <w:tc>
          <w:tcPr>
            <w:tcW w:w="574"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4056109A"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40C7C74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4B35A944"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64AB7CC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21DFC248"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F6A9"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2</w:t>
            </w:r>
            <w:r>
              <w:rPr>
                <w:rFonts w:ascii="Calibri" w:hAnsi="Calibri" w:cs="Calibri"/>
                <w:bCs/>
                <w:color w:val="000000"/>
                <w:sz w:val="20"/>
                <w:szCs w:val="20"/>
              </w:rPr>
              <w:t xml:space="preserve"> </w:t>
            </w:r>
            <w:r w:rsidRPr="00BD638C">
              <w:rPr>
                <w:rFonts w:ascii="Calibri" w:hAnsi="Calibri" w:cs="Calibri"/>
                <w:bCs/>
                <w:color w:val="000000"/>
                <w:sz w:val="20"/>
                <w:szCs w:val="20"/>
              </w:rPr>
              <w:t>000</w:t>
            </w:r>
            <w:r>
              <w:rPr>
                <w:rFonts w:ascii="Calibri" w:hAnsi="Calibri" w:cs="Calibri"/>
                <w:bCs/>
                <w:color w:val="000000"/>
                <w:sz w:val="20"/>
                <w:szCs w:val="20"/>
              </w:rPr>
              <w:t xml:space="preserve"> </w:t>
            </w:r>
            <w:r w:rsidRPr="00BD638C">
              <w:rPr>
                <w:rFonts w:ascii="Calibri" w:hAnsi="Calibri" w:cs="Calibri"/>
                <w:bCs/>
                <w:color w:val="000000"/>
                <w:sz w:val="20"/>
                <w:szCs w:val="20"/>
              </w:rPr>
              <w:t>745</w:t>
            </w:r>
          </w:p>
        </w:tc>
        <w:tc>
          <w:tcPr>
            <w:tcW w:w="502" w:type="pct"/>
            <w:tcBorders>
              <w:top w:val="single" w:sz="4" w:space="0" w:color="auto"/>
              <w:left w:val="single" w:sz="4" w:space="0" w:color="auto"/>
              <w:bottom w:val="single" w:sz="4" w:space="0" w:color="auto"/>
              <w:right w:val="single" w:sz="4" w:space="0" w:color="auto"/>
            </w:tcBorders>
            <w:vAlign w:val="center"/>
          </w:tcPr>
          <w:p w14:paraId="77FF7534"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1E40347E"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53B84BE1"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1B829"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*09674</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71C2C832"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FF0000"/>
            <w:vAlign w:val="bottom"/>
          </w:tcPr>
          <w:p w14:paraId="5887150F"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FF0000"/>
            <w:vAlign w:val="bottom"/>
          </w:tcPr>
          <w:p w14:paraId="513FB3B2"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FF0000"/>
            <w:vAlign w:val="bottom"/>
          </w:tcPr>
          <w:p w14:paraId="13DD85F0"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bottom"/>
          </w:tcPr>
          <w:p w14:paraId="34680C9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B81D34"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w:t>
            </w:r>
            <w:r>
              <w:rPr>
                <w:rFonts w:ascii="Calibri" w:hAnsi="Calibri" w:cs="Calibri"/>
                <w:bCs/>
                <w:color w:val="000000"/>
                <w:sz w:val="20"/>
                <w:szCs w:val="20"/>
              </w:rPr>
              <w:t xml:space="preserve"> </w:t>
            </w:r>
            <w:r w:rsidRPr="00BD638C">
              <w:rPr>
                <w:rFonts w:ascii="Calibri" w:hAnsi="Calibri" w:cs="Calibri"/>
                <w:bCs/>
                <w:color w:val="000000"/>
                <w:sz w:val="20"/>
                <w:szCs w:val="20"/>
              </w:rPr>
              <w:t>253</w:t>
            </w:r>
            <w:r>
              <w:rPr>
                <w:rFonts w:ascii="Calibri" w:hAnsi="Calibri" w:cs="Calibri"/>
                <w:bCs/>
                <w:color w:val="000000"/>
                <w:sz w:val="20"/>
                <w:szCs w:val="20"/>
              </w:rPr>
              <w:t xml:space="preserve"> </w:t>
            </w:r>
            <w:r w:rsidRPr="00BD638C">
              <w:rPr>
                <w:rFonts w:ascii="Calibri" w:hAnsi="Calibri" w:cs="Calibri"/>
                <w:bCs/>
                <w:color w:val="000000"/>
                <w:sz w:val="20"/>
                <w:szCs w:val="20"/>
              </w:rPr>
              <w:t>478</w:t>
            </w:r>
          </w:p>
        </w:tc>
        <w:tc>
          <w:tcPr>
            <w:tcW w:w="502" w:type="pct"/>
            <w:tcBorders>
              <w:top w:val="single" w:sz="4" w:space="0" w:color="auto"/>
              <w:left w:val="single" w:sz="4" w:space="0" w:color="auto"/>
              <w:bottom w:val="single" w:sz="4" w:space="0" w:color="auto"/>
              <w:right w:val="single" w:sz="4" w:space="0" w:color="auto"/>
            </w:tcBorders>
            <w:vAlign w:val="center"/>
          </w:tcPr>
          <w:p w14:paraId="304522A4"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674EC3BE"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5E33F637"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3DA3E"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*10172</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26185EC2"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0FF7F0FA"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35E458A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1429AA21"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1D7074F4"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437A9F"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1</w:t>
            </w:r>
            <w:r>
              <w:rPr>
                <w:rFonts w:ascii="Calibri" w:hAnsi="Calibri" w:cs="Calibri"/>
                <w:bCs/>
                <w:color w:val="000000"/>
                <w:sz w:val="20"/>
                <w:szCs w:val="20"/>
              </w:rPr>
              <w:t xml:space="preserve"> </w:t>
            </w:r>
            <w:r w:rsidRPr="00BD638C">
              <w:rPr>
                <w:rFonts w:ascii="Calibri" w:hAnsi="Calibri" w:cs="Calibri"/>
                <w:bCs/>
                <w:color w:val="000000"/>
                <w:sz w:val="20"/>
                <w:szCs w:val="20"/>
              </w:rPr>
              <w:t>907</w:t>
            </w:r>
            <w:r>
              <w:rPr>
                <w:rFonts w:ascii="Calibri" w:hAnsi="Calibri" w:cs="Calibri"/>
                <w:bCs/>
                <w:color w:val="000000"/>
                <w:sz w:val="20"/>
                <w:szCs w:val="20"/>
              </w:rPr>
              <w:t xml:space="preserve"> </w:t>
            </w:r>
            <w:r w:rsidRPr="00BD638C">
              <w:rPr>
                <w:rFonts w:ascii="Calibri" w:hAnsi="Calibri" w:cs="Calibri"/>
                <w:bCs/>
                <w:color w:val="000000"/>
                <w:sz w:val="20"/>
                <w:szCs w:val="20"/>
              </w:rPr>
              <w:t>627</w:t>
            </w:r>
          </w:p>
        </w:tc>
        <w:tc>
          <w:tcPr>
            <w:tcW w:w="502" w:type="pct"/>
            <w:tcBorders>
              <w:top w:val="single" w:sz="4" w:space="0" w:color="auto"/>
              <w:left w:val="single" w:sz="4" w:space="0" w:color="auto"/>
              <w:bottom w:val="single" w:sz="4" w:space="0" w:color="auto"/>
              <w:right w:val="single" w:sz="4" w:space="0" w:color="auto"/>
            </w:tcBorders>
            <w:vAlign w:val="center"/>
          </w:tcPr>
          <w:p w14:paraId="7DC418A0"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66F19D7F"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70A9A09A"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97719"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*10196</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70DAA8C2"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0F8920E7"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A6A6A6"/>
            <w:noWrap/>
            <w:vAlign w:val="bottom"/>
          </w:tcPr>
          <w:p w14:paraId="1ABFEC4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4FD90A28"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5467859C"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7D8CC9"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2</w:t>
            </w:r>
            <w:r>
              <w:rPr>
                <w:rFonts w:ascii="Calibri" w:hAnsi="Calibri" w:cs="Calibri"/>
                <w:bCs/>
                <w:color w:val="000000"/>
                <w:sz w:val="20"/>
                <w:szCs w:val="20"/>
              </w:rPr>
              <w:t xml:space="preserve"> </w:t>
            </w:r>
            <w:r w:rsidRPr="00BD638C">
              <w:rPr>
                <w:rFonts w:ascii="Calibri" w:hAnsi="Calibri" w:cs="Calibri"/>
                <w:bCs/>
                <w:color w:val="000000"/>
                <w:sz w:val="20"/>
                <w:szCs w:val="20"/>
              </w:rPr>
              <w:t>407</w:t>
            </w:r>
            <w:r>
              <w:rPr>
                <w:rFonts w:ascii="Calibri" w:hAnsi="Calibri" w:cs="Calibri"/>
                <w:bCs/>
                <w:color w:val="000000"/>
                <w:sz w:val="20"/>
                <w:szCs w:val="20"/>
              </w:rPr>
              <w:t xml:space="preserve"> </w:t>
            </w:r>
            <w:r w:rsidRPr="00BD638C">
              <w:rPr>
                <w:rFonts w:ascii="Calibri" w:hAnsi="Calibri" w:cs="Calibri"/>
                <w:bCs/>
                <w:color w:val="000000"/>
                <w:sz w:val="20"/>
                <w:szCs w:val="20"/>
              </w:rPr>
              <w:t>340</w:t>
            </w:r>
          </w:p>
        </w:tc>
        <w:tc>
          <w:tcPr>
            <w:tcW w:w="502" w:type="pct"/>
            <w:tcBorders>
              <w:top w:val="single" w:sz="4" w:space="0" w:color="auto"/>
              <w:left w:val="single" w:sz="4" w:space="0" w:color="auto"/>
              <w:bottom w:val="single" w:sz="4" w:space="0" w:color="auto"/>
              <w:right w:val="single" w:sz="4" w:space="0" w:color="auto"/>
            </w:tcBorders>
            <w:vAlign w:val="center"/>
          </w:tcPr>
          <w:p w14:paraId="458ED010"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12D0D5E0"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320BE8D2"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336EC"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*10542</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62DEC2B1"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16DFDAAB"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24D487D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086C4C61"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3DBACFB9"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FC5AC"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2</w:t>
            </w:r>
            <w:r>
              <w:rPr>
                <w:rFonts w:ascii="Calibri" w:hAnsi="Calibri" w:cs="Calibri"/>
                <w:bCs/>
                <w:color w:val="000000"/>
                <w:sz w:val="20"/>
                <w:szCs w:val="20"/>
              </w:rPr>
              <w:t xml:space="preserve"> </w:t>
            </w:r>
            <w:r w:rsidRPr="00BD638C">
              <w:rPr>
                <w:rFonts w:ascii="Calibri" w:hAnsi="Calibri" w:cs="Calibri"/>
                <w:bCs/>
                <w:color w:val="000000"/>
                <w:sz w:val="20"/>
                <w:szCs w:val="20"/>
              </w:rPr>
              <w:t>964</w:t>
            </w:r>
            <w:r>
              <w:rPr>
                <w:rFonts w:ascii="Calibri" w:hAnsi="Calibri" w:cs="Calibri"/>
                <w:bCs/>
                <w:color w:val="000000"/>
                <w:sz w:val="20"/>
                <w:szCs w:val="20"/>
              </w:rPr>
              <w:t xml:space="preserve"> </w:t>
            </w:r>
            <w:r w:rsidRPr="00BD638C">
              <w:rPr>
                <w:rFonts w:ascii="Calibri" w:hAnsi="Calibri" w:cs="Calibri"/>
                <w:bCs/>
                <w:color w:val="000000"/>
                <w:sz w:val="20"/>
                <w:szCs w:val="20"/>
              </w:rPr>
              <w:t>375</w:t>
            </w:r>
          </w:p>
        </w:tc>
        <w:tc>
          <w:tcPr>
            <w:tcW w:w="502" w:type="pct"/>
            <w:tcBorders>
              <w:top w:val="single" w:sz="4" w:space="0" w:color="auto"/>
              <w:left w:val="single" w:sz="4" w:space="0" w:color="auto"/>
              <w:bottom w:val="single" w:sz="4" w:space="0" w:color="auto"/>
              <w:right w:val="single" w:sz="4" w:space="0" w:color="auto"/>
            </w:tcBorders>
            <w:shd w:val="clear" w:color="auto" w:fill="auto"/>
            <w:vAlign w:val="bottom"/>
          </w:tcPr>
          <w:p w14:paraId="520F2CAD"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839</w:t>
            </w:r>
          </w:p>
        </w:tc>
        <w:tc>
          <w:tcPr>
            <w:tcW w:w="451" w:type="pct"/>
            <w:tcBorders>
              <w:top w:val="single" w:sz="4" w:space="0" w:color="auto"/>
              <w:left w:val="single" w:sz="4" w:space="0" w:color="auto"/>
              <w:bottom w:val="single" w:sz="4" w:space="0" w:color="auto"/>
              <w:right w:val="single" w:sz="4" w:space="0" w:color="auto"/>
            </w:tcBorders>
            <w:shd w:val="clear" w:color="auto" w:fill="auto"/>
            <w:vAlign w:val="bottom"/>
          </w:tcPr>
          <w:p w14:paraId="2B31D6D8"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713</w:t>
            </w:r>
          </w:p>
        </w:tc>
      </w:tr>
      <w:tr w:rsidR="00A91FA9" w:rsidRPr="00CA3701" w14:paraId="736767DE"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F9DA7"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*09323</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3C7FCF95"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0E4B5EA6"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7C7ABFC5"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0C1BF4FC"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548235"/>
            <w:noWrap/>
            <w:vAlign w:val="bottom"/>
          </w:tcPr>
          <w:p w14:paraId="27922A4F"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DEC78"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4</w:t>
            </w:r>
            <w:r>
              <w:rPr>
                <w:rFonts w:ascii="Calibri" w:hAnsi="Calibri" w:cs="Calibri"/>
                <w:bCs/>
                <w:color w:val="000000"/>
                <w:sz w:val="20"/>
                <w:szCs w:val="20"/>
              </w:rPr>
              <w:t xml:space="preserve"> </w:t>
            </w:r>
            <w:r w:rsidRPr="00BD638C">
              <w:rPr>
                <w:rFonts w:ascii="Calibri" w:hAnsi="Calibri" w:cs="Calibri"/>
                <w:bCs/>
                <w:color w:val="000000"/>
                <w:sz w:val="20"/>
                <w:szCs w:val="20"/>
              </w:rPr>
              <w:t>704</w:t>
            </w:r>
            <w:r>
              <w:rPr>
                <w:rFonts w:ascii="Calibri" w:hAnsi="Calibri" w:cs="Calibri"/>
                <w:bCs/>
                <w:color w:val="000000"/>
                <w:sz w:val="20"/>
                <w:szCs w:val="20"/>
              </w:rPr>
              <w:t xml:space="preserve"> </w:t>
            </w:r>
            <w:r w:rsidRPr="00BD638C">
              <w:rPr>
                <w:rFonts w:ascii="Calibri" w:hAnsi="Calibri" w:cs="Calibri"/>
                <w:bCs/>
                <w:color w:val="000000"/>
                <w:sz w:val="20"/>
                <w:szCs w:val="20"/>
              </w:rPr>
              <w:t>634</w:t>
            </w:r>
          </w:p>
        </w:tc>
        <w:tc>
          <w:tcPr>
            <w:tcW w:w="502" w:type="pct"/>
            <w:tcBorders>
              <w:top w:val="single" w:sz="4" w:space="0" w:color="auto"/>
              <w:left w:val="single" w:sz="4" w:space="0" w:color="auto"/>
              <w:bottom w:val="single" w:sz="4" w:space="0" w:color="auto"/>
              <w:right w:val="single" w:sz="4" w:space="0" w:color="auto"/>
            </w:tcBorders>
            <w:vAlign w:val="center"/>
          </w:tcPr>
          <w:p w14:paraId="6D159447"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6FE65C14"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A91FA9" w:rsidRPr="00CA3701" w14:paraId="56E94908" w14:textId="77777777" w:rsidTr="00A91FA9">
        <w:trPr>
          <w:trHeight w:val="300"/>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8B28C" w14:textId="77777777" w:rsidR="0033574A" w:rsidRPr="00A455AC" w:rsidRDefault="0033574A" w:rsidP="0033574A">
            <w:pPr>
              <w:keepNext/>
              <w:keepLines/>
              <w:spacing w:after="60" w:line="240" w:lineRule="auto"/>
              <w:jc w:val="center"/>
              <w:rPr>
                <w:rFonts w:eastAsia="Times New Roman" w:cs="Calibri"/>
                <w:b/>
                <w:color w:val="000000"/>
                <w:sz w:val="20"/>
                <w:szCs w:val="20"/>
                <w:lang w:eastAsia="cs-CZ"/>
              </w:rPr>
            </w:pPr>
            <w:r w:rsidRPr="00A455AC">
              <w:rPr>
                <w:rFonts w:eastAsia="Times New Roman" w:cs="Calibri"/>
                <w:b/>
                <w:color w:val="000000"/>
                <w:sz w:val="20"/>
                <w:szCs w:val="20"/>
                <w:lang w:eastAsia="cs-CZ"/>
              </w:rPr>
              <w:t>*10460</w:t>
            </w:r>
          </w:p>
        </w:tc>
        <w:tc>
          <w:tcPr>
            <w:tcW w:w="574" w:type="pct"/>
            <w:tcBorders>
              <w:top w:val="single" w:sz="4" w:space="0" w:color="auto"/>
              <w:left w:val="single" w:sz="4" w:space="0" w:color="auto"/>
              <w:bottom w:val="single" w:sz="4" w:space="0" w:color="auto"/>
              <w:right w:val="single" w:sz="4" w:space="0" w:color="auto"/>
            </w:tcBorders>
            <w:shd w:val="clear" w:color="000000" w:fill="FF0000"/>
            <w:noWrap/>
            <w:vAlign w:val="bottom"/>
          </w:tcPr>
          <w:p w14:paraId="25B68B4A"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000000" w:fill="FF0000"/>
            <w:vAlign w:val="bottom"/>
          </w:tcPr>
          <w:p w14:paraId="670A54F8"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660" w:type="pct"/>
            <w:tcBorders>
              <w:top w:val="single" w:sz="4" w:space="0" w:color="auto"/>
              <w:left w:val="single" w:sz="4" w:space="0" w:color="auto"/>
              <w:bottom w:val="single" w:sz="4" w:space="0" w:color="auto"/>
              <w:right w:val="single" w:sz="4" w:space="0" w:color="auto"/>
            </w:tcBorders>
            <w:shd w:val="clear" w:color="000000" w:fill="FF0000"/>
            <w:vAlign w:val="bottom"/>
          </w:tcPr>
          <w:p w14:paraId="126AAC0D"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51" w:type="pct"/>
            <w:tcBorders>
              <w:top w:val="single" w:sz="4" w:space="0" w:color="auto"/>
              <w:left w:val="single" w:sz="4" w:space="0" w:color="auto"/>
              <w:bottom w:val="single" w:sz="4" w:space="0" w:color="auto"/>
              <w:right w:val="single" w:sz="4" w:space="0" w:color="auto"/>
            </w:tcBorders>
            <w:shd w:val="clear" w:color="000000" w:fill="FF0000"/>
            <w:vAlign w:val="bottom"/>
          </w:tcPr>
          <w:p w14:paraId="21572F2A"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97"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bottom"/>
          </w:tcPr>
          <w:p w14:paraId="28B919D4" w14:textId="77777777" w:rsidR="0033574A" w:rsidRPr="00CA3701" w:rsidRDefault="0033574A" w:rsidP="0033574A">
            <w:pPr>
              <w:keepNext/>
              <w:keepLines/>
              <w:spacing w:after="60" w:line="240" w:lineRule="auto"/>
              <w:jc w:val="center"/>
              <w:rPr>
                <w:rFonts w:eastAsia="Times New Roman" w:cs="Calibri"/>
                <w:color w:val="000000"/>
                <w:sz w:val="20"/>
                <w:szCs w:val="20"/>
                <w:lang w:eastAsia="cs-CZ"/>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09D00" w14:textId="77777777" w:rsidR="0033574A" w:rsidRPr="00BD638C" w:rsidRDefault="0033574A" w:rsidP="0033574A">
            <w:pPr>
              <w:keepNext/>
              <w:keepLines/>
              <w:spacing w:after="60" w:line="240" w:lineRule="auto"/>
              <w:jc w:val="right"/>
              <w:rPr>
                <w:rFonts w:ascii="Calibri" w:hAnsi="Calibri" w:cs="Calibri"/>
                <w:bCs/>
                <w:color w:val="000000"/>
                <w:sz w:val="20"/>
                <w:szCs w:val="20"/>
              </w:rPr>
            </w:pPr>
            <w:r w:rsidRPr="00BD638C">
              <w:rPr>
                <w:rFonts w:ascii="Calibri" w:hAnsi="Calibri" w:cs="Calibri"/>
                <w:bCs/>
                <w:color w:val="000000"/>
                <w:sz w:val="20"/>
                <w:szCs w:val="20"/>
              </w:rPr>
              <w:t>773</w:t>
            </w:r>
            <w:r>
              <w:rPr>
                <w:rFonts w:ascii="Calibri" w:hAnsi="Calibri" w:cs="Calibri"/>
                <w:bCs/>
                <w:color w:val="000000"/>
                <w:sz w:val="20"/>
                <w:szCs w:val="20"/>
              </w:rPr>
              <w:t xml:space="preserve"> </w:t>
            </w:r>
            <w:r w:rsidRPr="00BD638C">
              <w:rPr>
                <w:rFonts w:ascii="Calibri" w:hAnsi="Calibri" w:cs="Calibri"/>
                <w:bCs/>
                <w:color w:val="000000"/>
                <w:sz w:val="20"/>
                <w:szCs w:val="20"/>
              </w:rPr>
              <w:t>061</w:t>
            </w:r>
          </w:p>
        </w:tc>
        <w:tc>
          <w:tcPr>
            <w:tcW w:w="502" w:type="pct"/>
            <w:tcBorders>
              <w:top w:val="single" w:sz="4" w:space="0" w:color="auto"/>
              <w:left w:val="single" w:sz="4" w:space="0" w:color="auto"/>
              <w:bottom w:val="single" w:sz="4" w:space="0" w:color="auto"/>
              <w:right w:val="single" w:sz="4" w:space="0" w:color="auto"/>
            </w:tcBorders>
            <w:vAlign w:val="center"/>
          </w:tcPr>
          <w:p w14:paraId="5E33F1AC"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c>
          <w:tcPr>
            <w:tcW w:w="451" w:type="pct"/>
            <w:tcBorders>
              <w:top w:val="single" w:sz="4" w:space="0" w:color="auto"/>
              <w:left w:val="single" w:sz="4" w:space="0" w:color="auto"/>
              <w:bottom w:val="single" w:sz="4" w:space="0" w:color="auto"/>
              <w:right w:val="single" w:sz="4" w:space="0" w:color="auto"/>
            </w:tcBorders>
            <w:vAlign w:val="center"/>
          </w:tcPr>
          <w:p w14:paraId="09CB4A2D" w14:textId="77777777" w:rsidR="0033574A" w:rsidRPr="00BD638C" w:rsidRDefault="0033574A" w:rsidP="0033574A">
            <w:pPr>
              <w:keepNext/>
              <w:keepLines/>
              <w:spacing w:after="60" w:line="240" w:lineRule="auto"/>
              <w:jc w:val="right"/>
              <w:rPr>
                <w:rFonts w:ascii="Calibri" w:hAnsi="Calibri" w:cs="Calibri"/>
                <w:bCs/>
                <w:color w:val="000000"/>
                <w:sz w:val="20"/>
                <w:szCs w:val="20"/>
              </w:rPr>
            </w:pPr>
          </w:p>
        </w:tc>
      </w:tr>
      <w:tr w:rsidR="0033574A" w:rsidRPr="00CA3701" w14:paraId="7FD1E0E3" w14:textId="77777777" w:rsidTr="00A91FA9">
        <w:trPr>
          <w:trHeight w:val="144"/>
        </w:trPr>
        <w:tc>
          <w:tcPr>
            <w:tcW w:w="3497" w:type="pct"/>
            <w:gridSpan w:val="6"/>
            <w:tcBorders>
              <w:top w:val="single" w:sz="4" w:space="0" w:color="auto"/>
              <w:left w:val="single" w:sz="4" w:space="0" w:color="auto"/>
              <w:bottom w:val="single" w:sz="4" w:space="0" w:color="auto"/>
              <w:right w:val="single" w:sz="4" w:space="0" w:color="auto"/>
            </w:tcBorders>
            <w:shd w:val="clear" w:color="auto" w:fill="auto"/>
            <w:tcMar>
              <w:left w:w="425" w:type="dxa"/>
            </w:tcMar>
            <w:vAlign w:val="center"/>
          </w:tcPr>
          <w:p w14:paraId="4EA3A9F2" w14:textId="77777777" w:rsidR="0033574A" w:rsidRPr="009F17EB" w:rsidRDefault="0033574A" w:rsidP="0033359A">
            <w:pPr>
              <w:keepNext/>
              <w:keepLines/>
              <w:spacing w:after="60" w:line="240" w:lineRule="auto"/>
              <w:rPr>
                <w:rFonts w:eastAsia="Times New Roman" w:cs="Calibri"/>
                <w:b/>
                <w:color w:val="000000"/>
                <w:sz w:val="20"/>
                <w:szCs w:val="20"/>
                <w:lang w:eastAsia="cs-CZ"/>
              </w:rPr>
            </w:pPr>
            <w:r w:rsidRPr="009F17EB">
              <w:rPr>
                <w:rFonts w:eastAsia="Times New Roman" w:cs="Calibri"/>
                <w:b/>
                <w:color w:val="000000"/>
                <w:sz w:val="20"/>
                <w:szCs w:val="20"/>
                <w:lang w:eastAsia="cs-CZ"/>
              </w:rPr>
              <w:t>Celkem</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9449" w14:textId="77777777" w:rsidR="0033574A" w:rsidRPr="00CA3701" w:rsidRDefault="0033574A" w:rsidP="0033574A">
            <w:pPr>
              <w:keepNext/>
              <w:keepLines/>
              <w:spacing w:after="60" w:line="240" w:lineRule="auto"/>
              <w:jc w:val="right"/>
              <w:rPr>
                <w:rFonts w:eastAsia="Times New Roman" w:cs="Calibri"/>
                <w:b/>
                <w:bCs/>
                <w:color w:val="000000"/>
                <w:sz w:val="20"/>
                <w:szCs w:val="20"/>
                <w:lang w:eastAsia="cs-CZ"/>
              </w:rPr>
            </w:pPr>
            <w:r>
              <w:rPr>
                <w:rFonts w:ascii="Calibri" w:hAnsi="Calibri" w:cs="Calibri"/>
                <w:b/>
                <w:bCs/>
                <w:color w:val="000000"/>
                <w:sz w:val="20"/>
                <w:szCs w:val="20"/>
              </w:rPr>
              <w:t>23 926 158</w:t>
            </w:r>
          </w:p>
        </w:tc>
        <w:tc>
          <w:tcPr>
            <w:tcW w:w="502" w:type="pct"/>
            <w:tcBorders>
              <w:top w:val="single" w:sz="4" w:space="0" w:color="auto"/>
              <w:left w:val="single" w:sz="4" w:space="0" w:color="auto"/>
              <w:bottom w:val="single" w:sz="4" w:space="0" w:color="auto"/>
              <w:right w:val="single" w:sz="4" w:space="0" w:color="auto"/>
            </w:tcBorders>
            <w:shd w:val="clear" w:color="auto" w:fill="auto"/>
            <w:vAlign w:val="center"/>
          </w:tcPr>
          <w:p w14:paraId="72349985" w14:textId="77777777" w:rsidR="0033574A" w:rsidRPr="00D05266" w:rsidRDefault="0033574A" w:rsidP="0033574A">
            <w:pPr>
              <w:keepNext/>
              <w:keepLines/>
              <w:spacing w:after="60" w:line="240" w:lineRule="auto"/>
              <w:jc w:val="right"/>
              <w:rPr>
                <w:rFonts w:eastAsia="Times New Roman" w:cs="Calibri"/>
                <w:b/>
                <w:bCs/>
                <w:color w:val="000000"/>
                <w:sz w:val="20"/>
                <w:szCs w:val="20"/>
                <w:lang w:eastAsia="cs-CZ"/>
              </w:rPr>
            </w:pPr>
            <w:r>
              <w:rPr>
                <w:rFonts w:ascii="Calibri" w:hAnsi="Calibri" w:cs="Calibri"/>
                <w:b/>
                <w:bCs/>
                <w:color w:val="000000"/>
                <w:sz w:val="20"/>
                <w:szCs w:val="20"/>
              </w:rPr>
              <w:t>1 556 512</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6F27DD2" w14:textId="77777777" w:rsidR="0033574A" w:rsidRPr="00D05266" w:rsidRDefault="0033574A" w:rsidP="0033574A">
            <w:pPr>
              <w:keepNext/>
              <w:keepLines/>
              <w:spacing w:after="60" w:line="240" w:lineRule="auto"/>
              <w:jc w:val="right"/>
              <w:rPr>
                <w:rFonts w:eastAsia="Times New Roman" w:cs="Calibri"/>
                <w:b/>
                <w:bCs/>
                <w:color w:val="000000"/>
                <w:sz w:val="20"/>
                <w:szCs w:val="20"/>
                <w:lang w:eastAsia="cs-CZ"/>
              </w:rPr>
            </w:pPr>
            <w:r>
              <w:rPr>
                <w:rFonts w:ascii="Calibri" w:hAnsi="Calibri" w:cs="Calibri"/>
                <w:b/>
                <w:bCs/>
                <w:color w:val="000000"/>
                <w:sz w:val="20"/>
                <w:szCs w:val="20"/>
              </w:rPr>
              <w:t>1 316 676</w:t>
            </w:r>
          </w:p>
        </w:tc>
      </w:tr>
    </w:tbl>
    <w:bookmarkEnd w:id="8"/>
    <w:p w14:paraId="65E74FD3" w14:textId="137501A1" w:rsidR="001B2E05" w:rsidRDefault="001B2E05" w:rsidP="009F6890">
      <w:pPr>
        <w:spacing w:after="120"/>
        <w:ind w:left="284" w:hanging="568"/>
        <w:rPr>
          <w:sz w:val="20"/>
          <w:szCs w:val="20"/>
        </w:rPr>
      </w:pPr>
      <w:r w:rsidRPr="008A67AF">
        <w:rPr>
          <w:b/>
          <w:sz w:val="20"/>
          <w:szCs w:val="20"/>
        </w:rPr>
        <w:t>Pozn.</w:t>
      </w:r>
      <w:r w:rsidRPr="00974945">
        <w:rPr>
          <w:b/>
          <w:sz w:val="20"/>
          <w:szCs w:val="20"/>
        </w:rPr>
        <w:t>:</w:t>
      </w:r>
      <w:r>
        <w:rPr>
          <w:b/>
          <w:sz w:val="20"/>
          <w:szCs w:val="20"/>
        </w:rPr>
        <w:t xml:space="preserve"> </w:t>
      </w:r>
      <w:r w:rsidR="00BC48D0">
        <w:rPr>
          <w:b/>
          <w:sz w:val="20"/>
          <w:szCs w:val="20"/>
        </w:rPr>
        <w:tab/>
      </w:r>
      <w:r w:rsidR="0060440A">
        <w:rPr>
          <w:sz w:val="20"/>
          <w:szCs w:val="20"/>
        </w:rPr>
        <w:t xml:space="preserve">Částky za jednotlivé projekty jsou zaokrouhleny na celé </w:t>
      </w:r>
      <w:r w:rsidR="00BC48D0">
        <w:rPr>
          <w:sz w:val="20"/>
          <w:szCs w:val="20"/>
        </w:rPr>
        <w:t>koruny</w:t>
      </w:r>
      <w:r w:rsidR="0060440A">
        <w:rPr>
          <w:sz w:val="20"/>
          <w:szCs w:val="20"/>
        </w:rPr>
        <w:t>. Toto zaokrouhlení je důvodem rozdíl</w:t>
      </w:r>
      <w:r w:rsidR="00BC48D0">
        <w:rPr>
          <w:sz w:val="20"/>
          <w:szCs w:val="20"/>
        </w:rPr>
        <w:t>u</w:t>
      </w:r>
      <w:r w:rsidR="0060440A">
        <w:rPr>
          <w:sz w:val="20"/>
          <w:szCs w:val="20"/>
        </w:rPr>
        <w:t xml:space="preserve"> mezi součtem hodnot za jednotlivé projekty a částkou uvedenou v řádku </w:t>
      </w:r>
      <w:r w:rsidR="00BC48D0">
        <w:rPr>
          <w:sz w:val="20"/>
          <w:szCs w:val="20"/>
        </w:rPr>
        <w:t>„</w:t>
      </w:r>
      <w:r w:rsidR="0060440A">
        <w:rPr>
          <w:sz w:val="20"/>
          <w:szCs w:val="20"/>
        </w:rPr>
        <w:t>Celkem“.</w:t>
      </w:r>
    </w:p>
    <w:p w14:paraId="75EE512D" w14:textId="77777777" w:rsidR="00C7072C" w:rsidRDefault="00C7072C" w:rsidP="009F6890">
      <w:pPr>
        <w:keepNext/>
        <w:spacing w:after="0"/>
        <w:ind w:left="-284"/>
        <w:jc w:val="both"/>
        <w:rPr>
          <w:b/>
          <w:sz w:val="20"/>
          <w:szCs w:val="20"/>
        </w:rPr>
      </w:pPr>
      <w:r>
        <w:rPr>
          <w:b/>
          <w:sz w:val="20"/>
          <w:szCs w:val="20"/>
        </w:rPr>
        <w:t>Legenda:</w:t>
      </w:r>
    </w:p>
    <w:tbl>
      <w:tblPr>
        <w:tblStyle w:val="Mkatabulky"/>
        <w:tblW w:w="14312" w:type="dxa"/>
        <w:tblInd w:w="-289" w:type="dxa"/>
        <w:tblLook w:val="04A0" w:firstRow="1" w:lastRow="0" w:firstColumn="1" w:lastColumn="0" w:noHBand="0" w:noVBand="1"/>
      </w:tblPr>
      <w:tblGrid>
        <w:gridCol w:w="562"/>
        <w:gridCol w:w="13750"/>
      </w:tblGrid>
      <w:tr w:rsidR="00E0425E" w14:paraId="719CFAEC" w14:textId="77777777" w:rsidTr="00E0425E">
        <w:tc>
          <w:tcPr>
            <w:tcW w:w="562" w:type="dxa"/>
            <w:shd w:val="clear" w:color="auto" w:fill="FF0000"/>
          </w:tcPr>
          <w:p w14:paraId="52AD3165" w14:textId="77777777" w:rsidR="00E0425E" w:rsidRDefault="00E0425E" w:rsidP="00E0425E">
            <w:pPr>
              <w:keepNext/>
              <w:keepLines/>
              <w:jc w:val="both"/>
              <w:rPr>
                <w:sz w:val="20"/>
                <w:szCs w:val="20"/>
              </w:rPr>
            </w:pPr>
          </w:p>
        </w:tc>
        <w:tc>
          <w:tcPr>
            <w:tcW w:w="13750" w:type="dxa"/>
          </w:tcPr>
          <w:p w14:paraId="594CC7E1" w14:textId="76E818F8" w:rsidR="00E0425E" w:rsidRDefault="00E0425E" w:rsidP="009F6890">
            <w:pPr>
              <w:keepNext/>
              <w:keepLines/>
              <w:rPr>
                <w:sz w:val="20"/>
                <w:szCs w:val="20"/>
              </w:rPr>
            </w:pPr>
            <w:r w:rsidRPr="00C7072C">
              <w:rPr>
                <w:sz w:val="20"/>
                <w:szCs w:val="20"/>
              </w:rPr>
              <w:t xml:space="preserve">Projekt </w:t>
            </w:r>
            <w:r>
              <w:rPr>
                <w:sz w:val="20"/>
                <w:szCs w:val="20"/>
              </w:rPr>
              <w:t>ne</w:t>
            </w:r>
            <w:r w:rsidRPr="00C7072C">
              <w:rPr>
                <w:sz w:val="20"/>
                <w:szCs w:val="20"/>
              </w:rPr>
              <w:t xml:space="preserve">přispěl, případně </w:t>
            </w:r>
            <w:r>
              <w:rPr>
                <w:sz w:val="20"/>
                <w:szCs w:val="20"/>
              </w:rPr>
              <w:t>ne</w:t>
            </w:r>
            <w:r w:rsidRPr="00C7072C">
              <w:rPr>
                <w:sz w:val="20"/>
                <w:szCs w:val="20"/>
              </w:rPr>
              <w:t>měl</w:t>
            </w:r>
            <w:r>
              <w:rPr>
                <w:sz w:val="20"/>
                <w:szCs w:val="20"/>
              </w:rPr>
              <w:t xml:space="preserve"> ani </w:t>
            </w:r>
            <w:r w:rsidRPr="00C7072C">
              <w:rPr>
                <w:sz w:val="20"/>
                <w:szCs w:val="20"/>
              </w:rPr>
              <w:t xml:space="preserve">předpoklad </w:t>
            </w:r>
            <w:r>
              <w:rPr>
                <w:sz w:val="20"/>
                <w:szCs w:val="20"/>
              </w:rPr>
              <w:t xml:space="preserve">významně </w:t>
            </w:r>
            <w:r w:rsidRPr="00C7072C">
              <w:rPr>
                <w:sz w:val="20"/>
                <w:szCs w:val="20"/>
              </w:rPr>
              <w:t xml:space="preserve">přispět ke snížení </w:t>
            </w:r>
            <w:r w:rsidR="00BC48D0">
              <w:rPr>
                <w:sz w:val="20"/>
                <w:szCs w:val="20"/>
              </w:rPr>
              <w:t xml:space="preserve">rozdílů v postavení </w:t>
            </w:r>
            <w:r w:rsidRPr="00C7072C">
              <w:rPr>
                <w:sz w:val="20"/>
                <w:szCs w:val="20"/>
              </w:rPr>
              <w:t>žen a muž</w:t>
            </w:r>
            <w:r w:rsidR="00BC48D0">
              <w:rPr>
                <w:sz w:val="20"/>
                <w:szCs w:val="20"/>
              </w:rPr>
              <w:t>ů</w:t>
            </w:r>
            <w:r w:rsidRPr="00C7072C">
              <w:rPr>
                <w:sz w:val="20"/>
                <w:szCs w:val="20"/>
              </w:rPr>
              <w:t xml:space="preserve"> </w:t>
            </w:r>
            <w:r w:rsidR="00BC48D0">
              <w:rPr>
                <w:sz w:val="20"/>
                <w:szCs w:val="20"/>
              </w:rPr>
              <w:t xml:space="preserve">v příslušné klíčové oblasti </w:t>
            </w:r>
            <w:r w:rsidRPr="00C7072C">
              <w:rPr>
                <w:sz w:val="20"/>
                <w:szCs w:val="20"/>
              </w:rPr>
              <w:t>uveden</w:t>
            </w:r>
            <w:r w:rsidR="00BC48D0">
              <w:rPr>
                <w:sz w:val="20"/>
                <w:szCs w:val="20"/>
              </w:rPr>
              <w:t>é</w:t>
            </w:r>
            <w:r w:rsidRPr="00C7072C">
              <w:rPr>
                <w:sz w:val="20"/>
                <w:szCs w:val="20"/>
              </w:rPr>
              <w:t xml:space="preserve"> v záhlaví tabulky (</w:t>
            </w:r>
            <w:r w:rsidR="00BC48D0">
              <w:rPr>
                <w:sz w:val="20"/>
                <w:szCs w:val="20"/>
              </w:rPr>
              <w:t>resp. </w:t>
            </w:r>
            <w:r w:rsidRPr="00C7072C">
              <w:rPr>
                <w:sz w:val="20"/>
                <w:szCs w:val="20"/>
              </w:rPr>
              <w:t>ve specifickém cíli OPZ 1.2.1 či ve Standardu GA</w:t>
            </w:r>
            <w:r>
              <w:rPr>
                <w:sz w:val="20"/>
                <w:szCs w:val="20"/>
              </w:rPr>
              <w:t>)</w:t>
            </w:r>
            <w:r w:rsidRPr="00C7072C">
              <w:rPr>
                <w:sz w:val="20"/>
                <w:szCs w:val="20"/>
              </w:rPr>
              <w:t xml:space="preserve">. Projekt </w:t>
            </w:r>
            <w:r>
              <w:rPr>
                <w:sz w:val="20"/>
                <w:szCs w:val="20"/>
              </w:rPr>
              <w:t>ne</w:t>
            </w:r>
            <w:r w:rsidRPr="00C7072C">
              <w:rPr>
                <w:sz w:val="20"/>
                <w:szCs w:val="20"/>
              </w:rPr>
              <w:t>přispěl ke zvýšení informovanosti o genderové problematice.</w:t>
            </w:r>
          </w:p>
        </w:tc>
      </w:tr>
      <w:tr w:rsidR="00E0425E" w14:paraId="104AEC7C" w14:textId="77777777" w:rsidTr="00E0425E">
        <w:tc>
          <w:tcPr>
            <w:tcW w:w="562" w:type="dxa"/>
            <w:shd w:val="clear" w:color="auto" w:fill="538135" w:themeFill="accent6" w:themeFillShade="BF"/>
          </w:tcPr>
          <w:p w14:paraId="2E531710" w14:textId="77777777" w:rsidR="00E0425E" w:rsidRDefault="00E0425E" w:rsidP="00E0425E">
            <w:pPr>
              <w:keepNext/>
              <w:keepLines/>
              <w:jc w:val="both"/>
              <w:rPr>
                <w:sz w:val="20"/>
                <w:szCs w:val="20"/>
              </w:rPr>
            </w:pPr>
          </w:p>
        </w:tc>
        <w:tc>
          <w:tcPr>
            <w:tcW w:w="13750" w:type="dxa"/>
          </w:tcPr>
          <w:p w14:paraId="44A886DF" w14:textId="4049ABB5" w:rsidR="00E0425E" w:rsidRDefault="00E0425E" w:rsidP="009F6890">
            <w:pPr>
              <w:keepNext/>
              <w:keepLines/>
              <w:rPr>
                <w:sz w:val="20"/>
                <w:szCs w:val="20"/>
              </w:rPr>
            </w:pPr>
            <w:r>
              <w:rPr>
                <w:sz w:val="20"/>
                <w:szCs w:val="20"/>
              </w:rPr>
              <w:t>P</w:t>
            </w:r>
            <w:r w:rsidRPr="00A455AC">
              <w:rPr>
                <w:sz w:val="20"/>
                <w:szCs w:val="20"/>
              </w:rPr>
              <w:t>rojekt přispěl</w:t>
            </w:r>
            <w:r>
              <w:rPr>
                <w:sz w:val="20"/>
                <w:szCs w:val="20"/>
              </w:rPr>
              <w:t>, případně měl alespoň zřejmý předpoklad významně přispět</w:t>
            </w:r>
            <w:r w:rsidRPr="00A455AC">
              <w:rPr>
                <w:sz w:val="20"/>
                <w:szCs w:val="20"/>
              </w:rPr>
              <w:t xml:space="preserve"> ke snížení</w:t>
            </w:r>
            <w:r w:rsidR="00BC48D0">
              <w:rPr>
                <w:sz w:val="20"/>
                <w:szCs w:val="20"/>
              </w:rPr>
              <w:t xml:space="preserve"> rozdílů v postavení</w:t>
            </w:r>
            <w:r w:rsidRPr="00A455AC">
              <w:rPr>
                <w:sz w:val="20"/>
                <w:szCs w:val="20"/>
              </w:rPr>
              <w:t xml:space="preserve"> žen a muž</w:t>
            </w:r>
            <w:r w:rsidR="00BC48D0">
              <w:rPr>
                <w:sz w:val="20"/>
                <w:szCs w:val="20"/>
              </w:rPr>
              <w:t>ů</w:t>
            </w:r>
            <w:r w:rsidRPr="00A455AC">
              <w:rPr>
                <w:sz w:val="20"/>
                <w:szCs w:val="20"/>
              </w:rPr>
              <w:t xml:space="preserve"> </w:t>
            </w:r>
            <w:r w:rsidR="00BC48D0">
              <w:rPr>
                <w:sz w:val="20"/>
                <w:szCs w:val="20"/>
              </w:rPr>
              <w:t xml:space="preserve">v příslušné klíčové oblasti </w:t>
            </w:r>
            <w:r>
              <w:rPr>
                <w:sz w:val="20"/>
                <w:szCs w:val="20"/>
              </w:rPr>
              <w:t>uveden</w:t>
            </w:r>
            <w:r w:rsidR="00BC48D0">
              <w:rPr>
                <w:sz w:val="20"/>
                <w:szCs w:val="20"/>
              </w:rPr>
              <w:t>é</w:t>
            </w:r>
            <w:r>
              <w:rPr>
                <w:sz w:val="20"/>
                <w:szCs w:val="20"/>
              </w:rPr>
              <w:t xml:space="preserve"> v záhlaví tabulky (</w:t>
            </w:r>
            <w:r w:rsidR="00BC48D0">
              <w:rPr>
                <w:sz w:val="20"/>
                <w:szCs w:val="20"/>
              </w:rPr>
              <w:t xml:space="preserve">resp. </w:t>
            </w:r>
            <w:r>
              <w:rPr>
                <w:sz w:val="20"/>
                <w:szCs w:val="20"/>
              </w:rPr>
              <w:t>ve specifickém cíli OPZ 1.2.1 či ve Standardu GA). Projekt prokazatelně přispěl ke zvýšení informovanosti o</w:t>
            </w:r>
            <w:r w:rsidR="0033359A">
              <w:rPr>
                <w:sz w:val="20"/>
                <w:szCs w:val="20"/>
              </w:rPr>
              <w:t> </w:t>
            </w:r>
            <w:r>
              <w:rPr>
                <w:sz w:val="20"/>
                <w:szCs w:val="20"/>
              </w:rPr>
              <w:t>genderové problematice.</w:t>
            </w:r>
          </w:p>
        </w:tc>
      </w:tr>
      <w:tr w:rsidR="00E0425E" w14:paraId="7EB5A89F" w14:textId="77777777" w:rsidTr="00E0425E">
        <w:tc>
          <w:tcPr>
            <w:tcW w:w="562" w:type="dxa"/>
            <w:shd w:val="clear" w:color="auto" w:fill="BFBFBF" w:themeFill="background1" w:themeFillShade="BF"/>
          </w:tcPr>
          <w:p w14:paraId="255F11DD" w14:textId="77777777" w:rsidR="00E0425E" w:rsidRDefault="00E0425E" w:rsidP="00E0425E">
            <w:pPr>
              <w:jc w:val="both"/>
              <w:rPr>
                <w:sz w:val="20"/>
                <w:szCs w:val="20"/>
              </w:rPr>
            </w:pPr>
          </w:p>
        </w:tc>
        <w:tc>
          <w:tcPr>
            <w:tcW w:w="13750" w:type="dxa"/>
          </w:tcPr>
          <w:p w14:paraId="4B3D0355" w14:textId="0053B279" w:rsidR="00E0425E" w:rsidRDefault="00E0425E" w:rsidP="009F6890">
            <w:pPr>
              <w:rPr>
                <w:sz w:val="20"/>
                <w:szCs w:val="20"/>
              </w:rPr>
            </w:pPr>
            <w:r>
              <w:rPr>
                <w:sz w:val="20"/>
                <w:szCs w:val="20"/>
              </w:rPr>
              <w:t xml:space="preserve">NKÚ hledisko genderové rovnosti </w:t>
            </w:r>
            <w:r w:rsidR="00BC48D0">
              <w:rPr>
                <w:sz w:val="20"/>
                <w:szCs w:val="20"/>
              </w:rPr>
              <w:t>v</w:t>
            </w:r>
            <w:r>
              <w:rPr>
                <w:sz w:val="20"/>
                <w:szCs w:val="20"/>
              </w:rPr>
              <w:t xml:space="preserve"> dané </w:t>
            </w:r>
            <w:r w:rsidR="00BC48D0">
              <w:rPr>
                <w:sz w:val="20"/>
                <w:szCs w:val="20"/>
              </w:rPr>
              <w:t>oblasti</w:t>
            </w:r>
            <w:r>
              <w:rPr>
                <w:sz w:val="20"/>
                <w:szCs w:val="20"/>
              </w:rPr>
              <w:t xml:space="preserve"> nehodnotil.</w:t>
            </w:r>
          </w:p>
        </w:tc>
      </w:tr>
    </w:tbl>
    <w:p w14:paraId="1A12C650" w14:textId="77777777" w:rsidR="00E0425E" w:rsidRPr="005C6C88" w:rsidRDefault="00E0425E" w:rsidP="003A52BC">
      <w:pPr>
        <w:spacing w:after="0"/>
        <w:jc w:val="both"/>
        <w:rPr>
          <w:b/>
          <w:sz w:val="6"/>
          <w:szCs w:val="20"/>
        </w:rPr>
      </w:pPr>
      <w:bookmarkStart w:id="9" w:name="_GoBack"/>
      <w:bookmarkEnd w:id="9"/>
    </w:p>
    <w:sectPr w:rsidR="00E0425E" w:rsidRPr="005C6C88" w:rsidSect="00E7653E">
      <w:headerReference w:type="first" r:id="rId19"/>
      <w:pgSz w:w="16838" w:h="11906" w:orient="landscape"/>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0207B" w14:textId="77777777" w:rsidR="003D48B4" w:rsidRDefault="003D48B4" w:rsidP="00FA586B">
      <w:pPr>
        <w:spacing w:after="0" w:line="240" w:lineRule="auto"/>
      </w:pPr>
      <w:r>
        <w:separator/>
      </w:r>
    </w:p>
    <w:p w14:paraId="20FAE441" w14:textId="77777777" w:rsidR="003D48B4" w:rsidRDefault="003D48B4"/>
  </w:endnote>
  <w:endnote w:type="continuationSeparator" w:id="0">
    <w:p w14:paraId="04CC7852" w14:textId="77777777" w:rsidR="003D48B4" w:rsidRDefault="003D48B4" w:rsidP="00FA586B">
      <w:pPr>
        <w:spacing w:after="0" w:line="240" w:lineRule="auto"/>
      </w:pPr>
      <w:r>
        <w:continuationSeparator/>
      </w:r>
    </w:p>
    <w:p w14:paraId="33309AA9" w14:textId="77777777" w:rsidR="003D48B4" w:rsidRDefault="003D48B4"/>
  </w:endnote>
  <w:endnote w:type="continuationNotice" w:id="1">
    <w:p w14:paraId="1AB6BB65" w14:textId="77777777" w:rsidR="003D48B4" w:rsidRDefault="003D48B4">
      <w:pPr>
        <w:spacing w:after="0" w:line="240" w:lineRule="auto"/>
      </w:pPr>
    </w:p>
    <w:p w14:paraId="6F3FD486" w14:textId="77777777" w:rsidR="003D48B4" w:rsidRDefault="003D4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495414"/>
      <w:docPartObj>
        <w:docPartGallery w:val="Page Numbers (Bottom of Page)"/>
        <w:docPartUnique/>
      </w:docPartObj>
    </w:sdtPr>
    <w:sdtContent>
      <w:p w14:paraId="53913CE6" w14:textId="77777777" w:rsidR="003D48B4" w:rsidRDefault="003D48B4" w:rsidP="0069391C">
        <w:pPr>
          <w:pStyle w:val="Zpat"/>
          <w:jc w:val="center"/>
        </w:pPr>
        <w:r w:rsidRPr="00EF2E1E">
          <w:rPr>
            <w:sz w:val="24"/>
            <w:szCs w:val="24"/>
          </w:rPr>
          <w:fldChar w:fldCharType="begin"/>
        </w:r>
        <w:r w:rsidRPr="00EF2E1E">
          <w:rPr>
            <w:sz w:val="24"/>
            <w:szCs w:val="24"/>
          </w:rPr>
          <w:instrText>PAGE   \* MERGEFORMAT</w:instrText>
        </w:r>
        <w:r w:rsidRPr="00EF2E1E">
          <w:rPr>
            <w:sz w:val="24"/>
            <w:szCs w:val="24"/>
          </w:rPr>
          <w:fldChar w:fldCharType="separate"/>
        </w:r>
        <w:r>
          <w:rPr>
            <w:noProof/>
            <w:sz w:val="24"/>
            <w:szCs w:val="24"/>
          </w:rPr>
          <w:t>31</w:t>
        </w:r>
        <w:r w:rsidRPr="00EF2E1E">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EDB9" w14:textId="75341FEE" w:rsidR="003D48B4" w:rsidRPr="00651BD7" w:rsidRDefault="003D48B4">
    <w:pPr>
      <w:pStyle w:val="Zpat"/>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7508F" w14:textId="77777777" w:rsidR="003D48B4" w:rsidRDefault="003D48B4" w:rsidP="00B15E26">
      <w:pPr>
        <w:spacing w:after="0" w:line="240" w:lineRule="auto"/>
      </w:pPr>
      <w:r>
        <w:separator/>
      </w:r>
    </w:p>
  </w:footnote>
  <w:footnote w:type="continuationSeparator" w:id="0">
    <w:p w14:paraId="7B0252A4" w14:textId="77777777" w:rsidR="003D48B4" w:rsidRDefault="003D48B4" w:rsidP="00FA586B">
      <w:pPr>
        <w:spacing w:after="0" w:line="240" w:lineRule="auto"/>
      </w:pPr>
      <w:r>
        <w:continuationSeparator/>
      </w:r>
    </w:p>
  </w:footnote>
  <w:footnote w:type="continuationNotice" w:id="1">
    <w:p w14:paraId="0555CF87" w14:textId="77777777" w:rsidR="003D48B4" w:rsidRPr="00B15E26" w:rsidRDefault="003D48B4" w:rsidP="00B15E26">
      <w:pPr>
        <w:pStyle w:val="Zpat"/>
      </w:pPr>
    </w:p>
  </w:footnote>
  <w:footnote w:id="2">
    <w:p w14:paraId="64D726EF" w14:textId="5D94D5BF" w:rsidR="003D48B4" w:rsidRDefault="003D48B4">
      <w:pPr>
        <w:pStyle w:val="Textpoznpodarou"/>
      </w:pPr>
      <w:r>
        <w:rPr>
          <w:rStyle w:val="Znakapoznpodarou"/>
        </w:rPr>
        <w:footnoteRef/>
      </w:r>
      <w:r>
        <w:t xml:space="preserve"> </w:t>
      </w:r>
      <w:r>
        <w:tab/>
        <w:t xml:space="preserve">Operační program </w:t>
      </w:r>
      <w:r w:rsidRPr="009F6890">
        <w:rPr>
          <w:i/>
        </w:rPr>
        <w:t>Zaměstnanost 2014–2020</w:t>
      </w:r>
      <w:r>
        <w:t>. Údaje jsou aktuální k září 2022.</w:t>
      </w:r>
    </w:p>
  </w:footnote>
  <w:footnote w:id="3">
    <w:p w14:paraId="473E3068" w14:textId="42E44F66" w:rsidR="003D48B4" w:rsidRDefault="003D48B4">
      <w:pPr>
        <w:pStyle w:val="Textpoznpodarou"/>
      </w:pPr>
      <w:r>
        <w:rPr>
          <w:rStyle w:val="Znakapoznpodarou"/>
        </w:rPr>
        <w:footnoteRef/>
      </w:r>
      <w:r>
        <w:t xml:space="preserve"> </w:t>
      </w:r>
      <w:r>
        <w:tab/>
      </w:r>
      <w:r w:rsidRPr="00A92177">
        <w:rPr>
          <w:b/>
        </w:rPr>
        <w:t>Segregace zaměstnání vertikální</w:t>
      </w:r>
      <w:r w:rsidRPr="009F6890">
        <w:rPr>
          <w:b/>
        </w:rPr>
        <w:t>:</w:t>
      </w:r>
      <w:r>
        <w:t xml:space="preserve"> koncentrace žen a mužů na odlišných stupních zaměstnání ve smyslu úrovně odpovědnosti a pozice. Nerovný přístup k funkčnímu postupu, k rozhodovacím pozicím, a to jak v zaměstnání, tak ve veřejném životě. S touto pracovní segregací souvisí metafora „skleněného stropu“.</w:t>
      </w:r>
    </w:p>
  </w:footnote>
  <w:footnote w:id="4">
    <w:p w14:paraId="37D3E684" w14:textId="27223731" w:rsidR="003D48B4" w:rsidRDefault="003D48B4" w:rsidP="00021C8B">
      <w:pPr>
        <w:pStyle w:val="Textpoznpodarou"/>
      </w:pPr>
      <w:r>
        <w:rPr>
          <w:rStyle w:val="Znakapoznpodarou"/>
        </w:rPr>
        <w:footnoteRef/>
      </w:r>
      <w:r>
        <w:t xml:space="preserve"> </w:t>
      </w:r>
      <w:r>
        <w:tab/>
      </w:r>
      <w:r w:rsidRPr="00A92177">
        <w:rPr>
          <w:b/>
        </w:rPr>
        <w:t>Segregace zaměstnání horizontální</w:t>
      </w:r>
      <w:r w:rsidRPr="009F6890">
        <w:rPr>
          <w:b/>
        </w:rPr>
        <w:t>:</w:t>
      </w:r>
      <w:r>
        <w:t xml:space="preserve"> rozdělení pracovního trhu na sektory/typy zaměstnání, v nichž dochází ke koncentraci žen nebo mužů. Tato segregace je často doprovázena odlišným finančním ohodnocením jednotlivých zaměstnání a sektorů. S touto pracovní segregací souvisí metafora „skleněné zdi“.</w:t>
      </w:r>
    </w:p>
  </w:footnote>
  <w:footnote w:id="5">
    <w:p w14:paraId="573F1C89" w14:textId="66AC17F5" w:rsidR="003D48B4" w:rsidRDefault="003D48B4" w:rsidP="00021C8B">
      <w:pPr>
        <w:pStyle w:val="Textpoznpodarou"/>
      </w:pPr>
      <w:r>
        <w:rPr>
          <w:rStyle w:val="Znakapoznpodarou"/>
        </w:rPr>
        <w:footnoteRef/>
      </w:r>
      <w:r>
        <w:t xml:space="preserve"> </w:t>
      </w:r>
      <w:r>
        <w:tab/>
        <w:t>Jedná se o každoročně publikovanou zprávu, kterou od roku 2006 vydává Světové ekonomické fórum a jejímž smyslem je hodnocení genderové rovnosti ve sledovaných zemích světa za daný rok. V tomto případě se hodnocení týká roku 2022.</w:t>
      </w:r>
    </w:p>
  </w:footnote>
  <w:footnote w:id="6">
    <w:p w14:paraId="2B3691A8" w14:textId="32E413D6" w:rsidR="003D48B4" w:rsidRDefault="003D48B4" w:rsidP="00427A91">
      <w:pPr>
        <w:pStyle w:val="Textpoznpodarou"/>
      </w:pPr>
      <w:r>
        <w:rPr>
          <w:rStyle w:val="Znakapoznpodarou"/>
        </w:rPr>
        <w:footnoteRef/>
      </w:r>
      <w:r>
        <w:t xml:space="preserve"> </w:t>
      </w:r>
      <w:r>
        <w:tab/>
      </w:r>
      <w:proofErr w:type="spellStart"/>
      <w:r w:rsidRPr="009F6890">
        <w:rPr>
          <w:i/>
        </w:rPr>
        <w:t>Global</w:t>
      </w:r>
      <w:proofErr w:type="spellEnd"/>
      <w:r w:rsidRPr="009F6890">
        <w:rPr>
          <w:i/>
        </w:rPr>
        <w:t xml:space="preserve"> Gender Gap Index</w:t>
      </w:r>
      <w:r>
        <w:t>.</w:t>
      </w:r>
    </w:p>
  </w:footnote>
  <w:footnote w:id="7">
    <w:p w14:paraId="677EA45C" w14:textId="59F56A9D" w:rsidR="003D48B4" w:rsidRDefault="003D48B4" w:rsidP="001A59DC">
      <w:pPr>
        <w:pStyle w:val="Textpoznpodarou"/>
      </w:pPr>
      <w:r>
        <w:rPr>
          <w:rStyle w:val="Znakapoznpodarou"/>
        </w:rPr>
        <w:footnoteRef/>
      </w:r>
      <w:r>
        <w:t xml:space="preserve"> </w:t>
      </w:r>
      <w:r>
        <w:tab/>
        <w:t>Do</w:t>
      </w:r>
      <w:r w:rsidRPr="00521528">
        <w:t xml:space="preserve"> roku 201</w:t>
      </w:r>
      <w:r>
        <w:t>8</w:t>
      </w:r>
      <w:r w:rsidRPr="00521528">
        <w:t xml:space="preserve"> </w:t>
      </w:r>
      <w:r>
        <w:t>se tento dokument nazýval</w:t>
      </w:r>
      <w:r w:rsidRPr="002F3DFA">
        <w:t xml:space="preserve"> </w:t>
      </w:r>
      <w:r w:rsidRPr="009F6890">
        <w:rPr>
          <w:i/>
        </w:rPr>
        <w:t>Aktualizovaná opatření Priorit a postupů vlády při prosazování rovnosti žen a mužů</w:t>
      </w:r>
      <w:r>
        <w:t>.</w:t>
      </w:r>
    </w:p>
  </w:footnote>
  <w:footnote w:id="8">
    <w:p w14:paraId="00743E75" w14:textId="1790DB74" w:rsidR="003D48B4" w:rsidRDefault="003D48B4" w:rsidP="001A59DC">
      <w:pPr>
        <w:pStyle w:val="Textpoznpodarou"/>
      </w:pPr>
      <w:r>
        <w:rPr>
          <w:rStyle w:val="Znakapoznpodarou"/>
        </w:rPr>
        <w:footnoteRef/>
      </w:r>
      <w:r>
        <w:t xml:space="preserve"> </w:t>
      </w:r>
      <w:r>
        <w:tab/>
        <w:t>U</w:t>
      </w:r>
      <w:r w:rsidRPr="003A2684">
        <w:t>snesení vlády ČR ze dne 12. listopadu 2014 č. 931</w:t>
      </w:r>
      <w:r>
        <w:t xml:space="preserve">, </w:t>
      </w:r>
      <w:r w:rsidRPr="009F6890">
        <w:rPr>
          <w:i/>
        </w:rPr>
        <w:t>k Vládní strategii pro rovnost žen a mužů v České republice na léta 2014–2020 a k návrhu dalších opatření</w:t>
      </w:r>
      <w:r>
        <w:t>.</w:t>
      </w:r>
    </w:p>
  </w:footnote>
  <w:footnote w:id="9">
    <w:p w14:paraId="068CCA9A" w14:textId="46D9CDB2" w:rsidR="003D48B4" w:rsidRDefault="003D48B4" w:rsidP="001A59DC">
      <w:pPr>
        <w:pStyle w:val="Textpoznpodarou"/>
      </w:pPr>
      <w:r>
        <w:rPr>
          <w:rStyle w:val="Znakapoznpodarou"/>
        </w:rPr>
        <w:footnoteRef/>
      </w:r>
      <w:r>
        <w:t xml:space="preserve"> </w:t>
      </w:r>
      <w:r>
        <w:tab/>
        <w:t xml:space="preserve">Specifický cíl č. 6 oblasti 3. </w:t>
      </w:r>
      <w:r w:rsidRPr="009F6890">
        <w:rPr>
          <w:i/>
        </w:rPr>
        <w:t>Rovnost žen a mužů na trhu práce a v podnikání</w:t>
      </w:r>
      <w:r>
        <w:t xml:space="preserve"> (viz Strategie). </w:t>
      </w:r>
    </w:p>
  </w:footnote>
  <w:footnote w:id="10">
    <w:p w14:paraId="62451CFB" w14:textId="084A6D96" w:rsidR="003D48B4" w:rsidRDefault="003D48B4" w:rsidP="001A59DC">
      <w:pPr>
        <w:pStyle w:val="Textpoznpodarou"/>
      </w:pPr>
      <w:r>
        <w:rPr>
          <w:rStyle w:val="Znakapoznpodarou"/>
        </w:rPr>
        <w:footnoteRef/>
      </w:r>
      <w:r>
        <w:t xml:space="preserve"> </w:t>
      </w:r>
      <w:r>
        <w:tab/>
        <w:t>Vydal Úřad vlády České republiky, Odbor lidských práv a ochrany menšin, březen 2016, verze č. 2.</w:t>
      </w:r>
    </w:p>
  </w:footnote>
  <w:footnote w:id="11">
    <w:p w14:paraId="1075C6E0" w14:textId="2A5ACD7D" w:rsidR="003D48B4" w:rsidRDefault="003D48B4">
      <w:pPr>
        <w:pStyle w:val="Textpoznpodarou"/>
      </w:pPr>
      <w:r>
        <w:rPr>
          <w:rStyle w:val="Znakapoznpodarou"/>
        </w:rPr>
        <w:footnoteRef/>
      </w:r>
      <w:r>
        <w:t xml:space="preserve"> </w:t>
      </w:r>
      <w:r>
        <w:tab/>
        <w:t xml:space="preserve">Výzva </w:t>
      </w:r>
      <w:r w:rsidRPr="00386F9B">
        <w:t xml:space="preserve">č. 03_15_028 (dále též „výzva č. 28“) </w:t>
      </w:r>
      <w:r w:rsidRPr="009F6890">
        <w:rPr>
          <w:i/>
        </w:rPr>
        <w:t>Implementace Vládní strategie pro rovnost žen a mužů v České republice na léta 2014–2020 Praha</w:t>
      </w:r>
      <w:r w:rsidRPr="00386F9B">
        <w:t>.</w:t>
      </w:r>
    </w:p>
  </w:footnote>
  <w:footnote w:id="12">
    <w:p w14:paraId="115B3301" w14:textId="281ED921" w:rsidR="003D48B4" w:rsidRDefault="003D48B4">
      <w:pPr>
        <w:pStyle w:val="Textpoznpodarou"/>
      </w:pPr>
      <w:r>
        <w:rPr>
          <w:rStyle w:val="Znakapoznpodarou"/>
        </w:rPr>
        <w:footnoteRef/>
      </w:r>
      <w:r>
        <w:t xml:space="preserve"> </w:t>
      </w:r>
      <w:r>
        <w:tab/>
        <w:t xml:space="preserve">Pravidla OPZ umožňovala v definovaných případech provést genderový audit i u více organizačních jednotek jednoho subjektu, více viz body 4.24 a 4.25 tohoto kontrolního závěru. </w:t>
      </w:r>
    </w:p>
  </w:footnote>
  <w:footnote w:id="13">
    <w:p w14:paraId="72C0669B" w14:textId="2CB4FD55" w:rsidR="003D48B4" w:rsidRDefault="003D48B4">
      <w:pPr>
        <w:pStyle w:val="Textpoznpodarou"/>
      </w:pPr>
      <w:r>
        <w:rPr>
          <w:rStyle w:val="Znakapoznpodarou"/>
        </w:rPr>
        <w:footnoteRef/>
      </w:r>
      <w:r>
        <w:t xml:space="preserve"> </w:t>
      </w:r>
      <w:r>
        <w:tab/>
        <w:t>Účasti AO v následných výzvách IGA se blíže věnují body 4.12 až 4.14 tohoto kontrolního závěru.</w:t>
      </w:r>
    </w:p>
  </w:footnote>
  <w:footnote w:id="14">
    <w:p w14:paraId="5A2D3FD1" w14:textId="633F43E6" w:rsidR="003D48B4" w:rsidRDefault="003D48B4">
      <w:pPr>
        <w:pStyle w:val="Textpoznpodarou"/>
      </w:pPr>
      <w:r>
        <w:rPr>
          <w:rStyle w:val="Znakapoznpodarou"/>
        </w:rPr>
        <w:footnoteRef/>
      </w:r>
      <w:r>
        <w:t xml:space="preserve"> </w:t>
      </w:r>
      <w:r>
        <w:tab/>
        <w:t>Podpora formou ex-post byla poskytována organizačním složkám státu a příspěvkovým organizacím zřízeným organizačními složkami státu.</w:t>
      </w:r>
    </w:p>
  </w:footnote>
  <w:footnote w:id="15">
    <w:p w14:paraId="14F62A57" w14:textId="36676D49" w:rsidR="003D48B4" w:rsidRDefault="003D48B4">
      <w:pPr>
        <w:pStyle w:val="Textpoznpodarou"/>
      </w:pPr>
      <w:r>
        <w:rPr>
          <w:rStyle w:val="Znakapoznpodarou"/>
        </w:rPr>
        <w:footnoteRef/>
      </w:r>
      <w:r>
        <w:t xml:space="preserve"> </w:t>
      </w:r>
      <w:r>
        <w:tab/>
        <w:t>Pohybovala se v rozmezí od 50 % (obecně podnikatelské subjekty) do 100 % (zejména organizační složky státu, státní vysoké školy či subjekty vykonávající veřejně prospěšnou činnost).</w:t>
      </w:r>
    </w:p>
  </w:footnote>
  <w:footnote w:id="16">
    <w:p w14:paraId="42C31748" w14:textId="24CD3ECE" w:rsidR="003D48B4" w:rsidRDefault="003D48B4">
      <w:pPr>
        <w:pStyle w:val="Textpoznpodarou"/>
      </w:pPr>
      <w:r>
        <w:rPr>
          <w:rStyle w:val="Znakapoznpodarou"/>
        </w:rPr>
        <w:footnoteRef/>
      </w:r>
      <w:r>
        <w:t xml:space="preserve"> </w:t>
      </w:r>
      <w:r>
        <w:tab/>
        <w:t>Dle ustanovení § 2 písm. o) zákona č. 320/2001 Sb., o finanční kontrole ve veřejné správě a o změně některých zákonů (zákon o finanční kontrole).</w:t>
      </w:r>
    </w:p>
  </w:footnote>
  <w:footnote w:id="17">
    <w:p w14:paraId="51611087" w14:textId="70EF3921" w:rsidR="003D48B4" w:rsidRDefault="003D48B4">
      <w:pPr>
        <w:pStyle w:val="Textpoznpodarou"/>
      </w:pPr>
      <w:r>
        <w:rPr>
          <w:rStyle w:val="Znakapoznpodarou"/>
        </w:rPr>
        <w:footnoteRef/>
      </w:r>
      <w:r>
        <w:t xml:space="preserve"> </w:t>
      </w:r>
      <w:r>
        <w:tab/>
      </w:r>
      <w:r w:rsidRPr="002F6690">
        <w:t xml:space="preserve">Dle ustanovení § 2 písm. </w:t>
      </w:r>
      <w:r>
        <w:t>m</w:t>
      </w:r>
      <w:r w:rsidRPr="002F6690">
        <w:t>) zákona č. 320/2001 Sb.</w:t>
      </w:r>
    </w:p>
  </w:footnote>
  <w:footnote w:id="18">
    <w:p w14:paraId="13C3F00D" w14:textId="246F8E17" w:rsidR="003D48B4" w:rsidRDefault="003D48B4">
      <w:pPr>
        <w:pStyle w:val="Textpoznpodarou"/>
      </w:pPr>
      <w:r>
        <w:rPr>
          <w:rStyle w:val="Znakapoznpodarou"/>
        </w:rPr>
        <w:footnoteRef/>
      </w:r>
      <w:r>
        <w:t xml:space="preserve"> </w:t>
      </w:r>
      <w:r>
        <w:tab/>
        <w:t xml:space="preserve">Výzva č. 03_15_27 </w:t>
      </w:r>
      <w:r w:rsidRPr="009F6890">
        <w:rPr>
          <w:i/>
        </w:rPr>
        <w:t>Implementace Vládní strategie pro rovnost žen a mužů v České republice na léta 2014-2020 (méně rozvinuté regiony)</w:t>
      </w:r>
      <w:r>
        <w:t>.</w:t>
      </w:r>
    </w:p>
  </w:footnote>
  <w:footnote w:id="19">
    <w:p w14:paraId="5837BE07" w14:textId="49687F3E" w:rsidR="003D48B4" w:rsidRDefault="003D48B4">
      <w:pPr>
        <w:pStyle w:val="Textpoznpodarou"/>
      </w:pPr>
      <w:r>
        <w:rPr>
          <w:rStyle w:val="Znakapoznpodarou"/>
        </w:rPr>
        <w:footnoteRef/>
      </w:r>
      <w:r>
        <w:t xml:space="preserve"> </w:t>
      </w:r>
      <w:r>
        <w:tab/>
        <w:t>Výzvy č. 50 a č. 51.</w:t>
      </w:r>
    </w:p>
  </w:footnote>
  <w:footnote w:id="20">
    <w:p w14:paraId="6D81F239" w14:textId="48E64603" w:rsidR="003D48B4" w:rsidRDefault="003D48B4">
      <w:pPr>
        <w:pStyle w:val="Textpoznpodarou"/>
      </w:pPr>
      <w:r>
        <w:rPr>
          <w:rStyle w:val="Znakapoznpodarou"/>
        </w:rPr>
        <w:footnoteRef/>
      </w:r>
      <w:r>
        <w:t xml:space="preserve"> </w:t>
      </w:r>
      <w:r>
        <w:tab/>
        <w:t>V</w:t>
      </w:r>
      <w:r w:rsidRPr="001103F3">
        <w:t xml:space="preserve"> případě, že žadatel bude provádět audity v jiné organizaci než ve své vlastní</w:t>
      </w:r>
      <w:r>
        <w:t>.</w:t>
      </w:r>
    </w:p>
  </w:footnote>
  <w:footnote w:id="21">
    <w:p w14:paraId="2D367330" w14:textId="0B2425B7" w:rsidR="003D48B4" w:rsidRDefault="003D48B4">
      <w:pPr>
        <w:pStyle w:val="Textpoznpodarou"/>
      </w:pPr>
      <w:r>
        <w:rPr>
          <w:rStyle w:val="Znakapoznpodarou"/>
        </w:rPr>
        <w:footnoteRef/>
      </w:r>
      <w:r>
        <w:t xml:space="preserve"> </w:t>
      </w:r>
      <w:r>
        <w:tab/>
        <w:t>Projekt č. *06306.</w:t>
      </w:r>
    </w:p>
  </w:footnote>
  <w:footnote w:id="22">
    <w:p w14:paraId="1CEDC34B" w14:textId="316551F0" w:rsidR="003D48B4" w:rsidRDefault="003D48B4">
      <w:pPr>
        <w:pStyle w:val="Textpoznpodarou"/>
      </w:pPr>
      <w:r>
        <w:rPr>
          <w:rStyle w:val="Znakapoznpodarou"/>
        </w:rPr>
        <w:footnoteRef/>
      </w:r>
      <w:r>
        <w:t xml:space="preserve"> </w:t>
      </w:r>
      <w:r>
        <w:tab/>
        <w:t>Projekt č. *06240.</w:t>
      </w:r>
    </w:p>
  </w:footnote>
  <w:footnote w:id="23">
    <w:p w14:paraId="6869D954" w14:textId="777E13C2" w:rsidR="003D48B4" w:rsidRDefault="003D48B4">
      <w:pPr>
        <w:pStyle w:val="Textpoznpodarou"/>
      </w:pPr>
      <w:r>
        <w:rPr>
          <w:rStyle w:val="Znakapoznpodarou"/>
        </w:rPr>
        <w:footnoteRef/>
      </w:r>
      <w:r>
        <w:t xml:space="preserve"> </w:t>
      </w:r>
      <w:r>
        <w:tab/>
        <w:t>Projekty č. *06254, *06316 a *06306.</w:t>
      </w:r>
    </w:p>
  </w:footnote>
  <w:footnote w:id="24">
    <w:p w14:paraId="3FC3577D" w14:textId="3AC8F615" w:rsidR="003D48B4" w:rsidRDefault="003D48B4">
      <w:pPr>
        <w:pStyle w:val="Textpoznpodarou"/>
      </w:pPr>
      <w:r>
        <w:rPr>
          <w:rStyle w:val="Znakapoznpodarou"/>
        </w:rPr>
        <w:footnoteRef/>
      </w:r>
      <w:r>
        <w:t xml:space="preserve"> </w:t>
      </w:r>
      <w:r>
        <w:tab/>
        <w:t>Projekt č. *06254.</w:t>
      </w:r>
    </w:p>
  </w:footnote>
  <w:footnote w:id="25">
    <w:p w14:paraId="4400266F" w14:textId="0F04F240" w:rsidR="003D48B4" w:rsidRDefault="003D48B4">
      <w:pPr>
        <w:pStyle w:val="Textpoznpodarou"/>
      </w:pPr>
      <w:r>
        <w:rPr>
          <w:rStyle w:val="Znakapoznpodarou"/>
        </w:rPr>
        <w:footnoteRef/>
      </w:r>
      <w:r>
        <w:t xml:space="preserve"> </w:t>
      </w:r>
      <w:r>
        <w:tab/>
        <w:t>Projekt č. *06254.</w:t>
      </w:r>
    </w:p>
  </w:footnote>
  <w:footnote w:id="26">
    <w:p w14:paraId="54CF49DD" w14:textId="4BCE3C40" w:rsidR="003D48B4" w:rsidRDefault="003D48B4">
      <w:pPr>
        <w:pStyle w:val="Textpoznpodarou"/>
      </w:pPr>
      <w:r>
        <w:rPr>
          <w:rStyle w:val="Znakapoznpodarou"/>
        </w:rPr>
        <w:footnoteRef/>
      </w:r>
      <w:r>
        <w:t xml:space="preserve"> </w:t>
      </w:r>
      <w:r>
        <w:tab/>
        <w:t>Projekt č. *10233.</w:t>
      </w:r>
    </w:p>
  </w:footnote>
  <w:footnote w:id="27">
    <w:p w14:paraId="2F517F73" w14:textId="41EA4A42" w:rsidR="003D48B4" w:rsidRDefault="003D48B4">
      <w:pPr>
        <w:pStyle w:val="Textpoznpodarou"/>
      </w:pPr>
      <w:r>
        <w:rPr>
          <w:rStyle w:val="Znakapoznpodarou"/>
        </w:rPr>
        <w:footnoteRef/>
      </w:r>
      <w:r>
        <w:t xml:space="preserve"> </w:t>
      </w:r>
      <w:r>
        <w:tab/>
        <w:t>Projekt č. *10542.</w:t>
      </w:r>
    </w:p>
  </w:footnote>
  <w:footnote w:id="28">
    <w:p w14:paraId="64932249" w14:textId="542F9E51" w:rsidR="003D48B4" w:rsidRDefault="003D48B4">
      <w:pPr>
        <w:pStyle w:val="Textpoznpodarou"/>
      </w:pPr>
      <w:r>
        <w:rPr>
          <w:rStyle w:val="Znakapoznpodarou"/>
        </w:rPr>
        <w:footnoteRef/>
      </w:r>
      <w:r>
        <w:t xml:space="preserve"> </w:t>
      </w:r>
      <w:r>
        <w:tab/>
        <w:t>Projekt č. *10460.</w:t>
      </w:r>
    </w:p>
  </w:footnote>
  <w:footnote w:id="29">
    <w:p w14:paraId="7B973D9B" w14:textId="5CC73FE4" w:rsidR="003D48B4" w:rsidRDefault="003D48B4">
      <w:pPr>
        <w:pStyle w:val="Textpoznpodarou"/>
      </w:pPr>
      <w:r>
        <w:rPr>
          <w:rStyle w:val="Znakapoznpodarou"/>
        </w:rPr>
        <w:footnoteRef/>
      </w:r>
      <w:r>
        <w:t xml:space="preserve"> </w:t>
      </w:r>
      <w:r>
        <w:tab/>
        <w:t>Projekt č. *09323.</w:t>
      </w:r>
    </w:p>
  </w:footnote>
  <w:footnote w:id="30">
    <w:p w14:paraId="74236382" w14:textId="62EAF321" w:rsidR="003D48B4" w:rsidRDefault="003D48B4">
      <w:pPr>
        <w:pStyle w:val="Textpoznpodarou"/>
      </w:pPr>
      <w:r>
        <w:rPr>
          <w:rStyle w:val="Znakapoznpodarou"/>
        </w:rPr>
        <w:footnoteRef/>
      </w:r>
      <w:r>
        <w:t xml:space="preserve"> </w:t>
      </w:r>
      <w:r>
        <w:tab/>
        <w:t>Projekt č. *06254.</w:t>
      </w:r>
    </w:p>
  </w:footnote>
  <w:footnote w:id="31">
    <w:p w14:paraId="0CAD6A57" w14:textId="09914CAC" w:rsidR="003D48B4" w:rsidRDefault="003D48B4">
      <w:pPr>
        <w:pStyle w:val="Textpoznpodarou"/>
      </w:pPr>
      <w:r>
        <w:rPr>
          <w:rStyle w:val="Znakapoznpodarou"/>
        </w:rPr>
        <w:footnoteRef/>
      </w:r>
      <w:r>
        <w:t xml:space="preserve"> </w:t>
      </w:r>
      <w:r>
        <w:tab/>
        <w:t>Projekt č. *10460.</w:t>
      </w:r>
    </w:p>
  </w:footnote>
  <w:footnote w:id="32">
    <w:p w14:paraId="73D545AC" w14:textId="26371609" w:rsidR="003D48B4" w:rsidRDefault="003D48B4">
      <w:pPr>
        <w:pStyle w:val="Textpoznpodarou"/>
      </w:pPr>
      <w:r>
        <w:rPr>
          <w:rStyle w:val="Znakapoznpodarou"/>
        </w:rPr>
        <w:footnoteRef/>
      </w:r>
      <w:r>
        <w:t xml:space="preserve"> </w:t>
      </w:r>
      <w:r>
        <w:tab/>
        <w:t>Projekt č. *06240.</w:t>
      </w:r>
    </w:p>
  </w:footnote>
  <w:footnote w:id="33">
    <w:p w14:paraId="57DECEEB" w14:textId="2A552FE9" w:rsidR="003D48B4" w:rsidRDefault="003D48B4">
      <w:pPr>
        <w:pStyle w:val="Textpoznpodarou"/>
      </w:pPr>
      <w:r>
        <w:rPr>
          <w:rStyle w:val="Znakapoznpodarou"/>
        </w:rPr>
        <w:footnoteRef/>
      </w:r>
      <w:r>
        <w:t xml:space="preserve"> </w:t>
      </w:r>
      <w:r>
        <w:tab/>
        <w:t>Projekt č. *10233.</w:t>
      </w:r>
    </w:p>
  </w:footnote>
  <w:footnote w:id="34">
    <w:p w14:paraId="19B4FBE5" w14:textId="211BD2EA" w:rsidR="003D48B4" w:rsidRDefault="003D48B4">
      <w:pPr>
        <w:pStyle w:val="Textpoznpodarou"/>
      </w:pPr>
      <w:r>
        <w:rPr>
          <w:rStyle w:val="Znakapoznpodarou"/>
        </w:rPr>
        <w:footnoteRef/>
      </w:r>
      <w:r>
        <w:t xml:space="preserve"> </w:t>
      </w:r>
      <w:r>
        <w:tab/>
        <w:t>Projekt č. *10196.</w:t>
      </w:r>
    </w:p>
  </w:footnote>
  <w:footnote w:id="35">
    <w:p w14:paraId="4F303098" w14:textId="4377299C" w:rsidR="003D48B4" w:rsidRDefault="003D48B4">
      <w:pPr>
        <w:pStyle w:val="Textpoznpodarou"/>
      </w:pPr>
      <w:r>
        <w:rPr>
          <w:rStyle w:val="Znakapoznpodarou"/>
        </w:rPr>
        <w:footnoteRef/>
      </w:r>
      <w:r>
        <w:t xml:space="preserve"> </w:t>
      </w:r>
      <w:r>
        <w:tab/>
        <w:t xml:space="preserve">Ustanovení </w:t>
      </w:r>
      <w:r w:rsidRPr="00136C1F">
        <w:t xml:space="preserve">§ 39 </w:t>
      </w:r>
      <w:r>
        <w:t xml:space="preserve">odst. 3) </w:t>
      </w:r>
      <w:r w:rsidRPr="00136C1F">
        <w:t>zákona č. 218/2000 Sb.,</w:t>
      </w:r>
      <w:r>
        <w:t xml:space="preserve"> o rozpočtových pravidlech a o změně některých souvisejících zákonů (rozpočtová pravidla).</w:t>
      </w:r>
    </w:p>
  </w:footnote>
  <w:footnote w:id="36">
    <w:p w14:paraId="06C51E19" w14:textId="0BA75004" w:rsidR="003D48B4" w:rsidRDefault="003D48B4">
      <w:pPr>
        <w:pStyle w:val="Textpoznpodarou"/>
      </w:pPr>
      <w:r>
        <w:rPr>
          <w:rStyle w:val="Znakapoznpodarou"/>
        </w:rPr>
        <w:footnoteRef/>
      </w:r>
      <w:r>
        <w:t xml:space="preserve"> </w:t>
      </w:r>
      <w:r>
        <w:tab/>
        <w:t xml:space="preserve">Evaluaci výzvy č. 130 (projekty IGA realizované mimo Prahu) zpracoval příjemce podpory projektu </w:t>
      </w:r>
      <w:r w:rsidRPr="00C2324B">
        <w:rPr>
          <w:rFonts w:ascii="Calibri" w:eastAsia="Times New Roman" w:hAnsi="Calibri" w:cs="Calibri"/>
          <w:color w:val="000000"/>
          <w:lang w:eastAsia="cs-CZ"/>
        </w:rPr>
        <w:t>*09323</w:t>
      </w:r>
      <w:r>
        <w:t>.</w:t>
      </w:r>
    </w:p>
  </w:footnote>
  <w:footnote w:id="37">
    <w:p w14:paraId="5320679E" w14:textId="3D66A5D7" w:rsidR="003D48B4" w:rsidRDefault="003D48B4">
      <w:pPr>
        <w:pStyle w:val="Textpoznpodarou"/>
      </w:pPr>
      <w:r>
        <w:rPr>
          <w:rStyle w:val="Znakapoznpodarou"/>
        </w:rPr>
        <w:footnoteRef/>
      </w:r>
      <w:r>
        <w:t xml:space="preserve"> </w:t>
      </w:r>
      <w:r>
        <w:tab/>
        <w:t>Přehled monitorovacích indikátorů využívaných v kontrolovaných projektech:</w:t>
      </w:r>
    </w:p>
    <w:p w14:paraId="1D33FDA1" w14:textId="38D86755" w:rsidR="003D48B4" w:rsidRPr="009F6890" w:rsidRDefault="003D48B4" w:rsidP="00904170">
      <w:pPr>
        <w:pStyle w:val="Textpoznpodarou"/>
        <w:ind w:firstLine="0"/>
        <w:rPr>
          <w:b/>
        </w:rPr>
      </w:pPr>
      <w:r w:rsidRPr="009F6890">
        <w:rPr>
          <w:b/>
        </w:rPr>
        <w:t>výstupové indikátory:</w:t>
      </w:r>
    </w:p>
    <w:p w14:paraId="6E95CC2C" w14:textId="6100EB3D" w:rsidR="003D48B4" w:rsidRPr="001A59DC" w:rsidRDefault="003D48B4" w:rsidP="00904170">
      <w:pPr>
        <w:pStyle w:val="Textpoznpodarou"/>
        <w:ind w:firstLine="0"/>
      </w:pPr>
      <w:r>
        <w:t xml:space="preserve">6 00 00 </w:t>
      </w:r>
      <w:r w:rsidRPr="009F6890">
        <w:rPr>
          <w:i/>
        </w:rPr>
        <w:t>Celkový počet účastníků</w:t>
      </w:r>
      <w:r>
        <w:t>,</w:t>
      </w:r>
    </w:p>
    <w:p w14:paraId="03C6A727" w14:textId="7B4D684F" w:rsidR="003D48B4" w:rsidRPr="001A59DC" w:rsidRDefault="003D48B4" w:rsidP="00904170">
      <w:pPr>
        <w:pStyle w:val="Textpoznpodarou"/>
        <w:ind w:firstLine="0"/>
      </w:pPr>
      <w:r>
        <w:t xml:space="preserve">5 01 05 </w:t>
      </w:r>
      <w:r w:rsidRPr="009F6890">
        <w:rPr>
          <w:i/>
        </w:rPr>
        <w:t>Počet zaměstnavatelů, kteří podporují flexibilní formy práce</w:t>
      </w:r>
      <w:r>
        <w:t>,</w:t>
      </w:r>
    </w:p>
    <w:p w14:paraId="77073DAF" w14:textId="63A7A724" w:rsidR="003D48B4" w:rsidRPr="001A59DC" w:rsidRDefault="003D48B4" w:rsidP="00904170">
      <w:pPr>
        <w:pStyle w:val="Textpoznpodarou"/>
        <w:ind w:firstLine="0"/>
      </w:pPr>
      <w:r>
        <w:t xml:space="preserve">8 05 00 </w:t>
      </w:r>
      <w:r w:rsidRPr="009F6890">
        <w:rPr>
          <w:i/>
        </w:rPr>
        <w:t>Počet napsaných a zveřejněných analytických a strategických dokumentů (vč. evaluačních)</w:t>
      </w:r>
      <w:r>
        <w:t>,</w:t>
      </w:r>
    </w:p>
    <w:p w14:paraId="6BD65D74" w14:textId="31C40771" w:rsidR="003D48B4" w:rsidRPr="009F6890" w:rsidRDefault="003D48B4" w:rsidP="00904170">
      <w:pPr>
        <w:pStyle w:val="Textpoznpodarou"/>
        <w:ind w:firstLine="0"/>
        <w:rPr>
          <w:b/>
        </w:rPr>
      </w:pPr>
      <w:r>
        <w:rPr>
          <w:b/>
        </w:rPr>
        <w:t>v</w:t>
      </w:r>
      <w:r w:rsidRPr="009F6890">
        <w:rPr>
          <w:b/>
        </w:rPr>
        <w:t>ýsledkové indikátory:</w:t>
      </w:r>
    </w:p>
    <w:p w14:paraId="19CC2726" w14:textId="485E3B17" w:rsidR="003D48B4" w:rsidRPr="001A59DC" w:rsidRDefault="003D48B4" w:rsidP="00904170">
      <w:pPr>
        <w:pStyle w:val="Textpoznpodarou"/>
        <w:ind w:firstLine="0"/>
      </w:pPr>
      <w:r>
        <w:t xml:space="preserve">6 26 00 </w:t>
      </w:r>
      <w:r w:rsidRPr="009F6890">
        <w:rPr>
          <w:i/>
        </w:rPr>
        <w:t>Účastníci, kteří získali kvalifikaci po ukončení své účasti</w:t>
      </w:r>
      <w:r>
        <w:t>,</w:t>
      </w:r>
    </w:p>
    <w:p w14:paraId="4806A7F5" w14:textId="620DAE4E" w:rsidR="003D48B4" w:rsidRDefault="003D48B4" w:rsidP="00904170">
      <w:pPr>
        <w:pStyle w:val="Textpoznpodarou"/>
        <w:ind w:firstLine="0"/>
      </w:pPr>
      <w:r>
        <w:t xml:space="preserve">5 01 30 </w:t>
      </w:r>
      <w:r w:rsidRPr="009F6890">
        <w:rPr>
          <w:i/>
        </w:rPr>
        <w:t>Počet osob pracujících v rámci flexibilních forem práce</w:t>
      </w:r>
      <w:r>
        <w:t>.</w:t>
      </w:r>
    </w:p>
  </w:footnote>
  <w:footnote w:id="38">
    <w:p w14:paraId="18A6BAAF" w14:textId="4E55673E" w:rsidR="003D48B4" w:rsidRDefault="003D48B4">
      <w:pPr>
        <w:pStyle w:val="Textpoznpodarou"/>
      </w:pPr>
      <w:r>
        <w:rPr>
          <w:rStyle w:val="Znakapoznpodarou"/>
        </w:rPr>
        <w:footnoteRef/>
      </w:r>
      <w:r>
        <w:t xml:space="preserve"> </w:t>
      </w:r>
      <w:r>
        <w:tab/>
        <w:t>Z projektů kontrolního vzorku byl tento indikátor sledován u čtyř projektů: *09674, *10542, *10587 a *10460.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6E11" w14:textId="4048C618" w:rsidR="003D48B4" w:rsidRDefault="003D48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7CC7" w14:textId="77777777" w:rsidR="003D48B4" w:rsidRPr="0033359A" w:rsidRDefault="003D48B4" w:rsidP="0033359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6C1"/>
    <w:multiLevelType w:val="hybridMultilevel"/>
    <w:tmpl w:val="05BC641E"/>
    <w:lvl w:ilvl="0" w:tplc="B3844582">
      <w:start w:val="1"/>
      <w:numFmt w:val="upperRoman"/>
      <w:pStyle w:val="Nadpismsk"/>
      <w:lvlText w:val="%1."/>
      <w:lvlJc w:val="right"/>
      <w:pPr>
        <w:ind w:left="454" w:hanging="9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52136"/>
    <w:multiLevelType w:val="hybridMultilevel"/>
    <w:tmpl w:val="75FA897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12A16"/>
    <w:multiLevelType w:val="hybridMultilevel"/>
    <w:tmpl w:val="B060F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7861CA"/>
    <w:multiLevelType w:val="hybridMultilevel"/>
    <w:tmpl w:val="CB82B4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796D6A"/>
    <w:multiLevelType w:val="hybridMultilevel"/>
    <w:tmpl w:val="A99AF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4675B"/>
    <w:multiLevelType w:val="hybridMultilevel"/>
    <w:tmpl w:val="D2023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274E20"/>
    <w:multiLevelType w:val="hybridMultilevel"/>
    <w:tmpl w:val="B6AA07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0C041FE"/>
    <w:multiLevelType w:val="hybridMultilevel"/>
    <w:tmpl w:val="4558D2A8"/>
    <w:lvl w:ilvl="0" w:tplc="1AE419F2">
      <w:start w:val="1"/>
      <w:numFmt w:val="decimal"/>
      <w:pStyle w:val="JK1"/>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D42EE6"/>
    <w:multiLevelType w:val="hybridMultilevel"/>
    <w:tmpl w:val="B680DFBA"/>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9" w15:restartNumberingAfterBreak="0">
    <w:nsid w:val="262A661B"/>
    <w:multiLevelType w:val="hybridMultilevel"/>
    <w:tmpl w:val="9354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B4A5E"/>
    <w:multiLevelType w:val="hybridMultilevel"/>
    <w:tmpl w:val="BD469606"/>
    <w:lvl w:ilvl="0" w:tplc="621A151A">
      <w:start w:val="1"/>
      <w:numFmt w:val="decimal"/>
      <w:pStyle w:val="KPseznamcislo"/>
      <w:lvlText w:val="%1."/>
      <w:lvlJc w:val="left"/>
      <w:pPr>
        <w:ind w:left="1080" w:hanging="360"/>
      </w:pPr>
      <w:rPr>
        <w:b w:val="0"/>
      </w:rPr>
    </w:lvl>
    <w:lvl w:ilvl="1" w:tplc="E2CC618C" w:tentative="1">
      <w:start w:val="1"/>
      <w:numFmt w:val="lowerLetter"/>
      <w:lvlText w:val="%2."/>
      <w:lvlJc w:val="left"/>
      <w:pPr>
        <w:ind w:left="1800" w:hanging="360"/>
      </w:pPr>
    </w:lvl>
    <w:lvl w:ilvl="2" w:tplc="8CAAE5FA" w:tentative="1">
      <w:start w:val="1"/>
      <w:numFmt w:val="lowerRoman"/>
      <w:lvlText w:val="%3."/>
      <w:lvlJc w:val="right"/>
      <w:pPr>
        <w:ind w:left="2520" w:hanging="180"/>
      </w:pPr>
    </w:lvl>
    <w:lvl w:ilvl="3" w:tplc="37FC2320" w:tentative="1">
      <w:start w:val="1"/>
      <w:numFmt w:val="decimal"/>
      <w:lvlText w:val="%4."/>
      <w:lvlJc w:val="left"/>
      <w:pPr>
        <w:ind w:left="3240" w:hanging="360"/>
      </w:pPr>
    </w:lvl>
    <w:lvl w:ilvl="4" w:tplc="F59AAE90" w:tentative="1">
      <w:start w:val="1"/>
      <w:numFmt w:val="lowerLetter"/>
      <w:lvlText w:val="%5."/>
      <w:lvlJc w:val="left"/>
      <w:pPr>
        <w:ind w:left="3960" w:hanging="360"/>
      </w:pPr>
    </w:lvl>
    <w:lvl w:ilvl="5" w:tplc="507ACE60" w:tentative="1">
      <w:start w:val="1"/>
      <w:numFmt w:val="lowerRoman"/>
      <w:lvlText w:val="%6."/>
      <w:lvlJc w:val="right"/>
      <w:pPr>
        <w:ind w:left="4680" w:hanging="180"/>
      </w:pPr>
    </w:lvl>
    <w:lvl w:ilvl="6" w:tplc="DC3A2262" w:tentative="1">
      <w:start w:val="1"/>
      <w:numFmt w:val="decimal"/>
      <w:lvlText w:val="%7."/>
      <w:lvlJc w:val="left"/>
      <w:pPr>
        <w:ind w:left="5400" w:hanging="360"/>
      </w:pPr>
    </w:lvl>
    <w:lvl w:ilvl="7" w:tplc="67045FF4" w:tentative="1">
      <w:start w:val="1"/>
      <w:numFmt w:val="lowerLetter"/>
      <w:lvlText w:val="%8."/>
      <w:lvlJc w:val="left"/>
      <w:pPr>
        <w:ind w:left="6120" w:hanging="360"/>
      </w:pPr>
    </w:lvl>
    <w:lvl w:ilvl="8" w:tplc="9B4A13F4" w:tentative="1">
      <w:start w:val="1"/>
      <w:numFmt w:val="lowerRoman"/>
      <w:lvlText w:val="%9."/>
      <w:lvlJc w:val="right"/>
      <w:pPr>
        <w:ind w:left="6840" w:hanging="180"/>
      </w:pPr>
    </w:lvl>
  </w:abstractNum>
  <w:abstractNum w:abstractNumId="11" w15:restartNumberingAfterBreak="0">
    <w:nsid w:val="34875A30"/>
    <w:multiLevelType w:val="hybridMultilevel"/>
    <w:tmpl w:val="7FC2956C"/>
    <w:lvl w:ilvl="0" w:tplc="C37026E8">
      <w:start w:val="1"/>
      <w:numFmt w:val="decimal"/>
      <w:pStyle w:val="JK2"/>
      <w:lvlText w:val="2.%1"/>
      <w:lvlJc w:val="left"/>
      <w:pPr>
        <w:ind w:left="4755"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30EE3"/>
    <w:multiLevelType w:val="hybridMultilevel"/>
    <w:tmpl w:val="5B9E0E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551E67"/>
    <w:multiLevelType w:val="hybridMultilevel"/>
    <w:tmpl w:val="26C83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7E1F45"/>
    <w:multiLevelType w:val="hybridMultilevel"/>
    <w:tmpl w:val="F1BEB61C"/>
    <w:lvl w:ilvl="0" w:tplc="BE3A29B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C062BF"/>
    <w:multiLevelType w:val="hybridMultilevel"/>
    <w:tmpl w:val="178EF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562C17"/>
    <w:multiLevelType w:val="hybridMultilevel"/>
    <w:tmpl w:val="CCA684D6"/>
    <w:lvl w:ilvl="0" w:tplc="6F185A14">
      <w:start w:val="1"/>
      <w:numFmt w:val="decimal"/>
      <w:pStyle w:val="JK4"/>
      <w:lvlText w:val="4.%1"/>
      <w:lvlJc w:val="left"/>
      <w:pPr>
        <w:ind w:left="786"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E5221B"/>
    <w:multiLevelType w:val="multilevel"/>
    <w:tmpl w:val="8E468582"/>
    <w:lvl w:ilvl="0">
      <w:start w:val="1"/>
      <w:numFmt w:val="decimal"/>
      <w:pStyle w:val="JK3"/>
      <w:lvlText w:val="3.%1"/>
      <w:lvlJc w:val="left"/>
      <w:pPr>
        <w:ind w:left="737" w:hanging="737"/>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8" w15:restartNumberingAfterBreak="0">
    <w:nsid w:val="6F1B2E71"/>
    <w:multiLevelType w:val="hybridMultilevel"/>
    <w:tmpl w:val="E1DEB978"/>
    <w:lvl w:ilvl="0" w:tplc="A976AE7A">
      <w:start w:val="1"/>
      <w:numFmt w:val="upperRoman"/>
      <w:lvlText w:val="%1."/>
      <w:lvlJc w:val="right"/>
      <w:pPr>
        <w:ind w:left="3621" w:hanging="360"/>
      </w:pPr>
      <w:rPr>
        <w:b/>
        <w:sz w:val="32"/>
        <w:szCs w:val="3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2601246"/>
    <w:multiLevelType w:val="hybridMultilevel"/>
    <w:tmpl w:val="1A603D22"/>
    <w:lvl w:ilvl="0" w:tplc="914A5CDE">
      <w:start w:val="199"/>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7F7451"/>
    <w:multiLevelType w:val="hybridMultilevel"/>
    <w:tmpl w:val="0F686F52"/>
    <w:lvl w:ilvl="0" w:tplc="35B6CE00">
      <w:start w:val="1"/>
      <w:numFmt w:val="lowerLetter"/>
      <w:lvlText w:val="%1)"/>
      <w:lvlJc w:val="left"/>
      <w:pPr>
        <w:ind w:left="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02D2D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34C8D2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349EF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7CDD0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30B0A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BFCE05C">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D69C9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5C07A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E51472D"/>
    <w:multiLevelType w:val="hybridMultilevel"/>
    <w:tmpl w:val="57A60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8"/>
  </w:num>
  <w:num w:numId="4">
    <w:abstractNumId w:val="11"/>
  </w:num>
  <w:num w:numId="5">
    <w:abstractNumId w:val="16"/>
  </w:num>
  <w:num w:numId="6">
    <w:abstractNumId w:val="14"/>
  </w:num>
  <w:num w:numId="7">
    <w:abstractNumId w:val="5"/>
  </w:num>
  <w:num w:numId="8">
    <w:abstractNumId w:val="2"/>
  </w:num>
  <w:num w:numId="9">
    <w:abstractNumId w:val="8"/>
  </w:num>
  <w:num w:numId="10">
    <w:abstractNumId w:val="1"/>
  </w:num>
  <w:num w:numId="11">
    <w:abstractNumId w:val="21"/>
  </w:num>
  <w:num w:numId="12">
    <w:abstractNumId w:val="20"/>
  </w:num>
  <w:num w:numId="13">
    <w:abstractNumId w:val="6"/>
  </w:num>
  <w:num w:numId="14">
    <w:abstractNumId w:val="3"/>
  </w:num>
  <w:num w:numId="15">
    <w:abstractNumId w:val="15"/>
  </w:num>
  <w:num w:numId="16">
    <w:abstractNumId w:val="4"/>
  </w:num>
  <w:num w:numId="17">
    <w:abstractNumId w:val="0"/>
  </w:num>
  <w:num w:numId="18">
    <w:abstractNumId w:val="17"/>
  </w:num>
  <w:num w:numId="19">
    <w:abstractNumId w:val="13"/>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9"/>
  </w:num>
  <w:num w:numId="33">
    <w:abstractNumId w:val="12"/>
  </w:num>
  <w:num w:numId="34">
    <w:abstractNumId w:val="19"/>
  </w:num>
  <w:num w:numId="35">
    <w:abstractNumId w:val="16"/>
    <w:lvlOverride w:ilvl="0">
      <w:startOverride w:val="1"/>
    </w:lvlOverride>
  </w:num>
  <w:num w:numId="36">
    <w:abstractNumId w:val="17"/>
  </w:num>
  <w:num w:numId="37">
    <w:abstractNumId w:val="16"/>
    <w:lvlOverride w:ilvl="0">
      <w:startOverride w:val="1"/>
    </w:lvlOverride>
  </w:num>
  <w:num w:numId="38">
    <w:abstractNumId w:val="7"/>
  </w:num>
  <w:num w:numId="39">
    <w:abstractNumId w:val="16"/>
  </w:num>
  <w:num w:numId="4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oNotTrackMoves/>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2F"/>
    <w:rsid w:val="000000BA"/>
    <w:rsid w:val="00000728"/>
    <w:rsid w:val="00000741"/>
    <w:rsid w:val="00001120"/>
    <w:rsid w:val="00001405"/>
    <w:rsid w:val="00001A74"/>
    <w:rsid w:val="00001B30"/>
    <w:rsid w:val="000028A7"/>
    <w:rsid w:val="00002A09"/>
    <w:rsid w:val="00002A30"/>
    <w:rsid w:val="00003D2A"/>
    <w:rsid w:val="000046DF"/>
    <w:rsid w:val="00004933"/>
    <w:rsid w:val="000056E1"/>
    <w:rsid w:val="00005AC7"/>
    <w:rsid w:val="00005AD0"/>
    <w:rsid w:val="00005B06"/>
    <w:rsid w:val="00005B0E"/>
    <w:rsid w:val="000060B4"/>
    <w:rsid w:val="0000655E"/>
    <w:rsid w:val="000068DA"/>
    <w:rsid w:val="00006B62"/>
    <w:rsid w:val="00006E34"/>
    <w:rsid w:val="0000712B"/>
    <w:rsid w:val="0000724C"/>
    <w:rsid w:val="0000736E"/>
    <w:rsid w:val="00007889"/>
    <w:rsid w:val="00011530"/>
    <w:rsid w:val="00011841"/>
    <w:rsid w:val="00011A7C"/>
    <w:rsid w:val="00011B6F"/>
    <w:rsid w:val="00012127"/>
    <w:rsid w:val="000121B3"/>
    <w:rsid w:val="00012772"/>
    <w:rsid w:val="0001353C"/>
    <w:rsid w:val="00013910"/>
    <w:rsid w:val="00014C30"/>
    <w:rsid w:val="0001562E"/>
    <w:rsid w:val="00015DB1"/>
    <w:rsid w:val="000164AF"/>
    <w:rsid w:val="0001722B"/>
    <w:rsid w:val="00017322"/>
    <w:rsid w:val="0001771B"/>
    <w:rsid w:val="00017796"/>
    <w:rsid w:val="000206E2"/>
    <w:rsid w:val="00020B68"/>
    <w:rsid w:val="00020B96"/>
    <w:rsid w:val="00021659"/>
    <w:rsid w:val="00021C8B"/>
    <w:rsid w:val="000223B5"/>
    <w:rsid w:val="00022BCB"/>
    <w:rsid w:val="00022CA4"/>
    <w:rsid w:val="00023BD7"/>
    <w:rsid w:val="00023E14"/>
    <w:rsid w:val="00024AC7"/>
    <w:rsid w:val="00024B1E"/>
    <w:rsid w:val="000250A9"/>
    <w:rsid w:val="0002583C"/>
    <w:rsid w:val="00025969"/>
    <w:rsid w:val="0002617D"/>
    <w:rsid w:val="0002638E"/>
    <w:rsid w:val="00026CE2"/>
    <w:rsid w:val="00027A18"/>
    <w:rsid w:val="00027C84"/>
    <w:rsid w:val="00027E25"/>
    <w:rsid w:val="000309B6"/>
    <w:rsid w:val="000313DA"/>
    <w:rsid w:val="00031B5C"/>
    <w:rsid w:val="00031ED9"/>
    <w:rsid w:val="000321FD"/>
    <w:rsid w:val="00032C48"/>
    <w:rsid w:val="00032DDE"/>
    <w:rsid w:val="00032F87"/>
    <w:rsid w:val="00032FC2"/>
    <w:rsid w:val="0003337C"/>
    <w:rsid w:val="00033ACC"/>
    <w:rsid w:val="00033C61"/>
    <w:rsid w:val="00033D94"/>
    <w:rsid w:val="0003444C"/>
    <w:rsid w:val="0003451A"/>
    <w:rsid w:val="0003492F"/>
    <w:rsid w:val="00035283"/>
    <w:rsid w:val="00035976"/>
    <w:rsid w:val="0003629A"/>
    <w:rsid w:val="00036625"/>
    <w:rsid w:val="00036B5A"/>
    <w:rsid w:val="00036DC6"/>
    <w:rsid w:val="00036DCF"/>
    <w:rsid w:val="00037200"/>
    <w:rsid w:val="0003727C"/>
    <w:rsid w:val="00037347"/>
    <w:rsid w:val="0003778F"/>
    <w:rsid w:val="00037D8A"/>
    <w:rsid w:val="000409CF"/>
    <w:rsid w:val="0004155E"/>
    <w:rsid w:val="00041A3D"/>
    <w:rsid w:val="00041DA3"/>
    <w:rsid w:val="0004213C"/>
    <w:rsid w:val="000428CC"/>
    <w:rsid w:val="000429B7"/>
    <w:rsid w:val="0004311B"/>
    <w:rsid w:val="0004317C"/>
    <w:rsid w:val="00043A2F"/>
    <w:rsid w:val="00043A41"/>
    <w:rsid w:val="00043B01"/>
    <w:rsid w:val="00044246"/>
    <w:rsid w:val="0004455C"/>
    <w:rsid w:val="00045929"/>
    <w:rsid w:val="00045D0D"/>
    <w:rsid w:val="00045D3C"/>
    <w:rsid w:val="000460B7"/>
    <w:rsid w:val="00046201"/>
    <w:rsid w:val="0004623E"/>
    <w:rsid w:val="0004643C"/>
    <w:rsid w:val="00046A68"/>
    <w:rsid w:val="00046F3E"/>
    <w:rsid w:val="000471B9"/>
    <w:rsid w:val="00047BFD"/>
    <w:rsid w:val="000501FE"/>
    <w:rsid w:val="00051B86"/>
    <w:rsid w:val="00052AF6"/>
    <w:rsid w:val="00052D28"/>
    <w:rsid w:val="000530F1"/>
    <w:rsid w:val="000532F8"/>
    <w:rsid w:val="00053660"/>
    <w:rsid w:val="000547BA"/>
    <w:rsid w:val="0005481B"/>
    <w:rsid w:val="0005515B"/>
    <w:rsid w:val="000558A0"/>
    <w:rsid w:val="00055C1F"/>
    <w:rsid w:val="00055C31"/>
    <w:rsid w:val="00055C56"/>
    <w:rsid w:val="00056B82"/>
    <w:rsid w:val="00056F3B"/>
    <w:rsid w:val="0005776D"/>
    <w:rsid w:val="00057B14"/>
    <w:rsid w:val="00057C06"/>
    <w:rsid w:val="000602CB"/>
    <w:rsid w:val="000604F6"/>
    <w:rsid w:val="000605A7"/>
    <w:rsid w:val="000609E4"/>
    <w:rsid w:val="00060B90"/>
    <w:rsid w:val="000610EC"/>
    <w:rsid w:val="000614F2"/>
    <w:rsid w:val="00061DA8"/>
    <w:rsid w:val="000624C9"/>
    <w:rsid w:val="00063054"/>
    <w:rsid w:val="00063507"/>
    <w:rsid w:val="00063AEE"/>
    <w:rsid w:val="00063BA3"/>
    <w:rsid w:val="00063C9E"/>
    <w:rsid w:val="00063F2D"/>
    <w:rsid w:val="0006470A"/>
    <w:rsid w:val="00065C15"/>
    <w:rsid w:val="00066EB3"/>
    <w:rsid w:val="00067064"/>
    <w:rsid w:val="000677D0"/>
    <w:rsid w:val="000710D3"/>
    <w:rsid w:val="00071711"/>
    <w:rsid w:val="00071985"/>
    <w:rsid w:val="00072B9F"/>
    <w:rsid w:val="00072CF9"/>
    <w:rsid w:val="00072F17"/>
    <w:rsid w:val="000731DE"/>
    <w:rsid w:val="00073C30"/>
    <w:rsid w:val="00073F5F"/>
    <w:rsid w:val="00074099"/>
    <w:rsid w:val="0007424F"/>
    <w:rsid w:val="000750D2"/>
    <w:rsid w:val="00075256"/>
    <w:rsid w:val="00076583"/>
    <w:rsid w:val="00076EC4"/>
    <w:rsid w:val="000773BD"/>
    <w:rsid w:val="00077561"/>
    <w:rsid w:val="00077620"/>
    <w:rsid w:val="00077C76"/>
    <w:rsid w:val="00077DF1"/>
    <w:rsid w:val="00077FD6"/>
    <w:rsid w:val="000800A9"/>
    <w:rsid w:val="0008087D"/>
    <w:rsid w:val="00080D05"/>
    <w:rsid w:val="000816C1"/>
    <w:rsid w:val="000817B0"/>
    <w:rsid w:val="0008192C"/>
    <w:rsid w:val="00082019"/>
    <w:rsid w:val="000820E1"/>
    <w:rsid w:val="0008249C"/>
    <w:rsid w:val="00082603"/>
    <w:rsid w:val="000827F4"/>
    <w:rsid w:val="0008324F"/>
    <w:rsid w:val="00083DEA"/>
    <w:rsid w:val="000843AA"/>
    <w:rsid w:val="00084ADD"/>
    <w:rsid w:val="000852EF"/>
    <w:rsid w:val="00085305"/>
    <w:rsid w:val="00085E27"/>
    <w:rsid w:val="000863A2"/>
    <w:rsid w:val="00086634"/>
    <w:rsid w:val="000904F4"/>
    <w:rsid w:val="000905AD"/>
    <w:rsid w:val="00090C44"/>
    <w:rsid w:val="000916FC"/>
    <w:rsid w:val="00091AF6"/>
    <w:rsid w:val="00091D14"/>
    <w:rsid w:val="00091E35"/>
    <w:rsid w:val="00092203"/>
    <w:rsid w:val="00092489"/>
    <w:rsid w:val="00092508"/>
    <w:rsid w:val="00092696"/>
    <w:rsid w:val="00092828"/>
    <w:rsid w:val="00092DD2"/>
    <w:rsid w:val="00094142"/>
    <w:rsid w:val="00094684"/>
    <w:rsid w:val="00094B54"/>
    <w:rsid w:val="00095E59"/>
    <w:rsid w:val="00095F83"/>
    <w:rsid w:val="0009611A"/>
    <w:rsid w:val="000961C8"/>
    <w:rsid w:val="00096A0D"/>
    <w:rsid w:val="00097220"/>
    <w:rsid w:val="000979BB"/>
    <w:rsid w:val="00097C11"/>
    <w:rsid w:val="000A07AB"/>
    <w:rsid w:val="000A08D0"/>
    <w:rsid w:val="000A102F"/>
    <w:rsid w:val="000A2139"/>
    <w:rsid w:val="000A2810"/>
    <w:rsid w:val="000A32A1"/>
    <w:rsid w:val="000A33D1"/>
    <w:rsid w:val="000A3515"/>
    <w:rsid w:val="000A360F"/>
    <w:rsid w:val="000A3889"/>
    <w:rsid w:val="000A3FCC"/>
    <w:rsid w:val="000A4036"/>
    <w:rsid w:val="000A4B0A"/>
    <w:rsid w:val="000A4B20"/>
    <w:rsid w:val="000A5A24"/>
    <w:rsid w:val="000A6064"/>
    <w:rsid w:val="000A628C"/>
    <w:rsid w:val="000A6DD9"/>
    <w:rsid w:val="000A6DDA"/>
    <w:rsid w:val="000A6DF3"/>
    <w:rsid w:val="000B028F"/>
    <w:rsid w:val="000B06C2"/>
    <w:rsid w:val="000B0B98"/>
    <w:rsid w:val="000B112B"/>
    <w:rsid w:val="000B1465"/>
    <w:rsid w:val="000B14C9"/>
    <w:rsid w:val="000B1613"/>
    <w:rsid w:val="000B191F"/>
    <w:rsid w:val="000B1F8A"/>
    <w:rsid w:val="000B2246"/>
    <w:rsid w:val="000B2370"/>
    <w:rsid w:val="000B3235"/>
    <w:rsid w:val="000B3CBE"/>
    <w:rsid w:val="000B4110"/>
    <w:rsid w:val="000B423F"/>
    <w:rsid w:val="000B4844"/>
    <w:rsid w:val="000B4894"/>
    <w:rsid w:val="000B4AAE"/>
    <w:rsid w:val="000B4F14"/>
    <w:rsid w:val="000B4F22"/>
    <w:rsid w:val="000B54DB"/>
    <w:rsid w:val="000B5892"/>
    <w:rsid w:val="000B5925"/>
    <w:rsid w:val="000B5CB3"/>
    <w:rsid w:val="000B60BD"/>
    <w:rsid w:val="000B60BE"/>
    <w:rsid w:val="000B74FB"/>
    <w:rsid w:val="000B7A47"/>
    <w:rsid w:val="000B7F0B"/>
    <w:rsid w:val="000C0353"/>
    <w:rsid w:val="000C0407"/>
    <w:rsid w:val="000C1A09"/>
    <w:rsid w:val="000C263E"/>
    <w:rsid w:val="000C2649"/>
    <w:rsid w:val="000C2756"/>
    <w:rsid w:val="000C2D09"/>
    <w:rsid w:val="000C3790"/>
    <w:rsid w:val="000C3B99"/>
    <w:rsid w:val="000C3C92"/>
    <w:rsid w:val="000C3E4A"/>
    <w:rsid w:val="000C3EF0"/>
    <w:rsid w:val="000C40C6"/>
    <w:rsid w:val="000C519B"/>
    <w:rsid w:val="000C6130"/>
    <w:rsid w:val="000C639B"/>
    <w:rsid w:val="000C6947"/>
    <w:rsid w:val="000D12E4"/>
    <w:rsid w:val="000D14D6"/>
    <w:rsid w:val="000D164F"/>
    <w:rsid w:val="000D18D2"/>
    <w:rsid w:val="000D2028"/>
    <w:rsid w:val="000D21A2"/>
    <w:rsid w:val="000D2AD1"/>
    <w:rsid w:val="000D3712"/>
    <w:rsid w:val="000D3ABA"/>
    <w:rsid w:val="000D4265"/>
    <w:rsid w:val="000D51E5"/>
    <w:rsid w:val="000D52BB"/>
    <w:rsid w:val="000D57C1"/>
    <w:rsid w:val="000D5CA8"/>
    <w:rsid w:val="000D6030"/>
    <w:rsid w:val="000D67E6"/>
    <w:rsid w:val="000D70F0"/>
    <w:rsid w:val="000D7221"/>
    <w:rsid w:val="000D72F2"/>
    <w:rsid w:val="000D73BD"/>
    <w:rsid w:val="000D7853"/>
    <w:rsid w:val="000D7D3D"/>
    <w:rsid w:val="000D7D57"/>
    <w:rsid w:val="000D7E53"/>
    <w:rsid w:val="000E04A6"/>
    <w:rsid w:val="000E05AF"/>
    <w:rsid w:val="000E06FC"/>
    <w:rsid w:val="000E0985"/>
    <w:rsid w:val="000E0AA1"/>
    <w:rsid w:val="000E0BC9"/>
    <w:rsid w:val="000E137C"/>
    <w:rsid w:val="000E13C8"/>
    <w:rsid w:val="000E1429"/>
    <w:rsid w:val="000E193D"/>
    <w:rsid w:val="000E1B3B"/>
    <w:rsid w:val="000E2292"/>
    <w:rsid w:val="000E2AE4"/>
    <w:rsid w:val="000E2EDA"/>
    <w:rsid w:val="000E35F0"/>
    <w:rsid w:val="000E366F"/>
    <w:rsid w:val="000E36C5"/>
    <w:rsid w:val="000E3970"/>
    <w:rsid w:val="000E43B5"/>
    <w:rsid w:val="000E47DF"/>
    <w:rsid w:val="000E4F6E"/>
    <w:rsid w:val="000E5140"/>
    <w:rsid w:val="000E5AFE"/>
    <w:rsid w:val="000E6D1E"/>
    <w:rsid w:val="000E738B"/>
    <w:rsid w:val="000E75DA"/>
    <w:rsid w:val="000E787D"/>
    <w:rsid w:val="000E7AC3"/>
    <w:rsid w:val="000F06BE"/>
    <w:rsid w:val="000F0848"/>
    <w:rsid w:val="000F16A9"/>
    <w:rsid w:val="000F175A"/>
    <w:rsid w:val="000F1DB4"/>
    <w:rsid w:val="000F1E00"/>
    <w:rsid w:val="000F2CF9"/>
    <w:rsid w:val="000F387D"/>
    <w:rsid w:val="000F3F8D"/>
    <w:rsid w:val="000F4224"/>
    <w:rsid w:val="000F42FE"/>
    <w:rsid w:val="000F4846"/>
    <w:rsid w:val="000F4AC4"/>
    <w:rsid w:val="000F4E26"/>
    <w:rsid w:val="000F5261"/>
    <w:rsid w:val="000F583B"/>
    <w:rsid w:val="000F6985"/>
    <w:rsid w:val="000F69CD"/>
    <w:rsid w:val="000F7043"/>
    <w:rsid w:val="000F766B"/>
    <w:rsid w:val="000F77E0"/>
    <w:rsid w:val="000F7A70"/>
    <w:rsid w:val="00102240"/>
    <w:rsid w:val="0010386B"/>
    <w:rsid w:val="00103AC5"/>
    <w:rsid w:val="00103FB9"/>
    <w:rsid w:val="00104217"/>
    <w:rsid w:val="00104397"/>
    <w:rsid w:val="00104510"/>
    <w:rsid w:val="001046D7"/>
    <w:rsid w:val="00104800"/>
    <w:rsid w:val="001049BE"/>
    <w:rsid w:val="00104D55"/>
    <w:rsid w:val="00105744"/>
    <w:rsid w:val="00105D87"/>
    <w:rsid w:val="00107203"/>
    <w:rsid w:val="0010772D"/>
    <w:rsid w:val="00107DA7"/>
    <w:rsid w:val="00107F3A"/>
    <w:rsid w:val="00107F3F"/>
    <w:rsid w:val="001103F3"/>
    <w:rsid w:val="00110422"/>
    <w:rsid w:val="001104C0"/>
    <w:rsid w:val="00110BC6"/>
    <w:rsid w:val="00110BDC"/>
    <w:rsid w:val="001117D6"/>
    <w:rsid w:val="00111A0B"/>
    <w:rsid w:val="0011206F"/>
    <w:rsid w:val="0011215A"/>
    <w:rsid w:val="001124C7"/>
    <w:rsid w:val="00112759"/>
    <w:rsid w:val="001137AF"/>
    <w:rsid w:val="001139A1"/>
    <w:rsid w:val="0011468C"/>
    <w:rsid w:val="0011587B"/>
    <w:rsid w:val="00115D58"/>
    <w:rsid w:val="001162CD"/>
    <w:rsid w:val="00116A13"/>
    <w:rsid w:val="00116FE7"/>
    <w:rsid w:val="00117BE4"/>
    <w:rsid w:val="00120416"/>
    <w:rsid w:val="00120464"/>
    <w:rsid w:val="00120A44"/>
    <w:rsid w:val="00120A94"/>
    <w:rsid w:val="00121186"/>
    <w:rsid w:val="00121560"/>
    <w:rsid w:val="001216A2"/>
    <w:rsid w:val="00121A98"/>
    <w:rsid w:val="0012202E"/>
    <w:rsid w:val="0012269D"/>
    <w:rsid w:val="00123258"/>
    <w:rsid w:val="00123592"/>
    <w:rsid w:val="00123713"/>
    <w:rsid w:val="00123A97"/>
    <w:rsid w:val="001240A9"/>
    <w:rsid w:val="00124B87"/>
    <w:rsid w:val="001252D1"/>
    <w:rsid w:val="0012596D"/>
    <w:rsid w:val="0012624A"/>
    <w:rsid w:val="001267EA"/>
    <w:rsid w:val="00126C06"/>
    <w:rsid w:val="00126C6F"/>
    <w:rsid w:val="00126D6D"/>
    <w:rsid w:val="00126EB3"/>
    <w:rsid w:val="00127CB9"/>
    <w:rsid w:val="00130A3E"/>
    <w:rsid w:val="00130C1C"/>
    <w:rsid w:val="00132133"/>
    <w:rsid w:val="001323A4"/>
    <w:rsid w:val="0013268C"/>
    <w:rsid w:val="00132E22"/>
    <w:rsid w:val="00132E86"/>
    <w:rsid w:val="001346D5"/>
    <w:rsid w:val="001350B1"/>
    <w:rsid w:val="00135292"/>
    <w:rsid w:val="00135876"/>
    <w:rsid w:val="00135F5B"/>
    <w:rsid w:val="0013604F"/>
    <w:rsid w:val="00136C1F"/>
    <w:rsid w:val="00136C64"/>
    <w:rsid w:val="00136C8A"/>
    <w:rsid w:val="00137642"/>
    <w:rsid w:val="00140346"/>
    <w:rsid w:val="00140C4A"/>
    <w:rsid w:val="00141236"/>
    <w:rsid w:val="00141937"/>
    <w:rsid w:val="00141967"/>
    <w:rsid w:val="001420DC"/>
    <w:rsid w:val="00142CBC"/>
    <w:rsid w:val="00143564"/>
    <w:rsid w:val="00143957"/>
    <w:rsid w:val="00143B6F"/>
    <w:rsid w:val="00144085"/>
    <w:rsid w:val="00144ADB"/>
    <w:rsid w:val="00144D70"/>
    <w:rsid w:val="0014529B"/>
    <w:rsid w:val="00146792"/>
    <w:rsid w:val="00146BAD"/>
    <w:rsid w:val="001471F4"/>
    <w:rsid w:val="001472D8"/>
    <w:rsid w:val="00147DEA"/>
    <w:rsid w:val="00150171"/>
    <w:rsid w:val="00150389"/>
    <w:rsid w:val="001508BA"/>
    <w:rsid w:val="00150DB4"/>
    <w:rsid w:val="00150EB9"/>
    <w:rsid w:val="001515A5"/>
    <w:rsid w:val="0015171B"/>
    <w:rsid w:val="00151C56"/>
    <w:rsid w:val="00151EF6"/>
    <w:rsid w:val="001520C9"/>
    <w:rsid w:val="00152287"/>
    <w:rsid w:val="00152462"/>
    <w:rsid w:val="001525F9"/>
    <w:rsid w:val="00152623"/>
    <w:rsid w:val="001527E1"/>
    <w:rsid w:val="001529F1"/>
    <w:rsid w:val="00154084"/>
    <w:rsid w:val="00154502"/>
    <w:rsid w:val="00154930"/>
    <w:rsid w:val="00154A75"/>
    <w:rsid w:val="00155AFB"/>
    <w:rsid w:val="001565CC"/>
    <w:rsid w:val="00156609"/>
    <w:rsid w:val="00156838"/>
    <w:rsid w:val="00156C1F"/>
    <w:rsid w:val="00156C9B"/>
    <w:rsid w:val="00156F84"/>
    <w:rsid w:val="00157388"/>
    <w:rsid w:val="00157AA0"/>
    <w:rsid w:val="0016046D"/>
    <w:rsid w:val="00160896"/>
    <w:rsid w:val="00160B5E"/>
    <w:rsid w:val="00161028"/>
    <w:rsid w:val="00161D05"/>
    <w:rsid w:val="00161F59"/>
    <w:rsid w:val="00162DD3"/>
    <w:rsid w:val="001641DA"/>
    <w:rsid w:val="00164F1C"/>
    <w:rsid w:val="00164F87"/>
    <w:rsid w:val="0016544D"/>
    <w:rsid w:val="00165522"/>
    <w:rsid w:val="00165822"/>
    <w:rsid w:val="0016607C"/>
    <w:rsid w:val="001660DA"/>
    <w:rsid w:val="0016699B"/>
    <w:rsid w:val="001672A2"/>
    <w:rsid w:val="0016740F"/>
    <w:rsid w:val="001677A3"/>
    <w:rsid w:val="00167B68"/>
    <w:rsid w:val="0017090C"/>
    <w:rsid w:val="00171283"/>
    <w:rsid w:val="001716AD"/>
    <w:rsid w:val="0017199F"/>
    <w:rsid w:val="00172833"/>
    <w:rsid w:val="001728A9"/>
    <w:rsid w:val="00172DB2"/>
    <w:rsid w:val="00172F29"/>
    <w:rsid w:val="00173210"/>
    <w:rsid w:val="0017374A"/>
    <w:rsid w:val="001737B0"/>
    <w:rsid w:val="001737C3"/>
    <w:rsid w:val="00173C67"/>
    <w:rsid w:val="00174B9D"/>
    <w:rsid w:val="00174EED"/>
    <w:rsid w:val="001758C5"/>
    <w:rsid w:val="001759B5"/>
    <w:rsid w:val="001761BB"/>
    <w:rsid w:val="00176EFE"/>
    <w:rsid w:val="00176FB9"/>
    <w:rsid w:val="001773AF"/>
    <w:rsid w:val="00177445"/>
    <w:rsid w:val="0017771C"/>
    <w:rsid w:val="001778DD"/>
    <w:rsid w:val="00177A34"/>
    <w:rsid w:val="001810BA"/>
    <w:rsid w:val="001814A6"/>
    <w:rsid w:val="0018196A"/>
    <w:rsid w:val="00181A46"/>
    <w:rsid w:val="00181B61"/>
    <w:rsid w:val="00181EB1"/>
    <w:rsid w:val="0018202D"/>
    <w:rsid w:val="00182673"/>
    <w:rsid w:val="001832DE"/>
    <w:rsid w:val="00183502"/>
    <w:rsid w:val="00183A02"/>
    <w:rsid w:val="00183A1F"/>
    <w:rsid w:val="00183A99"/>
    <w:rsid w:val="001841BF"/>
    <w:rsid w:val="0018424F"/>
    <w:rsid w:val="00184413"/>
    <w:rsid w:val="00184655"/>
    <w:rsid w:val="001861C2"/>
    <w:rsid w:val="0018627C"/>
    <w:rsid w:val="0018643E"/>
    <w:rsid w:val="0018662D"/>
    <w:rsid w:val="00186CEF"/>
    <w:rsid w:val="00187EC4"/>
    <w:rsid w:val="0019079B"/>
    <w:rsid w:val="00190839"/>
    <w:rsid w:val="00190BA6"/>
    <w:rsid w:val="00190CEB"/>
    <w:rsid w:val="0019169B"/>
    <w:rsid w:val="001919F8"/>
    <w:rsid w:val="00191EB2"/>
    <w:rsid w:val="001923D3"/>
    <w:rsid w:val="00192467"/>
    <w:rsid w:val="00192A3E"/>
    <w:rsid w:val="00192CF9"/>
    <w:rsid w:val="00193003"/>
    <w:rsid w:val="001931E0"/>
    <w:rsid w:val="00193836"/>
    <w:rsid w:val="00193AD9"/>
    <w:rsid w:val="00194270"/>
    <w:rsid w:val="001943EF"/>
    <w:rsid w:val="00194EBD"/>
    <w:rsid w:val="00195311"/>
    <w:rsid w:val="0019532F"/>
    <w:rsid w:val="001953BF"/>
    <w:rsid w:val="001968D7"/>
    <w:rsid w:val="001978BA"/>
    <w:rsid w:val="00197E5E"/>
    <w:rsid w:val="001A0686"/>
    <w:rsid w:val="001A07E6"/>
    <w:rsid w:val="001A0B55"/>
    <w:rsid w:val="001A0C27"/>
    <w:rsid w:val="001A11A3"/>
    <w:rsid w:val="001A27CF"/>
    <w:rsid w:val="001A2846"/>
    <w:rsid w:val="001A29D6"/>
    <w:rsid w:val="001A2A0A"/>
    <w:rsid w:val="001A2B53"/>
    <w:rsid w:val="001A3416"/>
    <w:rsid w:val="001A3570"/>
    <w:rsid w:val="001A3E4C"/>
    <w:rsid w:val="001A42F7"/>
    <w:rsid w:val="001A4C82"/>
    <w:rsid w:val="001A51F5"/>
    <w:rsid w:val="001A54A9"/>
    <w:rsid w:val="001A59DC"/>
    <w:rsid w:val="001A61F5"/>
    <w:rsid w:val="001A6F2F"/>
    <w:rsid w:val="001A7EAE"/>
    <w:rsid w:val="001B0EF2"/>
    <w:rsid w:val="001B116A"/>
    <w:rsid w:val="001B1309"/>
    <w:rsid w:val="001B1483"/>
    <w:rsid w:val="001B1D70"/>
    <w:rsid w:val="001B1E78"/>
    <w:rsid w:val="001B1EBC"/>
    <w:rsid w:val="001B1F3F"/>
    <w:rsid w:val="001B2366"/>
    <w:rsid w:val="001B269D"/>
    <w:rsid w:val="001B2E05"/>
    <w:rsid w:val="001B334C"/>
    <w:rsid w:val="001B35A1"/>
    <w:rsid w:val="001B3BAD"/>
    <w:rsid w:val="001B3D84"/>
    <w:rsid w:val="001B3F22"/>
    <w:rsid w:val="001B46CE"/>
    <w:rsid w:val="001B49D1"/>
    <w:rsid w:val="001B4E4A"/>
    <w:rsid w:val="001B6ACD"/>
    <w:rsid w:val="001B774A"/>
    <w:rsid w:val="001B7A60"/>
    <w:rsid w:val="001B7C66"/>
    <w:rsid w:val="001B7EA6"/>
    <w:rsid w:val="001B7F4A"/>
    <w:rsid w:val="001C02E2"/>
    <w:rsid w:val="001C0F3D"/>
    <w:rsid w:val="001C1984"/>
    <w:rsid w:val="001C1E3E"/>
    <w:rsid w:val="001C2B73"/>
    <w:rsid w:val="001C2E50"/>
    <w:rsid w:val="001C2ECE"/>
    <w:rsid w:val="001C3187"/>
    <w:rsid w:val="001C33AE"/>
    <w:rsid w:val="001C37CC"/>
    <w:rsid w:val="001C3A2B"/>
    <w:rsid w:val="001C3CA8"/>
    <w:rsid w:val="001C3DC6"/>
    <w:rsid w:val="001C4632"/>
    <w:rsid w:val="001C48FF"/>
    <w:rsid w:val="001C4A40"/>
    <w:rsid w:val="001C4FA9"/>
    <w:rsid w:val="001C5850"/>
    <w:rsid w:val="001C5FA4"/>
    <w:rsid w:val="001C6144"/>
    <w:rsid w:val="001C645F"/>
    <w:rsid w:val="001C68F4"/>
    <w:rsid w:val="001D0785"/>
    <w:rsid w:val="001D0A42"/>
    <w:rsid w:val="001D12B9"/>
    <w:rsid w:val="001D19D5"/>
    <w:rsid w:val="001D1F0F"/>
    <w:rsid w:val="001D21CC"/>
    <w:rsid w:val="001D21E5"/>
    <w:rsid w:val="001D2871"/>
    <w:rsid w:val="001D28E0"/>
    <w:rsid w:val="001D3156"/>
    <w:rsid w:val="001D33DA"/>
    <w:rsid w:val="001D33FF"/>
    <w:rsid w:val="001D3E4F"/>
    <w:rsid w:val="001D434A"/>
    <w:rsid w:val="001D4FAD"/>
    <w:rsid w:val="001D53B5"/>
    <w:rsid w:val="001D5CA4"/>
    <w:rsid w:val="001D5DD4"/>
    <w:rsid w:val="001D6122"/>
    <w:rsid w:val="001D6152"/>
    <w:rsid w:val="001D615F"/>
    <w:rsid w:val="001D67EA"/>
    <w:rsid w:val="001D6BA7"/>
    <w:rsid w:val="001D6E1D"/>
    <w:rsid w:val="001D6FBF"/>
    <w:rsid w:val="001D7048"/>
    <w:rsid w:val="001D793B"/>
    <w:rsid w:val="001E015D"/>
    <w:rsid w:val="001E05C0"/>
    <w:rsid w:val="001E0A3E"/>
    <w:rsid w:val="001E1065"/>
    <w:rsid w:val="001E11F3"/>
    <w:rsid w:val="001E1728"/>
    <w:rsid w:val="001E19CB"/>
    <w:rsid w:val="001E1A17"/>
    <w:rsid w:val="001E21F5"/>
    <w:rsid w:val="001E2499"/>
    <w:rsid w:val="001E337E"/>
    <w:rsid w:val="001E45D4"/>
    <w:rsid w:val="001E4839"/>
    <w:rsid w:val="001E4BB9"/>
    <w:rsid w:val="001E500B"/>
    <w:rsid w:val="001E50A7"/>
    <w:rsid w:val="001E51A0"/>
    <w:rsid w:val="001E5276"/>
    <w:rsid w:val="001E55CC"/>
    <w:rsid w:val="001E598C"/>
    <w:rsid w:val="001E59AF"/>
    <w:rsid w:val="001E657B"/>
    <w:rsid w:val="001E657F"/>
    <w:rsid w:val="001E67D8"/>
    <w:rsid w:val="001E756E"/>
    <w:rsid w:val="001E7B3D"/>
    <w:rsid w:val="001F016A"/>
    <w:rsid w:val="001F0B2C"/>
    <w:rsid w:val="001F127E"/>
    <w:rsid w:val="001F21D1"/>
    <w:rsid w:val="001F26A7"/>
    <w:rsid w:val="001F2794"/>
    <w:rsid w:val="001F2B23"/>
    <w:rsid w:val="001F3105"/>
    <w:rsid w:val="001F326C"/>
    <w:rsid w:val="001F33D8"/>
    <w:rsid w:val="001F35E0"/>
    <w:rsid w:val="001F3867"/>
    <w:rsid w:val="001F3BB2"/>
    <w:rsid w:val="001F4B53"/>
    <w:rsid w:val="001F57AF"/>
    <w:rsid w:val="001F5DD0"/>
    <w:rsid w:val="001F5E7B"/>
    <w:rsid w:val="001F6321"/>
    <w:rsid w:val="001F6633"/>
    <w:rsid w:val="001F6A32"/>
    <w:rsid w:val="001F7007"/>
    <w:rsid w:val="001F7081"/>
    <w:rsid w:val="001F776C"/>
    <w:rsid w:val="002001AF"/>
    <w:rsid w:val="00200BE4"/>
    <w:rsid w:val="002011FA"/>
    <w:rsid w:val="0020123E"/>
    <w:rsid w:val="002015CB"/>
    <w:rsid w:val="00201994"/>
    <w:rsid w:val="00201C79"/>
    <w:rsid w:val="00201D19"/>
    <w:rsid w:val="00202701"/>
    <w:rsid w:val="00203FE7"/>
    <w:rsid w:val="0020406A"/>
    <w:rsid w:val="0020420E"/>
    <w:rsid w:val="002044B5"/>
    <w:rsid w:val="00204558"/>
    <w:rsid w:val="00205390"/>
    <w:rsid w:val="00205729"/>
    <w:rsid w:val="00205819"/>
    <w:rsid w:val="00205EE0"/>
    <w:rsid w:val="002064AB"/>
    <w:rsid w:val="00206783"/>
    <w:rsid w:val="00207928"/>
    <w:rsid w:val="0021036B"/>
    <w:rsid w:val="0021060E"/>
    <w:rsid w:val="00210A3A"/>
    <w:rsid w:val="0021100A"/>
    <w:rsid w:val="00211D82"/>
    <w:rsid w:val="00212113"/>
    <w:rsid w:val="00212BC1"/>
    <w:rsid w:val="00212C7D"/>
    <w:rsid w:val="00213627"/>
    <w:rsid w:val="00214DB3"/>
    <w:rsid w:val="00214F11"/>
    <w:rsid w:val="002153CF"/>
    <w:rsid w:val="00216477"/>
    <w:rsid w:val="002165F8"/>
    <w:rsid w:val="002179E8"/>
    <w:rsid w:val="00217BE6"/>
    <w:rsid w:val="00220AA4"/>
    <w:rsid w:val="00220CB0"/>
    <w:rsid w:val="00220D2D"/>
    <w:rsid w:val="0022149F"/>
    <w:rsid w:val="00221A24"/>
    <w:rsid w:val="00221C32"/>
    <w:rsid w:val="00221C5E"/>
    <w:rsid w:val="00222667"/>
    <w:rsid w:val="00222A92"/>
    <w:rsid w:val="00223087"/>
    <w:rsid w:val="002230AB"/>
    <w:rsid w:val="00223819"/>
    <w:rsid w:val="0022447E"/>
    <w:rsid w:val="00224820"/>
    <w:rsid w:val="00224CBB"/>
    <w:rsid w:val="00224FE8"/>
    <w:rsid w:val="0022511D"/>
    <w:rsid w:val="0022561F"/>
    <w:rsid w:val="002256E5"/>
    <w:rsid w:val="00225762"/>
    <w:rsid w:val="002257D1"/>
    <w:rsid w:val="00225A4B"/>
    <w:rsid w:val="00225C61"/>
    <w:rsid w:val="002264B2"/>
    <w:rsid w:val="00226DAA"/>
    <w:rsid w:val="00227638"/>
    <w:rsid w:val="00227D07"/>
    <w:rsid w:val="00227EA0"/>
    <w:rsid w:val="002302F9"/>
    <w:rsid w:val="00230563"/>
    <w:rsid w:val="00230F4D"/>
    <w:rsid w:val="0023114D"/>
    <w:rsid w:val="00231194"/>
    <w:rsid w:val="00231917"/>
    <w:rsid w:val="00231C91"/>
    <w:rsid w:val="00231EC0"/>
    <w:rsid w:val="00231F35"/>
    <w:rsid w:val="00232084"/>
    <w:rsid w:val="00232735"/>
    <w:rsid w:val="00232EB7"/>
    <w:rsid w:val="002332F5"/>
    <w:rsid w:val="002336DC"/>
    <w:rsid w:val="00233B62"/>
    <w:rsid w:val="00233BD2"/>
    <w:rsid w:val="00233CFB"/>
    <w:rsid w:val="0023488E"/>
    <w:rsid w:val="002348E1"/>
    <w:rsid w:val="00234C54"/>
    <w:rsid w:val="00234ED4"/>
    <w:rsid w:val="00235536"/>
    <w:rsid w:val="0023553E"/>
    <w:rsid w:val="002355BE"/>
    <w:rsid w:val="00235B6E"/>
    <w:rsid w:val="002360CA"/>
    <w:rsid w:val="00236117"/>
    <w:rsid w:val="002362DD"/>
    <w:rsid w:val="00236305"/>
    <w:rsid w:val="002366EB"/>
    <w:rsid w:val="002375AF"/>
    <w:rsid w:val="00237A67"/>
    <w:rsid w:val="00237C29"/>
    <w:rsid w:val="00237FE9"/>
    <w:rsid w:val="002404D9"/>
    <w:rsid w:val="0024063C"/>
    <w:rsid w:val="00240861"/>
    <w:rsid w:val="00241984"/>
    <w:rsid w:val="00241993"/>
    <w:rsid w:val="00242BF7"/>
    <w:rsid w:val="00243074"/>
    <w:rsid w:val="00243083"/>
    <w:rsid w:val="00243477"/>
    <w:rsid w:val="00243589"/>
    <w:rsid w:val="00243B62"/>
    <w:rsid w:val="00243DC4"/>
    <w:rsid w:val="00245505"/>
    <w:rsid w:val="00246466"/>
    <w:rsid w:val="002469E2"/>
    <w:rsid w:val="002474EC"/>
    <w:rsid w:val="00247995"/>
    <w:rsid w:val="00247A50"/>
    <w:rsid w:val="00247C8C"/>
    <w:rsid w:val="00247EA1"/>
    <w:rsid w:val="00250BC9"/>
    <w:rsid w:val="00250E8F"/>
    <w:rsid w:val="00251792"/>
    <w:rsid w:val="002524D7"/>
    <w:rsid w:val="0025470D"/>
    <w:rsid w:val="0025482D"/>
    <w:rsid w:val="00254DA1"/>
    <w:rsid w:val="00254F90"/>
    <w:rsid w:val="00256246"/>
    <w:rsid w:val="00256302"/>
    <w:rsid w:val="002563AB"/>
    <w:rsid w:val="00256FEC"/>
    <w:rsid w:val="00257264"/>
    <w:rsid w:val="00257629"/>
    <w:rsid w:val="002576EC"/>
    <w:rsid w:val="002603CD"/>
    <w:rsid w:val="00260B47"/>
    <w:rsid w:val="00260C9A"/>
    <w:rsid w:val="00261377"/>
    <w:rsid w:val="00261673"/>
    <w:rsid w:val="002616C0"/>
    <w:rsid w:val="00261858"/>
    <w:rsid w:val="00261D99"/>
    <w:rsid w:val="00261FBD"/>
    <w:rsid w:val="002622B7"/>
    <w:rsid w:val="00262748"/>
    <w:rsid w:val="00262AE0"/>
    <w:rsid w:val="002631A8"/>
    <w:rsid w:val="00263705"/>
    <w:rsid w:val="00263901"/>
    <w:rsid w:val="00263DD2"/>
    <w:rsid w:val="00263E14"/>
    <w:rsid w:val="00263E38"/>
    <w:rsid w:val="002646B5"/>
    <w:rsid w:val="00264A0B"/>
    <w:rsid w:val="00264A35"/>
    <w:rsid w:val="00264D70"/>
    <w:rsid w:val="00264EBE"/>
    <w:rsid w:val="00264F3F"/>
    <w:rsid w:val="00265AB2"/>
    <w:rsid w:val="00265D50"/>
    <w:rsid w:val="002665D0"/>
    <w:rsid w:val="00266891"/>
    <w:rsid w:val="00266C7B"/>
    <w:rsid w:val="0026770B"/>
    <w:rsid w:val="00267921"/>
    <w:rsid w:val="00267BAE"/>
    <w:rsid w:val="00267DA5"/>
    <w:rsid w:val="00267F50"/>
    <w:rsid w:val="0027016B"/>
    <w:rsid w:val="00270899"/>
    <w:rsid w:val="0027091C"/>
    <w:rsid w:val="002709D7"/>
    <w:rsid w:val="00271353"/>
    <w:rsid w:val="00271B62"/>
    <w:rsid w:val="00271B96"/>
    <w:rsid w:val="00272500"/>
    <w:rsid w:val="00272753"/>
    <w:rsid w:val="002728B3"/>
    <w:rsid w:val="0027290E"/>
    <w:rsid w:val="00273102"/>
    <w:rsid w:val="0027378C"/>
    <w:rsid w:val="00273859"/>
    <w:rsid w:val="00273A01"/>
    <w:rsid w:val="00273B06"/>
    <w:rsid w:val="00274417"/>
    <w:rsid w:val="0027452D"/>
    <w:rsid w:val="0027455B"/>
    <w:rsid w:val="002756BF"/>
    <w:rsid w:val="002757F4"/>
    <w:rsid w:val="00275868"/>
    <w:rsid w:val="002763C3"/>
    <w:rsid w:val="00277CE0"/>
    <w:rsid w:val="00280471"/>
    <w:rsid w:val="0028059A"/>
    <w:rsid w:val="002805F7"/>
    <w:rsid w:val="0028084F"/>
    <w:rsid w:val="00280EC1"/>
    <w:rsid w:val="0028156C"/>
    <w:rsid w:val="00281755"/>
    <w:rsid w:val="00281A57"/>
    <w:rsid w:val="00281AF5"/>
    <w:rsid w:val="00281C2D"/>
    <w:rsid w:val="00282685"/>
    <w:rsid w:val="002826F9"/>
    <w:rsid w:val="0028308B"/>
    <w:rsid w:val="002833FA"/>
    <w:rsid w:val="00283924"/>
    <w:rsid w:val="00284276"/>
    <w:rsid w:val="002844ED"/>
    <w:rsid w:val="002849A9"/>
    <w:rsid w:val="00285033"/>
    <w:rsid w:val="00285272"/>
    <w:rsid w:val="002852F0"/>
    <w:rsid w:val="00285969"/>
    <w:rsid w:val="002863F6"/>
    <w:rsid w:val="00286754"/>
    <w:rsid w:val="0028692A"/>
    <w:rsid w:val="002869A7"/>
    <w:rsid w:val="00286F14"/>
    <w:rsid w:val="00286FBF"/>
    <w:rsid w:val="00287954"/>
    <w:rsid w:val="00290085"/>
    <w:rsid w:val="00290220"/>
    <w:rsid w:val="002905B0"/>
    <w:rsid w:val="002905C3"/>
    <w:rsid w:val="002910DD"/>
    <w:rsid w:val="00291DCC"/>
    <w:rsid w:val="00292161"/>
    <w:rsid w:val="0029266B"/>
    <w:rsid w:val="00292790"/>
    <w:rsid w:val="002927F0"/>
    <w:rsid w:val="00292957"/>
    <w:rsid w:val="00292A00"/>
    <w:rsid w:val="00292A07"/>
    <w:rsid w:val="002931ED"/>
    <w:rsid w:val="00293C94"/>
    <w:rsid w:val="00293D77"/>
    <w:rsid w:val="00293E0D"/>
    <w:rsid w:val="002946E7"/>
    <w:rsid w:val="00294990"/>
    <w:rsid w:val="002950C8"/>
    <w:rsid w:val="0029527C"/>
    <w:rsid w:val="0029531C"/>
    <w:rsid w:val="002959D6"/>
    <w:rsid w:val="00295CCF"/>
    <w:rsid w:val="00296066"/>
    <w:rsid w:val="002962DA"/>
    <w:rsid w:val="002963C1"/>
    <w:rsid w:val="00296C25"/>
    <w:rsid w:val="00296E7C"/>
    <w:rsid w:val="00296FF1"/>
    <w:rsid w:val="002970B3"/>
    <w:rsid w:val="00297641"/>
    <w:rsid w:val="00297C21"/>
    <w:rsid w:val="00297EA0"/>
    <w:rsid w:val="00297ED2"/>
    <w:rsid w:val="002A0242"/>
    <w:rsid w:val="002A0B53"/>
    <w:rsid w:val="002A120A"/>
    <w:rsid w:val="002A41E5"/>
    <w:rsid w:val="002A424A"/>
    <w:rsid w:val="002A4C8E"/>
    <w:rsid w:val="002A4DBE"/>
    <w:rsid w:val="002A55C3"/>
    <w:rsid w:val="002A5734"/>
    <w:rsid w:val="002A5843"/>
    <w:rsid w:val="002A5EA9"/>
    <w:rsid w:val="002A611C"/>
    <w:rsid w:val="002A65AC"/>
    <w:rsid w:val="002A6A2A"/>
    <w:rsid w:val="002A7223"/>
    <w:rsid w:val="002A74C9"/>
    <w:rsid w:val="002A74EC"/>
    <w:rsid w:val="002A774F"/>
    <w:rsid w:val="002A7D7E"/>
    <w:rsid w:val="002B01BA"/>
    <w:rsid w:val="002B0D31"/>
    <w:rsid w:val="002B10A3"/>
    <w:rsid w:val="002B1362"/>
    <w:rsid w:val="002B1732"/>
    <w:rsid w:val="002B18FB"/>
    <w:rsid w:val="002B1917"/>
    <w:rsid w:val="002B2740"/>
    <w:rsid w:val="002B2DFA"/>
    <w:rsid w:val="002B3661"/>
    <w:rsid w:val="002B37FD"/>
    <w:rsid w:val="002B3B25"/>
    <w:rsid w:val="002B3D7F"/>
    <w:rsid w:val="002B3F9A"/>
    <w:rsid w:val="002B416C"/>
    <w:rsid w:val="002B481B"/>
    <w:rsid w:val="002B5F65"/>
    <w:rsid w:val="002B62B5"/>
    <w:rsid w:val="002B6B53"/>
    <w:rsid w:val="002B6D78"/>
    <w:rsid w:val="002B78AD"/>
    <w:rsid w:val="002B7B61"/>
    <w:rsid w:val="002C01C8"/>
    <w:rsid w:val="002C0469"/>
    <w:rsid w:val="002C0556"/>
    <w:rsid w:val="002C0758"/>
    <w:rsid w:val="002C1445"/>
    <w:rsid w:val="002C150C"/>
    <w:rsid w:val="002C1587"/>
    <w:rsid w:val="002C15D4"/>
    <w:rsid w:val="002C161C"/>
    <w:rsid w:val="002C1A79"/>
    <w:rsid w:val="002C1B6A"/>
    <w:rsid w:val="002C1DB8"/>
    <w:rsid w:val="002C270D"/>
    <w:rsid w:val="002C2D32"/>
    <w:rsid w:val="002C2EEF"/>
    <w:rsid w:val="002C30A5"/>
    <w:rsid w:val="002C378F"/>
    <w:rsid w:val="002C3E08"/>
    <w:rsid w:val="002C3F74"/>
    <w:rsid w:val="002C405C"/>
    <w:rsid w:val="002C41DC"/>
    <w:rsid w:val="002C41EF"/>
    <w:rsid w:val="002C4D4D"/>
    <w:rsid w:val="002C64C4"/>
    <w:rsid w:val="002C6B9C"/>
    <w:rsid w:val="002C6F62"/>
    <w:rsid w:val="002C7699"/>
    <w:rsid w:val="002D0B87"/>
    <w:rsid w:val="002D0E4D"/>
    <w:rsid w:val="002D11E3"/>
    <w:rsid w:val="002D1424"/>
    <w:rsid w:val="002D18E3"/>
    <w:rsid w:val="002D1D96"/>
    <w:rsid w:val="002D1DB5"/>
    <w:rsid w:val="002D1DE3"/>
    <w:rsid w:val="002D1F88"/>
    <w:rsid w:val="002D2553"/>
    <w:rsid w:val="002D2643"/>
    <w:rsid w:val="002D269F"/>
    <w:rsid w:val="002D34BC"/>
    <w:rsid w:val="002D34C9"/>
    <w:rsid w:val="002D35CD"/>
    <w:rsid w:val="002D4024"/>
    <w:rsid w:val="002D43D0"/>
    <w:rsid w:val="002D46E6"/>
    <w:rsid w:val="002D4BFF"/>
    <w:rsid w:val="002D528B"/>
    <w:rsid w:val="002D5AC0"/>
    <w:rsid w:val="002D6140"/>
    <w:rsid w:val="002D61E6"/>
    <w:rsid w:val="002D706F"/>
    <w:rsid w:val="002D7192"/>
    <w:rsid w:val="002D7D18"/>
    <w:rsid w:val="002E02EB"/>
    <w:rsid w:val="002E06DF"/>
    <w:rsid w:val="002E0F4D"/>
    <w:rsid w:val="002E17BB"/>
    <w:rsid w:val="002E1A8A"/>
    <w:rsid w:val="002E1C1B"/>
    <w:rsid w:val="002E26AD"/>
    <w:rsid w:val="002E2CD9"/>
    <w:rsid w:val="002E32D5"/>
    <w:rsid w:val="002E3A7A"/>
    <w:rsid w:val="002E3DC1"/>
    <w:rsid w:val="002E4172"/>
    <w:rsid w:val="002E4243"/>
    <w:rsid w:val="002E43BD"/>
    <w:rsid w:val="002E4D49"/>
    <w:rsid w:val="002E4D85"/>
    <w:rsid w:val="002E6231"/>
    <w:rsid w:val="002E6886"/>
    <w:rsid w:val="002E68AB"/>
    <w:rsid w:val="002E7017"/>
    <w:rsid w:val="002F0749"/>
    <w:rsid w:val="002F0C65"/>
    <w:rsid w:val="002F1159"/>
    <w:rsid w:val="002F1576"/>
    <w:rsid w:val="002F173B"/>
    <w:rsid w:val="002F17FF"/>
    <w:rsid w:val="002F19B3"/>
    <w:rsid w:val="002F1FE0"/>
    <w:rsid w:val="002F26AE"/>
    <w:rsid w:val="002F28CA"/>
    <w:rsid w:val="002F3040"/>
    <w:rsid w:val="002F3C9B"/>
    <w:rsid w:val="002F3DFA"/>
    <w:rsid w:val="002F3FCA"/>
    <w:rsid w:val="002F4057"/>
    <w:rsid w:val="002F40DE"/>
    <w:rsid w:val="002F415F"/>
    <w:rsid w:val="002F524C"/>
    <w:rsid w:val="002F567A"/>
    <w:rsid w:val="002F5717"/>
    <w:rsid w:val="002F5DC0"/>
    <w:rsid w:val="002F5E7B"/>
    <w:rsid w:val="002F60FB"/>
    <w:rsid w:val="002F61AE"/>
    <w:rsid w:val="002F6690"/>
    <w:rsid w:val="002F66D1"/>
    <w:rsid w:val="002F6C7F"/>
    <w:rsid w:val="002F6F77"/>
    <w:rsid w:val="002F710F"/>
    <w:rsid w:val="002F7243"/>
    <w:rsid w:val="002F7B3B"/>
    <w:rsid w:val="0030020E"/>
    <w:rsid w:val="003003FE"/>
    <w:rsid w:val="00300415"/>
    <w:rsid w:val="003004C8"/>
    <w:rsid w:val="00300CAA"/>
    <w:rsid w:val="00300EA8"/>
    <w:rsid w:val="00300F52"/>
    <w:rsid w:val="00301023"/>
    <w:rsid w:val="0030192B"/>
    <w:rsid w:val="003026AC"/>
    <w:rsid w:val="00302F7A"/>
    <w:rsid w:val="00303273"/>
    <w:rsid w:val="003041FD"/>
    <w:rsid w:val="00304454"/>
    <w:rsid w:val="00304BCC"/>
    <w:rsid w:val="00304F86"/>
    <w:rsid w:val="00305039"/>
    <w:rsid w:val="0030504B"/>
    <w:rsid w:val="0030521F"/>
    <w:rsid w:val="00305699"/>
    <w:rsid w:val="00305742"/>
    <w:rsid w:val="003066A4"/>
    <w:rsid w:val="00306DD0"/>
    <w:rsid w:val="00307756"/>
    <w:rsid w:val="00307F79"/>
    <w:rsid w:val="003107E1"/>
    <w:rsid w:val="00310DD7"/>
    <w:rsid w:val="00310DF4"/>
    <w:rsid w:val="00311171"/>
    <w:rsid w:val="003114CF"/>
    <w:rsid w:val="00311553"/>
    <w:rsid w:val="0031179A"/>
    <w:rsid w:val="003118F9"/>
    <w:rsid w:val="00311B5C"/>
    <w:rsid w:val="00312974"/>
    <w:rsid w:val="00313B39"/>
    <w:rsid w:val="00313ED6"/>
    <w:rsid w:val="00314263"/>
    <w:rsid w:val="00314846"/>
    <w:rsid w:val="00314E72"/>
    <w:rsid w:val="00315428"/>
    <w:rsid w:val="003158A9"/>
    <w:rsid w:val="00315D55"/>
    <w:rsid w:val="003165DA"/>
    <w:rsid w:val="00316C94"/>
    <w:rsid w:val="00316CAB"/>
    <w:rsid w:val="00316CFE"/>
    <w:rsid w:val="00316DF0"/>
    <w:rsid w:val="00316E9C"/>
    <w:rsid w:val="003177D1"/>
    <w:rsid w:val="00317B8F"/>
    <w:rsid w:val="003209F1"/>
    <w:rsid w:val="0032125A"/>
    <w:rsid w:val="003219B2"/>
    <w:rsid w:val="00321DEA"/>
    <w:rsid w:val="00321FB5"/>
    <w:rsid w:val="00322740"/>
    <w:rsid w:val="00322752"/>
    <w:rsid w:val="00322B32"/>
    <w:rsid w:val="00323BFF"/>
    <w:rsid w:val="003243B4"/>
    <w:rsid w:val="003247D2"/>
    <w:rsid w:val="00324977"/>
    <w:rsid w:val="003256BD"/>
    <w:rsid w:val="00325F2F"/>
    <w:rsid w:val="003260E5"/>
    <w:rsid w:val="0032615D"/>
    <w:rsid w:val="00326BBF"/>
    <w:rsid w:val="00326CBC"/>
    <w:rsid w:val="00326E4E"/>
    <w:rsid w:val="0032707A"/>
    <w:rsid w:val="0032773A"/>
    <w:rsid w:val="00330359"/>
    <w:rsid w:val="003309AE"/>
    <w:rsid w:val="003312CE"/>
    <w:rsid w:val="003328C6"/>
    <w:rsid w:val="0033294A"/>
    <w:rsid w:val="00332A96"/>
    <w:rsid w:val="00332C99"/>
    <w:rsid w:val="00332CA3"/>
    <w:rsid w:val="0033315F"/>
    <w:rsid w:val="0033359A"/>
    <w:rsid w:val="0033362D"/>
    <w:rsid w:val="00333763"/>
    <w:rsid w:val="003339CE"/>
    <w:rsid w:val="003342C3"/>
    <w:rsid w:val="00334572"/>
    <w:rsid w:val="00334B1B"/>
    <w:rsid w:val="00334F58"/>
    <w:rsid w:val="003350D9"/>
    <w:rsid w:val="0033511D"/>
    <w:rsid w:val="0033574A"/>
    <w:rsid w:val="00335757"/>
    <w:rsid w:val="00335A32"/>
    <w:rsid w:val="00335DE5"/>
    <w:rsid w:val="00335F78"/>
    <w:rsid w:val="003361A5"/>
    <w:rsid w:val="00337347"/>
    <w:rsid w:val="00337D88"/>
    <w:rsid w:val="00340CD3"/>
    <w:rsid w:val="00341087"/>
    <w:rsid w:val="00341A7E"/>
    <w:rsid w:val="00341D81"/>
    <w:rsid w:val="003422A6"/>
    <w:rsid w:val="00342359"/>
    <w:rsid w:val="00342684"/>
    <w:rsid w:val="003426F9"/>
    <w:rsid w:val="00342825"/>
    <w:rsid w:val="00342878"/>
    <w:rsid w:val="00342B25"/>
    <w:rsid w:val="003431DC"/>
    <w:rsid w:val="00343308"/>
    <w:rsid w:val="00343749"/>
    <w:rsid w:val="00343A3F"/>
    <w:rsid w:val="0034425A"/>
    <w:rsid w:val="00344A11"/>
    <w:rsid w:val="00344E6F"/>
    <w:rsid w:val="00345482"/>
    <w:rsid w:val="00345783"/>
    <w:rsid w:val="00345BEF"/>
    <w:rsid w:val="00345FEC"/>
    <w:rsid w:val="003460AD"/>
    <w:rsid w:val="0034616E"/>
    <w:rsid w:val="0034696C"/>
    <w:rsid w:val="00347904"/>
    <w:rsid w:val="003502A7"/>
    <w:rsid w:val="00350328"/>
    <w:rsid w:val="00350F9B"/>
    <w:rsid w:val="0035100E"/>
    <w:rsid w:val="00351069"/>
    <w:rsid w:val="00351435"/>
    <w:rsid w:val="00351863"/>
    <w:rsid w:val="00351C5B"/>
    <w:rsid w:val="0035274D"/>
    <w:rsid w:val="00352A3C"/>
    <w:rsid w:val="00353348"/>
    <w:rsid w:val="00353633"/>
    <w:rsid w:val="003536AD"/>
    <w:rsid w:val="003539A2"/>
    <w:rsid w:val="00353C94"/>
    <w:rsid w:val="003541EE"/>
    <w:rsid w:val="0035476F"/>
    <w:rsid w:val="003553BD"/>
    <w:rsid w:val="00355AE9"/>
    <w:rsid w:val="00356333"/>
    <w:rsid w:val="00356381"/>
    <w:rsid w:val="003564B4"/>
    <w:rsid w:val="00356578"/>
    <w:rsid w:val="00356E07"/>
    <w:rsid w:val="00356F50"/>
    <w:rsid w:val="003573E1"/>
    <w:rsid w:val="003573EE"/>
    <w:rsid w:val="00357595"/>
    <w:rsid w:val="00357C61"/>
    <w:rsid w:val="003605C4"/>
    <w:rsid w:val="00360716"/>
    <w:rsid w:val="00360DC5"/>
    <w:rsid w:val="00361301"/>
    <w:rsid w:val="0036137E"/>
    <w:rsid w:val="0036178E"/>
    <w:rsid w:val="003619E3"/>
    <w:rsid w:val="00361B7A"/>
    <w:rsid w:val="00361DAB"/>
    <w:rsid w:val="00361E6B"/>
    <w:rsid w:val="0036206D"/>
    <w:rsid w:val="0036334B"/>
    <w:rsid w:val="00363B45"/>
    <w:rsid w:val="00363F0A"/>
    <w:rsid w:val="00363FEF"/>
    <w:rsid w:val="00364870"/>
    <w:rsid w:val="00364C81"/>
    <w:rsid w:val="00364DCE"/>
    <w:rsid w:val="00365355"/>
    <w:rsid w:val="0036553E"/>
    <w:rsid w:val="003658EE"/>
    <w:rsid w:val="00365E7E"/>
    <w:rsid w:val="0036765A"/>
    <w:rsid w:val="00367749"/>
    <w:rsid w:val="003679D1"/>
    <w:rsid w:val="00367E20"/>
    <w:rsid w:val="00367E48"/>
    <w:rsid w:val="0037042E"/>
    <w:rsid w:val="0037053E"/>
    <w:rsid w:val="0037076A"/>
    <w:rsid w:val="00370CAE"/>
    <w:rsid w:val="00371178"/>
    <w:rsid w:val="0037124B"/>
    <w:rsid w:val="0037152B"/>
    <w:rsid w:val="0037166F"/>
    <w:rsid w:val="00371DE9"/>
    <w:rsid w:val="00372611"/>
    <w:rsid w:val="0037293B"/>
    <w:rsid w:val="00373806"/>
    <w:rsid w:val="00373FF0"/>
    <w:rsid w:val="00374EC7"/>
    <w:rsid w:val="00374FA2"/>
    <w:rsid w:val="00375091"/>
    <w:rsid w:val="00375917"/>
    <w:rsid w:val="00375F54"/>
    <w:rsid w:val="00376126"/>
    <w:rsid w:val="0037613D"/>
    <w:rsid w:val="00376ECF"/>
    <w:rsid w:val="00377058"/>
    <w:rsid w:val="00377A27"/>
    <w:rsid w:val="00377ADD"/>
    <w:rsid w:val="00377CBA"/>
    <w:rsid w:val="003806A1"/>
    <w:rsid w:val="00380A67"/>
    <w:rsid w:val="00380CAB"/>
    <w:rsid w:val="00381A6B"/>
    <w:rsid w:val="00381BD2"/>
    <w:rsid w:val="00381CD8"/>
    <w:rsid w:val="00381EFD"/>
    <w:rsid w:val="0038211D"/>
    <w:rsid w:val="0038212E"/>
    <w:rsid w:val="00382618"/>
    <w:rsid w:val="00382682"/>
    <w:rsid w:val="003826C7"/>
    <w:rsid w:val="00382D13"/>
    <w:rsid w:val="00383D21"/>
    <w:rsid w:val="00383E1E"/>
    <w:rsid w:val="00383EE4"/>
    <w:rsid w:val="00384545"/>
    <w:rsid w:val="00384B57"/>
    <w:rsid w:val="003853A4"/>
    <w:rsid w:val="0038542A"/>
    <w:rsid w:val="0038542F"/>
    <w:rsid w:val="00385898"/>
    <w:rsid w:val="00385D98"/>
    <w:rsid w:val="00386123"/>
    <w:rsid w:val="0038676C"/>
    <w:rsid w:val="00386E7B"/>
    <w:rsid w:val="00386F9B"/>
    <w:rsid w:val="00387351"/>
    <w:rsid w:val="00387A3E"/>
    <w:rsid w:val="00387B59"/>
    <w:rsid w:val="00387F29"/>
    <w:rsid w:val="00387FB6"/>
    <w:rsid w:val="00390328"/>
    <w:rsid w:val="00390352"/>
    <w:rsid w:val="00390A71"/>
    <w:rsid w:val="00391515"/>
    <w:rsid w:val="003916FA"/>
    <w:rsid w:val="00391D0C"/>
    <w:rsid w:val="00391F85"/>
    <w:rsid w:val="00392821"/>
    <w:rsid w:val="00392B4B"/>
    <w:rsid w:val="00393603"/>
    <w:rsid w:val="00393891"/>
    <w:rsid w:val="00393BD5"/>
    <w:rsid w:val="00393CFD"/>
    <w:rsid w:val="00393FA3"/>
    <w:rsid w:val="00393FEF"/>
    <w:rsid w:val="003940FD"/>
    <w:rsid w:val="0039476E"/>
    <w:rsid w:val="00394D8E"/>
    <w:rsid w:val="00394DBC"/>
    <w:rsid w:val="00394DDC"/>
    <w:rsid w:val="00395480"/>
    <w:rsid w:val="00395A8F"/>
    <w:rsid w:val="00396135"/>
    <w:rsid w:val="003965B0"/>
    <w:rsid w:val="00396657"/>
    <w:rsid w:val="003967F7"/>
    <w:rsid w:val="003974B8"/>
    <w:rsid w:val="00397524"/>
    <w:rsid w:val="00397935"/>
    <w:rsid w:val="00397FC5"/>
    <w:rsid w:val="003A084C"/>
    <w:rsid w:val="003A09E5"/>
    <w:rsid w:val="003A0FD8"/>
    <w:rsid w:val="003A1349"/>
    <w:rsid w:val="003A183F"/>
    <w:rsid w:val="003A2255"/>
    <w:rsid w:val="003A23D5"/>
    <w:rsid w:val="003A2684"/>
    <w:rsid w:val="003A2809"/>
    <w:rsid w:val="003A288E"/>
    <w:rsid w:val="003A39D3"/>
    <w:rsid w:val="003A3E1E"/>
    <w:rsid w:val="003A3E8E"/>
    <w:rsid w:val="003A4F11"/>
    <w:rsid w:val="003A52BC"/>
    <w:rsid w:val="003A54E4"/>
    <w:rsid w:val="003A55DB"/>
    <w:rsid w:val="003A59F4"/>
    <w:rsid w:val="003A6142"/>
    <w:rsid w:val="003A62F0"/>
    <w:rsid w:val="003A645B"/>
    <w:rsid w:val="003A662C"/>
    <w:rsid w:val="003A6AE5"/>
    <w:rsid w:val="003A6CE2"/>
    <w:rsid w:val="003A6E5D"/>
    <w:rsid w:val="003A7379"/>
    <w:rsid w:val="003A7441"/>
    <w:rsid w:val="003A78C7"/>
    <w:rsid w:val="003A795B"/>
    <w:rsid w:val="003A7F99"/>
    <w:rsid w:val="003B04DC"/>
    <w:rsid w:val="003B04F9"/>
    <w:rsid w:val="003B0925"/>
    <w:rsid w:val="003B0BE4"/>
    <w:rsid w:val="003B154C"/>
    <w:rsid w:val="003B173E"/>
    <w:rsid w:val="003B1BC3"/>
    <w:rsid w:val="003B1ECD"/>
    <w:rsid w:val="003B25C2"/>
    <w:rsid w:val="003B2A9C"/>
    <w:rsid w:val="003B31B9"/>
    <w:rsid w:val="003B3557"/>
    <w:rsid w:val="003B3708"/>
    <w:rsid w:val="003B38A8"/>
    <w:rsid w:val="003B454A"/>
    <w:rsid w:val="003B47DB"/>
    <w:rsid w:val="003B4A3E"/>
    <w:rsid w:val="003B50FF"/>
    <w:rsid w:val="003B544A"/>
    <w:rsid w:val="003B5868"/>
    <w:rsid w:val="003B5A0D"/>
    <w:rsid w:val="003B620A"/>
    <w:rsid w:val="003B677B"/>
    <w:rsid w:val="003B6B57"/>
    <w:rsid w:val="003B708B"/>
    <w:rsid w:val="003B7342"/>
    <w:rsid w:val="003B7BBA"/>
    <w:rsid w:val="003B7CBA"/>
    <w:rsid w:val="003B7DC6"/>
    <w:rsid w:val="003C0285"/>
    <w:rsid w:val="003C0434"/>
    <w:rsid w:val="003C0B8A"/>
    <w:rsid w:val="003C0F08"/>
    <w:rsid w:val="003C2849"/>
    <w:rsid w:val="003C2EB0"/>
    <w:rsid w:val="003C36F2"/>
    <w:rsid w:val="003C3BCA"/>
    <w:rsid w:val="003C3E5C"/>
    <w:rsid w:val="003C4A47"/>
    <w:rsid w:val="003C4DD3"/>
    <w:rsid w:val="003C4E2E"/>
    <w:rsid w:val="003C5CC7"/>
    <w:rsid w:val="003C61C3"/>
    <w:rsid w:val="003C62E0"/>
    <w:rsid w:val="003C6876"/>
    <w:rsid w:val="003C68A3"/>
    <w:rsid w:val="003C6BC0"/>
    <w:rsid w:val="003C6D8F"/>
    <w:rsid w:val="003C6E3A"/>
    <w:rsid w:val="003C70BC"/>
    <w:rsid w:val="003C7247"/>
    <w:rsid w:val="003C734D"/>
    <w:rsid w:val="003C759E"/>
    <w:rsid w:val="003D0794"/>
    <w:rsid w:val="003D08BF"/>
    <w:rsid w:val="003D099F"/>
    <w:rsid w:val="003D0BEF"/>
    <w:rsid w:val="003D0C1D"/>
    <w:rsid w:val="003D0EBE"/>
    <w:rsid w:val="003D153C"/>
    <w:rsid w:val="003D182B"/>
    <w:rsid w:val="003D2730"/>
    <w:rsid w:val="003D285F"/>
    <w:rsid w:val="003D41EF"/>
    <w:rsid w:val="003D4399"/>
    <w:rsid w:val="003D48B4"/>
    <w:rsid w:val="003D4957"/>
    <w:rsid w:val="003D49E5"/>
    <w:rsid w:val="003D4ED9"/>
    <w:rsid w:val="003D5311"/>
    <w:rsid w:val="003D5321"/>
    <w:rsid w:val="003D567D"/>
    <w:rsid w:val="003D64F1"/>
    <w:rsid w:val="003D6BCC"/>
    <w:rsid w:val="003D6D11"/>
    <w:rsid w:val="003D7502"/>
    <w:rsid w:val="003E01F9"/>
    <w:rsid w:val="003E03DB"/>
    <w:rsid w:val="003E128B"/>
    <w:rsid w:val="003E1CCB"/>
    <w:rsid w:val="003E1D2C"/>
    <w:rsid w:val="003E1FC0"/>
    <w:rsid w:val="003E2282"/>
    <w:rsid w:val="003E26E2"/>
    <w:rsid w:val="003E3220"/>
    <w:rsid w:val="003E3A9A"/>
    <w:rsid w:val="003E3D74"/>
    <w:rsid w:val="003E4055"/>
    <w:rsid w:val="003E4B94"/>
    <w:rsid w:val="003E4D80"/>
    <w:rsid w:val="003E52C8"/>
    <w:rsid w:val="003E591B"/>
    <w:rsid w:val="003E6C53"/>
    <w:rsid w:val="003E6E74"/>
    <w:rsid w:val="003E7095"/>
    <w:rsid w:val="003E795E"/>
    <w:rsid w:val="003F002B"/>
    <w:rsid w:val="003F0114"/>
    <w:rsid w:val="003F055C"/>
    <w:rsid w:val="003F0597"/>
    <w:rsid w:val="003F06AB"/>
    <w:rsid w:val="003F0A9B"/>
    <w:rsid w:val="003F19AC"/>
    <w:rsid w:val="003F1B10"/>
    <w:rsid w:val="003F1DC4"/>
    <w:rsid w:val="003F1E97"/>
    <w:rsid w:val="003F26A3"/>
    <w:rsid w:val="003F2750"/>
    <w:rsid w:val="003F2D2F"/>
    <w:rsid w:val="003F395E"/>
    <w:rsid w:val="003F4095"/>
    <w:rsid w:val="003F571D"/>
    <w:rsid w:val="003F5AA9"/>
    <w:rsid w:val="003F5D5D"/>
    <w:rsid w:val="003F606E"/>
    <w:rsid w:val="003F6114"/>
    <w:rsid w:val="003F6B4D"/>
    <w:rsid w:val="003F6BDB"/>
    <w:rsid w:val="003F6CF5"/>
    <w:rsid w:val="003F79E6"/>
    <w:rsid w:val="003F7C64"/>
    <w:rsid w:val="00400309"/>
    <w:rsid w:val="00400675"/>
    <w:rsid w:val="004007C6"/>
    <w:rsid w:val="004008BB"/>
    <w:rsid w:val="00400AEC"/>
    <w:rsid w:val="00400CD3"/>
    <w:rsid w:val="00401071"/>
    <w:rsid w:val="004013A0"/>
    <w:rsid w:val="00401893"/>
    <w:rsid w:val="00401E0B"/>
    <w:rsid w:val="00402074"/>
    <w:rsid w:val="0040241F"/>
    <w:rsid w:val="004034C4"/>
    <w:rsid w:val="004036EC"/>
    <w:rsid w:val="0040474E"/>
    <w:rsid w:val="004052E2"/>
    <w:rsid w:val="004053FF"/>
    <w:rsid w:val="004057A9"/>
    <w:rsid w:val="004057F7"/>
    <w:rsid w:val="00405F0F"/>
    <w:rsid w:val="0040634E"/>
    <w:rsid w:val="00406658"/>
    <w:rsid w:val="00410C3E"/>
    <w:rsid w:val="00411D3A"/>
    <w:rsid w:val="00412021"/>
    <w:rsid w:val="00412277"/>
    <w:rsid w:val="00412C77"/>
    <w:rsid w:val="004133F0"/>
    <w:rsid w:val="0041356B"/>
    <w:rsid w:val="00413887"/>
    <w:rsid w:val="00413997"/>
    <w:rsid w:val="00413A78"/>
    <w:rsid w:val="00413D8B"/>
    <w:rsid w:val="00413DAF"/>
    <w:rsid w:val="00414639"/>
    <w:rsid w:val="00414685"/>
    <w:rsid w:val="00414C5D"/>
    <w:rsid w:val="00414D46"/>
    <w:rsid w:val="0041558E"/>
    <w:rsid w:val="00415AF7"/>
    <w:rsid w:val="00415D64"/>
    <w:rsid w:val="00415EEF"/>
    <w:rsid w:val="004167D1"/>
    <w:rsid w:val="00416801"/>
    <w:rsid w:val="00416864"/>
    <w:rsid w:val="00416897"/>
    <w:rsid w:val="0041690F"/>
    <w:rsid w:val="00416DF9"/>
    <w:rsid w:val="0041751A"/>
    <w:rsid w:val="00417B21"/>
    <w:rsid w:val="00420DDD"/>
    <w:rsid w:val="0042157B"/>
    <w:rsid w:val="00421791"/>
    <w:rsid w:val="004221BB"/>
    <w:rsid w:val="00422432"/>
    <w:rsid w:val="00423559"/>
    <w:rsid w:val="004236FA"/>
    <w:rsid w:val="00423B61"/>
    <w:rsid w:val="00423E8B"/>
    <w:rsid w:val="00424902"/>
    <w:rsid w:val="00424D39"/>
    <w:rsid w:val="0042526A"/>
    <w:rsid w:val="00425A9F"/>
    <w:rsid w:val="004263A9"/>
    <w:rsid w:val="004266B6"/>
    <w:rsid w:val="00426B9B"/>
    <w:rsid w:val="00426C12"/>
    <w:rsid w:val="00426D3A"/>
    <w:rsid w:val="004274DE"/>
    <w:rsid w:val="00427612"/>
    <w:rsid w:val="004278EF"/>
    <w:rsid w:val="00427A91"/>
    <w:rsid w:val="00427C75"/>
    <w:rsid w:val="00427CB3"/>
    <w:rsid w:val="00427F5A"/>
    <w:rsid w:val="0043044D"/>
    <w:rsid w:val="00430AC7"/>
    <w:rsid w:val="00430D9F"/>
    <w:rsid w:val="0043191A"/>
    <w:rsid w:val="00431C25"/>
    <w:rsid w:val="004331B2"/>
    <w:rsid w:val="00433482"/>
    <w:rsid w:val="00433744"/>
    <w:rsid w:val="00434A71"/>
    <w:rsid w:val="00434CF4"/>
    <w:rsid w:val="00434DF9"/>
    <w:rsid w:val="00435771"/>
    <w:rsid w:val="00435CFA"/>
    <w:rsid w:val="00435F43"/>
    <w:rsid w:val="00436A0D"/>
    <w:rsid w:val="004405E2"/>
    <w:rsid w:val="004408D3"/>
    <w:rsid w:val="00441584"/>
    <w:rsid w:val="00442182"/>
    <w:rsid w:val="004424F6"/>
    <w:rsid w:val="00442827"/>
    <w:rsid w:val="00442C0F"/>
    <w:rsid w:val="0044394A"/>
    <w:rsid w:val="00443B7E"/>
    <w:rsid w:val="00443EBF"/>
    <w:rsid w:val="004443C0"/>
    <w:rsid w:val="00444786"/>
    <w:rsid w:val="004458A9"/>
    <w:rsid w:val="00445912"/>
    <w:rsid w:val="00445C06"/>
    <w:rsid w:val="00445CAA"/>
    <w:rsid w:val="004477BD"/>
    <w:rsid w:val="00447B05"/>
    <w:rsid w:val="00447C43"/>
    <w:rsid w:val="00450268"/>
    <w:rsid w:val="0045037F"/>
    <w:rsid w:val="0045046D"/>
    <w:rsid w:val="004505FA"/>
    <w:rsid w:val="00450EC2"/>
    <w:rsid w:val="00451B60"/>
    <w:rsid w:val="0045241C"/>
    <w:rsid w:val="00452CB6"/>
    <w:rsid w:val="00452F84"/>
    <w:rsid w:val="00453336"/>
    <w:rsid w:val="004534D9"/>
    <w:rsid w:val="00453E78"/>
    <w:rsid w:val="0045469E"/>
    <w:rsid w:val="004548DF"/>
    <w:rsid w:val="0045538E"/>
    <w:rsid w:val="004553C8"/>
    <w:rsid w:val="00455495"/>
    <w:rsid w:val="004555C5"/>
    <w:rsid w:val="00455761"/>
    <w:rsid w:val="00455DE5"/>
    <w:rsid w:val="0045610B"/>
    <w:rsid w:val="00456521"/>
    <w:rsid w:val="00456A66"/>
    <w:rsid w:val="00460130"/>
    <w:rsid w:val="004603B6"/>
    <w:rsid w:val="00460A08"/>
    <w:rsid w:val="00460F00"/>
    <w:rsid w:val="00461558"/>
    <w:rsid w:val="00462027"/>
    <w:rsid w:val="004623D6"/>
    <w:rsid w:val="004624F5"/>
    <w:rsid w:val="00462679"/>
    <w:rsid w:val="00462B07"/>
    <w:rsid w:val="00463412"/>
    <w:rsid w:val="004636B5"/>
    <w:rsid w:val="004641E1"/>
    <w:rsid w:val="004645BA"/>
    <w:rsid w:val="00464602"/>
    <w:rsid w:val="00464619"/>
    <w:rsid w:val="00464DDC"/>
    <w:rsid w:val="00465412"/>
    <w:rsid w:val="00465418"/>
    <w:rsid w:val="0046586D"/>
    <w:rsid w:val="00466534"/>
    <w:rsid w:val="00470D97"/>
    <w:rsid w:val="00470EBC"/>
    <w:rsid w:val="00471A0E"/>
    <w:rsid w:val="00472E96"/>
    <w:rsid w:val="004730A1"/>
    <w:rsid w:val="00473449"/>
    <w:rsid w:val="004736D6"/>
    <w:rsid w:val="0047394D"/>
    <w:rsid w:val="00473BB6"/>
    <w:rsid w:val="00473F51"/>
    <w:rsid w:val="004740E3"/>
    <w:rsid w:val="00474903"/>
    <w:rsid w:val="00474DD7"/>
    <w:rsid w:val="00474EFE"/>
    <w:rsid w:val="004761E3"/>
    <w:rsid w:val="004767E4"/>
    <w:rsid w:val="004779EF"/>
    <w:rsid w:val="004802A8"/>
    <w:rsid w:val="00480405"/>
    <w:rsid w:val="00480711"/>
    <w:rsid w:val="00480806"/>
    <w:rsid w:val="00482193"/>
    <w:rsid w:val="00482532"/>
    <w:rsid w:val="00482ADD"/>
    <w:rsid w:val="00482FEE"/>
    <w:rsid w:val="0048308B"/>
    <w:rsid w:val="00483699"/>
    <w:rsid w:val="00483A4E"/>
    <w:rsid w:val="004847A4"/>
    <w:rsid w:val="00484E7F"/>
    <w:rsid w:val="00485260"/>
    <w:rsid w:val="00485496"/>
    <w:rsid w:val="00485BA1"/>
    <w:rsid w:val="00485F74"/>
    <w:rsid w:val="00486072"/>
    <w:rsid w:val="004869A6"/>
    <w:rsid w:val="00486FFD"/>
    <w:rsid w:val="004872D9"/>
    <w:rsid w:val="00487AD1"/>
    <w:rsid w:val="00487B86"/>
    <w:rsid w:val="00487D2D"/>
    <w:rsid w:val="00487D99"/>
    <w:rsid w:val="00487D9F"/>
    <w:rsid w:val="0049003B"/>
    <w:rsid w:val="00490CAD"/>
    <w:rsid w:val="00490FC0"/>
    <w:rsid w:val="00491186"/>
    <w:rsid w:val="004916BE"/>
    <w:rsid w:val="00491C57"/>
    <w:rsid w:val="004920BA"/>
    <w:rsid w:val="00492167"/>
    <w:rsid w:val="00492857"/>
    <w:rsid w:val="00493230"/>
    <w:rsid w:val="00493AB2"/>
    <w:rsid w:val="00494DED"/>
    <w:rsid w:val="00494E08"/>
    <w:rsid w:val="00495048"/>
    <w:rsid w:val="0049598F"/>
    <w:rsid w:val="00495E33"/>
    <w:rsid w:val="00495E3F"/>
    <w:rsid w:val="00496E17"/>
    <w:rsid w:val="004976CF"/>
    <w:rsid w:val="00497BB0"/>
    <w:rsid w:val="00497E32"/>
    <w:rsid w:val="00497E73"/>
    <w:rsid w:val="004A01AB"/>
    <w:rsid w:val="004A0257"/>
    <w:rsid w:val="004A07BE"/>
    <w:rsid w:val="004A1A06"/>
    <w:rsid w:val="004A1A74"/>
    <w:rsid w:val="004A214A"/>
    <w:rsid w:val="004A2A6D"/>
    <w:rsid w:val="004A2C83"/>
    <w:rsid w:val="004A2E5C"/>
    <w:rsid w:val="004A42DA"/>
    <w:rsid w:val="004A45BC"/>
    <w:rsid w:val="004A4B7E"/>
    <w:rsid w:val="004A4C07"/>
    <w:rsid w:val="004A4EFB"/>
    <w:rsid w:val="004A5171"/>
    <w:rsid w:val="004A5521"/>
    <w:rsid w:val="004A56AE"/>
    <w:rsid w:val="004A64B7"/>
    <w:rsid w:val="004A6E68"/>
    <w:rsid w:val="004A6F04"/>
    <w:rsid w:val="004A7318"/>
    <w:rsid w:val="004B0818"/>
    <w:rsid w:val="004B0B5F"/>
    <w:rsid w:val="004B0E83"/>
    <w:rsid w:val="004B1731"/>
    <w:rsid w:val="004B25CE"/>
    <w:rsid w:val="004B26C6"/>
    <w:rsid w:val="004B282D"/>
    <w:rsid w:val="004B2968"/>
    <w:rsid w:val="004B2A13"/>
    <w:rsid w:val="004B32E2"/>
    <w:rsid w:val="004B4D61"/>
    <w:rsid w:val="004B4EA2"/>
    <w:rsid w:val="004B537D"/>
    <w:rsid w:val="004B5524"/>
    <w:rsid w:val="004B58FA"/>
    <w:rsid w:val="004B625D"/>
    <w:rsid w:val="004B63DB"/>
    <w:rsid w:val="004B6578"/>
    <w:rsid w:val="004B66D7"/>
    <w:rsid w:val="004B6A3E"/>
    <w:rsid w:val="004B6D8B"/>
    <w:rsid w:val="004B7875"/>
    <w:rsid w:val="004C0DE6"/>
    <w:rsid w:val="004C1192"/>
    <w:rsid w:val="004C15F8"/>
    <w:rsid w:val="004C16CC"/>
    <w:rsid w:val="004C16FB"/>
    <w:rsid w:val="004C1C02"/>
    <w:rsid w:val="004C1F16"/>
    <w:rsid w:val="004C2564"/>
    <w:rsid w:val="004C29EA"/>
    <w:rsid w:val="004C2B80"/>
    <w:rsid w:val="004C2CF3"/>
    <w:rsid w:val="004C2E92"/>
    <w:rsid w:val="004C36C2"/>
    <w:rsid w:val="004C3C04"/>
    <w:rsid w:val="004C3D03"/>
    <w:rsid w:val="004C3E90"/>
    <w:rsid w:val="004C572D"/>
    <w:rsid w:val="004C5F04"/>
    <w:rsid w:val="004C663F"/>
    <w:rsid w:val="004C6C25"/>
    <w:rsid w:val="004C7156"/>
    <w:rsid w:val="004C79DC"/>
    <w:rsid w:val="004C7A6F"/>
    <w:rsid w:val="004C7E5F"/>
    <w:rsid w:val="004D0011"/>
    <w:rsid w:val="004D0C8E"/>
    <w:rsid w:val="004D0CF9"/>
    <w:rsid w:val="004D1C73"/>
    <w:rsid w:val="004D24AC"/>
    <w:rsid w:val="004D2545"/>
    <w:rsid w:val="004D2551"/>
    <w:rsid w:val="004D292E"/>
    <w:rsid w:val="004D2BB2"/>
    <w:rsid w:val="004D2F8F"/>
    <w:rsid w:val="004D36BB"/>
    <w:rsid w:val="004D3E0F"/>
    <w:rsid w:val="004D467B"/>
    <w:rsid w:val="004D4736"/>
    <w:rsid w:val="004D476E"/>
    <w:rsid w:val="004D50D4"/>
    <w:rsid w:val="004D580B"/>
    <w:rsid w:val="004D583D"/>
    <w:rsid w:val="004D58C3"/>
    <w:rsid w:val="004D5AAE"/>
    <w:rsid w:val="004D5ACC"/>
    <w:rsid w:val="004D6985"/>
    <w:rsid w:val="004D6E3C"/>
    <w:rsid w:val="004E1D2B"/>
    <w:rsid w:val="004E1E7B"/>
    <w:rsid w:val="004E1F3E"/>
    <w:rsid w:val="004E2151"/>
    <w:rsid w:val="004E2182"/>
    <w:rsid w:val="004E228C"/>
    <w:rsid w:val="004E29A1"/>
    <w:rsid w:val="004E2C93"/>
    <w:rsid w:val="004E57C2"/>
    <w:rsid w:val="004E64AE"/>
    <w:rsid w:val="004E6BCD"/>
    <w:rsid w:val="004E7648"/>
    <w:rsid w:val="004E7676"/>
    <w:rsid w:val="004E7AC6"/>
    <w:rsid w:val="004F0845"/>
    <w:rsid w:val="004F08B3"/>
    <w:rsid w:val="004F0C31"/>
    <w:rsid w:val="004F1031"/>
    <w:rsid w:val="004F1186"/>
    <w:rsid w:val="004F13A5"/>
    <w:rsid w:val="004F1CE7"/>
    <w:rsid w:val="004F1F28"/>
    <w:rsid w:val="004F2195"/>
    <w:rsid w:val="004F2511"/>
    <w:rsid w:val="004F274A"/>
    <w:rsid w:val="004F2A57"/>
    <w:rsid w:val="004F2B40"/>
    <w:rsid w:val="004F2C13"/>
    <w:rsid w:val="004F3158"/>
    <w:rsid w:val="004F31AE"/>
    <w:rsid w:val="004F336D"/>
    <w:rsid w:val="004F4145"/>
    <w:rsid w:val="004F45B4"/>
    <w:rsid w:val="004F4E99"/>
    <w:rsid w:val="004F54D5"/>
    <w:rsid w:val="004F6818"/>
    <w:rsid w:val="004F717E"/>
    <w:rsid w:val="004F7190"/>
    <w:rsid w:val="005000E2"/>
    <w:rsid w:val="00500368"/>
    <w:rsid w:val="005005B8"/>
    <w:rsid w:val="00500CDE"/>
    <w:rsid w:val="0050101C"/>
    <w:rsid w:val="00501220"/>
    <w:rsid w:val="0050208F"/>
    <w:rsid w:val="005021A8"/>
    <w:rsid w:val="005036AA"/>
    <w:rsid w:val="00503E0B"/>
    <w:rsid w:val="0050415B"/>
    <w:rsid w:val="00504317"/>
    <w:rsid w:val="005048BF"/>
    <w:rsid w:val="00504CF4"/>
    <w:rsid w:val="005054EB"/>
    <w:rsid w:val="00505B27"/>
    <w:rsid w:val="00506024"/>
    <w:rsid w:val="00506074"/>
    <w:rsid w:val="00506125"/>
    <w:rsid w:val="0050670F"/>
    <w:rsid w:val="005068F6"/>
    <w:rsid w:val="005070F8"/>
    <w:rsid w:val="00507194"/>
    <w:rsid w:val="0050757E"/>
    <w:rsid w:val="00510403"/>
    <w:rsid w:val="00510A6C"/>
    <w:rsid w:val="00510E39"/>
    <w:rsid w:val="00511BF4"/>
    <w:rsid w:val="00511C70"/>
    <w:rsid w:val="0051224F"/>
    <w:rsid w:val="005125C0"/>
    <w:rsid w:val="0051275F"/>
    <w:rsid w:val="00512C67"/>
    <w:rsid w:val="00512EDA"/>
    <w:rsid w:val="0051300D"/>
    <w:rsid w:val="00513AE2"/>
    <w:rsid w:val="00514107"/>
    <w:rsid w:val="00514348"/>
    <w:rsid w:val="005144B4"/>
    <w:rsid w:val="005149BB"/>
    <w:rsid w:val="00514AA1"/>
    <w:rsid w:val="00514B28"/>
    <w:rsid w:val="00515050"/>
    <w:rsid w:val="00515A6A"/>
    <w:rsid w:val="00516357"/>
    <w:rsid w:val="00516476"/>
    <w:rsid w:val="00516563"/>
    <w:rsid w:val="00517757"/>
    <w:rsid w:val="00517C03"/>
    <w:rsid w:val="00517E8E"/>
    <w:rsid w:val="00517FCA"/>
    <w:rsid w:val="00517FFC"/>
    <w:rsid w:val="00520633"/>
    <w:rsid w:val="0052067A"/>
    <w:rsid w:val="00520D7B"/>
    <w:rsid w:val="00520F2E"/>
    <w:rsid w:val="00521119"/>
    <w:rsid w:val="0052116D"/>
    <w:rsid w:val="00521528"/>
    <w:rsid w:val="005218DD"/>
    <w:rsid w:val="005221C8"/>
    <w:rsid w:val="00522412"/>
    <w:rsid w:val="00523058"/>
    <w:rsid w:val="00523D25"/>
    <w:rsid w:val="00523D67"/>
    <w:rsid w:val="00523F57"/>
    <w:rsid w:val="00524288"/>
    <w:rsid w:val="00524961"/>
    <w:rsid w:val="00524C41"/>
    <w:rsid w:val="00524D37"/>
    <w:rsid w:val="00525473"/>
    <w:rsid w:val="005255C4"/>
    <w:rsid w:val="00525AA5"/>
    <w:rsid w:val="00525D87"/>
    <w:rsid w:val="00526265"/>
    <w:rsid w:val="005266AF"/>
    <w:rsid w:val="00526CDB"/>
    <w:rsid w:val="005277B2"/>
    <w:rsid w:val="00527960"/>
    <w:rsid w:val="00527EE1"/>
    <w:rsid w:val="005304BA"/>
    <w:rsid w:val="005314AE"/>
    <w:rsid w:val="0053158B"/>
    <w:rsid w:val="0053174B"/>
    <w:rsid w:val="005317CB"/>
    <w:rsid w:val="00531886"/>
    <w:rsid w:val="005318F5"/>
    <w:rsid w:val="00531EEA"/>
    <w:rsid w:val="00532045"/>
    <w:rsid w:val="005326C8"/>
    <w:rsid w:val="00532A49"/>
    <w:rsid w:val="00533169"/>
    <w:rsid w:val="005334A6"/>
    <w:rsid w:val="00533578"/>
    <w:rsid w:val="005337CF"/>
    <w:rsid w:val="00533B6F"/>
    <w:rsid w:val="0053504C"/>
    <w:rsid w:val="00535FFC"/>
    <w:rsid w:val="0053615F"/>
    <w:rsid w:val="00536632"/>
    <w:rsid w:val="00536948"/>
    <w:rsid w:val="00536E3B"/>
    <w:rsid w:val="00537481"/>
    <w:rsid w:val="00537615"/>
    <w:rsid w:val="00537C07"/>
    <w:rsid w:val="00537DF6"/>
    <w:rsid w:val="0054030F"/>
    <w:rsid w:val="00540588"/>
    <w:rsid w:val="00540A00"/>
    <w:rsid w:val="00540F79"/>
    <w:rsid w:val="005415CE"/>
    <w:rsid w:val="005417DE"/>
    <w:rsid w:val="00541B15"/>
    <w:rsid w:val="00541C78"/>
    <w:rsid w:val="005427BB"/>
    <w:rsid w:val="00543561"/>
    <w:rsid w:val="005435FA"/>
    <w:rsid w:val="00543627"/>
    <w:rsid w:val="00543E16"/>
    <w:rsid w:val="005442CC"/>
    <w:rsid w:val="005445F8"/>
    <w:rsid w:val="0054488E"/>
    <w:rsid w:val="005453CB"/>
    <w:rsid w:val="005458E7"/>
    <w:rsid w:val="00546852"/>
    <w:rsid w:val="00546863"/>
    <w:rsid w:val="00546C99"/>
    <w:rsid w:val="00547478"/>
    <w:rsid w:val="00550190"/>
    <w:rsid w:val="005504C3"/>
    <w:rsid w:val="00550728"/>
    <w:rsid w:val="005508D7"/>
    <w:rsid w:val="00550BB8"/>
    <w:rsid w:val="00551093"/>
    <w:rsid w:val="00551E5F"/>
    <w:rsid w:val="00551EB6"/>
    <w:rsid w:val="005526E3"/>
    <w:rsid w:val="0055286E"/>
    <w:rsid w:val="00552F30"/>
    <w:rsid w:val="00553041"/>
    <w:rsid w:val="005536C6"/>
    <w:rsid w:val="00554427"/>
    <w:rsid w:val="00554C84"/>
    <w:rsid w:val="00554E16"/>
    <w:rsid w:val="0055572E"/>
    <w:rsid w:val="005561CE"/>
    <w:rsid w:val="0055630F"/>
    <w:rsid w:val="005569C6"/>
    <w:rsid w:val="00556DA0"/>
    <w:rsid w:val="005578D2"/>
    <w:rsid w:val="005600CA"/>
    <w:rsid w:val="00560376"/>
    <w:rsid w:val="0056081E"/>
    <w:rsid w:val="00560DBD"/>
    <w:rsid w:val="005611EE"/>
    <w:rsid w:val="00562001"/>
    <w:rsid w:val="00562E03"/>
    <w:rsid w:val="00563E7E"/>
    <w:rsid w:val="005642ED"/>
    <w:rsid w:val="00564355"/>
    <w:rsid w:val="005647A1"/>
    <w:rsid w:val="005648F9"/>
    <w:rsid w:val="005649F1"/>
    <w:rsid w:val="00564AE2"/>
    <w:rsid w:val="00564AE8"/>
    <w:rsid w:val="00564B68"/>
    <w:rsid w:val="00565558"/>
    <w:rsid w:val="00565A52"/>
    <w:rsid w:val="00565CC8"/>
    <w:rsid w:val="00565CF3"/>
    <w:rsid w:val="00565DA5"/>
    <w:rsid w:val="005662A6"/>
    <w:rsid w:val="00566392"/>
    <w:rsid w:val="005700C4"/>
    <w:rsid w:val="00570CD3"/>
    <w:rsid w:val="005719EC"/>
    <w:rsid w:val="00571EAA"/>
    <w:rsid w:val="005723E2"/>
    <w:rsid w:val="005725BA"/>
    <w:rsid w:val="00572675"/>
    <w:rsid w:val="005726ED"/>
    <w:rsid w:val="00572EA4"/>
    <w:rsid w:val="00573610"/>
    <w:rsid w:val="00573921"/>
    <w:rsid w:val="00573D7C"/>
    <w:rsid w:val="00573E27"/>
    <w:rsid w:val="005740DC"/>
    <w:rsid w:val="005745F5"/>
    <w:rsid w:val="00574766"/>
    <w:rsid w:val="005750DD"/>
    <w:rsid w:val="005755F5"/>
    <w:rsid w:val="00575DFD"/>
    <w:rsid w:val="00576196"/>
    <w:rsid w:val="005762E2"/>
    <w:rsid w:val="00576B1C"/>
    <w:rsid w:val="00576CE0"/>
    <w:rsid w:val="00577106"/>
    <w:rsid w:val="00577523"/>
    <w:rsid w:val="00577F25"/>
    <w:rsid w:val="005802D6"/>
    <w:rsid w:val="00581862"/>
    <w:rsid w:val="00582B29"/>
    <w:rsid w:val="00582E8B"/>
    <w:rsid w:val="0058319F"/>
    <w:rsid w:val="005833D3"/>
    <w:rsid w:val="0058352B"/>
    <w:rsid w:val="00583A31"/>
    <w:rsid w:val="005841C4"/>
    <w:rsid w:val="005846CC"/>
    <w:rsid w:val="005847F5"/>
    <w:rsid w:val="00584C29"/>
    <w:rsid w:val="00585103"/>
    <w:rsid w:val="00585980"/>
    <w:rsid w:val="00585BBB"/>
    <w:rsid w:val="00586974"/>
    <w:rsid w:val="00586CC0"/>
    <w:rsid w:val="00586D8F"/>
    <w:rsid w:val="00586FBC"/>
    <w:rsid w:val="005873B4"/>
    <w:rsid w:val="005906AE"/>
    <w:rsid w:val="00590AA0"/>
    <w:rsid w:val="00590BD7"/>
    <w:rsid w:val="00590CA6"/>
    <w:rsid w:val="00590CE2"/>
    <w:rsid w:val="005911E3"/>
    <w:rsid w:val="00591C67"/>
    <w:rsid w:val="00592193"/>
    <w:rsid w:val="005922E5"/>
    <w:rsid w:val="00592395"/>
    <w:rsid w:val="005927E2"/>
    <w:rsid w:val="00592AF3"/>
    <w:rsid w:val="00593F87"/>
    <w:rsid w:val="00594519"/>
    <w:rsid w:val="0059453B"/>
    <w:rsid w:val="005962D2"/>
    <w:rsid w:val="0059668A"/>
    <w:rsid w:val="00596E5F"/>
    <w:rsid w:val="0059747F"/>
    <w:rsid w:val="0059750C"/>
    <w:rsid w:val="005A0BFF"/>
    <w:rsid w:val="005A0C5A"/>
    <w:rsid w:val="005A1017"/>
    <w:rsid w:val="005A1071"/>
    <w:rsid w:val="005A10E5"/>
    <w:rsid w:val="005A167D"/>
    <w:rsid w:val="005A1AB7"/>
    <w:rsid w:val="005A2D84"/>
    <w:rsid w:val="005A3274"/>
    <w:rsid w:val="005A45F9"/>
    <w:rsid w:val="005A5B43"/>
    <w:rsid w:val="005A619D"/>
    <w:rsid w:val="005A6979"/>
    <w:rsid w:val="005A6A3D"/>
    <w:rsid w:val="005A7269"/>
    <w:rsid w:val="005A72A2"/>
    <w:rsid w:val="005A75B9"/>
    <w:rsid w:val="005A7E37"/>
    <w:rsid w:val="005A7F3C"/>
    <w:rsid w:val="005B01B2"/>
    <w:rsid w:val="005B02E5"/>
    <w:rsid w:val="005B06B1"/>
    <w:rsid w:val="005B0A22"/>
    <w:rsid w:val="005B0AA2"/>
    <w:rsid w:val="005B1056"/>
    <w:rsid w:val="005B1219"/>
    <w:rsid w:val="005B1922"/>
    <w:rsid w:val="005B1B88"/>
    <w:rsid w:val="005B1FAC"/>
    <w:rsid w:val="005B20BF"/>
    <w:rsid w:val="005B2530"/>
    <w:rsid w:val="005B257B"/>
    <w:rsid w:val="005B26A6"/>
    <w:rsid w:val="005B317D"/>
    <w:rsid w:val="005B382B"/>
    <w:rsid w:val="005B3BC1"/>
    <w:rsid w:val="005B433E"/>
    <w:rsid w:val="005B48AA"/>
    <w:rsid w:val="005B5497"/>
    <w:rsid w:val="005B5727"/>
    <w:rsid w:val="005B60BA"/>
    <w:rsid w:val="005B6843"/>
    <w:rsid w:val="005B6FA4"/>
    <w:rsid w:val="005B77C2"/>
    <w:rsid w:val="005C0098"/>
    <w:rsid w:val="005C14B8"/>
    <w:rsid w:val="005C1AF1"/>
    <w:rsid w:val="005C1E6B"/>
    <w:rsid w:val="005C208E"/>
    <w:rsid w:val="005C25B4"/>
    <w:rsid w:val="005C270D"/>
    <w:rsid w:val="005C28AF"/>
    <w:rsid w:val="005C2E1E"/>
    <w:rsid w:val="005C3489"/>
    <w:rsid w:val="005C3657"/>
    <w:rsid w:val="005C3938"/>
    <w:rsid w:val="005C3A77"/>
    <w:rsid w:val="005C5148"/>
    <w:rsid w:val="005C55F9"/>
    <w:rsid w:val="005C6C88"/>
    <w:rsid w:val="005C6DD2"/>
    <w:rsid w:val="005C6E39"/>
    <w:rsid w:val="005C70B5"/>
    <w:rsid w:val="005C7150"/>
    <w:rsid w:val="005C7683"/>
    <w:rsid w:val="005C769C"/>
    <w:rsid w:val="005D0695"/>
    <w:rsid w:val="005D179B"/>
    <w:rsid w:val="005D2A47"/>
    <w:rsid w:val="005D2EF5"/>
    <w:rsid w:val="005D3BB7"/>
    <w:rsid w:val="005D4712"/>
    <w:rsid w:val="005D4738"/>
    <w:rsid w:val="005D49D6"/>
    <w:rsid w:val="005D4CC9"/>
    <w:rsid w:val="005D52DE"/>
    <w:rsid w:val="005D52E5"/>
    <w:rsid w:val="005D5BFE"/>
    <w:rsid w:val="005D70CB"/>
    <w:rsid w:val="005D71C5"/>
    <w:rsid w:val="005D7606"/>
    <w:rsid w:val="005D796A"/>
    <w:rsid w:val="005D7DA0"/>
    <w:rsid w:val="005D7DD4"/>
    <w:rsid w:val="005D7F57"/>
    <w:rsid w:val="005E01D4"/>
    <w:rsid w:val="005E0434"/>
    <w:rsid w:val="005E1410"/>
    <w:rsid w:val="005E3D48"/>
    <w:rsid w:val="005E4173"/>
    <w:rsid w:val="005E4435"/>
    <w:rsid w:val="005E4718"/>
    <w:rsid w:val="005E48EF"/>
    <w:rsid w:val="005E4B45"/>
    <w:rsid w:val="005E4CA2"/>
    <w:rsid w:val="005E5010"/>
    <w:rsid w:val="005E5939"/>
    <w:rsid w:val="005E6084"/>
    <w:rsid w:val="005E61FF"/>
    <w:rsid w:val="005E63C5"/>
    <w:rsid w:val="005E685D"/>
    <w:rsid w:val="005E7AD3"/>
    <w:rsid w:val="005E7B21"/>
    <w:rsid w:val="005F019A"/>
    <w:rsid w:val="005F0942"/>
    <w:rsid w:val="005F0B15"/>
    <w:rsid w:val="005F0DE8"/>
    <w:rsid w:val="005F1E37"/>
    <w:rsid w:val="005F24C8"/>
    <w:rsid w:val="005F2E6D"/>
    <w:rsid w:val="005F2EF9"/>
    <w:rsid w:val="005F3AFB"/>
    <w:rsid w:val="005F4662"/>
    <w:rsid w:val="005F4A50"/>
    <w:rsid w:val="005F4AEA"/>
    <w:rsid w:val="005F54FC"/>
    <w:rsid w:val="005F55C4"/>
    <w:rsid w:val="005F6418"/>
    <w:rsid w:val="005F6587"/>
    <w:rsid w:val="005F6EEF"/>
    <w:rsid w:val="005F7083"/>
    <w:rsid w:val="005F7406"/>
    <w:rsid w:val="005F746B"/>
    <w:rsid w:val="005F79F7"/>
    <w:rsid w:val="006003CB"/>
    <w:rsid w:val="00600696"/>
    <w:rsid w:val="00600D66"/>
    <w:rsid w:val="00600E47"/>
    <w:rsid w:val="0060111D"/>
    <w:rsid w:val="00601796"/>
    <w:rsid w:val="0060190F"/>
    <w:rsid w:val="00601E8F"/>
    <w:rsid w:val="00602AD9"/>
    <w:rsid w:val="00602F73"/>
    <w:rsid w:val="00602F7A"/>
    <w:rsid w:val="00603A94"/>
    <w:rsid w:val="006043FD"/>
    <w:rsid w:val="0060440A"/>
    <w:rsid w:val="0060447C"/>
    <w:rsid w:val="00604713"/>
    <w:rsid w:val="00604DF5"/>
    <w:rsid w:val="00604F44"/>
    <w:rsid w:val="00605817"/>
    <w:rsid w:val="00605A98"/>
    <w:rsid w:val="00605DCA"/>
    <w:rsid w:val="00606A20"/>
    <w:rsid w:val="00606A63"/>
    <w:rsid w:val="00607358"/>
    <w:rsid w:val="0060749A"/>
    <w:rsid w:val="00607598"/>
    <w:rsid w:val="00607FD2"/>
    <w:rsid w:val="00610198"/>
    <w:rsid w:val="0061036B"/>
    <w:rsid w:val="00610745"/>
    <w:rsid w:val="00610CEA"/>
    <w:rsid w:val="00610D2D"/>
    <w:rsid w:val="0061114B"/>
    <w:rsid w:val="006119CA"/>
    <w:rsid w:val="00611A8B"/>
    <w:rsid w:val="00611FF7"/>
    <w:rsid w:val="006120C9"/>
    <w:rsid w:val="006125FD"/>
    <w:rsid w:val="0061340C"/>
    <w:rsid w:val="00613C80"/>
    <w:rsid w:val="0061401F"/>
    <w:rsid w:val="00614133"/>
    <w:rsid w:val="006149EC"/>
    <w:rsid w:val="00614EB4"/>
    <w:rsid w:val="0061646C"/>
    <w:rsid w:val="00616665"/>
    <w:rsid w:val="00616888"/>
    <w:rsid w:val="00616999"/>
    <w:rsid w:val="00616C35"/>
    <w:rsid w:val="006171F5"/>
    <w:rsid w:val="00617EBD"/>
    <w:rsid w:val="006207D5"/>
    <w:rsid w:val="0062127C"/>
    <w:rsid w:val="006218C4"/>
    <w:rsid w:val="00621B60"/>
    <w:rsid w:val="00621CB3"/>
    <w:rsid w:val="00621D3C"/>
    <w:rsid w:val="00622034"/>
    <w:rsid w:val="006220FB"/>
    <w:rsid w:val="00622701"/>
    <w:rsid w:val="00622FB4"/>
    <w:rsid w:val="0062348E"/>
    <w:rsid w:val="00623F9A"/>
    <w:rsid w:val="00624120"/>
    <w:rsid w:val="00624198"/>
    <w:rsid w:val="0062453A"/>
    <w:rsid w:val="00624553"/>
    <w:rsid w:val="006246F2"/>
    <w:rsid w:val="0062484D"/>
    <w:rsid w:val="00625C23"/>
    <w:rsid w:val="006261DD"/>
    <w:rsid w:val="00626366"/>
    <w:rsid w:val="0062638F"/>
    <w:rsid w:val="00626958"/>
    <w:rsid w:val="00626DFD"/>
    <w:rsid w:val="00626FBD"/>
    <w:rsid w:val="00627892"/>
    <w:rsid w:val="006278B7"/>
    <w:rsid w:val="00627BD1"/>
    <w:rsid w:val="00630208"/>
    <w:rsid w:val="006311ED"/>
    <w:rsid w:val="0063152B"/>
    <w:rsid w:val="0063191C"/>
    <w:rsid w:val="00632155"/>
    <w:rsid w:val="00632935"/>
    <w:rsid w:val="00632ED3"/>
    <w:rsid w:val="00632F30"/>
    <w:rsid w:val="00634C5A"/>
    <w:rsid w:val="0063564E"/>
    <w:rsid w:val="00635769"/>
    <w:rsid w:val="00636025"/>
    <w:rsid w:val="00636212"/>
    <w:rsid w:val="006362A7"/>
    <w:rsid w:val="0063665B"/>
    <w:rsid w:val="00636EA4"/>
    <w:rsid w:val="0063703B"/>
    <w:rsid w:val="0063704E"/>
    <w:rsid w:val="0063709A"/>
    <w:rsid w:val="00637C7F"/>
    <w:rsid w:val="00637CD9"/>
    <w:rsid w:val="00637CE2"/>
    <w:rsid w:val="00637CE3"/>
    <w:rsid w:val="00637E7A"/>
    <w:rsid w:val="00640167"/>
    <w:rsid w:val="0064016E"/>
    <w:rsid w:val="006402FA"/>
    <w:rsid w:val="00640824"/>
    <w:rsid w:val="006412D0"/>
    <w:rsid w:val="00641968"/>
    <w:rsid w:val="00642262"/>
    <w:rsid w:val="0064266C"/>
    <w:rsid w:val="0064294C"/>
    <w:rsid w:val="0064322D"/>
    <w:rsid w:val="00643441"/>
    <w:rsid w:val="00644729"/>
    <w:rsid w:val="00644D18"/>
    <w:rsid w:val="00645EF1"/>
    <w:rsid w:val="00646457"/>
    <w:rsid w:val="00646546"/>
    <w:rsid w:val="00646562"/>
    <w:rsid w:val="00646FB1"/>
    <w:rsid w:val="0064714D"/>
    <w:rsid w:val="00647168"/>
    <w:rsid w:val="0064727B"/>
    <w:rsid w:val="00647521"/>
    <w:rsid w:val="00647761"/>
    <w:rsid w:val="00650019"/>
    <w:rsid w:val="00650451"/>
    <w:rsid w:val="0065049D"/>
    <w:rsid w:val="0065077C"/>
    <w:rsid w:val="00651200"/>
    <w:rsid w:val="00651609"/>
    <w:rsid w:val="00651921"/>
    <w:rsid w:val="006519AC"/>
    <w:rsid w:val="00651BD7"/>
    <w:rsid w:val="006522F2"/>
    <w:rsid w:val="00652BEA"/>
    <w:rsid w:val="006532B0"/>
    <w:rsid w:val="00653492"/>
    <w:rsid w:val="0065364F"/>
    <w:rsid w:val="00653727"/>
    <w:rsid w:val="0065394F"/>
    <w:rsid w:val="00653A87"/>
    <w:rsid w:val="00654754"/>
    <w:rsid w:val="00654774"/>
    <w:rsid w:val="0065492B"/>
    <w:rsid w:val="00654B54"/>
    <w:rsid w:val="00656227"/>
    <w:rsid w:val="0065622E"/>
    <w:rsid w:val="0065634C"/>
    <w:rsid w:val="00656E9A"/>
    <w:rsid w:val="006574BC"/>
    <w:rsid w:val="0065765E"/>
    <w:rsid w:val="0065783E"/>
    <w:rsid w:val="006606D0"/>
    <w:rsid w:val="0066092E"/>
    <w:rsid w:val="00660F38"/>
    <w:rsid w:val="00660FC8"/>
    <w:rsid w:val="00661053"/>
    <w:rsid w:val="0066191C"/>
    <w:rsid w:val="00661F66"/>
    <w:rsid w:val="00662355"/>
    <w:rsid w:val="00662E45"/>
    <w:rsid w:val="006637A0"/>
    <w:rsid w:val="0066495B"/>
    <w:rsid w:val="00664A11"/>
    <w:rsid w:val="00665836"/>
    <w:rsid w:val="006658D2"/>
    <w:rsid w:val="00665B6E"/>
    <w:rsid w:val="00665D33"/>
    <w:rsid w:val="0066618F"/>
    <w:rsid w:val="006665BA"/>
    <w:rsid w:val="006669CD"/>
    <w:rsid w:val="00666AC4"/>
    <w:rsid w:val="00666BEE"/>
    <w:rsid w:val="00666F08"/>
    <w:rsid w:val="00666F35"/>
    <w:rsid w:val="0066762D"/>
    <w:rsid w:val="006676BF"/>
    <w:rsid w:val="00667B0C"/>
    <w:rsid w:val="00667FB1"/>
    <w:rsid w:val="006705C9"/>
    <w:rsid w:val="00671252"/>
    <w:rsid w:val="00671559"/>
    <w:rsid w:val="006717B1"/>
    <w:rsid w:val="0067230A"/>
    <w:rsid w:val="00672825"/>
    <w:rsid w:val="00672D64"/>
    <w:rsid w:val="006734E0"/>
    <w:rsid w:val="0067372B"/>
    <w:rsid w:val="006739BE"/>
    <w:rsid w:val="00673F13"/>
    <w:rsid w:val="0067434F"/>
    <w:rsid w:val="00674A27"/>
    <w:rsid w:val="00675277"/>
    <w:rsid w:val="0067549A"/>
    <w:rsid w:val="006769A4"/>
    <w:rsid w:val="00676C99"/>
    <w:rsid w:val="00680658"/>
    <w:rsid w:val="00680E9F"/>
    <w:rsid w:val="00681059"/>
    <w:rsid w:val="006811CE"/>
    <w:rsid w:val="006812FB"/>
    <w:rsid w:val="00681526"/>
    <w:rsid w:val="006828C4"/>
    <w:rsid w:val="0068297C"/>
    <w:rsid w:val="00682D93"/>
    <w:rsid w:val="0068393B"/>
    <w:rsid w:val="00684B7D"/>
    <w:rsid w:val="00684D57"/>
    <w:rsid w:val="006861C5"/>
    <w:rsid w:val="00686383"/>
    <w:rsid w:val="00686887"/>
    <w:rsid w:val="006868D6"/>
    <w:rsid w:val="00686D42"/>
    <w:rsid w:val="00686EEB"/>
    <w:rsid w:val="00686F89"/>
    <w:rsid w:val="00687903"/>
    <w:rsid w:val="00687A18"/>
    <w:rsid w:val="00687A90"/>
    <w:rsid w:val="00687CC7"/>
    <w:rsid w:val="00687DC4"/>
    <w:rsid w:val="0069020E"/>
    <w:rsid w:val="006905B6"/>
    <w:rsid w:val="006907BC"/>
    <w:rsid w:val="006908F6"/>
    <w:rsid w:val="00691E63"/>
    <w:rsid w:val="00692122"/>
    <w:rsid w:val="00693507"/>
    <w:rsid w:val="0069391C"/>
    <w:rsid w:val="00694734"/>
    <w:rsid w:val="00694C44"/>
    <w:rsid w:val="00694D0B"/>
    <w:rsid w:val="00694E8D"/>
    <w:rsid w:val="006950BD"/>
    <w:rsid w:val="00695C0A"/>
    <w:rsid w:val="00695C2C"/>
    <w:rsid w:val="00695E52"/>
    <w:rsid w:val="0069600C"/>
    <w:rsid w:val="0069622D"/>
    <w:rsid w:val="006968FC"/>
    <w:rsid w:val="00696CC0"/>
    <w:rsid w:val="006971B5"/>
    <w:rsid w:val="00697266"/>
    <w:rsid w:val="006978B8"/>
    <w:rsid w:val="006A01A7"/>
    <w:rsid w:val="006A0785"/>
    <w:rsid w:val="006A0829"/>
    <w:rsid w:val="006A0B80"/>
    <w:rsid w:val="006A1432"/>
    <w:rsid w:val="006A16FF"/>
    <w:rsid w:val="006A190C"/>
    <w:rsid w:val="006A29FB"/>
    <w:rsid w:val="006A3DF0"/>
    <w:rsid w:val="006A3F08"/>
    <w:rsid w:val="006A462F"/>
    <w:rsid w:val="006A4764"/>
    <w:rsid w:val="006A49CD"/>
    <w:rsid w:val="006A4CDF"/>
    <w:rsid w:val="006A570B"/>
    <w:rsid w:val="006A58F2"/>
    <w:rsid w:val="006A61AF"/>
    <w:rsid w:val="006A65FF"/>
    <w:rsid w:val="006A686A"/>
    <w:rsid w:val="006A6BA0"/>
    <w:rsid w:val="006A6D67"/>
    <w:rsid w:val="006A7143"/>
    <w:rsid w:val="006A7884"/>
    <w:rsid w:val="006A799F"/>
    <w:rsid w:val="006A7C8E"/>
    <w:rsid w:val="006A7D79"/>
    <w:rsid w:val="006B02C5"/>
    <w:rsid w:val="006B0467"/>
    <w:rsid w:val="006B0A29"/>
    <w:rsid w:val="006B1679"/>
    <w:rsid w:val="006B1BCE"/>
    <w:rsid w:val="006B1D9A"/>
    <w:rsid w:val="006B2CF1"/>
    <w:rsid w:val="006B2D3E"/>
    <w:rsid w:val="006B3647"/>
    <w:rsid w:val="006B39C6"/>
    <w:rsid w:val="006B437B"/>
    <w:rsid w:val="006B44D9"/>
    <w:rsid w:val="006B4FFF"/>
    <w:rsid w:val="006B516A"/>
    <w:rsid w:val="006B5411"/>
    <w:rsid w:val="006B617C"/>
    <w:rsid w:val="006B6923"/>
    <w:rsid w:val="006B6C17"/>
    <w:rsid w:val="006B6EDB"/>
    <w:rsid w:val="006B6EDC"/>
    <w:rsid w:val="006B6EE5"/>
    <w:rsid w:val="006C00AD"/>
    <w:rsid w:val="006C0433"/>
    <w:rsid w:val="006C0A7A"/>
    <w:rsid w:val="006C152A"/>
    <w:rsid w:val="006C161A"/>
    <w:rsid w:val="006C1AB1"/>
    <w:rsid w:val="006C2200"/>
    <w:rsid w:val="006C2657"/>
    <w:rsid w:val="006C27DB"/>
    <w:rsid w:val="006C2DEE"/>
    <w:rsid w:val="006C3083"/>
    <w:rsid w:val="006C3CD6"/>
    <w:rsid w:val="006C40F7"/>
    <w:rsid w:val="006C41F0"/>
    <w:rsid w:val="006C4C1B"/>
    <w:rsid w:val="006C535E"/>
    <w:rsid w:val="006C567F"/>
    <w:rsid w:val="006C5A97"/>
    <w:rsid w:val="006C5F7C"/>
    <w:rsid w:val="006C6A9E"/>
    <w:rsid w:val="006C6DC1"/>
    <w:rsid w:val="006C7297"/>
    <w:rsid w:val="006C7B07"/>
    <w:rsid w:val="006D10F5"/>
    <w:rsid w:val="006D1942"/>
    <w:rsid w:val="006D198D"/>
    <w:rsid w:val="006D2F32"/>
    <w:rsid w:val="006D306B"/>
    <w:rsid w:val="006D42B3"/>
    <w:rsid w:val="006D4737"/>
    <w:rsid w:val="006D513C"/>
    <w:rsid w:val="006D52CC"/>
    <w:rsid w:val="006D59A8"/>
    <w:rsid w:val="006D6790"/>
    <w:rsid w:val="006D693D"/>
    <w:rsid w:val="006D6F4A"/>
    <w:rsid w:val="006D791D"/>
    <w:rsid w:val="006D79B0"/>
    <w:rsid w:val="006E0CAE"/>
    <w:rsid w:val="006E0CF6"/>
    <w:rsid w:val="006E0F0D"/>
    <w:rsid w:val="006E1294"/>
    <w:rsid w:val="006E1555"/>
    <w:rsid w:val="006E156E"/>
    <w:rsid w:val="006E1DF4"/>
    <w:rsid w:val="006E2188"/>
    <w:rsid w:val="006E256E"/>
    <w:rsid w:val="006E2803"/>
    <w:rsid w:val="006E31BD"/>
    <w:rsid w:val="006E3D8B"/>
    <w:rsid w:val="006E43CD"/>
    <w:rsid w:val="006E49EC"/>
    <w:rsid w:val="006E507A"/>
    <w:rsid w:val="006E5152"/>
    <w:rsid w:val="006E598A"/>
    <w:rsid w:val="006E66B2"/>
    <w:rsid w:val="006E785B"/>
    <w:rsid w:val="006E7D24"/>
    <w:rsid w:val="006E7F5E"/>
    <w:rsid w:val="006F028A"/>
    <w:rsid w:val="006F03F0"/>
    <w:rsid w:val="006F04C7"/>
    <w:rsid w:val="006F0634"/>
    <w:rsid w:val="006F076F"/>
    <w:rsid w:val="006F174B"/>
    <w:rsid w:val="006F1B08"/>
    <w:rsid w:val="006F1B9E"/>
    <w:rsid w:val="006F1D06"/>
    <w:rsid w:val="006F1E98"/>
    <w:rsid w:val="006F217F"/>
    <w:rsid w:val="006F21DC"/>
    <w:rsid w:val="006F267B"/>
    <w:rsid w:val="006F28FE"/>
    <w:rsid w:val="006F2B91"/>
    <w:rsid w:val="006F2C9D"/>
    <w:rsid w:val="006F2DC6"/>
    <w:rsid w:val="006F300E"/>
    <w:rsid w:val="006F3423"/>
    <w:rsid w:val="006F37D1"/>
    <w:rsid w:val="006F38DA"/>
    <w:rsid w:val="006F3959"/>
    <w:rsid w:val="006F4215"/>
    <w:rsid w:val="006F42FA"/>
    <w:rsid w:val="006F43C7"/>
    <w:rsid w:val="006F44D1"/>
    <w:rsid w:val="006F4BCE"/>
    <w:rsid w:val="006F508C"/>
    <w:rsid w:val="006F5AA2"/>
    <w:rsid w:val="006F5B51"/>
    <w:rsid w:val="006F5DE3"/>
    <w:rsid w:val="006F6DEB"/>
    <w:rsid w:val="006F71FD"/>
    <w:rsid w:val="006F73C0"/>
    <w:rsid w:val="006F7AE5"/>
    <w:rsid w:val="006F7E44"/>
    <w:rsid w:val="006F7F25"/>
    <w:rsid w:val="007003EA"/>
    <w:rsid w:val="00700673"/>
    <w:rsid w:val="007006A9"/>
    <w:rsid w:val="0070131F"/>
    <w:rsid w:val="007016FA"/>
    <w:rsid w:val="0070298B"/>
    <w:rsid w:val="0070322D"/>
    <w:rsid w:val="0070324A"/>
    <w:rsid w:val="0070326B"/>
    <w:rsid w:val="00703299"/>
    <w:rsid w:val="00703C70"/>
    <w:rsid w:val="00704062"/>
    <w:rsid w:val="00704413"/>
    <w:rsid w:val="00704870"/>
    <w:rsid w:val="007052A3"/>
    <w:rsid w:val="0070579C"/>
    <w:rsid w:val="00705C69"/>
    <w:rsid w:val="00705CF0"/>
    <w:rsid w:val="007065DD"/>
    <w:rsid w:val="007071C1"/>
    <w:rsid w:val="00707EAE"/>
    <w:rsid w:val="00710BAC"/>
    <w:rsid w:val="00710CF4"/>
    <w:rsid w:val="00710DE1"/>
    <w:rsid w:val="00711442"/>
    <w:rsid w:val="007114A7"/>
    <w:rsid w:val="007114EE"/>
    <w:rsid w:val="007118FE"/>
    <w:rsid w:val="0071201E"/>
    <w:rsid w:val="0071204F"/>
    <w:rsid w:val="007121C5"/>
    <w:rsid w:val="00712240"/>
    <w:rsid w:val="007122EC"/>
    <w:rsid w:val="007122F1"/>
    <w:rsid w:val="00712434"/>
    <w:rsid w:val="007128C5"/>
    <w:rsid w:val="00712D64"/>
    <w:rsid w:val="00713268"/>
    <w:rsid w:val="00713844"/>
    <w:rsid w:val="007141B4"/>
    <w:rsid w:val="007143C8"/>
    <w:rsid w:val="00714616"/>
    <w:rsid w:val="00714DDC"/>
    <w:rsid w:val="00715843"/>
    <w:rsid w:val="00715BD7"/>
    <w:rsid w:val="00716287"/>
    <w:rsid w:val="0071710A"/>
    <w:rsid w:val="00717527"/>
    <w:rsid w:val="007177B2"/>
    <w:rsid w:val="00717AB5"/>
    <w:rsid w:val="00720429"/>
    <w:rsid w:val="007204A1"/>
    <w:rsid w:val="00720777"/>
    <w:rsid w:val="007211C2"/>
    <w:rsid w:val="007216A8"/>
    <w:rsid w:val="00721B3F"/>
    <w:rsid w:val="00722741"/>
    <w:rsid w:val="007228FC"/>
    <w:rsid w:val="00722E01"/>
    <w:rsid w:val="007230F9"/>
    <w:rsid w:val="00723177"/>
    <w:rsid w:val="00723F33"/>
    <w:rsid w:val="00723F55"/>
    <w:rsid w:val="00724A96"/>
    <w:rsid w:val="00724F17"/>
    <w:rsid w:val="007254E0"/>
    <w:rsid w:val="00725773"/>
    <w:rsid w:val="007257E7"/>
    <w:rsid w:val="007261B9"/>
    <w:rsid w:val="00726343"/>
    <w:rsid w:val="00726A00"/>
    <w:rsid w:val="00726A7B"/>
    <w:rsid w:val="007273A4"/>
    <w:rsid w:val="00727D0B"/>
    <w:rsid w:val="00730435"/>
    <w:rsid w:val="00730691"/>
    <w:rsid w:val="00730796"/>
    <w:rsid w:val="00731936"/>
    <w:rsid w:val="0073199E"/>
    <w:rsid w:val="00731B69"/>
    <w:rsid w:val="00731E7D"/>
    <w:rsid w:val="007329B9"/>
    <w:rsid w:val="00732AE2"/>
    <w:rsid w:val="0073424B"/>
    <w:rsid w:val="0073429C"/>
    <w:rsid w:val="007342B7"/>
    <w:rsid w:val="00734703"/>
    <w:rsid w:val="007348CB"/>
    <w:rsid w:val="00734C8D"/>
    <w:rsid w:val="00734F71"/>
    <w:rsid w:val="00735710"/>
    <w:rsid w:val="00735B92"/>
    <w:rsid w:val="00735D42"/>
    <w:rsid w:val="007361F2"/>
    <w:rsid w:val="00736536"/>
    <w:rsid w:val="007370B4"/>
    <w:rsid w:val="007373E6"/>
    <w:rsid w:val="007401EE"/>
    <w:rsid w:val="007405E3"/>
    <w:rsid w:val="00741086"/>
    <w:rsid w:val="00741BFC"/>
    <w:rsid w:val="00741C63"/>
    <w:rsid w:val="007420FE"/>
    <w:rsid w:val="00743A11"/>
    <w:rsid w:val="007446DA"/>
    <w:rsid w:val="00744814"/>
    <w:rsid w:val="00744915"/>
    <w:rsid w:val="00744BE8"/>
    <w:rsid w:val="00745934"/>
    <w:rsid w:val="00745FC4"/>
    <w:rsid w:val="0074607F"/>
    <w:rsid w:val="00746716"/>
    <w:rsid w:val="007469CB"/>
    <w:rsid w:val="00747020"/>
    <w:rsid w:val="00747456"/>
    <w:rsid w:val="0075092D"/>
    <w:rsid w:val="00750F4A"/>
    <w:rsid w:val="007510F9"/>
    <w:rsid w:val="00751B37"/>
    <w:rsid w:val="00751D7D"/>
    <w:rsid w:val="00752299"/>
    <w:rsid w:val="00752308"/>
    <w:rsid w:val="007526FB"/>
    <w:rsid w:val="00752A00"/>
    <w:rsid w:val="00752B59"/>
    <w:rsid w:val="00752FE3"/>
    <w:rsid w:val="00753008"/>
    <w:rsid w:val="0075377D"/>
    <w:rsid w:val="00753F0D"/>
    <w:rsid w:val="0075401E"/>
    <w:rsid w:val="00754131"/>
    <w:rsid w:val="00754874"/>
    <w:rsid w:val="00754A3D"/>
    <w:rsid w:val="00754B0D"/>
    <w:rsid w:val="00754EF9"/>
    <w:rsid w:val="00755405"/>
    <w:rsid w:val="00756254"/>
    <w:rsid w:val="00757057"/>
    <w:rsid w:val="0075760A"/>
    <w:rsid w:val="007578A1"/>
    <w:rsid w:val="007603F8"/>
    <w:rsid w:val="00760737"/>
    <w:rsid w:val="007610B1"/>
    <w:rsid w:val="007613EC"/>
    <w:rsid w:val="00761E4C"/>
    <w:rsid w:val="00761FEB"/>
    <w:rsid w:val="0076260D"/>
    <w:rsid w:val="00762ACD"/>
    <w:rsid w:val="00762DC7"/>
    <w:rsid w:val="00762EF2"/>
    <w:rsid w:val="00763A7F"/>
    <w:rsid w:val="00764AA8"/>
    <w:rsid w:val="00765332"/>
    <w:rsid w:val="0076556B"/>
    <w:rsid w:val="00766207"/>
    <w:rsid w:val="0076635A"/>
    <w:rsid w:val="00766412"/>
    <w:rsid w:val="007664DC"/>
    <w:rsid w:val="007667DC"/>
    <w:rsid w:val="007668EB"/>
    <w:rsid w:val="00766CAD"/>
    <w:rsid w:val="00766F90"/>
    <w:rsid w:val="007700AF"/>
    <w:rsid w:val="007701D2"/>
    <w:rsid w:val="00770760"/>
    <w:rsid w:val="007712B5"/>
    <w:rsid w:val="0077178B"/>
    <w:rsid w:val="00771CD5"/>
    <w:rsid w:val="0077271C"/>
    <w:rsid w:val="00773447"/>
    <w:rsid w:val="00773923"/>
    <w:rsid w:val="00774346"/>
    <w:rsid w:val="00774BD7"/>
    <w:rsid w:val="007751AC"/>
    <w:rsid w:val="0077521E"/>
    <w:rsid w:val="00775976"/>
    <w:rsid w:val="007759BF"/>
    <w:rsid w:val="00776085"/>
    <w:rsid w:val="00776747"/>
    <w:rsid w:val="007768E0"/>
    <w:rsid w:val="00776DD8"/>
    <w:rsid w:val="007772CE"/>
    <w:rsid w:val="0077740E"/>
    <w:rsid w:val="007776B4"/>
    <w:rsid w:val="00777BAD"/>
    <w:rsid w:val="00777C6A"/>
    <w:rsid w:val="00781909"/>
    <w:rsid w:val="007824DA"/>
    <w:rsid w:val="00782ED5"/>
    <w:rsid w:val="00783359"/>
    <w:rsid w:val="00783598"/>
    <w:rsid w:val="00783A61"/>
    <w:rsid w:val="007846F9"/>
    <w:rsid w:val="0078536A"/>
    <w:rsid w:val="00785933"/>
    <w:rsid w:val="00785C9F"/>
    <w:rsid w:val="007865B9"/>
    <w:rsid w:val="00786610"/>
    <w:rsid w:val="007866F8"/>
    <w:rsid w:val="0078693A"/>
    <w:rsid w:val="00786D7C"/>
    <w:rsid w:val="00786D9A"/>
    <w:rsid w:val="0078712F"/>
    <w:rsid w:val="0078733F"/>
    <w:rsid w:val="007877AC"/>
    <w:rsid w:val="00787A0A"/>
    <w:rsid w:val="00787E0A"/>
    <w:rsid w:val="00787E0B"/>
    <w:rsid w:val="00787E31"/>
    <w:rsid w:val="00790108"/>
    <w:rsid w:val="007908AE"/>
    <w:rsid w:val="00791BCB"/>
    <w:rsid w:val="00791D38"/>
    <w:rsid w:val="00794108"/>
    <w:rsid w:val="007941EB"/>
    <w:rsid w:val="007942C3"/>
    <w:rsid w:val="007943B3"/>
    <w:rsid w:val="0079442B"/>
    <w:rsid w:val="00797773"/>
    <w:rsid w:val="00797E01"/>
    <w:rsid w:val="007A02BD"/>
    <w:rsid w:val="007A10F3"/>
    <w:rsid w:val="007A309A"/>
    <w:rsid w:val="007A36FF"/>
    <w:rsid w:val="007A3737"/>
    <w:rsid w:val="007A3888"/>
    <w:rsid w:val="007A4028"/>
    <w:rsid w:val="007A4756"/>
    <w:rsid w:val="007A47B9"/>
    <w:rsid w:val="007A54DC"/>
    <w:rsid w:val="007A633F"/>
    <w:rsid w:val="007A6EC6"/>
    <w:rsid w:val="007A72F4"/>
    <w:rsid w:val="007A73FD"/>
    <w:rsid w:val="007A7A32"/>
    <w:rsid w:val="007B0273"/>
    <w:rsid w:val="007B02B2"/>
    <w:rsid w:val="007B1531"/>
    <w:rsid w:val="007B15B1"/>
    <w:rsid w:val="007B31E9"/>
    <w:rsid w:val="007B35FA"/>
    <w:rsid w:val="007B385E"/>
    <w:rsid w:val="007B38A4"/>
    <w:rsid w:val="007B42CD"/>
    <w:rsid w:val="007B4A64"/>
    <w:rsid w:val="007B4CA2"/>
    <w:rsid w:val="007B4DB2"/>
    <w:rsid w:val="007B5077"/>
    <w:rsid w:val="007B5828"/>
    <w:rsid w:val="007B5ACB"/>
    <w:rsid w:val="007B5F97"/>
    <w:rsid w:val="007B669C"/>
    <w:rsid w:val="007B6AA6"/>
    <w:rsid w:val="007B6BF5"/>
    <w:rsid w:val="007B7348"/>
    <w:rsid w:val="007B7924"/>
    <w:rsid w:val="007B7B56"/>
    <w:rsid w:val="007B7C1E"/>
    <w:rsid w:val="007B7D0A"/>
    <w:rsid w:val="007C0D05"/>
    <w:rsid w:val="007C14C0"/>
    <w:rsid w:val="007C18E9"/>
    <w:rsid w:val="007C1922"/>
    <w:rsid w:val="007C1C7F"/>
    <w:rsid w:val="007C2152"/>
    <w:rsid w:val="007C2ADE"/>
    <w:rsid w:val="007C2B36"/>
    <w:rsid w:val="007C2C91"/>
    <w:rsid w:val="007C2EA2"/>
    <w:rsid w:val="007C31AF"/>
    <w:rsid w:val="007C3BDA"/>
    <w:rsid w:val="007C3FAA"/>
    <w:rsid w:val="007C42F0"/>
    <w:rsid w:val="007C4501"/>
    <w:rsid w:val="007C479E"/>
    <w:rsid w:val="007C4C7C"/>
    <w:rsid w:val="007C53DE"/>
    <w:rsid w:val="007C55D0"/>
    <w:rsid w:val="007C58F2"/>
    <w:rsid w:val="007C6439"/>
    <w:rsid w:val="007C64E0"/>
    <w:rsid w:val="007C6B57"/>
    <w:rsid w:val="007C6C67"/>
    <w:rsid w:val="007C6D65"/>
    <w:rsid w:val="007C6E1C"/>
    <w:rsid w:val="007D0A3A"/>
    <w:rsid w:val="007D0B08"/>
    <w:rsid w:val="007D159B"/>
    <w:rsid w:val="007D180A"/>
    <w:rsid w:val="007D1A73"/>
    <w:rsid w:val="007D2095"/>
    <w:rsid w:val="007D2186"/>
    <w:rsid w:val="007D2250"/>
    <w:rsid w:val="007D24D5"/>
    <w:rsid w:val="007D2B98"/>
    <w:rsid w:val="007D305B"/>
    <w:rsid w:val="007D366C"/>
    <w:rsid w:val="007D3C25"/>
    <w:rsid w:val="007D3CBB"/>
    <w:rsid w:val="007D3D39"/>
    <w:rsid w:val="007D48EC"/>
    <w:rsid w:val="007D5435"/>
    <w:rsid w:val="007D6129"/>
    <w:rsid w:val="007D6390"/>
    <w:rsid w:val="007D6517"/>
    <w:rsid w:val="007D6684"/>
    <w:rsid w:val="007D66DD"/>
    <w:rsid w:val="007D6CB4"/>
    <w:rsid w:val="007D7599"/>
    <w:rsid w:val="007D789A"/>
    <w:rsid w:val="007D7DA2"/>
    <w:rsid w:val="007E00D1"/>
    <w:rsid w:val="007E01B5"/>
    <w:rsid w:val="007E027C"/>
    <w:rsid w:val="007E0508"/>
    <w:rsid w:val="007E164F"/>
    <w:rsid w:val="007E16E6"/>
    <w:rsid w:val="007E1B1B"/>
    <w:rsid w:val="007E1FEE"/>
    <w:rsid w:val="007E27C8"/>
    <w:rsid w:val="007E2D5A"/>
    <w:rsid w:val="007E305C"/>
    <w:rsid w:val="007E34D6"/>
    <w:rsid w:val="007E481F"/>
    <w:rsid w:val="007E52F7"/>
    <w:rsid w:val="007E5CDE"/>
    <w:rsid w:val="007E5F38"/>
    <w:rsid w:val="007E5F7C"/>
    <w:rsid w:val="007E5F82"/>
    <w:rsid w:val="007E66F2"/>
    <w:rsid w:val="007E6D0B"/>
    <w:rsid w:val="007E73B8"/>
    <w:rsid w:val="007E78A7"/>
    <w:rsid w:val="007E7A20"/>
    <w:rsid w:val="007E7B72"/>
    <w:rsid w:val="007E7EB0"/>
    <w:rsid w:val="007F02F0"/>
    <w:rsid w:val="007F05BB"/>
    <w:rsid w:val="007F08EA"/>
    <w:rsid w:val="007F0DF1"/>
    <w:rsid w:val="007F11D0"/>
    <w:rsid w:val="007F14D1"/>
    <w:rsid w:val="007F1A1B"/>
    <w:rsid w:val="007F1AE0"/>
    <w:rsid w:val="007F20B5"/>
    <w:rsid w:val="007F2118"/>
    <w:rsid w:val="007F2D0D"/>
    <w:rsid w:val="007F3316"/>
    <w:rsid w:val="007F3C70"/>
    <w:rsid w:val="007F3DF3"/>
    <w:rsid w:val="007F441F"/>
    <w:rsid w:val="007F48CF"/>
    <w:rsid w:val="007F5152"/>
    <w:rsid w:val="007F5247"/>
    <w:rsid w:val="007F57F9"/>
    <w:rsid w:val="007F5E32"/>
    <w:rsid w:val="007F6997"/>
    <w:rsid w:val="007F75E4"/>
    <w:rsid w:val="007F7CFD"/>
    <w:rsid w:val="00800522"/>
    <w:rsid w:val="008014BE"/>
    <w:rsid w:val="0080174E"/>
    <w:rsid w:val="00801C59"/>
    <w:rsid w:val="008023B4"/>
    <w:rsid w:val="008025E1"/>
    <w:rsid w:val="0080278A"/>
    <w:rsid w:val="00804896"/>
    <w:rsid w:val="00804987"/>
    <w:rsid w:val="00804FD2"/>
    <w:rsid w:val="008050C0"/>
    <w:rsid w:val="0080580C"/>
    <w:rsid w:val="00805948"/>
    <w:rsid w:val="00805A05"/>
    <w:rsid w:val="00805B5B"/>
    <w:rsid w:val="0080621A"/>
    <w:rsid w:val="0080651F"/>
    <w:rsid w:val="0080668F"/>
    <w:rsid w:val="0080720F"/>
    <w:rsid w:val="0080728A"/>
    <w:rsid w:val="00807330"/>
    <w:rsid w:val="008079BB"/>
    <w:rsid w:val="00807BDF"/>
    <w:rsid w:val="00807E55"/>
    <w:rsid w:val="008102EB"/>
    <w:rsid w:val="008106E8"/>
    <w:rsid w:val="00810AAE"/>
    <w:rsid w:val="00810B93"/>
    <w:rsid w:val="00810D3D"/>
    <w:rsid w:val="00811273"/>
    <w:rsid w:val="0081128A"/>
    <w:rsid w:val="008115BD"/>
    <w:rsid w:val="008116E0"/>
    <w:rsid w:val="00812577"/>
    <w:rsid w:val="0081294E"/>
    <w:rsid w:val="00813243"/>
    <w:rsid w:val="00813341"/>
    <w:rsid w:val="00813D88"/>
    <w:rsid w:val="00813EFD"/>
    <w:rsid w:val="008146A8"/>
    <w:rsid w:val="00815116"/>
    <w:rsid w:val="0081594E"/>
    <w:rsid w:val="00815A2D"/>
    <w:rsid w:val="00815AD7"/>
    <w:rsid w:val="00815D7D"/>
    <w:rsid w:val="00815EF9"/>
    <w:rsid w:val="00815FDB"/>
    <w:rsid w:val="0081601A"/>
    <w:rsid w:val="00816302"/>
    <w:rsid w:val="008165B7"/>
    <w:rsid w:val="008166B3"/>
    <w:rsid w:val="00816A82"/>
    <w:rsid w:val="008171E6"/>
    <w:rsid w:val="00820642"/>
    <w:rsid w:val="008209C2"/>
    <w:rsid w:val="00820AF8"/>
    <w:rsid w:val="00821CBB"/>
    <w:rsid w:val="00821D5A"/>
    <w:rsid w:val="008220EA"/>
    <w:rsid w:val="008223A8"/>
    <w:rsid w:val="00822DD6"/>
    <w:rsid w:val="00822ED7"/>
    <w:rsid w:val="00823002"/>
    <w:rsid w:val="008234FB"/>
    <w:rsid w:val="00823ABC"/>
    <w:rsid w:val="00823B58"/>
    <w:rsid w:val="0082453A"/>
    <w:rsid w:val="00824942"/>
    <w:rsid w:val="00824A28"/>
    <w:rsid w:val="00824B15"/>
    <w:rsid w:val="00824FDF"/>
    <w:rsid w:val="00825734"/>
    <w:rsid w:val="00825C32"/>
    <w:rsid w:val="008262FB"/>
    <w:rsid w:val="008269FE"/>
    <w:rsid w:val="00826F08"/>
    <w:rsid w:val="0082704B"/>
    <w:rsid w:val="00827A72"/>
    <w:rsid w:val="00827B27"/>
    <w:rsid w:val="0083026D"/>
    <w:rsid w:val="00830326"/>
    <w:rsid w:val="00830502"/>
    <w:rsid w:val="00830C56"/>
    <w:rsid w:val="00832761"/>
    <w:rsid w:val="00832A03"/>
    <w:rsid w:val="00832D73"/>
    <w:rsid w:val="00832E40"/>
    <w:rsid w:val="00833165"/>
    <w:rsid w:val="008333E7"/>
    <w:rsid w:val="00833AE3"/>
    <w:rsid w:val="00833B46"/>
    <w:rsid w:val="00833E1F"/>
    <w:rsid w:val="00833EE0"/>
    <w:rsid w:val="00834206"/>
    <w:rsid w:val="00834B16"/>
    <w:rsid w:val="00834BEB"/>
    <w:rsid w:val="00834C04"/>
    <w:rsid w:val="0083590F"/>
    <w:rsid w:val="008368EA"/>
    <w:rsid w:val="008369AF"/>
    <w:rsid w:val="00836B35"/>
    <w:rsid w:val="00836C37"/>
    <w:rsid w:val="00836EDE"/>
    <w:rsid w:val="00837B23"/>
    <w:rsid w:val="008401C4"/>
    <w:rsid w:val="008411D8"/>
    <w:rsid w:val="00841F5E"/>
    <w:rsid w:val="008424DE"/>
    <w:rsid w:val="00842F40"/>
    <w:rsid w:val="00843665"/>
    <w:rsid w:val="008436F4"/>
    <w:rsid w:val="00843ACF"/>
    <w:rsid w:val="00843E64"/>
    <w:rsid w:val="0084434D"/>
    <w:rsid w:val="00845274"/>
    <w:rsid w:val="008457BD"/>
    <w:rsid w:val="00845BDB"/>
    <w:rsid w:val="00846006"/>
    <w:rsid w:val="00846213"/>
    <w:rsid w:val="00846E69"/>
    <w:rsid w:val="00847219"/>
    <w:rsid w:val="00847AAC"/>
    <w:rsid w:val="00847AF9"/>
    <w:rsid w:val="00851C71"/>
    <w:rsid w:val="00852853"/>
    <w:rsid w:val="0085356F"/>
    <w:rsid w:val="008541D7"/>
    <w:rsid w:val="008549FD"/>
    <w:rsid w:val="00854A66"/>
    <w:rsid w:val="00854ADE"/>
    <w:rsid w:val="0085528F"/>
    <w:rsid w:val="008558F3"/>
    <w:rsid w:val="00855C6E"/>
    <w:rsid w:val="00855E0B"/>
    <w:rsid w:val="0085604C"/>
    <w:rsid w:val="008562DC"/>
    <w:rsid w:val="008564D3"/>
    <w:rsid w:val="00856C69"/>
    <w:rsid w:val="00856D5A"/>
    <w:rsid w:val="00856E8B"/>
    <w:rsid w:val="00857587"/>
    <w:rsid w:val="00857621"/>
    <w:rsid w:val="00857709"/>
    <w:rsid w:val="00857722"/>
    <w:rsid w:val="008577EE"/>
    <w:rsid w:val="00857BA1"/>
    <w:rsid w:val="00860470"/>
    <w:rsid w:val="00860696"/>
    <w:rsid w:val="0086071B"/>
    <w:rsid w:val="0086081C"/>
    <w:rsid w:val="00860BDA"/>
    <w:rsid w:val="0086102A"/>
    <w:rsid w:val="00861622"/>
    <w:rsid w:val="0086192D"/>
    <w:rsid w:val="008619BA"/>
    <w:rsid w:val="00861B95"/>
    <w:rsid w:val="00861C5A"/>
    <w:rsid w:val="008626B4"/>
    <w:rsid w:val="00862CC8"/>
    <w:rsid w:val="00862EFC"/>
    <w:rsid w:val="00863214"/>
    <w:rsid w:val="0086388A"/>
    <w:rsid w:val="0086396D"/>
    <w:rsid w:val="00864510"/>
    <w:rsid w:val="00864667"/>
    <w:rsid w:val="00864C65"/>
    <w:rsid w:val="00864FAF"/>
    <w:rsid w:val="0086577A"/>
    <w:rsid w:val="00865AB8"/>
    <w:rsid w:val="0086659D"/>
    <w:rsid w:val="00866FD5"/>
    <w:rsid w:val="00867311"/>
    <w:rsid w:val="0086787F"/>
    <w:rsid w:val="008679C4"/>
    <w:rsid w:val="00867E24"/>
    <w:rsid w:val="00867F46"/>
    <w:rsid w:val="00870033"/>
    <w:rsid w:val="00870656"/>
    <w:rsid w:val="0087128F"/>
    <w:rsid w:val="0087151F"/>
    <w:rsid w:val="00872539"/>
    <w:rsid w:val="0087270B"/>
    <w:rsid w:val="00872728"/>
    <w:rsid w:val="00872F28"/>
    <w:rsid w:val="00873291"/>
    <w:rsid w:val="008734F1"/>
    <w:rsid w:val="008750C1"/>
    <w:rsid w:val="00875260"/>
    <w:rsid w:val="008761F9"/>
    <w:rsid w:val="0087695C"/>
    <w:rsid w:val="00876BE8"/>
    <w:rsid w:val="00876E44"/>
    <w:rsid w:val="0087707F"/>
    <w:rsid w:val="00877657"/>
    <w:rsid w:val="00877B0A"/>
    <w:rsid w:val="00877DAA"/>
    <w:rsid w:val="00880778"/>
    <w:rsid w:val="00880CD4"/>
    <w:rsid w:val="00880EF4"/>
    <w:rsid w:val="00881315"/>
    <w:rsid w:val="00881445"/>
    <w:rsid w:val="0088226F"/>
    <w:rsid w:val="00882EDF"/>
    <w:rsid w:val="00884A8B"/>
    <w:rsid w:val="00884F5D"/>
    <w:rsid w:val="00885C3C"/>
    <w:rsid w:val="00885DA0"/>
    <w:rsid w:val="00886193"/>
    <w:rsid w:val="00886619"/>
    <w:rsid w:val="00886A86"/>
    <w:rsid w:val="00886F95"/>
    <w:rsid w:val="00887013"/>
    <w:rsid w:val="008873DB"/>
    <w:rsid w:val="00887689"/>
    <w:rsid w:val="008877AE"/>
    <w:rsid w:val="008877F7"/>
    <w:rsid w:val="00887FDD"/>
    <w:rsid w:val="008903F1"/>
    <w:rsid w:val="00890926"/>
    <w:rsid w:val="00890A40"/>
    <w:rsid w:val="00891211"/>
    <w:rsid w:val="0089184E"/>
    <w:rsid w:val="008919DB"/>
    <w:rsid w:val="008921C2"/>
    <w:rsid w:val="00892DD2"/>
    <w:rsid w:val="00892E8F"/>
    <w:rsid w:val="008935FB"/>
    <w:rsid w:val="00893796"/>
    <w:rsid w:val="008938A6"/>
    <w:rsid w:val="008938FB"/>
    <w:rsid w:val="00893948"/>
    <w:rsid w:val="008948F3"/>
    <w:rsid w:val="0089492D"/>
    <w:rsid w:val="00894A6B"/>
    <w:rsid w:val="00894DA2"/>
    <w:rsid w:val="008953AE"/>
    <w:rsid w:val="008953D6"/>
    <w:rsid w:val="00895B36"/>
    <w:rsid w:val="0089697F"/>
    <w:rsid w:val="00896D4B"/>
    <w:rsid w:val="00897A0A"/>
    <w:rsid w:val="00897F1F"/>
    <w:rsid w:val="008A03B9"/>
    <w:rsid w:val="008A11A5"/>
    <w:rsid w:val="008A1767"/>
    <w:rsid w:val="008A1BB9"/>
    <w:rsid w:val="008A2715"/>
    <w:rsid w:val="008A2FF0"/>
    <w:rsid w:val="008A35E9"/>
    <w:rsid w:val="008A37C1"/>
    <w:rsid w:val="008A38E3"/>
    <w:rsid w:val="008A395A"/>
    <w:rsid w:val="008A3B64"/>
    <w:rsid w:val="008A3C39"/>
    <w:rsid w:val="008A3D00"/>
    <w:rsid w:val="008A3E7F"/>
    <w:rsid w:val="008A3E86"/>
    <w:rsid w:val="008A446D"/>
    <w:rsid w:val="008A4773"/>
    <w:rsid w:val="008A4841"/>
    <w:rsid w:val="008A4C4A"/>
    <w:rsid w:val="008A4E3B"/>
    <w:rsid w:val="008A510A"/>
    <w:rsid w:val="008A5315"/>
    <w:rsid w:val="008A5A03"/>
    <w:rsid w:val="008A5E44"/>
    <w:rsid w:val="008A67AF"/>
    <w:rsid w:val="008A6B64"/>
    <w:rsid w:val="008A725D"/>
    <w:rsid w:val="008A72CC"/>
    <w:rsid w:val="008B037C"/>
    <w:rsid w:val="008B0DC7"/>
    <w:rsid w:val="008B12E5"/>
    <w:rsid w:val="008B1498"/>
    <w:rsid w:val="008B1979"/>
    <w:rsid w:val="008B1F34"/>
    <w:rsid w:val="008B2F52"/>
    <w:rsid w:val="008B43C7"/>
    <w:rsid w:val="008B48F4"/>
    <w:rsid w:val="008B4D45"/>
    <w:rsid w:val="008B506E"/>
    <w:rsid w:val="008B5186"/>
    <w:rsid w:val="008B5D9B"/>
    <w:rsid w:val="008B5E9B"/>
    <w:rsid w:val="008B62D2"/>
    <w:rsid w:val="008B68B2"/>
    <w:rsid w:val="008B6ADB"/>
    <w:rsid w:val="008B6D22"/>
    <w:rsid w:val="008B773A"/>
    <w:rsid w:val="008B7930"/>
    <w:rsid w:val="008C0277"/>
    <w:rsid w:val="008C0CE7"/>
    <w:rsid w:val="008C14CB"/>
    <w:rsid w:val="008C1521"/>
    <w:rsid w:val="008C1901"/>
    <w:rsid w:val="008C35F8"/>
    <w:rsid w:val="008C3674"/>
    <w:rsid w:val="008C375C"/>
    <w:rsid w:val="008C3A85"/>
    <w:rsid w:val="008C40AC"/>
    <w:rsid w:val="008C4729"/>
    <w:rsid w:val="008C4DED"/>
    <w:rsid w:val="008C5611"/>
    <w:rsid w:val="008C5C40"/>
    <w:rsid w:val="008C5E97"/>
    <w:rsid w:val="008C6EEB"/>
    <w:rsid w:val="008C7CC3"/>
    <w:rsid w:val="008C7EC2"/>
    <w:rsid w:val="008D0506"/>
    <w:rsid w:val="008D07E4"/>
    <w:rsid w:val="008D12BA"/>
    <w:rsid w:val="008D141E"/>
    <w:rsid w:val="008D27D6"/>
    <w:rsid w:val="008D2C0D"/>
    <w:rsid w:val="008D3486"/>
    <w:rsid w:val="008D37BC"/>
    <w:rsid w:val="008D4AB9"/>
    <w:rsid w:val="008D5373"/>
    <w:rsid w:val="008D663A"/>
    <w:rsid w:val="008D7F74"/>
    <w:rsid w:val="008E03CD"/>
    <w:rsid w:val="008E09B1"/>
    <w:rsid w:val="008E0E33"/>
    <w:rsid w:val="008E156F"/>
    <w:rsid w:val="008E1981"/>
    <w:rsid w:val="008E1A0C"/>
    <w:rsid w:val="008E2464"/>
    <w:rsid w:val="008E2CE3"/>
    <w:rsid w:val="008E3030"/>
    <w:rsid w:val="008E368D"/>
    <w:rsid w:val="008E3712"/>
    <w:rsid w:val="008E3DE6"/>
    <w:rsid w:val="008E3E10"/>
    <w:rsid w:val="008E4E66"/>
    <w:rsid w:val="008E4F40"/>
    <w:rsid w:val="008E5A98"/>
    <w:rsid w:val="008E5FFB"/>
    <w:rsid w:val="008E6A70"/>
    <w:rsid w:val="008E7675"/>
    <w:rsid w:val="008E7CA6"/>
    <w:rsid w:val="008F0414"/>
    <w:rsid w:val="008F18B9"/>
    <w:rsid w:val="008F1E01"/>
    <w:rsid w:val="008F2156"/>
    <w:rsid w:val="008F23F3"/>
    <w:rsid w:val="008F2490"/>
    <w:rsid w:val="008F2AFB"/>
    <w:rsid w:val="008F2D7E"/>
    <w:rsid w:val="008F2FDF"/>
    <w:rsid w:val="008F372B"/>
    <w:rsid w:val="008F3886"/>
    <w:rsid w:val="008F3CCB"/>
    <w:rsid w:val="008F3DBC"/>
    <w:rsid w:val="008F3DBD"/>
    <w:rsid w:val="008F4013"/>
    <w:rsid w:val="008F41A7"/>
    <w:rsid w:val="008F4243"/>
    <w:rsid w:val="008F4262"/>
    <w:rsid w:val="008F447E"/>
    <w:rsid w:val="008F537E"/>
    <w:rsid w:val="008F5A4E"/>
    <w:rsid w:val="008F5A7B"/>
    <w:rsid w:val="008F5B86"/>
    <w:rsid w:val="008F5C3E"/>
    <w:rsid w:val="008F62D7"/>
    <w:rsid w:val="008F62F9"/>
    <w:rsid w:val="008F6C75"/>
    <w:rsid w:val="008F7130"/>
    <w:rsid w:val="008F725C"/>
    <w:rsid w:val="008F735A"/>
    <w:rsid w:val="008F74B3"/>
    <w:rsid w:val="008F77D1"/>
    <w:rsid w:val="008F7BE3"/>
    <w:rsid w:val="00900E0A"/>
    <w:rsid w:val="00900E35"/>
    <w:rsid w:val="00901162"/>
    <w:rsid w:val="009012C7"/>
    <w:rsid w:val="00901820"/>
    <w:rsid w:val="00901B58"/>
    <w:rsid w:val="00901BC3"/>
    <w:rsid w:val="009023DC"/>
    <w:rsid w:val="0090264A"/>
    <w:rsid w:val="00902AA1"/>
    <w:rsid w:val="00902F89"/>
    <w:rsid w:val="0090312D"/>
    <w:rsid w:val="009032E3"/>
    <w:rsid w:val="0090355A"/>
    <w:rsid w:val="00903A0D"/>
    <w:rsid w:val="00903CCD"/>
    <w:rsid w:val="00903F04"/>
    <w:rsid w:val="00904017"/>
    <w:rsid w:val="00904170"/>
    <w:rsid w:val="0090502A"/>
    <w:rsid w:val="00905C5F"/>
    <w:rsid w:val="009066D9"/>
    <w:rsid w:val="009068E6"/>
    <w:rsid w:val="0090697B"/>
    <w:rsid w:val="009069B2"/>
    <w:rsid w:val="00906EAF"/>
    <w:rsid w:val="009075A4"/>
    <w:rsid w:val="00907770"/>
    <w:rsid w:val="0091060E"/>
    <w:rsid w:val="009108E1"/>
    <w:rsid w:val="00910CB8"/>
    <w:rsid w:val="00911F68"/>
    <w:rsid w:val="0091201F"/>
    <w:rsid w:val="00912146"/>
    <w:rsid w:val="00913B9C"/>
    <w:rsid w:val="00913F68"/>
    <w:rsid w:val="009141B2"/>
    <w:rsid w:val="0091550F"/>
    <w:rsid w:val="00915574"/>
    <w:rsid w:val="00915D33"/>
    <w:rsid w:val="00915FC6"/>
    <w:rsid w:val="0091653E"/>
    <w:rsid w:val="009168FD"/>
    <w:rsid w:val="0091750F"/>
    <w:rsid w:val="00917A9C"/>
    <w:rsid w:val="00917ACD"/>
    <w:rsid w:val="00917D89"/>
    <w:rsid w:val="00920597"/>
    <w:rsid w:val="00920E52"/>
    <w:rsid w:val="0092155D"/>
    <w:rsid w:val="009220EB"/>
    <w:rsid w:val="0092223F"/>
    <w:rsid w:val="009223D7"/>
    <w:rsid w:val="00922505"/>
    <w:rsid w:val="00923212"/>
    <w:rsid w:val="009233C6"/>
    <w:rsid w:val="00923472"/>
    <w:rsid w:val="00923EF1"/>
    <w:rsid w:val="00924274"/>
    <w:rsid w:val="009242E7"/>
    <w:rsid w:val="009249E1"/>
    <w:rsid w:val="00924DCE"/>
    <w:rsid w:val="00924F27"/>
    <w:rsid w:val="009259E7"/>
    <w:rsid w:val="00925AAF"/>
    <w:rsid w:val="00926923"/>
    <w:rsid w:val="00926C02"/>
    <w:rsid w:val="00927BAF"/>
    <w:rsid w:val="00930945"/>
    <w:rsid w:val="00930D9D"/>
    <w:rsid w:val="00930E13"/>
    <w:rsid w:val="0093122D"/>
    <w:rsid w:val="00931C60"/>
    <w:rsid w:val="00931E5F"/>
    <w:rsid w:val="0093243A"/>
    <w:rsid w:val="009325B3"/>
    <w:rsid w:val="00932F6B"/>
    <w:rsid w:val="00933427"/>
    <w:rsid w:val="009337BB"/>
    <w:rsid w:val="00934215"/>
    <w:rsid w:val="00934291"/>
    <w:rsid w:val="009347C0"/>
    <w:rsid w:val="009349BA"/>
    <w:rsid w:val="00934B0A"/>
    <w:rsid w:val="00934FF9"/>
    <w:rsid w:val="0093502D"/>
    <w:rsid w:val="00935057"/>
    <w:rsid w:val="009357CB"/>
    <w:rsid w:val="00935933"/>
    <w:rsid w:val="00935BCF"/>
    <w:rsid w:val="00935F5E"/>
    <w:rsid w:val="0093677C"/>
    <w:rsid w:val="009367B4"/>
    <w:rsid w:val="0093742C"/>
    <w:rsid w:val="0093763E"/>
    <w:rsid w:val="009378B8"/>
    <w:rsid w:val="00937A09"/>
    <w:rsid w:val="00937CD6"/>
    <w:rsid w:val="00937F7B"/>
    <w:rsid w:val="009402FB"/>
    <w:rsid w:val="0094085F"/>
    <w:rsid w:val="00940C9C"/>
    <w:rsid w:val="00940E14"/>
    <w:rsid w:val="009411C4"/>
    <w:rsid w:val="00941515"/>
    <w:rsid w:val="00941575"/>
    <w:rsid w:val="00941CA4"/>
    <w:rsid w:val="009423D3"/>
    <w:rsid w:val="00942627"/>
    <w:rsid w:val="0094276E"/>
    <w:rsid w:val="00942A21"/>
    <w:rsid w:val="00942C59"/>
    <w:rsid w:val="009430BE"/>
    <w:rsid w:val="009438AB"/>
    <w:rsid w:val="00943D90"/>
    <w:rsid w:val="00944092"/>
    <w:rsid w:val="00944987"/>
    <w:rsid w:val="00944A94"/>
    <w:rsid w:val="009453D5"/>
    <w:rsid w:val="0094551B"/>
    <w:rsid w:val="0094576B"/>
    <w:rsid w:val="00945A5C"/>
    <w:rsid w:val="00945D53"/>
    <w:rsid w:val="00946164"/>
    <w:rsid w:val="00946350"/>
    <w:rsid w:val="009464A2"/>
    <w:rsid w:val="00946D23"/>
    <w:rsid w:val="00947167"/>
    <w:rsid w:val="00947607"/>
    <w:rsid w:val="00947B7A"/>
    <w:rsid w:val="0095045B"/>
    <w:rsid w:val="00950CC0"/>
    <w:rsid w:val="00950F59"/>
    <w:rsid w:val="009511DF"/>
    <w:rsid w:val="00951AAD"/>
    <w:rsid w:val="00952942"/>
    <w:rsid w:val="00952D84"/>
    <w:rsid w:val="00952E99"/>
    <w:rsid w:val="0095303B"/>
    <w:rsid w:val="009533D0"/>
    <w:rsid w:val="0095363B"/>
    <w:rsid w:val="00953E37"/>
    <w:rsid w:val="0095453E"/>
    <w:rsid w:val="009549A9"/>
    <w:rsid w:val="00954AE0"/>
    <w:rsid w:val="00955013"/>
    <w:rsid w:val="00955221"/>
    <w:rsid w:val="00955268"/>
    <w:rsid w:val="009558FE"/>
    <w:rsid w:val="00955A6F"/>
    <w:rsid w:val="0095612E"/>
    <w:rsid w:val="009564BB"/>
    <w:rsid w:val="00956DF4"/>
    <w:rsid w:val="00956E84"/>
    <w:rsid w:val="00956FA5"/>
    <w:rsid w:val="0095709E"/>
    <w:rsid w:val="0095791D"/>
    <w:rsid w:val="00957CA7"/>
    <w:rsid w:val="00957E60"/>
    <w:rsid w:val="009602F4"/>
    <w:rsid w:val="00960331"/>
    <w:rsid w:val="00960393"/>
    <w:rsid w:val="00961160"/>
    <w:rsid w:val="00961FD3"/>
    <w:rsid w:val="009621E7"/>
    <w:rsid w:val="00962BF7"/>
    <w:rsid w:val="0096325D"/>
    <w:rsid w:val="009632D0"/>
    <w:rsid w:val="00963748"/>
    <w:rsid w:val="00963DD5"/>
    <w:rsid w:val="009644D1"/>
    <w:rsid w:val="00964545"/>
    <w:rsid w:val="0096481D"/>
    <w:rsid w:val="009650F0"/>
    <w:rsid w:val="00965F81"/>
    <w:rsid w:val="009663E3"/>
    <w:rsid w:val="00966687"/>
    <w:rsid w:val="00966708"/>
    <w:rsid w:val="00966CCF"/>
    <w:rsid w:val="00966FF9"/>
    <w:rsid w:val="00967D4A"/>
    <w:rsid w:val="00967EAE"/>
    <w:rsid w:val="009707E8"/>
    <w:rsid w:val="00970A8B"/>
    <w:rsid w:val="00970BE3"/>
    <w:rsid w:val="009722A8"/>
    <w:rsid w:val="009725C3"/>
    <w:rsid w:val="00972602"/>
    <w:rsid w:val="00973AF9"/>
    <w:rsid w:val="00973B07"/>
    <w:rsid w:val="00974945"/>
    <w:rsid w:val="00974C55"/>
    <w:rsid w:val="00974C5D"/>
    <w:rsid w:val="00975DB9"/>
    <w:rsid w:val="00975ED0"/>
    <w:rsid w:val="0097633D"/>
    <w:rsid w:val="0097641C"/>
    <w:rsid w:val="009765E7"/>
    <w:rsid w:val="009773D5"/>
    <w:rsid w:val="009778D5"/>
    <w:rsid w:val="00980365"/>
    <w:rsid w:val="00980E45"/>
    <w:rsid w:val="0098134E"/>
    <w:rsid w:val="009816F1"/>
    <w:rsid w:val="0098198B"/>
    <w:rsid w:val="0098225E"/>
    <w:rsid w:val="00982616"/>
    <w:rsid w:val="009835C9"/>
    <w:rsid w:val="00983A59"/>
    <w:rsid w:val="00983CE0"/>
    <w:rsid w:val="0098419A"/>
    <w:rsid w:val="00984777"/>
    <w:rsid w:val="00985026"/>
    <w:rsid w:val="00985B0B"/>
    <w:rsid w:val="00985BCF"/>
    <w:rsid w:val="00985ED7"/>
    <w:rsid w:val="00986D06"/>
    <w:rsid w:val="00987A3E"/>
    <w:rsid w:val="00987CCC"/>
    <w:rsid w:val="009900EF"/>
    <w:rsid w:val="009901B6"/>
    <w:rsid w:val="009914F6"/>
    <w:rsid w:val="00991571"/>
    <w:rsid w:val="009918FD"/>
    <w:rsid w:val="0099278D"/>
    <w:rsid w:val="0099338B"/>
    <w:rsid w:val="00993490"/>
    <w:rsid w:val="00993585"/>
    <w:rsid w:val="00993600"/>
    <w:rsid w:val="00993F95"/>
    <w:rsid w:val="00994723"/>
    <w:rsid w:val="009947F6"/>
    <w:rsid w:val="00994AC3"/>
    <w:rsid w:val="00994E39"/>
    <w:rsid w:val="00994F66"/>
    <w:rsid w:val="009951AC"/>
    <w:rsid w:val="009975EB"/>
    <w:rsid w:val="00997A79"/>
    <w:rsid w:val="009A093B"/>
    <w:rsid w:val="009A0964"/>
    <w:rsid w:val="009A0B4F"/>
    <w:rsid w:val="009A0D9D"/>
    <w:rsid w:val="009A0E18"/>
    <w:rsid w:val="009A159F"/>
    <w:rsid w:val="009A1C65"/>
    <w:rsid w:val="009A1D1F"/>
    <w:rsid w:val="009A1DFE"/>
    <w:rsid w:val="009A1F51"/>
    <w:rsid w:val="009A232B"/>
    <w:rsid w:val="009A2B6B"/>
    <w:rsid w:val="009A2C83"/>
    <w:rsid w:val="009A3237"/>
    <w:rsid w:val="009A3872"/>
    <w:rsid w:val="009A39A8"/>
    <w:rsid w:val="009A3B30"/>
    <w:rsid w:val="009A3B90"/>
    <w:rsid w:val="009A3E66"/>
    <w:rsid w:val="009A3FA9"/>
    <w:rsid w:val="009A432B"/>
    <w:rsid w:val="009A4866"/>
    <w:rsid w:val="009A488A"/>
    <w:rsid w:val="009A4A1A"/>
    <w:rsid w:val="009A5E4E"/>
    <w:rsid w:val="009A600D"/>
    <w:rsid w:val="009A6379"/>
    <w:rsid w:val="009A6B40"/>
    <w:rsid w:val="009A6CFF"/>
    <w:rsid w:val="009A70BF"/>
    <w:rsid w:val="009A78F3"/>
    <w:rsid w:val="009B00CC"/>
    <w:rsid w:val="009B02CA"/>
    <w:rsid w:val="009B03BD"/>
    <w:rsid w:val="009B0BEB"/>
    <w:rsid w:val="009B12A4"/>
    <w:rsid w:val="009B1BEA"/>
    <w:rsid w:val="009B28C0"/>
    <w:rsid w:val="009B2BE2"/>
    <w:rsid w:val="009B352C"/>
    <w:rsid w:val="009B3BFF"/>
    <w:rsid w:val="009B3E1C"/>
    <w:rsid w:val="009B3FE1"/>
    <w:rsid w:val="009B4632"/>
    <w:rsid w:val="009B5553"/>
    <w:rsid w:val="009B5581"/>
    <w:rsid w:val="009B562F"/>
    <w:rsid w:val="009B5916"/>
    <w:rsid w:val="009B5AB9"/>
    <w:rsid w:val="009B5B4F"/>
    <w:rsid w:val="009B5D1D"/>
    <w:rsid w:val="009B6398"/>
    <w:rsid w:val="009B64B9"/>
    <w:rsid w:val="009B6A59"/>
    <w:rsid w:val="009B6C02"/>
    <w:rsid w:val="009B7575"/>
    <w:rsid w:val="009B7872"/>
    <w:rsid w:val="009B7898"/>
    <w:rsid w:val="009C1188"/>
    <w:rsid w:val="009C18CD"/>
    <w:rsid w:val="009C2101"/>
    <w:rsid w:val="009C2F9A"/>
    <w:rsid w:val="009C3535"/>
    <w:rsid w:val="009C3EB6"/>
    <w:rsid w:val="009C4A48"/>
    <w:rsid w:val="009C54E6"/>
    <w:rsid w:val="009C55A8"/>
    <w:rsid w:val="009C5910"/>
    <w:rsid w:val="009C5BFE"/>
    <w:rsid w:val="009C5DAE"/>
    <w:rsid w:val="009C703E"/>
    <w:rsid w:val="009C7857"/>
    <w:rsid w:val="009C7D30"/>
    <w:rsid w:val="009D0796"/>
    <w:rsid w:val="009D1694"/>
    <w:rsid w:val="009D19B3"/>
    <w:rsid w:val="009D2166"/>
    <w:rsid w:val="009D216B"/>
    <w:rsid w:val="009D2199"/>
    <w:rsid w:val="009D2994"/>
    <w:rsid w:val="009D33CE"/>
    <w:rsid w:val="009D3480"/>
    <w:rsid w:val="009D3842"/>
    <w:rsid w:val="009D3E86"/>
    <w:rsid w:val="009D486C"/>
    <w:rsid w:val="009D58C0"/>
    <w:rsid w:val="009D5BA4"/>
    <w:rsid w:val="009D60E0"/>
    <w:rsid w:val="009D62CF"/>
    <w:rsid w:val="009D6935"/>
    <w:rsid w:val="009E0352"/>
    <w:rsid w:val="009E0474"/>
    <w:rsid w:val="009E074D"/>
    <w:rsid w:val="009E0BDE"/>
    <w:rsid w:val="009E122F"/>
    <w:rsid w:val="009E1401"/>
    <w:rsid w:val="009E1EBA"/>
    <w:rsid w:val="009E23C5"/>
    <w:rsid w:val="009E307E"/>
    <w:rsid w:val="009E341F"/>
    <w:rsid w:val="009E356A"/>
    <w:rsid w:val="009E3698"/>
    <w:rsid w:val="009E3A50"/>
    <w:rsid w:val="009E5264"/>
    <w:rsid w:val="009E538F"/>
    <w:rsid w:val="009E53DE"/>
    <w:rsid w:val="009E5E84"/>
    <w:rsid w:val="009E6064"/>
    <w:rsid w:val="009E6E6E"/>
    <w:rsid w:val="009E6EC1"/>
    <w:rsid w:val="009E7273"/>
    <w:rsid w:val="009E749B"/>
    <w:rsid w:val="009F0073"/>
    <w:rsid w:val="009F09D2"/>
    <w:rsid w:val="009F0F9E"/>
    <w:rsid w:val="009F143D"/>
    <w:rsid w:val="009F17EB"/>
    <w:rsid w:val="009F18F5"/>
    <w:rsid w:val="009F1F4F"/>
    <w:rsid w:val="009F21F5"/>
    <w:rsid w:val="009F2470"/>
    <w:rsid w:val="009F248F"/>
    <w:rsid w:val="009F24AF"/>
    <w:rsid w:val="009F2D28"/>
    <w:rsid w:val="009F2E58"/>
    <w:rsid w:val="009F313F"/>
    <w:rsid w:val="009F32D0"/>
    <w:rsid w:val="009F3627"/>
    <w:rsid w:val="009F3C01"/>
    <w:rsid w:val="009F45DC"/>
    <w:rsid w:val="009F4DD6"/>
    <w:rsid w:val="009F5495"/>
    <w:rsid w:val="009F54A4"/>
    <w:rsid w:val="009F54B9"/>
    <w:rsid w:val="009F5649"/>
    <w:rsid w:val="009F570E"/>
    <w:rsid w:val="009F6890"/>
    <w:rsid w:val="009F6A26"/>
    <w:rsid w:val="009F7D4B"/>
    <w:rsid w:val="009F7EC4"/>
    <w:rsid w:val="00A00C20"/>
    <w:rsid w:val="00A011C7"/>
    <w:rsid w:val="00A015DF"/>
    <w:rsid w:val="00A018A8"/>
    <w:rsid w:val="00A01CB1"/>
    <w:rsid w:val="00A01CF0"/>
    <w:rsid w:val="00A01EC3"/>
    <w:rsid w:val="00A02AD4"/>
    <w:rsid w:val="00A02C80"/>
    <w:rsid w:val="00A02D9F"/>
    <w:rsid w:val="00A02FA0"/>
    <w:rsid w:val="00A031E4"/>
    <w:rsid w:val="00A04FA2"/>
    <w:rsid w:val="00A052C1"/>
    <w:rsid w:val="00A054E0"/>
    <w:rsid w:val="00A055DE"/>
    <w:rsid w:val="00A0598A"/>
    <w:rsid w:val="00A0631C"/>
    <w:rsid w:val="00A06D35"/>
    <w:rsid w:val="00A07A36"/>
    <w:rsid w:val="00A1040A"/>
    <w:rsid w:val="00A12008"/>
    <w:rsid w:val="00A124EC"/>
    <w:rsid w:val="00A13009"/>
    <w:rsid w:val="00A135F5"/>
    <w:rsid w:val="00A139DA"/>
    <w:rsid w:val="00A142A9"/>
    <w:rsid w:val="00A14CF9"/>
    <w:rsid w:val="00A14F01"/>
    <w:rsid w:val="00A15626"/>
    <w:rsid w:val="00A15A64"/>
    <w:rsid w:val="00A15C3A"/>
    <w:rsid w:val="00A16178"/>
    <w:rsid w:val="00A16758"/>
    <w:rsid w:val="00A168FC"/>
    <w:rsid w:val="00A1697D"/>
    <w:rsid w:val="00A172F5"/>
    <w:rsid w:val="00A17DC9"/>
    <w:rsid w:val="00A17E0B"/>
    <w:rsid w:val="00A200E9"/>
    <w:rsid w:val="00A20F64"/>
    <w:rsid w:val="00A21CDC"/>
    <w:rsid w:val="00A21FC7"/>
    <w:rsid w:val="00A22327"/>
    <w:rsid w:val="00A229C4"/>
    <w:rsid w:val="00A22E95"/>
    <w:rsid w:val="00A23149"/>
    <w:rsid w:val="00A231DF"/>
    <w:rsid w:val="00A23300"/>
    <w:rsid w:val="00A23340"/>
    <w:rsid w:val="00A2363C"/>
    <w:rsid w:val="00A2403C"/>
    <w:rsid w:val="00A2429A"/>
    <w:rsid w:val="00A244F3"/>
    <w:rsid w:val="00A24AD0"/>
    <w:rsid w:val="00A24E04"/>
    <w:rsid w:val="00A25D88"/>
    <w:rsid w:val="00A26096"/>
    <w:rsid w:val="00A261E7"/>
    <w:rsid w:val="00A265E9"/>
    <w:rsid w:val="00A26618"/>
    <w:rsid w:val="00A269BD"/>
    <w:rsid w:val="00A26DD0"/>
    <w:rsid w:val="00A27076"/>
    <w:rsid w:val="00A27590"/>
    <w:rsid w:val="00A2760A"/>
    <w:rsid w:val="00A27E20"/>
    <w:rsid w:val="00A301F9"/>
    <w:rsid w:val="00A302AC"/>
    <w:rsid w:val="00A3065A"/>
    <w:rsid w:val="00A3070E"/>
    <w:rsid w:val="00A30B57"/>
    <w:rsid w:val="00A30D51"/>
    <w:rsid w:val="00A313AD"/>
    <w:rsid w:val="00A316CE"/>
    <w:rsid w:val="00A3179E"/>
    <w:rsid w:val="00A31ACB"/>
    <w:rsid w:val="00A3249E"/>
    <w:rsid w:val="00A328A1"/>
    <w:rsid w:val="00A32F89"/>
    <w:rsid w:val="00A341D4"/>
    <w:rsid w:val="00A36044"/>
    <w:rsid w:val="00A3620E"/>
    <w:rsid w:val="00A362EC"/>
    <w:rsid w:val="00A36805"/>
    <w:rsid w:val="00A36C53"/>
    <w:rsid w:val="00A36F1C"/>
    <w:rsid w:val="00A37335"/>
    <w:rsid w:val="00A37745"/>
    <w:rsid w:val="00A37B33"/>
    <w:rsid w:val="00A4031F"/>
    <w:rsid w:val="00A403F6"/>
    <w:rsid w:val="00A4065C"/>
    <w:rsid w:val="00A4097A"/>
    <w:rsid w:val="00A40A7A"/>
    <w:rsid w:val="00A40AA0"/>
    <w:rsid w:val="00A40B6E"/>
    <w:rsid w:val="00A40EE5"/>
    <w:rsid w:val="00A41198"/>
    <w:rsid w:val="00A418E5"/>
    <w:rsid w:val="00A41AC4"/>
    <w:rsid w:val="00A4227C"/>
    <w:rsid w:val="00A423F3"/>
    <w:rsid w:val="00A430B2"/>
    <w:rsid w:val="00A43505"/>
    <w:rsid w:val="00A436B9"/>
    <w:rsid w:val="00A43726"/>
    <w:rsid w:val="00A43789"/>
    <w:rsid w:val="00A4383C"/>
    <w:rsid w:val="00A43D1B"/>
    <w:rsid w:val="00A443A6"/>
    <w:rsid w:val="00A44C80"/>
    <w:rsid w:val="00A4527C"/>
    <w:rsid w:val="00A4532A"/>
    <w:rsid w:val="00A455AC"/>
    <w:rsid w:val="00A45E72"/>
    <w:rsid w:val="00A45FBF"/>
    <w:rsid w:val="00A46196"/>
    <w:rsid w:val="00A46435"/>
    <w:rsid w:val="00A464D8"/>
    <w:rsid w:val="00A468BE"/>
    <w:rsid w:val="00A46A06"/>
    <w:rsid w:val="00A46BF2"/>
    <w:rsid w:val="00A47930"/>
    <w:rsid w:val="00A50DDA"/>
    <w:rsid w:val="00A51935"/>
    <w:rsid w:val="00A5197C"/>
    <w:rsid w:val="00A51A1A"/>
    <w:rsid w:val="00A51A34"/>
    <w:rsid w:val="00A51A8F"/>
    <w:rsid w:val="00A52CA1"/>
    <w:rsid w:val="00A5355B"/>
    <w:rsid w:val="00A536AA"/>
    <w:rsid w:val="00A53F82"/>
    <w:rsid w:val="00A54694"/>
    <w:rsid w:val="00A55E8D"/>
    <w:rsid w:val="00A5611A"/>
    <w:rsid w:val="00A56395"/>
    <w:rsid w:val="00A5641F"/>
    <w:rsid w:val="00A564BB"/>
    <w:rsid w:val="00A56861"/>
    <w:rsid w:val="00A568F9"/>
    <w:rsid w:val="00A56EF2"/>
    <w:rsid w:val="00A5705F"/>
    <w:rsid w:val="00A5727F"/>
    <w:rsid w:val="00A576B5"/>
    <w:rsid w:val="00A57C91"/>
    <w:rsid w:val="00A57D3A"/>
    <w:rsid w:val="00A57DE6"/>
    <w:rsid w:val="00A603B7"/>
    <w:rsid w:val="00A604F3"/>
    <w:rsid w:val="00A609BA"/>
    <w:rsid w:val="00A60D46"/>
    <w:rsid w:val="00A61A67"/>
    <w:rsid w:val="00A61AA2"/>
    <w:rsid w:val="00A61F02"/>
    <w:rsid w:val="00A621CA"/>
    <w:rsid w:val="00A62205"/>
    <w:rsid w:val="00A629B5"/>
    <w:rsid w:val="00A62C7D"/>
    <w:rsid w:val="00A63315"/>
    <w:rsid w:val="00A634C8"/>
    <w:rsid w:val="00A63D4C"/>
    <w:rsid w:val="00A63E4A"/>
    <w:rsid w:val="00A646F5"/>
    <w:rsid w:val="00A647D3"/>
    <w:rsid w:val="00A65537"/>
    <w:rsid w:val="00A655D8"/>
    <w:rsid w:val="00A66570"/>
    <w:rsid w:val="00A66F60"/>
    <w:rsid w:val="00A671A0"/>
    <w:rsid w:val="00A6729C"/>
    <w:rsid w:val="00A6740B"/>
    <w:rsid w:val="00A6753A"/>
    <w:rsid w:val="00A675B6"/>
    <w:rsid w:val="00A67637"/>
    <w:rsid w:val="00A676FB"/>
    <w:rsid w:val="00A67DA1"/>
    <w:rsid w:val="00A700EA"/>
    <w:rsid w:val="00A70BDB"/>
    <w:rsid w:val="00A70FDB"/>
    <w:rsid w:val="00A71362"/>
    <w:rsid w:val="00A717BE"/>
    <w:rsid w:val="00A717CB"/>
    <w:rsid w:val="00A723E5"/>
    <w:rsid w:val="00A733C4"/>
    <w:rsid w:val="00A73480"/>
    <w:rsid w:val="00A74EBE"/>
    <w:rsid w:val="00A750F7"/>
    <w:rsid w:val="00A755CA"/>
    <w:rsid w:val="00A75A3C"/>
    <w:rsid w:val="00A75CEF"/>
    <w:rsid w:val="00A76049"/>
    <w:rsid w:val="00A7695F"/>
    <w:rsid w:val="00A76B87"/>
    <w:rsid w:val="00A76F85"/>
    <w:rsid w:val="00A775FF"/>
    <w:rsid w:val="00A7762D"/>
    <w:rsid w:val="00A803F7"/>
    <w:rsid w:val="00A807D7"/>
    <w:rsid w:val="00A80B21"/>
    <w:rsid w:val="00A80B71"/>
    <w:rsid w:val="00A80E81"/>
    <w:rsid w:val="00A819FE"/>
    <w:rsid w:val="00A8205C"/>
    <w:rsid w:val="00A8244F"/>
    <w:rsid w:val="00A82796"/>
    <w:rsid w:val="00A82B48"/>
    <w:rsid w:val="00A82D8A"/>
    <w:rsid w:val="00A82E68"/>
    <w:rsid w:val="00A83261"/>
    <w:rsid w:val="00A83309"/>
    <w:rsid w:val="00A83340"/>
    <w:rsid w:val="00A83930"/>
    <w:rsid w:val="00A84199"/>
    <w:rsid w:val="00A85587"/>
    <w:rsid w:val="00A86186"/>
    <w:rsid w:val="00A8635F"/>
    <w:rsid w:val="00A87157"/>
    <w:rsid w:val="00A87BC3"/>
    <w:rsid w:val="00A9033F"/>
    <w:rsid w:val="00A90634"/>
    <w:rsid w:val="00A9083A"/>
    <w:rsid w:val="00A90A0E"/>
    <w:rsid w:val="00A90B6B"/>
    <w:rsid w:val="00A90BE1"/>
    <w:rsid w:val="00A90EAA"/>
    <w:rsid w:val="00A910FA"/>
    <w:rsid w:val="00A91136"/>
    <w:rsid w:val="00A91FA9"/>
    <w:rsid w:val="00A92177"/>
    <w:rsid w:val="00A9229D"/>
    <w:rsid w:val="00A92584"/>
    <w:rsid w:val="00A93641"/>
    <w:rsid w:val="00A94365"/>
    <w:rsid w:val="00A945F2"/>
    <w:rsid w:val="00A948FF"/>
    <w:rsid w:val="00A94912"/>
    <w:rsid w:val="00A94B2C"/>
    <w:rsid w:val="00A94EB1"/>
    <w:rsid w:val="00A951FE"/>
    <w:rsid w:val="00A95378"/>
    <w:rsid w:val="00A954E2"/>
    <w:rsid w:val="00A956DC"/>
    <w:rsid w:val="00A964BB"/>
    <w:rsid w:val="00A96A2D"/>
    <w:rsid w:val="00A96D0E"/>
    <w:rsid w:val="00A96EA9"/>
    <w:rsid w:val="00A96FFA"/>
    <w:rsid w:val="00A97615"/>
    <w:rsid w:val="00A97705"/>
    <w:rsid w:val="00AA01D1"/>
    <w:rsid w:val="00AA0303"/>
    <w:rsid w:val="00AA0321"/>
    <w:rsid w:val="00AA1358"/>
    <w:rsid w:val="00AA2271"/>
    <w:rsid w:val="00AA2711"/>
    <w:rsid w:val="00AA2D2B"/>
    <w:rsid w:val="00AA3580"/>
    <w:rsid w:val="00AA39A9"/>
    <w:rsid w:val="00AA3AAE"/>
    <w:rsid w:val="00AA3DE6"/>
    <w:rsid w:val="00AA41AC"/>
    <w:rsid w:val="00AA4490"/>
    <w:rsid w:val="00AA4E49"/>
    <w:rsid w:val="00AA4E89"/>
    <w:rsid w:val="00AA581D"/>
    <w:rsid w:val="00AA5E8B"/>
    <w:rsid w:val="00AA5FB0"/>
    <w:rsid w:val="00AA658C"/>
    <w:rsid w:val="00AA6CB8"/>
    <w:rsid w:val="00AB04E1"/>
    <w:rsid w:val="00AB0565"/>
    <w:rsid w:val="00AB0849"/>
    <w:rsid w:val="00AB12EB"/>
    <w:rsid w:val="00AB1A9A"/>
    <w:rsid w:val="00AB2986"/>
    <w:rsid w:val="00AB2B22"/>
    <w:rsid w:val="00AB2D85"/>
    <w:rsid w:val="00AB3D1E"/>
    <w:rsid w:val="00AB3D71"/>
    <w:rsid w:val="00AB44DE"/>
    <w:rsid w:val="00AB47BD"/>
    <w:rsid w:val="00AB5FBC"/>
    <w:rsid w:val="00AB6827"/>
    <w:rsid w:val="00AB688E"/>
    <w:rsid w:val="00AB689A"/>
    <w:rsid w:val="00AB7447"/>
    <w:rsid w:val="00AB747D"/>
    <w:rsid w:val="00AB79E9"/>
    <w:rsid w:val="00AB7A0E"/>
    <w:rsid w:val="00AC077C"/>
    <w:rsid w:val="00AC08BD"/>
    <w:rsid w:val="00AC0940"/>
    <w:rsid w:val="00AC0AA3"/>
    <w:rsid w:val="00AC18D6"/>
    <w:rsid w:val="00AC18EB"/>
    <w:rsid w:val="00AC1D1A"/>
    <w:rsid w:val="00AC1F83"/>
    <w:rsid w:val="00AC2447"/>
    <w:rsid w:val="00AC2C1B"/>
    <w:rsid w:val="00AC2F19"/>
    <w:rsid w:val="00AC3A25"/>
    <w:rsid w:val="00AC3BD6"/>
    <w:rsid w:val="00AC3C2F"/>
    <w:rsid w:val="00AC5A5E"/>
    <w:rsid w:val="00AC5AB6"/>
    <w:rsid w:val="00AC5C53"/>
    <w:rsid w:val="00AC61A7"/>
    <w:rsid w:val="00AC63DC"/>
    <w:rsid w:val="00AC69E6"/>
    <w:rsid w:val="00AC6A9F"/>
    <w:rsid w:val="00AC7393"/>
    <w:rsid w:val="00AC7565"/>
    <w:rsid w:val="00AD02C3"/>
    <w:rsid w:val="00AD0726"/>
    <w:rsid w:val="00AD10D4"/>
    <w:rsid w:val="00AD1A57"/>
    <w:rsid w:val="00AD1E21"/>
    <w:rsid w:val="00AD2986"/>
    <w:rsid w:val="00AD2E7B"/>
    <w:rsid w:val="00AD48B6"/>
    <w:rsid w:val="00AD4A2D"/>
    <w:rsid w:val="00AD5103"/>
    <w:rsid w:val="00AD56DD"/>
    <w:rsid w:val="00AD574A"/>
    <w:rsid w:val="00AD619E"/>
    <w:rsid w:val="00AD6C24"/>
    <w:rsid w:val="00AD6CBE"/>
    <w:rsid w:val="00AD70E4"/>
    <w:rsid w:val="00AD75B5"/>
    <w:rsid w:val="00AD7BFF"/>
    <w:rsid w:val="00AE006A"/>
    <w:rsid w:val="00AE0EFD"/>
    <w:rsid w:val="00AE2687"/>
    <w:rsid w:val="00AE2DB8"/>
    <w:rsid w:val="00AE2ECD"/>
    <w:rsid w:val="00AE35DD"/>
    <w:rsid w:val="00AE380C"/>
    <w:rsid w:val="00AE5083"/>
    <w:rsid w:val="00AE5EE7"/>
    <w:rsid w:val="00AE6059"/>
    <w:rsid w:val="00AE655D"/>
    <w:rsid w:val="00AE66B7"/>
    <w:rsid w:val="00AE67C0"/>
    <w:rsid w:val="00AE6E9D"/>
    <w:rsid w:val="00AE6F00"/>
    <w:rsid w:val="00AE74A5"/>
    <w:rsid w:val="00AE7903"/>
    <w:rsid w:val="00AE7D8A"/>
    <w:rsid w:val="00AE7DA3"/>
    <w:rsid w:val="00AF00E0"/>
    <w:rsid w:val="00AF042E"/>
    <w:rsid w:val="00AF0E4B"/>
    <w:rsid w:val="00AF1141"/>
    <w:rsid w:val="00AF19E7"/>
    <w:rsid w:val="00AF1B96"/>
    <w:rsid w:val="00AF21C6"/>
    <w:rsid w:val="00AF23C7"/>
    <w:rsid w:val="00AF28B1"/>
    <w:rsid w:val="00AF2C2B"/>
    <w:rsid w:val="00AF3237"/>
    <w:rsid w:val="00AF35E5"/>
    <w:rsid w:val="00AF392B"/>
    <w:rsid w:val="00AF401B"/>
    <w:rsid w:val="00AF40D9"/>
    <w:rsid w:val="00AF52A6"/>
    <w:rsid w:val="00AF542E"/>
    <w:rsid w:val="00AF5B0A"/>
    <w:rsid w:val="00AF63F8"/>
    <w:rsid w:val="00AF642D"/>
    <w:rsid w:val="00AF7F13"/>
    <w:rsid w:val="00B005B5"/>
    <w:rsid w:val="00B00607"/>
    <w:rsid w:val="00B0069E"/>
    <w:rsid w:val="00B00EE6"/>
    <w:rsid w:val="00B011A9"/>
    <w:rsid w:val="00B01639"/>
    <w:rsid w:val="00B01ABC"/>
    <w:rsid w:val="00B022FA"/>
    <w:rsid w:val="00B02A59"/>
    <w:rsid w:val="00B02B69"/>
    <w:rsid w:val="00B02E8E"/>
    <w:rsid w:val="00B03314"/>
    <w:rsid w:val="00B04305"/>
    <w:rsid w:val="00B048CA"/>
    <w:rsid w:val="00B0493F"/>
    <w:rsid w:val="00B04CC4"/>
    <w:rsid w:val="00B05230"/>
    <w:rsid w:val="00B05276"/>
    <w:rsid w:val="00B05633"/>
    <w:rsid w:val="00B0591D"/>
    <w:rsid w:val="00B0599C"/>
    <w:rsid w:val="00B05D1B"/>
    <w:rsid w:val="00B05E93"/>
    <w:rsid w:val="00B06474"/>
    <w:rsid w:val="00B06761"/>
    <w:rsid w:val="00B072AA"/>
    <w:rsid w:val="00B07637"/>
    <w:rsid w:val="00B0763F"/>
    <w:rsid w:val="00B07767"/>
    <w:rsid w:val="00B07781"/>
    <w:rsid w:val="00B10314"/>
    <w:rsid w:val="00B1117A"/>
    <w:rsid w:val="00B11277"/>
    <w:rsid w:val="00B11C5B"/>
    <w:rsid w:val="00B121DC"/>
    <w:rsid w:val="00B12958"/>
    <w:rsid w:val="00B12AB4"/>
    <w:rsid w:val="00B1328A"/>
    <w:rsid w:val="00B149E1"/>
    <w:rsid w:val="00B15396"/>
    <w:rsid w:val="00B15E26"/>
    <w:rsid w:val="00B1602D"/>
    <w:rsid w:val="00B162DC"/>
    <w:rsid w:val="00B1677D"/>
    <w:rsid w:val="00B1698E"/>
    <w:rsid w:val="00B173F7"/>
    <w:rsid w:val="00B20D59"/>
    <w:rsid w:val="00B218D3"/>
    <w:rsid w:val="00B2198B"/>
    <w:rsid w:val="00B21B1A"/>
    <w:rsid w:val="00B2238B"/>
    <w:rsid w:val="00B224A6"/>
    <w:rsid w:val="00B228D4"/>
    <w:rsid w:val="00B23D08"/>
    <w:rsid w:val="00B240A9"/>
    <w:rsid w:val="00B242C2"/>
    <w:rsid w:val="00B2448C"/>
    <w:rsid w:val="00B24DE4"/>
    <w:rsid w:val="00B25C8A"/>
    <w:rsid w:val="00B25CD7"/>
    <w:rsid w:val="00B260AF"/>
    <w:rsid w:val="00B26D42"/>
    <w:rsid w:val="00B278A8"/>
    <w:rsid w:val="00B27C2A"/>
    <w:rsid w:val="00B27EB3"/>
    <w:rsid w:val="00B27EC2"/>
    <w:rsid w:val="00B30227"/>
    <w:rsid w:val="00B305FB"/>
    <w:rsid w:val="00B30A69"/>
    <w:rsid w:val="00B311B8"/>
    <w:rsid w:val="00B32603"/>
    <w:rsid w:val="00B32A1B"/>
    <w:rsid w:val="00B32BC4"/>
    <w:rsid w:val="00B32C6C"/>
    <w:rsid w:val="00B32E6C"/>
    <w:rsid w:val="00B32ECB"/>
    <w:rsid w:val="00B33720"/>
    <w:rsid w:val="00B33796"/>
    <w:rsid w:val="00B337F2"/>
    <w:rsid w:val="00B33BAE"/>
    <w:rsid w:val="00B350A9"/>
    <w:rsid w:val="00B35AA9"/>
    <w:rsid w:val="00B36084"/>
    <w:rsid w:val="00B36541"/>
    <w:rsid w:val="00B36BE4"/>
    <w:rsid w:val="00B3742E"/>
    <w:rsid w:val="00B3773E"/>
    <w:rsid w:val="00B379FE"/>
    <w:rsid w:val="00B4038C"/>
    <w:rsid w:val="00B40AB3"/>
    <w:rsid w:val="00B40D2D"/>
    <w:rsid w:val="00B41550"/>
    <w:rsid w:val="00B41D0C"/>
    <w:rsid w:val="00B41FC0"/>
    <w:rsid w:val="00B4205F"/>
    <w:rsid w:val="00B42240"/>
    <w:rsid w:val="00B42EC5"/>
    <w:rsid w:val="00B43144"/>
    <w:rsid w:val="00B433F3"/>
    <w:rsid w:val="00B435F6"/>
    <w:rsid w:val="00B437BE"/>
    <w:rsid w:val="00B438D3"/>
    <w:rsid w:val="00B43D8F"/>
    <w:rsid w:val="00B43FB4"/>
    <w:rsid w:val="00B44017"/>
    <w:rsid w:val="00B45600"/>
    <w:rsid w:val="00B45AA6"/>
    <w:rsid w:val="00B46292"/>
    <w:rsid w:val="00B46293"/>
    <w:rsid w:val="00B462A8"/>
    <w:rsid w:val="00B4656D"/>
    <w:rsid w:val="00B4685D"/>
    <w:rsid w:val="00B46A96"/>
    <w:rsid w:val="00B50228"/>
    <w:rsid w:val="00B504CC"/>
    <w:rsid w:val="00B50A2D"/>
    <w:rsid w:val="00B50B33"/>
    <w:rsid w:val="00B519D1"/>
    <w:rsid w:val="00B5259A"/>
    <w:rsid w:val="00B526CC"/>
    <w:rsid w:val="00B53AED"/>
    <w:rsid w:val="00B5442C"/>
    <w:rsid w:val="00B54498"/>
    <w:rsid w:val="00B54A6D"/>
    <w:rsid w:val="00B54C2D"/>
    <w:rsid w:val="00B54FBC"/>
    <w:rsid w:val="00B55490"/>
    <w:rsid w:val="00B5562A"/>
    <w:rsid w:val="00B565C2"/>
    <w:rsid w:val="00B569EE"/>
    <w:rsid w:val="00B575BE"/>
    <w:rsid w:val="00B600F3"/>
    <w:rsid w:val="00B60222"/>
    <w:rsid w:val="00B608C9"/>
    <w:rsid w:val="00B6117A"/>
    <w:rsid w:val="00B61D6F"/>
    <w:rsid w:val="00B61FDB"/>
    <w:rsid w:val="00B6247D"/>
    <w:rsid w:val="00B62482"/>
    <w:rsid w:val="00B631E8"/>
    <w:rsid w:val="00B635DC"/>
    <w:rsid w:val="00B63DEE"/>
    <w:rsid w:val="00B63FD1"/>
    <w:rsid w:val="00B640EA"/>
    <w:rsid w:val="00B644E9"/>
    <w:rsid w:val="00B64AB9"/>
    <w:rsid w:val="00B64FA1"/>
    <w:rsid w:val="00B656E4"/>
    <w:rsid w:val="00B6574B"/>
    <w:rsid w:val="00B65D2D"/>
    <w:rsid w:val="00B65DF6"/>
    <w:rsid w:val="00B665CD"/>
    <w:rsid w:val="00B66D87"/>
    <w:rsid w:val="00B67177"/>
    <w:rsid w:val="00B6738D"/>
    <w:rsid w:val="00B678D5"/>
    <w:rsid w:val="00B67BEE"/>
    <w:rsid w:val="00B67E12"/>
    <w:rsid w:val="00B70290"/>
    <w:rsid w:val="00B702EF"/>
    <w:rsid w:val="00B71071"/>
    <w:rsid w:val="00B72DBF"/>
    <w:rsid w:val="00B72DD4"/>
    <w:rsid w:val="00B72DF2"/>
    <w:rsid w:val="00B7364E"/>
    <w:rsid w:val="00B74340"/>
    <w:rsid w:val="00B744F4"/>
    <w:rsid w:val="00B74749"/>
    <w:rsid w:val="00B748E3"/>
    <w:rsid w:val="00B74EE6"/>
    <w:rsid w:val="00B74FA1"/>
    <w:rsid w:val="00B750FE"/>
    <w:rsid w:val="00B7526C"/>
    <w:rsid w:val="00B75895"/>
    <w:rsid w:val="00B758D7"/>
    <w:rsid w:val="00B75C5A"/>
    <w:rsid w:val="00B75D75"/>
    <w:rsid w:val="00B75FD4"/>
    <w:rsid w:val="00B76196"/>
    <w:rsid w:val="00B76551"/>
    <w:rsid w:val="00B76D5A"/>
    <w:rsid w:val="00B76E84"/>
    <w:rsid w:val="00B76F26"/>
    <w:rsid w:val="00B774FE"/>
    <w:rsid w:val="00B8042B"/>
    <w:rsid w:val="00B805C4"/>
    <w:rsid w:val="00B80662"/>
    <w:rsid w:val="00B806FD"/>
    <w:rsid w:val="00B8118D"/>
    <w:rsid w:val="00B813A1"/>
    <w:rsid w:val="00B814EF"/>
    <w:rsid w:val="00B81D64"/>
    <w:rsid w:val="00B81F4E"/>
    <w:rsid w:val="00B828C5"/>
    <w:rsid w:val="00B832C4"/>
    <w:rsid w:val="00B83763"/>
    <w:rsid w:val="00B8397C"/>
    <w:rsid w:val="00B83ACC"/>
    <w:rsid w:val="00B84497"/>
    <w:rsid w:val="00B8476E"/>
    <w:rsid w:val="00B84C8D"/>
    <w:rsid w:val="00B84E4E"/>
    <w:rsid w:val="00B85812"/>
    <w:rsid w:val="00B85BF7"/>
    <w:rsid w:val="00B85D77"/>
    <w:rsid w:val="00B85F0A"/>
    <w:rsid w:val="00B868B0"/>
    <w:rsid w:val="00B8713B"/>
    <w:rsid w:val="00B873EA"/>
    <w:rsid w:val="00B8740B"/>
    <w:rsid w:val="00B874D5"/>
    <w:rsid w:val="00B875D8"/>
    <w:rsid w:val="00B87AFE"/>
    <w:rsid w:val="00B87E11"/>
    <w:rsid w:val="00B900DE"/>
    <w:rsid w:val="00B901AE"/>
    <w:rsid w:val="00B9049E"/>
    <w:rsid w:val="00B90816"/>
    <w:rsid w:val="00B916BF"/>
    <w:rsid w:val="00B91D9D"/>
    <w:rsid w:val="00B91FF7"/>
    <w:rsid w:val="00B92143"/>
    <w:rsid w:val="00B92DC1"/>
    <w:rsid w:val="00B93F6B"/>
    <w:rsid w:val="00B9408C"/>
    <w:rsid w:val="00B9409B"/>
    <w:rsid w:val="00B94B26"/>
    <w:rsid w:val="00B94CB6"/>
    <w:rsid w:val="00B952D5"/>
    <w:rsid w:val="00B952FA"/>
    <w:rsid w:val="00B9548C"/>
    <w:rsid w:val="00B95CB8"/>
    <w:rsid w:val="00B965E0"/>
    <w:rsid w:val="00B96699"/>
    <w:rsid w:val="00B96C86"/>
    <w:rsid w:val="00B96D17"/>
    <w:rsid w:val="00B96D68"/>
    <w:rsid w:val="00B96DC8"/>
    <w:rsid w:val="00B9765B"/>
    <w:rsid w:val="00B977FA"/>
    <w:rsid w:val="00BA0851"/>
    <w:rsid w:val="00BA0B6F"/>
    <w:rsid w:val="00BA0C65"/>
    <w:rsid w:val="00BA0E18"/>
    <w:rsid w:val="00BA1007"/>
    <w:rsid w:val="00BA194F"/>
    <w:rsid w:val="00BA298E"/>
    <w:rsid w:val="00BA3032"/>
    <w:rsid w:val="00BA3463"/>
    <w:rsid w:val="00BA36C6"/>
    <w:rsid w:val="00BA3EDD"/>
    <w:rsid w:val="00BA41C1"/>
    <w:rsid w:val="00BA423A"/>
    <w:rsid w:val="00BA4EA3"/>
    <w:rsid w:val="00BA5016"/>
    <w:rsid w:val="00BA6ED8"/>
    <w:rsid w:val="00BA7143"/>
    <w:rsid w:val="00BA7326"/>
    <w:rsid w:val="00BA7B51"/>
    <w:rsid w:val="00BA7D28"/>
    <w:rsid w:val="00BA7D68"/>
    <w:rsid w:val="00BB0184"/>
    <w:rsid w:val="00BB0294"/>
    <w:rsid w:val="00BB0CB0"/>
    <w:rsid w:val="00BB0DA2"/>
    <w:rsid w:val="00BB14BA"/>
    <w:rsid w:val="00BB1583"/>
    <w:rsid w:val="00BB1F99"/>
    <w:rsid w:val="00BB1FE7"/>
    <w:rsid w:val="00BB2D57"/>
    <w:rsid w:val="00BB3366"/>
    <w:rsid w:val="00BB339F"/>
    <w:rsid w:val="00BB39EB"/>
    <w:rsid w:val="00BB3E35"/>
    <w:rsid w:val="00BB44A1"/>
    <w:rsid w:val="00BB4C06"/>
    <w:rsid w:val="00BB56FE"/>
    <w:rsid w:val="00BB5757"/>
    <w:rsid w:val="00BB6538"/>
    <w:rsid w:val="00BB6900"/>
    <w:rsid w:val="00BB6C5E"/>
    <w:rsid w:val="00BB6F9A"/>
    <w:rsid w:val="00BB6FCB"/>
    <w:rsid w:val="00BB7D26"/>
    <w:rsid w:val="00BC01BC"/>
    <w:rsid w:val="00BC05FE"/>
    <w:rsid w:val="00BC06AF"/>
    <w:rsid w:val="00BC1138"/>
    <w:rsid w:val="00BC13B4"/>
    <w:rsid w:val="00BC1AD8"/>
    <w:rsid w:val="00BC1BC6"/>
    <w:rsid w:val="00BC1C76"/>
    <w:rsid w:val="00BC23E2"/>
    <w:rsid w:val="00BC2DD8"/>
    <w:rsid w:val="00BC2FB7"/>
    <w:rsid w:val="00BC395F"/>
    <w:rsid w:val="00BC3B57"/>
    <w:rsid w:val="00BC4325"/>
    <w:rsid w:val="00BC453F"/>
    <w:rsid w:val="00BC48D0"/>
    <w:rsid w:val="00BC4C1A"/>
    <w:rsid w:val="00BC4ED5"/>
    <w:rsid w:val="00BC4FFB"/>
    <w:rsid w:val="00BC57F9"/>
    <w:rsid w:val="00BC5A1B"/>
    <w:rsid w:val="00BC5F4D"/>
    <w:rsid w:val="00BC6010"/>
    <w:rsid w:val="00BC62D6"/>
    <w:rsid w:val="00BC63F7"/>
    <w:rsid w:val="00BC684A"/>
    <w:rsid w:val="00BC69CC"/>
    <w:rsid w:val="00BC6D71"/>
    <w:rsid w:val="00BC6E00"/>
    <w:rsid w:val="00BC6F7E"/>
    <w:rsid w:val="00BC6F81"/>
    <w:rsid w:val="00BC728C"/>
    <w:rsid w:val="00BC769F"/>
    <w:rsid w:val="00BC79EE"/>
    <w:rsid w:val="00BD02E7"/>
    <w:rsid w:val="00BD03E0"/>
    <w:rsid w:val="00BD0524"/>
    <w:rsid w:val="00BD05F7"/>
    <w:rsid w:val="00BD08E6"/>
    <w:rsid w:val="00BD19E9"/>
    <w:rsid w:val="00BD2390"/>
    <w:rsid w:val="00BD294A"/>
    <w:rsid w:val="00BD2C8E"/>
    <w:rsid w:val="00BD2CC8"/>
    <w:rsid w:val="00BD2F08"/>
    <w:rsid w:val="00BD367A"/>
    <w:rsid w:val="00BD3725"/>
    <w:rsid w:val="00BD3793"/>
    <w:rsid w:val="00BD492B"/>
    <w:rsid w:val="00BD638C"/>
    <w:rsid w:val="00BD6720"/>
    <w:rsid w:val="00BD6A84"/>
    <w:rsid w:val="00BD6D90"/>
    <w:rsid w:val="00BD6EAD"/>
    <w:rsid w:val="00BD6EEC"/>
    <w:rsid w:val="00BD78F3"/>
    <w:rsid w:val="00BD7992"/>
    <w:rsid w:val="00BD7EBB"/>
    <w:rsid w:val="00BE01D7"/>
    <w:rsid w:val="00BE0393"/>
    <w:rsid w:val="00BE0FD8"/>
    <w:rsid w:val="00BE175E"/>
    <w:rsid w:val="00BE2790"/>
    <w:rsid w:val="00BE2EEB"/>
    <w:rsid w:val="00BE3CDB"/>
    <w:rsid w:val="00BE41C1"/>
    <w:rsid w:val="00BE4618"/>
    <w:rsid w:val="00BE4D38"/>
    <w:rsid w:val="00BE4FA0"/>
    <w:rsid w:val="00BE5816"/>
    <w:rsid w:val="00BE59A6"/>
    <w:rsid w:val="00BE5A50"/>
    <w:rsid w:val="00BE5E69"/>
    <w:rsid w:val="00BE6244"/>
    <w:rsid w:val="00BE625B"/>
    <w:rsid w:val="00BE784F"/>
    <w:rsid w:val="00BE7F99"/>
    <w:rsid w:val="00BF021C"/>
    <w:rsid w:val="00BF0C3B"/>
    <w:rsid w:val="00BF10E3"/>
    <w:rsid w:val="00BF111E"/>
    <w:rsid w:val="00BF1533"/>
    <w:rsid w:val="00BF157A"/>
    <w:rsid w:val="00BF1670"/>
    <w:rsid w:val="00BF2137"/>
    <w:rsid w:val="00BF21FD"/>
    <w:rsid w:val="00BF2687"/>
    <w:rsid w:val="00BF2AF5"/>
    <w:rsid w:val="00BF2B8D"/>
    <w:rsid w:val="00BF2CD6"/>
    <w:rsid w:val="00BF3407"/>
    <w:rsid w:val="00BF342F"/>
    <w:rsid w:val="00BF3C80"/>
    <w:rsid w:val="00BF3DC1"/>
    <w:rsid w:val="00BF3EED"/>
    <w:rsid w:val="00BF4569"/>
    <w:rsid w:val="00BF4587"/>
    <w:rsid w:val="00BF4698"/>
    <w:rsid w:val="00BF479A"/>
    <w:rsid w:val="00BF4AEF"/>
    <w:rsid w:val="00BF4C51"/>
    <w:rsid w:val="00BF4EC7"/>
    <w:rsid w:val="00BF53AB"/>
    <w:rsid w:val="00BF610D"/>
    <w:rsid w:val="00BF6249"/>
    <w:rsid w:val="00BF6298"/>
    <w:rsid w:val="00BF645B"/>
    <w:rsid w:val="00BF6511"/>
    <w:rsid w:val="00BF7274"/>
    <w:rsid w:val="00BF77B1"/>
    <w:rsid w:val="00BF77E7"/>
    <w:rsid w:val="00BF7B0C"/>
    <w:rsid w:val="00C00439"/>
    <w:rsid w:val="00C007F9"/>
    <w:rsid w:val="00C00BB5"/>
    <w:rsid w:val="00C00BB7"/>
    <w:rsid w:val="00C01011"/>
    <w:rsid w:val="00C017CE"/>
    <w:rsid w:val="00C0194F"/>
    <w:rsid w:val="00C01AB6"/>
    <w:rsid w:val="00C02995"/>
    <w:rsid w:val="00C02D74"/>
    <w:rsid w:val="00C035FB"/>
    <w:rsid w:val="00C03749"/>
    <w:rsid w:val="00C03B6C"/>
    <w:rsid w:val="00C0484D"/>
    <w:rsid w:val="00C04EB6"/>
    <w:rsid w:val="00C04F52"/>
    <w:rsid w:val="00C05076"/>
    <w:rsid w:val="00C05AB9"/>
    <w:rsid w:val="00C05ABB"/>
    <w:rsid w:val="00C05CB4"/>
    <w:rsid w:val="00C064A9"/>
    <w:rsid w:val="00C06C8E"/>
    <w:rsid w:val="00C07724"/>
    <w:rsid w:val="00C07A36"/>
    <w:rsid w:val="00C07FA9"/>
    <w:rsid w:val="00C10483"/>
    <w:rsid w:val="00C10758"/>
    <w:rsid w:val="00C10F82"/>
    <w:rsid w:val="00C119C4"/>
    <w:rsid w:val="00C127AB"/>
    <w:rsid w:val="00C128B1"/>
    <w:rsid w:val="00C12E3E"/>
    <w:rsid w:val="00C13046"/>
    <w:rsid w:val="00C1364C"/>
    <w:rsid w:val="00C137B2"/>
    <w:rsid w:val="00C14859"/>
    <w:rsid w:val="00C14A81"/>
    <w:rsid w:val="00C14F3B"/>
    <w:rsid w:val="00C1509A"/>
    <w:rsid w:val="00C1526E"/>
    <w:rsid w:val="00C1539D"/>
    <w:rsid w:val="00C1572D"/>
    <w:rsid w:val="00C16054"/>
    <w:rsid w:val="00C16B4D"/>
    <w:rsid w:val="00C16E8C"/>
    <w:rsid w:val="00C178D8"/>
    <w:rsid w:val="00C17D76"/>
    <w:rsid w:val="00C17DBC"/>
    <w:rsid w:val="00C17E1E"/>
    <w:rsid w:val="00C17F75"/>
    <w:rsid w:val="00C20401"/>
    <w:rsid w:val="00C2152E"/>
    <w:rsid w:val="00C217D6"/>
    <w:rsid w:val="00C218B4"/>
    <w:rsid w:val="00C21C11"/>
    <w:rsid w:val="00C21EC3"/>
    <w:rsid w:val="00C22CE3"/>
    <w:rsid w:val="00C2324B"/>
    <w:rsid w:val="00C23907"/>
    <w:rsid w:val="00C23B94"/>
    <w:rsid w:val="00C24004"/>
    <w:rsid w:val="00C24592"/>
    <w:rsid w:val="00C2460C"/>
    <w:rsid w:val="00C24881"/>
    <w:rsid w:val="00C2493A"/>
    <w:rsid w:val="00C253E2"/>
    <w:rsid w:val="00C2551C"/>
    <w:rsid w:val="00C25F33"/>
    <w:rsid w:val="00C25F42"/>
    <w:rsid w:val="00C2672E"/>
    <w:rsid w:val="00C26F14"/>
    <w:rsid w:val="00C27046"/>
    <w:rsid w:val="00C279A8"/>
    <w:rsid w:val="00C27BC1"/>
    <w:rsid w:val="00C27D33"/>
    <w:rsid w:val="00C313C4"/>
    <w:rsid w:val="00C31770"/>
    <w:rsid w:val="00C31B66"/>
    <w:rsid w:val="00C31C91"/>
    <w:rsid w:val="00C31F20"/>
    <w:rsid w:val="00C32082"/>
    <w:rsid w:val="00C32092"/>
    <w:rsid w:val="00C33064"/>
    <w:rsid w:val="00C33130"/>
    <w:rsid w:val="00C333B1"/>
    <w:rsid w:val="00C336E7"/>
    <w:rsid w:val="00C33706"/>
    <w:rsid w:val="00C33A3A"/>
    <w:rsid w:val="00C33B27"/>
    <w:rsid w:val="00C3485E"/>
    <w:rsid w:val="00C3528E"/>
    <w:rsid w:val="00C353B2"/>
    <w:rsid w:val="00C354C4"/>
    <w:rsid w:val="00C35711"/>
    <w:rsid w:val="00C3580C"/>
    <w:rsid w:val="00C3591F"/>
    <w:rsid w:val="00C35EBA"/>
    <w:rsid w:val="00C36267"/>
    <w:rsid w:val="00C376F0"/>
    <w:rsid w:val="00C37BDF"/>
    <w:rsid w:val="00C37F2C"/>
    <w:rsid w:val="00C41560"/>
    <w:rsid w:val="00C42028"/>
    <w:rsid w:val="00C42168"/>
    <w:rsid w:val="00C43777"/>
    <w:rsid w:val="00C44099"/>
    <w:rsid w:val="00C440AA"/>
    <w:rsid w:val="00C443F1"/>
    <w:rsid w:val="00C44402"/>
    <w:rsid w:val="00C44C43"/>
    <w:rsid w:val="00C44D94"/>
    <w:rsid w:val="00C454D9"/>
    <w:rsid w:val="00C464C2"/>
    <w:rsid w:val="00C46748"/>
    <w:rsid w:val="00C46C66"/>
    <w:rsid w:val="00C46D51"/>
    <w:rsid w:val="00C4717D"/>
    <w:rsid w:val="00C47258"/>
    <w:rsid w:val="00C477FD"/>
    <w:rsid w:val="00C4789A"/>
    <w:rsid w:val="00C479E6"/>
    <w:rsid w:val="00C50501"/>
    <w:rsid w:val="00C50B3D"/>
    <w:rsid w:val="00C51011"/>
    <w:rsid w:val="00C510BB"/>
    <w:rsid w:val="00C51138"/>
    <w:rsid w:val="00C52113"/>
    <w:rsid w:val="00C52920"/>
    <w:rsid w:val="00C529D0"/>
    <w:rsid w:val="00C53FD4"/>
    <w:rsid w:val="00C540B3"/>
    <w:rsid w:val="00C54302"/>
    <w:rsid w:val="00C54508"/>
    <w:rsid w:val="00C545E4"/>
    <w:rsid w:val="00C54CBC"/>
    <w:rsid w:val="00C54DF1"/>
    <w:rsid w:val="00C551E4"/>
    <w:rsid w:val="00C55371"/>
    <w:rsid w:val="00C55A0D"/>
    <w:rsid w:val="00C566D9"/>
    <w:rsid w:val="00C5681C"/>
    <w:rsid w:val="00C56BAA"/>
    <w:rsid w:val="00C56BF7"/>
    <w:rsid w:val="00C60744"/>
    <w:rsid w:val="00C619C8"/>
    <w:rsid w:val="00C628DA"/>
    <w:rsid w:val="00C6337E"/>
    <w:rsid w:val="00C635D3"/>
    <w:rsid w:val="00C63635"/>
    <w:rsid w:val="00C637DF"/>
    <w:rsid w:val="00C64270"/>
    <w:rsid w:val="00C644CF"/>
    <w:rsid w:val="00C64ABE"/>
    <w:rsid w:val="00C64EE4"/>
    <w:rsid w:val="00C65D56"/>
    <w:rsid w:val="00C66884"/>
    <w:rsid w:val="00C66AAC"/>
    <w:rsid w:val="00C66C04"/>
    <w:rsid w:val="00C67D05"/>
    <w:rsid w:val="00C7072C"/>
    <w:rsid w:val="00C7094C"/>
    <w:rsid w:val="00C70E2D"/>
    <w:rsid w:val="00C71AD4"/>
    <w:rsid w:val="00C7227F"/>
    <w:rsid w:val="00C72365"/>
    <w:rsid w:val="00C726A2"/>
    <w:rsid w:val="00C72EB1"/>
    <w:rsid w:val="00C7342C"/>
    <w:rsid w:val="00C73532"/>
    <w:rsid w:val="00C735CE"/>
    <w:rsid w:val="00C73787"/>
    <w:rsid w:val="00C74690"/>
    <w:rsid w:val="00C75B85"/>
    <w:rsid w:val="00C76E81"/>
    <w:rsid w:val="00C76EE4"/>
    <w:rsid w:val="00C77227"/>
    <w:rsid w:val="00C77296"/>
    <w:rsid w:val="00C77F38"/>
    <w:rsid w:val="00C8043A"/>
    <w:rsid w:val="00C8049F"/>
    <w:rsid w:val="00C80602"/>
    <w:rsid w:val="00C806B5"/>
    <w:rsid w:val="00C81389"/>
    <w:rsid w:val="00C814C0"/>
    <w:rsid w:val="00C81D50"/>
    <w:rsid w:val="00C81F5F"/>
    <w:rsid w:val="00C81F77"/>
    <w:rsid w:val="00C82BDA"/>
    <w:rsid w:val="00C82D83"/>
    <w:rsid w:val="00C8339C"/>
    <w:rsid w:val="00C83C6A"/>
    <w:rsid w:val="00C84507"/>
    <w:rsid w:val="00C84CD9"/>
    <w:rsid w:val="00C85AAC"/>
    <w:rsid w:val="00C867F7"/>
    <w:rsid w:val="00C86B16"/>
    <w:rsid w:val="00C86DA4"/>
    <w:rsid w:val="00C87562"/>
    <w:rsid w:val="00C87CEF"/>
    <w:rsid w:val="00C87E3E"/>
    <w:rsid w:val="00C90286"/>
    <w:rsid w:val="00C90723"/>
    <w:rsid w:val="00C909ED"/>
    <w:rsid w:val="00C90D64"/>
    <w:rsid w:val="00C910F1"/>
    <w:rsid w:val="00C91ADE"/>
    <w:rsid w:val="00C9209D"/>
    <w:rsid w:val="00C9226B"/>
    <w:rsid w:val="00C923D4"/>
    <w:rsid w:val="00C92ADB"/>
    <w:rsid w:val="00C92CEE"/>
    <w:rsid w:val="00C933D2"/>
    <w:rsid w:val="00C93DD9"/>
    <w:rsid w:val="00C948EC"/>
    <w:rsid w:val="00C94902"/>
    <w:rsid w:val="00C94A28"/>
    <w:rsid w:val="00C94ED2"/>
    <w:rsid w:val="00C950A5"/>
    <w:rsid w:val="00C9516E"/>
    <w:rsid w:val="00C95174"/>
    <w:rsid w:val="00C95C9C"/>
    <w:rsid w:val="00C95D09"/>
    <w:rsid w:val="00C95EA9"/>
    <w:rsid w:val="00C96756"/>
    <w:rsid w:val="00C96A97"/>
    <w:rsid w:val="00C97F56"/>
    <w:rsid w:val="00C97F58"/>
    <w:rsid w:val="00CA000A"/>
    <w:rsid w:val="00CA0704"/>
    <w:rsid w:val="00CA083B"/>
    <w:rsid w:val="00CA0B28"/>
    <w:rsid w:val="00CA1029"/>
    <w:rsid w:val="00CA1290"/>
    <w:rsid w:val="00CA141E"/>
    <w:rsid w:val="00CA15D2"/>
    <w:rsid w:val="00CA1907"/>
    <w:rsid w:val="00CA1B14"/>
    <w:rsid w:val="00CA1B83"/>
    <w:rsid w:val="00CA1BB7"/>
    <w:rsid w:val="00CA25C4"/>
    <w:rsid w:val="00CA27DA"/>
    <w:rsid w:val="00CA2E85"/>
    <w:rsid w:val="00CA2ED7"/>
    <w:rsid w:val="00CA30EA"/>
    <w:rsid w:val="00CA3701"/>
    <w:rsid w:val="00CA3AF1"/>
    <w:rsid w:val="00CA4CC9"/>
    <w:rsid w:val="00CA5238"/>
    <w:rsid w:val="00CA585B"/>
    <w:rsid w:val="00CA6080"/>
    <w:rsid w:val="00CA6714"/>
    <w:rsid w:val="00CA6CA0"/>
    <w:rsid w:val="00CA6D1A"/>
    <w:rsid w:val="00CA78D1"/>
    <w:rsid w:val="00CA7B46"/>
    <w:rsid w:val="00CA7FF5"/>
    <w:rsid w:val="00CB08AF"/>
    <w:rsid w:val="00CB0E19"/>
    <w:rsid w:val="00CB14E4"/>
    <w:rsid w:val="00CB1C4B"/>
    <w:rsid w:val="00CB24D6"/>
    <w:rsid w:val="00CB26FB"/>
    <w:rsid w:val="00CB2B4B"/>
    <w:rsid w:val="00CB2E43"/>
    <w:rsid w:val="00CB2F9A"/>
    <w:rsid w:val="00CB3156"/>
    <w:rsid w:val="00CB33D8"/>
    <w:rsid w:val="00CB353B"/>
    <w:rsid w:val="00CB4333"/>
    <w:rsid w:val="00CB4453"/>
    <w:rsid w:val="00CB49FC"/>
    <w:rsid w:val="00CB566E"/>
    <w:rsid w:val="00CB5D27"/>
    <w:rsid w:val="00CB6445"/>
    <w:rsid w:val="00CB6C8B"/>
    <w:rsid w:val="00CB6EA6"/>
    <w:rsid w:val="00CB6F09"/>
    <w:rsid w:val="00CB70FD"/>
    <w:rsid w:val="00CB7183"/>
    <w:rsid w:val="00CB7AC4"/>
    <w:rsid w:val="00CB7DFE"/>
    <w:rsid w:val="00CC0BEB"/>
    <w:rsid w:val="00CC0F1F"/>
    <w:rsid w:val="00CC0F31"/>
    <w:rsid w:val="00CC103E"/>
    <w:rsid w:val="00CC1A19"/>
    <w:rsid w:val="00CC1B49"/>
    <w:rsid w:val="00CC2230"/>
    <w:rsid w:val="00CC26C5"/>
    <w:rsid w:val="00CC39E9"/>
    <w:rsid w:val="00CC3F9F"/>
    <w:rsid w:val="00CC4256"/>
    <w:rsid w:val="00CC449D"/>
    <w:rsid w:val="00CC4C7A"/>
    <w:rsid w:val="00CC4CB7"/>
    <w:rsid w:val="00CC53C7"/>
    <w:rsid w:val="00CC565B"/>
    <w:rsid w:val="00CC5988"/>
    <w:rsid w:val="00CC5EE2"/>
    <w:rsid w:val="00CC608C"/>
    <w:rsid w:val="00CC6AFD"/>
    <w:rsid w:val="00CC6E3E"/>
    <w:rsid w:val="00CC6F9D"/>
    <w:rsid w:val="00CC78D0"/>
    <w:rsid w:val="00CC7914"/>
    <w:rsid w:val="00CC7E81"/>
    <w:rsid w:val="00CD03DD"/>
    <w:rsid w:val="00CD05E0"/>
    <w:rsid w:val="00CD0DF2"/>
    <w:rsid w:val="00CD0F9E"/>
    <w:rsid w:val="00CD129D"/>
    <w:rsid w:val="00CD22CD"/>
    <w:rsid w:val="00CD27F2"/>
    <w:rsid w:val="00CD3052"/>
    <w:rsid w:val="00CD3208"/>
    <w:rsid w:val="00CD34BB"/>
    <w:rsid w:val="00CD36E5"/>
    <w:rsid w:val="00CD3795"/>
    <w:rsid w:val="00CD3D51"/>
    <w:rsid w:val="00CD4DCF"/>
    <w:rsid w:val="00CD5037"/>
    <w:rsid w:val="00CD503C"/>
    <w:rsid w:val="00CD59F6"/>
    <w:rsid w:val="00CD69A9"/>
    <w:rsid w:val="00CD6B75"/>
    <w:rsid w:val="00CD7215"/>
    <w:rsid w:val="00CD7583"/>
    <w:rsid w:val="00CD76FA"/>
    <w:rsid w:val="00CE07C0"/>
    <w:rsid w:val="00CE08A2"/>
    <w:rsid w:val="00CE0CF0"/>
    <w:rsid w:val="00CE118E"/>
    <w:rsid w:val="00CE1195"/>
    <w:rsid w:val="00CE11E2"/>
    <w:rsid w:val="00CE1297"/>
    <w:rsid w:val="00CE1BB1"/>
    <w:rsid w:val="00CE1C3D"/>
    <w:rsid w:val="00CE1F29"/>
    <w:rsid w:val="00CE2752"/>
    <w:rsid w:val="00CE3659"/>
    <w:rsid w:val="00CE381C"/>
    <w:rsid w:val="00CE3E07"/>
    <w:rsid w:val="00CE45D8"/>
    <w:rsid w:val="00CE48F2"/>
    <w:rsid w:val="00CE4F8F"/>
    <w:rsid w:val="00CE509B"/>
    <w:rsid w:val="00CE571B"/>
    <w:rsid w:val="00CE5DA4"/>
    <w:rsid w:val="00CE62BC"/>
    <w:rsid w:val="00CE6755"/>
    <w:rsid w:val="00CE6AC8"/>
    <w:rsid w:val="00CE722E"/>
    <w:rsid w:val="00CE79C7"/>
    <w:rsid w:val="00CE7C24"/>
    <w:rsid w:val="00CF06BF"/>
    <w:rsid w:val="00CF10EF"/>
    <w:rsid w:val="00CF160F"/>
    <w:rsid w:val="00CF1890"/>
    <w:rsid w:val="00CF212D"/>
    <w:rsid w:val="00CF24A5"/>
    <w:rsid w:val="00CF29AE"/>
    <w:rsid w:val="00CF3CB5"/>
    <w:rsid w:val="00CF3CCB"/>
    <w:rsid w:val="00CF3F9A"/>
    <w:rsid w:val="00CF44F5"/>
    <w:rsid w:val="00CF4669"/>
    <w:rsid w:val="00CF4FEE"/>
    <w:rsid w:val="00CF5299"/>
    <w:rsid w:val="00CF55AB"/>
    <w:rsid w:val="00CF5E16"/>
    <w:rsid w:val="00CF600B"/>
    <w:rsid w:val="00CF6C79"/>
    <w:rsid w:val="00CF6D33"/>
    <w:rsid w:val="00CF6F0C"/>
    <w:rsid w:val="00CF6F84"/>
    <w:rsid w:val="00CF764C"/>
    <w:rsid w:val="00D00BF8"/>
    <w:rsid w:val="00D00CEC"/>
    <w:rsid w:val="00D0102E"/>
    <w:rsid w:val="00D014A4"/>
    <w:rsid w:val="00D01629"/>
    <w:rsid w:val="00D01BA8"/>
    <w:rsid w:val="00D01DDB"/>
    <w:rsid w:val="00D01F24"/>
    <w:rsid w:val="00D0242A"/>
    <w:rsid w:val="00D02D27"/>
    <w:rsid w:val="00D02D7E"/>
    <w:rsid w:val="00D02F58"/>
    <w:rsid w:val="00D032EA"/>
    <w:rsid w:val="00D035F7"/>
    <w:rsid w:val="00D0397A"/>
    <w:rsid w:val="00D03B55"/>
    <w:rsid w:val="00D041D6"/>
    <w:rsid w:val="00D045B9"/>
    <w:rsid w:val="00D048AC"/>
    <w:rsid w:val="00D04940"/>
    <w:rsid w:val="00D05266"/>
    <w:rsid w:val="00D05C1C"/>
    <w:rsid w:val="00D05DFC"/>
    <w:rsid w:val="00D05EF4"/>
    <w:rsid w:val="00D06DBF"/>
    <w:rsid w:val="00D06E62"/>
    <w:rsid w:val="00D07957"/>
    <w:rsid w:val="00D07A33"/>
    <w:rsid w:val="00D10C91"/>
    <w:rsid w:val="00D10FCF"/>
    <w:rsid w:val="00D111DB"/>
    <w:rsid w:val="00D11827"/>
    <w:rsid w:val="00D122F7"/>
    <w:rsid w:val="00D134C5"/>
    <w:rsid w:val="00D13943"/>
    <w:rsid w:val="00D14000"/>
    <w:rsid w:val="00D155A5"/>
    <w:rsid w:val="00D15CAC"/>
    <w:rsid w:val="00D162D3"/>
    <w:rsid w:val="00D162DF"/>
    <w:rsid w:val="00D16B42"/>
    <w:rsid w:val="00D16E8D"/>
    <w:rsid w:val="00D16F45"/>
    <w:rsid w:val="00D17589"/>
    <w:rsid w:val="00D1791D"/>
    <w:rsid w:val="00D17CB3"/>
    <w:rsid w:val="00D20616"/>
    <w:rsid w:val="00D207A3"/>
    <w:rsid w:val="00D20BA9"/>
    <w:rsid w:val="00D214A9"/>
    <w:rsid w:val="00D21741"/>
    <w:rsid w:val="00D2180C"/>
    <w:rsid w:val="00D21FA4"/>
    <w:rsid w:val="00D223B8"/>
    <w:rsid w:val="00D22408"/>
    <w:rsid w:val="00D22D1C"/>
    <w:rsid w:val="00D23B55"/>
    <w:rsid w:val="00D23E13"/>
    <w:rsid w:val="00D24594"/>
    <w:rsid w:val="00D24C71"/>
    <w:rsid w:val="00D24D82"/>
    <w:rsid w:val="00D257C3"/>
    <w:rsid w:val="00D2591D"/>
    <w:rsid w:val="00D25D41"/>
    <w:rsid w:val="00D26773"/>
    <w:rsid w:val="00D267E0"/>
    <w:rsid w:val="00D2736B"/>
    <w:rsid w:val="00D27D8F"/>
    <w:rsid w:val="00D30635"/>
    <w:rsid w:val="00D30FF1"/>
    <w:rsid w:val="00D3102E"/>
    <w:rsid w:val="00D31370"/>
    <w:rsid w:val="00D3220F"/>
    <w:rsid w:val="00D3290E"/>
    <w:rsid w:val="00D32E39"/>
    <w:rsid w:val="00D33E54"/>
    <w:rsid w:val="00D33FFE"/>
    <w:rsid w:val="00D340BE"/>
    <w:rsid w:val="00D35D80"/>
    <w:rsid w:val="00D361B4"/>
    <w:rsid w:val="00D36AED"/>
    <w:rsid w:val="00D3747C"/>
    <w:rsid w:val="00D37DC8"/>
    <w:rsid w:val="00D401B8"/>
    <w:rsid w:val="00D40DF3"/>
    <w:rsid w:val="00D4124A"/>
    <w:rsid w:val="00D419C5"/>
    <w:rsid w:val="00D41C36"/>
    <w:rsid w:val="00D41CB3"/>
    <w:rsid w:val="00D41D07"/>
    <w:rsid w:val="00D420DC"/>
    <w:rsid w:val="00D42199"/>
    <w:rsid w:val="00D421B0"/>
    <w:rsid w:val="00D423AD"/>
    <w:rsid w:val="00D431F0"/>
    <w:rsid w:val="00D43BB5"/>
    <w:rsid w:val="00D43FF7"/>
    <w:rsid w:val="00D44357"/>
    <w:rsid w:val="00D44DFA"/>
    <w:rsid w:val="00D44FA2"/>
    <w:rsid w:val="00D45023"/>
    <w:rsid w:val="00D451DA"/>
    <w:rsid w:val="00D4549D"/>
    <w:rsid w:val="00D45A4C"/>
    <w:rsid w:val="00D45F78"/>
    <w:rsid w:val="00D466A5"/>
    <w:rsid w:val="00D46E94"/>
    <w:rsid w:val="00D47D43"/>
    <w:rsid w:val="00D507FF"/>
    <w:rsid w:val="00D508AA"/>
    <w:rsid w:val="00D51196"/>
    <w:rsid w:val="00D524B5"/>
    <w:rsid w:val="00D52ADF"/>
    <w:rsid w:val="00D53761"/>
    <w:rsid w:val="00D53863"/>
    <w:rsid w:val="00D53917"/>
    <w:rsid w:val="00D53A90"/>
    <w:rsid w:val="00D53ABF"/>
    <w:rsid w:val="00D53E6C"/>
    <w:rsid w:val="00D5424D"/>
    <w:rsid w:val="00D54D12"/>
    <w:rsid w:val="00D5503A"/>
    <w:rsid w:val="00D5566C"/>
    <w:rsid w:val="00D55760"/>
    <w:rsid w:val="00D55F92"/>
    <w:rsid w:val="00D56083"/>
    <w:rsid w:val="00D5660A"/>
    <w:rsid w:val="00D567B4"/>
    <w:rsid w:val="00D569A6"/>
    <w:rsid w:val="00D569BD"/>
    <w:rsid w:val="00D577A7"/>
    <w:rsid w:val="00D57CF1"/>
    <w:rsid w:val="00D57E87"/>
    <w:rsid w:val="00D6045D"/>
    <w:rsid w:val="00D60652"/>
    <w:rsid w:val="00D609DD"/>
    <w:rsid w:val="00D60E62"/>
    <w:rsid w:val="00D60FE0"/>
    <w:rsid w:val="00D616E9"/>
    <w:rsid w:val="00D61CE9"/>
    <w:rsid w:val="00D61E85"/>
    <w:rsid w:val="00D623E8"/>
    <w:rsid w:val="00D627E4"/>
    <w:rsid w:val="00D62815"/>
    <w:rsid w:val="00D6305B"/>
    <w:rsid w:val="00D63830"/>
    <w:rsid w:val="00D63AA7"/>
    <w:rsid w:val="00D63E35"/>
    <w:rsid w:val="00D63F53"/>
    <w:rsid w:val="00D643A1"/>
    <w:rsid w:val="00D64888"/>
    <w:rsid w:val="00D6493E"/>
    <w:rsid w:val="00D649ED"/>
    <w:rsid w:val="00D64A24"/>
    <w:rsid w:val="00D65A8D"/>
    <w:rsid w:val="00D65FBC"/>
    <w:rsid w:val="00D6643C"/>
    <w:rsid w:val="00D6751B"/>
    <w:rsid w:val="00D67FBA"/>
    <w:rsid w:val="00D70105"/>
    <w:rsid w:val="00D70108"/>
    <w:rsid w:val="00D7091A"/>
    <w:rsid w:val="00D70A77"/>
    <w:rsid w:val="00D70C37"/>
    <w:rsid w:val="00D70D68"/>
    <w:rsid w:val="00D70DE8"/>
    <w:rsid w:val="00D71E5D"/>
    <w:rsid w:val="00D72C87"/>
    <w:rsid w:val="00D72D68"/>
    <w:rsid w:val="00D73B91"/>
    <w:rsid w:val="00D74E5B"/>
    <w:rsid w:val="00D75034"/>
    <w:rsid w:val="00D75453"/>
    <w:rsid w:val="00D75508"/>
    <w:rsid w:val="00D75FCD"/>
    <w:rsid w:val="00D766E9"/>
    <w:rsid w:val="00D768BF"/>
    <w:rsid w:val="00D76BDB"/>
    <w:rsid w:val="00D77430"/>
    <w:rsid w:val="00D7774B"/>
    <w:rsid w:val="00D77A8E"/>
    <w:rsid w:val="00D806DE"/>
    <w:rsid w:val="00D8092B"/>
    <w:rsid w:val="00D80956"/>
    <w:rsid w:val="00D81275"/>
    <w:rsid w:val="00D8133B"/>
    <w:rsid w:val="00D813DA"/>
    <w:rsid w:val="00D81550"/>
    <w:rsid w:val="00D81662"/>
    <w:rsid w:val="00D81949"/>
    <w:rsid w:val="00D81E9F"/>
    <w:rsid w:val="00D8226C"/>
    <w:rsid w:val="00D825B1"/>
    <w:rsid w:val="00D82B50"/>
    <w:rsid w:val="00D83A81"/>
    <w:rsid w:val="00D8400C"/>
    <w:rsid w:val="00D8471A"/>
    <w:rsid w:val="00D849A7"/>
    <w:rsid w:val="00D855BE"/>
    <w:rsid w:val="00D856BB"/>
    <w:rsid w:val="00D85749"/>
    <w:rsid w:val="00D85D09"/>
    <w:rsid w:val="00D86699"/>
    <w:rsid w:val="00D86721"/>
    <w:rsid w:val="00D8679F"/>
    <w:rsid w:val="00D86978"/>
    <w:rsid w:val="00D87192"/>
    <w:rsid w:val="00D8768A"/>
    <w:rsid w:val="00D87A4A"/>
    <w:rsid w:val="00D87C50"/>
    <w:rsid w:val="00D87CC9"/>
    <w:rsid w:val="00D90B7B"/>
    <w:rsid w:val="00D90FB5"/>
    <w:rsid w:val="00D91032"/>
    <w:rsid w:val="00D91A21"/>
    <w:rsid w:val="00D91A84"/>
    <w:rsid w:val="00D91C1C"/>
    <w:rsid w:val="00D91F56"/>
    <w:rsid w:val="00D9232C"/>
    <w:rsid w:val="00D92492"/>
    <w:rsid w:val="00D92753"/>
    <w:rsid w:val="00D9291B"/>
    <w:rsid w:val="00D939DA"/>
    <w:rsid w:val="00D93BFF"/>
    <w:rsid w:val="00D946DE"/>
    <w:rsid w:val="00D94729"/>
    <w:rsid w:val="00D94902"/>
    <w:rsid w:val="00D94BD7"/>
    <w:rsid w:val="00D94D47"/>
    <w:rsid w:val="00D951E9"/>
    <w:rsid w:val="00D95BD7"/>
    <w:rsid w:val="00D96083"/>
    <w:rsid w:val="00D96770"/>
    <w:rsid w:val="00D96C4B"/>
    <w:rsid w:val="00D96C84"/>
    <w:rsid w:val="00D97704"/>
    <w:rsid w:val="00D97927"/>
    <w:rsid w:val="00D97A11"/>
    <w:rsid w:val="00DA0C3D"/>
    <w:rsid w:val="00DA1836"/>
    <w:rsid w:val="00DA1A73"/>
    <w:rsid w:val="00DA1CE1"/>
    <w:rsid w:val="00DA2318"/>
    <w:rsid w:val="00DA2768"/>
    <w:rsid w:val="00DA2998"/>
    <w:rsid w:val="00DA2B83"/>
    <w:rsid w:val="00DA37D9"/>
    <w:rsid w:val="00DA3852"/>
    <w:rsid w:val="00DA4157"/>
    <w:rsid w:val="00DA429F"/>
    <w:rsid w:val="00DA44EF"/>
    <w:rsid w:val="00DA5431"/>
    <w:rsid w:val="00DA569E"/>
    <w:rsid w:val="00DA574B"/>
    <w:rsid w:val="00DA620B"/>
    <w:rsid w:val="00DA62FC"/>
    <w:rsid w:val="00DA641B"/>
    <w:rsid w:val="00DA6880"/>
    <w:rsid w:val="00DA6D50"/>
    <w:rsid w:val="00DA742E"/>
    <w:rsid w:val="00DA7929"/>
    <w:rsid w:val="00DA7940"/>
    <w:rsid w:val="00DA7A95"/>
    <w:rsid w:val="00DB020D"/>
    <w:rsid w:val="00DB0405"/>
    <w:rsid w:val="00DB120C"/>
    <w:rsid w:val="00DB1BBC"/>
    <w:rsid w:val="00DB2B53"/>
    <w:rsid w:val="00DB3B2B"/>
    <w:rsid w:val="00DB47AF"/>
    <w:rsid w:val="00DB53D3"/>
    <w:rsid w:val="00DB5E12"/>
    <w:rsid w:val="00DB607A"/>
    <w:rsid w:val="00DB607F"/>
    <w:rsid w:val="00DB6323"/>
    <w:rsid w:val="00DB6BF3"/>
    <w:rsid w:val="00DB6D95"/>
    <w:rsid w:val="00DB71A8"/>
    <w:rsid w:val="00DB7734"/>
    <w:rsid w:val="00DC0AA7"/>
    <w:rsid w:val="00DC0B06"/>
    <w:rsid w:val="00DC0D66"/>
    <w:rsid w:val="00DC0FCB"/>
    <w:rsid w:val="00DC224B"/>
    <w:rsid w:val="00DC262A"/>
    <w:rsid w:val="00DC2F13"/>
    <w:rsid w:val="00DC312D"/>
    <w:rsid w:val="00DC328E"/>
    <w:rsid w:val="00DC3502"/>
    <w:rsid w:val="00DC3679"/>
    <w:rsid w:val="00DC3D8E"/>
    <w:rsid w:val="00DC5159"/>
    <w:rsid w:val="00DC5619"/>
    <w:rsid w:val="00DC5850"/>
    <w:rsid w:val="00DC5B65"/>
    <w:rsid w:val="00DC63F3"/>
    <w:rsid w:val="00DC6426"/>
    <w:rsid w:val="00DC6613"/>
    <w:rsid w:val="00DC68A7"/>
    <w:rsid w:val="00DC6999"/>
    <w:rsid w:val="00DC6A15"/>
    <w:rsid w:val="00DC70D3"/>
    <w:rsid w:val="00DC784B"/>
    <w:rsid w:val="00DD0379"/>
    <w:rsid w:val="00DD0C35"/>
    <w:rsid w:val="00DD22E6"/>
    <w:rsid w:val="00DD30C8"/>
    <w:rsid w:val="00DD3376"/>
    <w:rsid w:val="00DD40B3"/>
    <w:rsid w:val="00DD4957"/>
    <w:rsid w:val="00DD51BB"/>
    <w:rsid w:val="00DD53F4"/>
    <w:rsid w:val="00DD6608"/>
    <w:rsid w:val="00DD7075"/>
    <w:rsid w:val="00DE0A3A"/>
    <w:rsid w:val="00DE0E28"/>
    <w:rsid w:val="00DE11D3"/>
    <w:rsid w:val="00DE15D2"/>
    <w:rsid w:val="00DE19F1"/>
    <w:rsid w:val="00DE1A29"/>
    <w:rsid w:val="00DE1F33"/>
    <w:rsid w:val="00DE1FD0"/>
    <w:rsid w:val="00DE2821"/>
    <w:rsid w:val="00DE2883"/>
    <w:rsid w:val="00DE30E9"/>
    <w:rsid w:val="00DE320C"/>
    <w:rsid w:val="00DE33DC"/>
    <w:rsid w:val="00DE45BF"/>
    <w:rsid w:val="00DE47D9"/>
    <w:rsid w:val="00DE5B18"/>
    <w:rsid w:val="00DE62AE"/>
    <w:rsid w:val="00DE7063"/>
    <w:rsid w:val="00DE74D3"/>
    <w:rsid w:val="00DE7842"/>
    <w:rsid w:val="00DE7863"/>
    <w:rsid w:val="00DE7F83"/>
    <w:rsid w:val="00DF05E5"/>
    <w:rsid w:val="00DF0AC3"/>
    <w:rsid w:val="00DF0D4F"/>
    <w:rsid w:val="00DF1011"/>
    <w:rsid w:val="00DF1D63"/>
    <w:rsid w:val="00DF2359"/>
    <w:rsid w:val="00DF24C3"/>
    <w:rsid w:val="00DF2663"/>
    <w:rsid w:val="00DF2812"/>
    <w:rsid w:val="00DF2F47"/>
    <w:rsid w:val="00DF31B6"/>
    <w:rsid w:val="00DF323F"/>
    <w:rsid w:val="00DF3488"/>
    <w:rsid w:val="00DF3675"/>
    <w:rsid w:val="00DF4131"/>
    <w:rsid w:val="00DF46E4"/>
    <w:rsid w:val="00DF4742"/>
    <w:rsid w:val="00DF4EC1"/>
    <w:rsid w:val="00DF570A"/>
    <w:rsid w:val="00DF5992"/>
    <w:rsid w:val="00DF6761"/>
    <w:rsid w:val="00DF788A"/>
    <w:rsid w:val="00DF7981"/>
    <w:rsid w:val="00DF7A68"/>
    <w:rsid w:val="00DF7D1A"/>
    <w:rsid w:val="00E006EC"/>
    <w:rsid w:val="00E00DE3"/>
    <w:rsid w:val="00E00F94"/>
    <w:rsid w:val="00E0164D"/>
    <w:rsid w:val="00E018B8"/>
    <w:rsid w:val="00E02C9D"/>
    <w:rsid w:val="00E02CE7"/>
    <w:rsid w:val="00E032A5"/>
    <w:rsid w:val="00E036A3"/>
    <w:rsid w:val="00E03727"/>
    <w:rsid w:val="00E03B10"/>
    <w:rsid w:val="00E0425E"/>
    <w:rsid w:val="00E04D4D"/>
    <w:rsid w:val="00E052E0"/>
    <w:rsid w:val="00E058ED"/>
    <w:rsid w:val="00E058F3"/>
    <w:rsid w:val="00E05C4C"/>
    <w:rsid w:val="00E05FE9"/>
    <w:rsid w:val="00E06441"/>
    <w:rsid w:val="00E067D4"/>
    <w:rsid w:val="00E07270"/>
    <w:rsid w:val="00E073ED"/>
    <w:rsid w:val="00E0746F"/>
    <w:rsid w:val="00E078A9"/>
    <w:rsid w:val="00E07B5A"/>
    <w:rsid w:val="00E07BD1"/>
    <w:rsid w:val="00E115F8"/>
    <w:rsid w:val="00E1187F"/>
    <w:rsid w:val="00E118C5"/>
    <w:rsid w:val="00E11B3A"/>
    <w:rsid w:val="00E11DC9"/>
    <w:rsid w:val="00E11E1B"/>
    <w:rsid w:val="00E11F72"/>
    <w:rsid w:val="00E12253"/>
    <w:rsid w:val="00E1234F"/>
    <w:rsid w:val="00E126F0"/>
    <w:rsid w:val="00E12B95"/>
    <w:rsid w:val="00E1319C"/>
    <w:rsid w:val="00E133E3"/>
    <w:rsid w:val="00E13641"/>
    <w:rsid w:val="00E13ACC"/>
    <w:rsid w:val="00E13AE6"/>
    <w:rsid w:val="00E147B6"/>
    <w:rsid w:val="00E148F6"/>
    <w:rsid w:val="00E149B6"/>
    <w:rsid w:val="00E14F5F"/>
    <w:rsid w:val="00E1505F"/>
    <w:rsid w:val="00E15328"/>
    <w:rsid w:val="00E15809"/>
    <w:rsid w:val="00E1584E"/>
    <w:rsid w:val="00E15F37"/>
    <w:rsid w:val="00E15F38"/>
    <w:rsid w:val="00E16118"/>
    <w:rsid w:val="00E1618C"/>
    <w:rsid w:val="00E16462"/>
    <w:rsid w:val="00E1667D"/>
    <w:rsid w:val="00E1693F"/>
    <w:rsid w:val="00E16C41"/>
    <w:rsid w:val="00E16C61"/>
    <w:rsid w:val="00E176AC"/>
    <w:rsid w:val="00E17D01"/>
    <w:rsid w:val="00E2000F"/>
    <w:rsid w:val="00E20521"/>
    <w:rsid w:val="00E20B3F"/>
    <w:rsid w:val="00E21A19"/>
    <w:rsid w:val="00E21A9E"/>
    <w:rsid w:val="00E21CC4"/>
    <w:rsid w:val="00E2302B"/>
    <w:rsid w:val="00E2398E"/>
    <w:rsid w:val="00E239CB"/>
    <w:rsid w:val="00E23BBE"/>
    <w:rsid w:val="00E23C5D"/>
    <w:rsid w:val="00E25442"/>
    <w:rsid w:val="00E25F54"/>
    <w:rsid w:val="00E261B5"/>
    <w:rsid w:val="00E26B15"/>
    <w:rsid w:val="00E270BD"/>
    <w:rsid w:val="00E275E0"/>
    <w:rsid w:val="00E27A3A"/>
    <w:rsid w:val="00E30AEB"/>
    <w:rsid w:val="00E31500"/>
    <w:rsid w:val="00E315FF"/>
    <w:rsid w:val="00E318FA"/>
    <w:rsid w:val="00E319EB"/>
    <w:rsid w:val="00E32523"/>
    <w:rsid w:val="00E32959"/>
    <w:rsid w:val="00E32E8E"/>
    <w:rsid w:val="00E33285"/>
    <w:rsid w:val="00E33B07"/>
    <w:rsid w:val="00E33E40"/>
    <w:rsid w:val="00E3417A"/>
    <w:rsid w:val="00E348A6"/>
    <w:rsid w:val="00E349B0"/>
    <w:rsid w:val="00E34EDF"/>
    <w:rsid w:val="00E3519B"/>
    <w:rsid w:val="00E35302"/>
    <w:rsid w:val="00E35CE4"/>
    <w:rsid w:val="00E361B9"/>
    <w:rsid w:val="00E36FB3"/>
    <w:rsid w:val="00E36FFB"/>
    <w:rsid w:val="00E3726A"/>
    <w:rsid w:val="00E37BC5"/>
    <w:rsid w:val="00E37EE1"/>
    <w:rsid w:val="00E40298"/>
    <w:rsid w:val="00E41DEB"/>
    <w:rsid w:val="00E41EE2"/>
    <w:rsid w:val="00E424C9"/>
    <w:rsid w:val="00E42644"/>
    <w:rsid w:val="00E42D97"/>
    <w:rsid w:val="00E4381D"/>
    <w:rsid w:val="00E45296"/>
    <w:rsid w:val="00E455C7"/>
    <w:rsid w:val="00E458FC"/>
    <w:rsid w:val="00E45B28"/>
    <w:rsid w:val="00E461CD"/>
    <w:rsid w:val="00E472D1"/>
    <w:rsid w:val="00E47420"/>
    <w:rsid w:val="00E47853"/>
    <w:rsid w:val="00E47B4F"/>
    <w:rsid w:val="00E5028B"/>
    <w:rsid w:val="00E50A40"/>
    <w:rsid w:val="00E50B7F"/>
    <w:rsid w:val="00E51603"/>
    <w:rsid w:val="00E5196D"/>
    <w:rsid w:val="00E51CE7"/>
    <w:rsid w:val="00E51D68"/>
    <w:rsid w:val="00E52B04"/>
    <w:rsid w:val="00E534D3"/>
    <w:rsid w:val="00E53AE5"/>
    <w:rsid w:val="00E53B0F"/>
    <w:rsid w:val="00E53F40"/>
    <w:rsid w:val="00E54595"/>
    <w:rsid w:val="00E545E4"/>
    <w:rsid w:val="00E5476F"/>
    <w:rsid w:val="00E5489A"/>
    <w:rsid w:val="00E55C58"/>
    <w:rsid w:val="00E56494"/>
    <w:rsid w:val="00E56603"/>
    <w:rsid w:val="00E56BEC"/>
    <w:rsid w:val="00E57019"/>
    <w:rsid w:val="00E574D4"/>
    <w:rsid w:val="00E57718"/>
    <w:rsid w:val="00E577B4"/>
    <w:rsid w:val="00E57F18"/>
    <w:rsid w:val="00E6047F"/>
    <w:rsid w:val="00E616A8"/>
    <w:rsid w:val="00E6178D"/>
    <w:rsid w:val="00E61E79"/>
    <w:rsid w:val="00E6215B"/>
    <w:rsid w:val="00E62211"/>
    <w:rsid w:val="00E62469"/>
    <w:rsid w:val="00E629D2"/>
    <w:rsid w:val="00E62BA1"/>
    <w:rsid w:val="00E62C16"/>
    <w:rsid w:val="00E63127"/>
    <w:rsid w:val="00E63987"/>
    <w:rsid w:val="00E63AE5"/>
    <w:rsid w:val="00E63C05"/>
    <w:rsid w:val="00E63C33"/>
    <w:rsid w:val="00E63E08"/>
    <w:rsid w:val="00E642EB"/>
    <w:rsid w:val="00E6479C"/>
    <w:rsid w:val="00E649F4"/>
    <w:rsid w:val="00E653CC"/>
    <w:rsid w:val="00E65510"/>
    <w:rsid w:val="00E65B63"/>
    <w:rsid w:val="00E65C65"/>
    <w:rsid w:val="00E6602B"/>
    <w:rsid w:val="00E664D5"/>
    <w:rsid w:val="00E66625"/>
    <w:rsid w:val="00E66A88"/>
    <w:rsid w:val="00E66C15"/>
    <w:rsid w:val="00E6730B"/>
    <w:rsid w:val="00E67A6C"/>
    <w:rsid w:val="00E70331"/>
    <w:rsid w:val="00E70B39"/>
    <w:rsid w:val="00E70B7D"/>
    <w:rsid w:val="00E71A7D"/>
    <w:rsid w:val="00E71ACE"/>
    <w:rsid w:val="00E72252"/>
    <w:rsid w:val="00E7269E"/>
    <w:rsid w:val="00E72EF2"/>
    <w:rsid w:val="00E7312F"/>
    <w:rsid w:val="00E731FE"/>
    <w:rsid w:val="00E73C5C"/>
    <w:rsid w:val="00E7444A"/>
    <w:rsid w:val="00E745C9"/>
    <w:rsid w:val="00E74742"/>
    <w:rsid w:val="00E75016"/>
    <w:rsid w:val="00E7653E"/>
    <w:rsid w:val="00E765FA"/>
    <w:rsid w:val="00E7678D"/>
    <w:rsid w:val="00E76906"/>
    <w:rsid w:val="00E77B21"/>
    <w:rsid w:val="00E77CC9"/>
    <w:rsid w:val="00E77DE9"/>
    <w:rsid w:val="00E802B2"/>
    <w:rsid w:val="00E80E7C"/>
    <w:rsid w:val="00E810B7"/>
    <w:rsid w:val="00E8176F"/>
    <w:rsid w:val="00E81A19"/>
    <w:rsid w:val="00E81E96"/>
    <w:rsid w:val="00E81EBA"/>
    <w:rsid w:val="00E81ECB"/>
    <w:rsid w:val="00E82215"/>
    <w:rsid w:val="00E822E4"/>
    <w:rsid w:val="00E828E7"/>
    <w:rsid w:val="00E832BA"/>
    <w:rsid w:val="00E83327"/>
    <w:rsid w:val="00E8354B"/>
    <w:rsid w:val="00E83B91"/>
    <w:rsid w:val="00E84CAC"/>
    <w:rsid w:val="00E85072"/>
    <w:rsid w:val="00E851EA"/>
    <w:rsid w:val="00E851F7"/>
    <w:rsid w:val="00E853DF"/>
    <w:rsid w:val="00E8540D"/>
    <w:rsid w:val="00E855A0"/>
    <w:rsid w:val="00E855C8"/>
    <w:rsid w:val="00E85964"/>
    <w:rsid w:val="00E859FF"/>
    <w:rsid w:val="00E86F2F"/>
    <w:rsid w:val="00E872C6"/>
    <w:rsid w:val="00E877D2"/>
    <w:rsid w:val="00E87E1E"/>
    <w:rsid w:val="00E87F84"/>
    <w:rsid w:val="00E90010"/>
    <w:rsid w:val="00E90279"/>
    <w:rsid w:val="00E90809"/>
    <w:rsid w:val="00E90AAA"/>
    <w:rsid w:val="00E90E73"/>
    <w:rsid w:val="00E9128F"/>
    <w:rsid w:val="00E91A29"/>
    <w:rsid w:val="00E92308"/>
    <w:rsid w:val="00E923EF"/>
    <w:rsid w:val="00E937BA"/>
    <w:rsid w:val="00E93BB4"/>
    <w:rsid w:val="00E93E58"/>
    <w:rsid w:val="00E93F95"/>
    <w:rsid w:val="00E9494D"/>
    <w:rsid w:val="00E962CE"/>
    <w:rsid w:val="00E9672C"/>
    <w:rsid w:val="00E96831"/>
    <w:rsid w:val="00E96FA8"/>
    <w:rsid w:val="00E97323"/>
    <w:rsid w:val="00E97499"/>
    <w:rsid w:val="00E97552"/>
    <w:rsid w:val="00E97A6B"/>
    <w:rsid w:val="00EA05A6"/>
    <w:rsid w:val="00EA08D1"/>
    <w:rsid w:val="00EA0948"/>
    <w:rsid w:val="00EA0B2D"/>
    <w:rsid w:val="00EA0BDE"/>
    <w:rsid w:val="00EA1566"/>
    <w:rsid w:val="00EA203A"/>
    <w:rsid w:val="00EA25A7"/>
    <w:rsid w:val="00EA286E"/>
    <w:rsid w:val="00EA298A"/>
    <w:rsid w:val="00EA2E83"/>
    <w:rsid w:val="00EA2FA0"/>
    <w:rsid w:val="00EA3C5A"/>
    <w:rsid w:val="00EA4E51"/>
    <w:rsid w:val="00EA5202"/>
    <w:rsid w:val="00EA52A3"/>
    <w:rsid w:val="00EA5740"/>
    <w:rsid w:val="00EA5C94"/>
    <w:rsid w:val="00EA6187"/>
    <w:rsid w:val="00EA6826"/>
    <w:rsid w:val="00EA68E8"/>
    <w:rsid w:val="00EA6962"/>
    <w:rsid w:val="00EA6D43"/>
    <w:rsid w:val="00EA7075"/>
    <w:rsid w:val="00EA770E"/>
    <w:rsid w:val="00EA786B"/>
    <w:rsid w:val="00EA7F6C"/>
    <w:rsid w:val="00EB0626"/>
    <w:rsid w:val="00EB068D"/>
    <w:rsid w:val="00EB0B2C"/>
    <w:rsid w:val="00EB10F8"/>
    <w:rsid w:val="00EB18BC"/>
    <w:rsid w:val="00EB19FB"/>
    <w:rsid w:val="00EB2CA3"/>
    <w:rsid w:val="00EB2E96"/>
    <w:rsid w:val="00EB3852"/>
    <w:rsid w:val="00EB4833"/>
    <w:rsid w:val="00EB5606"/>
    <w:rsid w:val="00EB575A"/>
    <w:rsid w:val="00EB5B5F"/>
    <w:rsid w:val="00EB608A"/>
    <w:rsid w:val="00EB7AD2"/>
    <w:rsid w:val="00EB7BF0"/>
    <w:rsid w:val="00EC030C"/>
    <w:rsid w:val="00EC04EA"/>
    <w:rsid w:val="00EC0AD8"/>
    <w:rsid w:val="00EC1019"/>
    <w:rsid w:val="00EC10D0"/>
    <w:rsid w:val="00EC113B"/>
    <w:rsid w:val="00EC13AA"/>
    <w:rsid w:val="00EC174D"/>
    <w:rsid w:val="00EC1A49"/>
    <w:rsid w:val="00EC2147"/>
    <w:rsid w:val="00EC2D6E"/>
    <w:rsid w:val="00EC3A26"/>
    <w:rsid w:val="00EC4130"/>
    <w:rsid w:val="00EC41D2"/>
    <w:rsid w:val="00EC4900"/>
    <w:rsid w:val="00EC4F19"/>
    <w:rsid w:val="00EC4FD6"/>
    <w:rsid w:val="00EC5026"/>
    <w:rsid w:val="00EC5420"/>
    <w:rsid w:val="00EC5B80"/>
    <w:rsid w:val="00EC5F12"/>
    <w:rsid w:val="00EC5F2A"/>
    <w:rsid w:val="00EC6703"/>
    <w:rsid w:val="00EC710A"/>
    <w:rsid w:val="00EC721A"/>
    <w:rsid w:val="00EC7441"/>
    <w:rsid w:val="00EC74A2"/>
    <w:rsid w:val="00EC7A30"/>
    <w:rsid w:val="00EC7CEA"/>
    <w:rsid w:val="00EC7D55"/>
    <w:rsid w:val="00ED0E6C"/>
    <w:rsid w:val="00ED18EE"/>
    <w:rsid w:val="00ED1FF2"/>
    <w:rsid w:val="00ED220A"/>
    <w:rsid w:val="00ED225B"/>
    <w:rsid w:val="00ED2DA7"/>
    <w:rsid w:val="00ED34BE"/>
    <w:rsid w:val="00ED3DA4"/>
    <w:rsid w:val="00ED4CE1"/>
    <w:rsid w:val="00ED4E91"/>
    <w:rsid w:val="00ED4FD9"/>
    <w:rsid w:val="00ED51BD"/>
    <w:rsid w:val="00ED57C8"/>
    <w:rsid w:val="00ED58E9"/>
    <w:rsid w:val="00ED6269"/>
    <w:rsid w:val="00ED655A"/>
    <w:rsid w:val="00ED680B"/>
    <w:rsid w:val="00ED75DC"/>
    <w:rsid w:val="00ED77E9"/>
    <w:rsid w:val="00ED7CCE"/>
    <w:rsid w:val="00EE0349"/>
    <w:rsid w:val="00EE0399"/>
    <w:rsid w:val="00EE08EF"/>
    <w:rsid w:val="00EE1010"/>
    <w:rsid w:val="00EE1D97"/>
    <w:rsid w:val="00EE1E86"/>
    <w:rsid w:val="00EE3C43"/>
    <w:rsid w:val="00EE3C7E"/>
    <w:rsid w:val="00EE4004"/>
    <w:rsid w:val="00EE4074"/>
    <w:rsid w:val="00EE4291"/>
    <w:rsid w:val="00EE5AF0"/>
    <w:rsid w:val="00EE5ECA"/>
    <w:rsid w:val="00EE614D"/>
    <w:rsid w:val="00EE70B0"/>
    <w:rsid w:val="00EF01D8"/>
    <w:rsid w:val="00EF0440"/>
    <w:rsid w:val="00EF0611"/>
    <w:rsid w:val="00EF06D6"/>
    <w:rsid w:val="00EF07DC"/>
    <w:rsid w:val="00EF0A14"/>
    <w:rsid w:val="00EF0EAE"/>
    <w:rsid w:val="00EF137B"/>
    <w:rsid w:val="00EF15B4"/>
    <w:rsid w:val="00EF1E7A"/>
    <w:rsid w:val="00EF2284"/>
    <w:rsid w:val="00EF285D"/>
    <w:rsid w:val="00EF2BF0"/>
    <w:rsid w:val="00EF2D83"/>
    <w:rsid w:val="00EF2E1E"/>
    <w:rsid w:val="00EF2EFD"/>
    <w:rsid w:val="00EF36B1"/>
    <w:rsid w:val="00EF39F0"/>
    <w:rsid w:val="00EF3D27"/>
    <w:rsid w:val="00EF4208"/>
    <w:rsid w:val="00EF46D3"/>
    <w:rsid w:val="00EF4BE4"/>
    <w:rsid w:val="00EF50D5"/>
    <w:rsid w:val="00EF5624"/>
    <w:rsid w:val="00EF6141"/>
    <w:rsid w:val="00EF64BC"/>
    <w:rsid w:val="00EF6933"/>
    <w:rsid w:val="00EF6E1C"/>
    <w:rsid w:val="00EF7B26"/>
    <w:rsid w:val="00F00118"/>
    <w:rsid w:val="00F00C74"/>
    <w:rsid w:val="00F00CBE"/>
    <w:rsid w:val="00F010C9"/>
    <w:rsid w:val="00F0156B"/>
    <w:rsid w:val="00F0186E"/>
    <w:rsid w:val="00F01AB8"/>
    <w:rsid w:val="00F02358"/>
    <w:rsid w:val="00F02B8C"/>
    <w:rsid w:val="00F02EB1"/>
    <w:rsid w:val="00F03925"/>
    <w:rsid w:val="00F03A2A"/>
    <w:rsid w:val="00F04121"/>
    <w:rsid w:val="00F0469E"/>
    <w:rsid w:val="00F05515"/>
    <w:rsid w:val="00F056FE"/>
    <w:rsid w:val="00F057C4"/>
    <w:rsid w:val="00F067DD"/>
    <w:rsid w:val="00F07276"/>
    <w:rsid w:val="00F075E6"/>
    <w:rsid w:val="00F07CD4"/>
    <w:rsid w:val="00F07CDB"/>
    <w:rsid w:val="00F07EA2"/>
    <w:rsid w:val="00F07F0C"/>
    <w:rsid w:val="00F07F77"/>
    <w:rsid w:val="00F106AD"/>
    <w:rsid w:val="00F10913"/>
    <w:rsid w:val="00F10BCD"/>
    <w:rsid w:val="00F10CDF"/>
    <w:rsid w:val="00F11C48"/>
    <w:rsid w:val="00F123DD"/>
    <w:rsid w:val="00F12589"/>
    <w:rsid w:val="00F12E4E"/>
    <w:rsid w:val="00F13415"/>
    <w:rsid w:val="00F13874"/>
    <w:rsid w:val="00F1406B"/>
    <w:rsid w:val="00F141F7"/>
    <w:rsid w:val="00F15333"/>
    <w:rsid w:val="00F155F0"/>
    <w:rsid w:val="00F15AF5"/>
    <w:rsid w:val="00F167B7"/>
    <w:rsid w:val="00F168B4"/>
    <w:rsid w:val="00F16BB7"/>
    <w:rsid w:val="00F16FE4"/>
    <w:rsid w:val="00F178E5"/>
    <w:rsid w:val="00F17D7B"/>
    <w:rsid w:val="00F200C7"/>
    <w:rsid w:val="00F204F4"/>
    <w:rsid w:val="00F20EB8"/>
    <w:rsid w:val="00F21273"/>
    <w:rsid w:val="00F22121"/>
    <w:rsid w:val="00F22728"/>
    <w:rsid w:val="00F23608"/>
    <w:rsid w:val="00F236C1"/>
    <w:rsid w:val="00F23876"/>
    <w:rsid w:val="00F239F9"/>
    <w:rsid w:val="00F23A71"/>
    <w:rsid w:val="00F23CBB"/>
    <w:rsid w:val="00F23E5F"/>
    <w:rsid w:val="00F241AB"/>
    <w:rsid w:val="00F24420"/>
    <w:rsid w:val="00F248BE"/>
    <w:rsid w:val="00F24904"/>
    <w:rsid w:val="00F249F0"/>
    <w:rsid w:val="00F24E47"/>
    <w:rsid w:val="00F24FAF"/>
    <w:rsid w:val="00F2524B"/>
    <w:rsid w:val="00F256C9"/>
    <w:rsid w:val="00F25B3A"/>
    <w:rsid w:val="00F266F1"/>
    <w:rsid w:val="00F26982"/>
    <w:rsid w:val="00F26B3F"/>
    <w:rsid w:val="00F272A9"/>
    <w:rsid w:val="00F27384"/>
    <w:rsid w:val="00F27556"/>
    <w:rsid w:val="00F30075"/>
    <w:rsid w:val="00F30170"/>
    <w:rsid w:val="00F30968"/>
    <w:rsid w:val="00F3132D"/>
    <w:rsid w:val="00F313AB"/>
    <w:rsid w:val="00F31777"/>
    <w:rsid w:val="00F31AF4"/>
    <w:rsid w:val="00F33278"/>
    <w:rsid w:val="00F345DA"/>
    <w:rsid w:val="00F34833"/>
    <w:rsid w:val="00F3521A"/>
    <w:rsid w:val="00F35369"/>
    <w:rsid w:val="00F35910"/>
    <w:rsid w:val="00F365E9"/>
    <w:rsid w:val="00F368CB"/>
    <w:rsid w:val="00F36EE3"/>
    <w:rsid w:val="00F37119"/>
    <w:rsid w:val="00F40045"/>
    <w:rsid w:val="00F40328"/>
    <w:rsid w:val="00F40FCD"/>
    <w:rsid w:val="00F41283"/>
    <w:rsid w:val="00F415C1"/>
    <w:rsid w:val="00F417CA"/>
    <w:rsid w:val="00F41C90"/>
    <w:rsid w:val="00F4207F"/>
    <w:rsid w:val="00F42198"/>
    <w:rsid w:val="00F42F57"/>
    <w:rsid w:val="00F43085"/>
    <w:rsid w:val="00F4315B"/>
    <w:rsid w:val="00F4331D"/>
    <w:rsid w:val="00F43CC2"/>
    <w:rsid w:val="00F43CC6"/>
    <w:rsid w:val="00F43E6B"/>
    <w:rsid w:val="00F448D1"/>
    <w:rsid w:val="00F44BD5"/>
    <w:rsid w:val="00F452BE"/>
    <w:rsid w:val="00F4638D"/>
    <w:rsid w:val="00F46497"/>
    <w:rsid w:val="00F468BF"/>
    <w:rsid w:val="00F46A01"/>
    <w:rsid w:val="00F47519"/>
    <w:rsid w:val="00F47C4E"/>
    <w:rsid w:val="00F47CC7"/>
    <w:rsid w:val="00F47E1C"/>
    <w:rsid w:val="00F512D7"/>
    <w:rsid w:val="00F517AA"/>
    <w:rsid w:val="00F518E6"/>
    <w:rsid w:val="00F519FE"/>
    <w:rsid w:val="00F522EE"/>
    <w:rsid w:val="00F526CF"/>
    <w:rsid w:val="00F52713"/>
    <w:rsid w:val="00F52E5C"/>
    <w:rsid w:val="00F5303F"/>
    <w:rsid w:val="00F5316D"/>
    <w:rsid w:val="00F53276"/>
    <w:rsid w:val="00F536C8"/>
    <w:rsid w:val="00F550B5"/>
    <w:rsid w:val="00F55CF3"/>
    <w:rsid w:val="00F56517"/>
    <w:rsid w:val="00F568D8"/>
    <w:rsid w:val="00F5690D"/>
    <w:rsid w:val="00F56CA5"/>
    <w:rsid w:val="00F6029C"/>
    <w:rsid w:val="00F60BFF"/>
    <w:rsid w:val="00F61AE8"/>
    <w:rsid w:val="00F61DF2"/>
    <w:rsid w:val="00F6244C"/>
    <w:rsid w:val="00F62CBD"/>
    <w:rsid w:val="00F62D17"/>
    <w:rsid w:val="00F63365"/>
    <w:rsid w:val="00F63D28"/>
    <w:rsid w:val="00F64959"/>
    <w:rsid w:val="00F64972"/>
    <w:rsid w:val="00F64BE2"/>
    <w:rsid w:val="00F65960"/>
    <w:rsid w:val="00F65A0B"/>
    <w:rsid w:val="00F65AE2"/>
    <w:rsid w:val="00F65F7C"/>
    <w:rsid w:val="00F66401"/>
    <w:rsid w:val="00F665F6"/>
    <w:rsid w:val="00F66D68"/>
    <w:rsid w:val="00F66F77"/>
    <w:rsid w:val="00F67A9E"/>
    <w:rsid w:val="00F67FBC"/>
    <w:rsid w:val="00F70BC2"/>
    <w:rsid w:val="00F70C86"/>
    <w:rsid w:val="00F71458"/>
    <w:rsid w:val="00F7208D"/>
    <w:rsid w:val="00F7209B"/>
    <w:rsid w:val="00F727DF"/>
    <w:rsid w:val="00F72D09"/>
    <w:rsid w:val="00F740C3"/>
    <w:rsid w:val="00F74370"/>
    <w:rsid w:val="00F746FC"/>
    <w:rsid w:val="00F74D6D"/>
    <w:rsid w:val="00F7526A"/>
    <w:rsid w:val="00F755F0"/>
    <w:rsid w:val="00F756CC"/>
    <w:rsid w:val="00F75C02"/>
    <w:rsid w:val="00F76A5C"/>
    <w:rsid w:val="00F76C97"/>
    <w:rsid w:val="00F76DD8"/>
    <w:rsid w:val="00F77661"/>
    <w:rsid w:val="00F801D0"/>
    <w:rsid w:val="00F8049C"/>
    <w:rsid w:val="00F80647"/>
    <w:rsid w:val="00F80651"/>
    <w:rsid w:val="00F80CD7"/>
    <w:rsid w:val="00F80D58"/>
    <w:rsid w:val="00F80E11"/>
    <w:rsid w:val="00F81361"/>
    <w:rsid w:val="00F820FA"/>
    <w:rsid w:val="00F82723"/>
    <w:rsid w:val="00F82AE5"/>
    <w:rsid w:val="00F8308D"/>
    <w:rsid w:val="00F83293"/>
    <w:rsid w:val="00F8369C"/>
    <w:rsid w:val="00F83CEA"/>
    <w:rsid w:val="00F83D15"/>
    <w:rsid w:val="00F84544"/>
    <w:rsid w:val="00F84F07"/>
    <w:rsid w:val="00F860FA"/>
    <w:rsid w:val="00F86719"/>
    <w:rsid w:val="00F86E1E"/>
    <w:rsid w:val="00F87E92"/>
    <w:rsid w:val="00F90005"/>
    <w:rsid w:val="00F900E0"/>
    <w:rsid w:val="00F90375"/>
    <w:rsid w:val="00F9140C"/>
    <w:rsid w:val="00F91D1C"/>
    <w:rsid w:val="00F925B4"/>
    <w:rsid w:val="00F929BB"/>
    <w:rsid w:val="00F929E5"/>
    <w:rsid w:val="00F92CBE"/>
    <w:rsid w:val="00F93695"/>
    <w:rsid w:val="00F93C6B"/>
    <w:rsid w:val="00F949DC"/>
    <w:rsid w:val="00F9508D"/>
    <w:rsid w:val="00F9532D"/>
    <w:rsid w:val="00F95814"/>
    <w:rsid w:val="00F95854"/>
    <w:rsid w:val="00F958E4"/>
    <w:rsid w:val="00F96D01"/>
    <w:rsid w:val="00F97007"/>
    <w:rsid w:val="00F97666"/>
    <w:rsid w:val="00FA0D71"/>
    <w:rsid w:val="00FA177C"/>
    <w:rsid w:val="00FA2321"/>
    <w:rsid w:val="00FA23FD"/>
    <w:rsid w:val="00FA2618"/>
    <w:rsid w:val="00FA2917"/>
    <w:rsid w:val="00FA2E50"/>
    <w:rsid w:val="00FA3546"/>
    <w:rsid w:val="00FA3BD9"/>
    <w:rsid w:val="00FA3E10"/>
    <w:rsid w:val="00FA465C"/>
    <w:rsid w:val="00FA48A0"/>
    <w:rsid w:val="00FA4BDB"/>
    <w:rsid w:val="00FA4EF8"/>
    <w:rsid w:val="00FA4F18"/>
    <w:rsid w:val="00FA586B"/>
    <w:rsid w:val="00FA5E19"/>
    <w:rsid w:val="00FA63FE"/>
    <w:rsid w:val="00FA642F"/>
    <w:rsid w:val="00FA6AD9"/>
    <w:rsid w:val="00FA78C1"/>
    <w:rsid w:val="00FA7E43"/>
    <w:rsid w:val="00FB0286"/>
    <w:rsid w:val="00FB0733"/>
    <w:rsid w:val="00FB1838"/>
    <w:rsid w:val="00FB1AA5"/>
    <w:rsid w:val="00FB2332"/>
    <w:rsid w:val="00FB2AA5"/>
    <w:rsid w:val="00FB2CA9"/>
    <w:rsid w:val="00FB3BFA"/>
    <w:rsid w:val="00FB435C"/>
    <w:rsid w:val="00FB4CFC"/>
    <w:rsid w:val="00FB4D27"/>
    <w:rsid w:val="00FB4EDE"/>
    <w:rsid w:val="00FB4F81"/>
    <w:rsid w:val="00FB5474"/>
    <w:rsid w:val="00FB6957"/>
    <w:rsid w:val="00FB7608"/>
    <w:rsid w:val="00FB7A37"/>
    <w:rsid w:val="00FC0015"/>
    <w:rsid w:val="00FC01C8"/>
    <w:rsid w:val="00FC01C9"/>
    <w:rsid w:val="00FC0390"/>
    <w:rsid w:val="00FC057C"/>
    <w:rsid w:val="00FC0B9F"/>
    <w:rsid w:val="00FC1206"/>
    <w:rsid w:val="00FC137C"/>
    <w:rsid w:val="00FC2C67"/>
    <w:rsid w:val="00FC306B"/>
    <w:rsid w:val="00FC39D5"/>
    <w:rsid w:val="00FC3B5C"/>
    <w:rsid w:val="00FC3DD8"/>
    <w:rsid w:val="00FC4716"/>
    <w:rsid w:val="00FC5691"/>
    <w:rsid w:val="00FC6178"/>
    <w:rsid w:val="00FC74F5"/>
    <w:rsid w:val="00FC758B"/>
    <w:rsid w:val="00FC786F"/>
    <w:rsid w:val="00FD009B"/>
    <w:rsid w:val="00FD0233"/>
    <w:rsid w:val="00FD058B"/>
    <w:rsid w:val="00FD0612"/>
    <w:rsid w:val="00FD149A"/>
    <w:rsid w:val="00FD16ED"/>
    <w:rsid w:val="00FD1AA2"/>
    <w:rsid w:val="00FD2B99"/>
    <w:rsid w:val="00FD2C06"/>
    <w:rsid w:val="00FD2FD8"/>
    <w:rsid w:val="00FD3023"/>
    <w:rsid w:val="00FD3463"/>
    <w:rsid w:val="00FD3ACA"/>
    <w:rsid w:val="00FD3B59"/>
    <w:rsid w:val="00FD3E32"/>
    <w:rsid w:val="00FD3EF9"/>
    <w:rsid w:val="00FD4049"/>
    <w:rsid w:val="00FD4535"/>
    <w:rsid w:val="00FD508B"/>
    <w:rsid w:val="00FD54D7"/>
    <w:rsid w:val="00FD5A1C"/>
    <w:rsid w:val="00FD6302"/>
    <w:rsid w:val="00FD67B4"/>
    <w:rsid w:val="00FD67E3"/>
    <w:rsid w:val="00FD68C8"/>
    <w:rsid w:val="00FD742F"/>
    <w:rsid w:val="00FD74B1"/>
    <w:rsid w:val="00FE04ED"/>
    <w:rsid w:val="00FE0831"/>
    <w:rsid w:val="00FE1197"/>
    <w:rsid w:val="00FE18A3"/>
    <w:rsid w:val="00FE263D"/>
    <w:rsid w:val="00FE2820"/>
    <w:rsid w:val="00FE2DBE"/>
    <w:rsid w:val="00FE3AEE"/>
    <w:rsid w:val="00FE3C39"/>
    <w:rsid w:val="00FE3D15"/>
    <w:rsid w:val="00FE3D52"/>
    <w:rsid w:val="00FE3E8E"/>
    <w:rsid w:val="00FE3EC4"/>
    <w:rsid w:val="00FE468A"/>
    <w:rsid w:val="00FE480E"/>
    <w:rsid w:val="00FE4E86"/>
    <w:rsid w:val="00FE535C"/>
    <w:rsid w:val="00FE5732"/>
    <w:rsid w:val="00FE5A90"/>
    <w:rsid w:val="00FE5C6D"/>
    <w:rsid w:val="00FE5D61"/>
    <w:rsid w:val="00FE619B"/>
    <w:rsid w:val="00FE6540"/>
    <w:rsid w:val="00FE6B6C"/>
    <w:rsid w:val="00FE74BD"/>
    <w:rsid w:val="00FE768F"/>
    <w:rsid w:val="00FF0245"/>
    <w:rsid w:val="00FF066E"/>
    <w:rsid w:val="00FF0996"/>
    <w:rsid w:val="00FF1157"/>
    <w:rsid w:val="00FF1387"/>
    <w:rsid w:val="00FF173F"/>
    <w:rsid w:val="00FF1796"/>
    <w:rsid w:val="00FF1AC8"/>
    <w:rsid w:val="00FF1AED"/>
    <w:rsid w:val="00FF2224"/>
    <w:rsid w:val="00FF34D9"/>
    <w:rsid w:val="00FF3CAF"/>
    <w:rsid w:val="00FF47C7"/>
    <w:rsid w:val="00FF540D"/>
    <w:rsid w:val="00FF5CD9"/>
    <w:rsid w:val="00FF6015"/>
    <w:rsid w:val="00FF62F0"/>
    <w:rsid w:val="00FF6359"/>
    <w:rsid w:val="00FF704E"/>
    <w:rsid w:val="00FF7287"/>
    <w:rsid w:val="00FF7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AACF74"/>
  <w15:chartTrackingRefBased/>
  <w15:docId w15:val="{8D874538-59A7-48D7-A78F-439FDAA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948F3"/>
  </w:style>
  <w:style w:type="paragraph" w:styleId="Nadpis1">
    <w:name w:val="heading 1"/>
    <w:basedOn w:val="Normln"/>
    <w:next w:val="Normln"/>
    <w:link w:val="Nadpis1Char"/>
    <w:uiPriority w:val="9"/>
    <w:qFormat/>
    <w:rsid w:val="007003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385D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pis pro KZ,odrážky,Odstavec_muj,List Paragraph_0,List Paragraph1,List Paragraph2,Nad,Nad1,Nad2,Odstavec_muj1,Odstavec_muj10,Odstavec_muj2,Odstavec_muj3,Odstavec_muj4,Odstavec_muj5,Odstavec_muj6,Odstavec_muj7,Odstavec_muj8,Dot pt"/>
    <w:basedOn w:val="Normln"/>
    <w:link w:val="OdstavecseseznamemChar"/>
    <w:uiPriority w:val="34"/>
    <w:qFormat/>
    <w:rsid w:val="008014BE"/>
    <w:pPr>
      <w:ind w:left="720"/>
      <w:contextualSpacing/>
      <w:outlineLvl w:val="1"/>
    </w:p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Footnote,Podrozdział"/>
    <w:basedOn w:val="Normln"/>
    <w:link w:val="TextpoznpodarouChar"/>
    <w:autoRedefine/>
    <w:uiPriority w:val="99"/>
    <w:unhideWhenUsed/>
    <w:qFormat/>
    <w:rsid w:val="00021C8B"/>
    <w:pPr>
      <w:spacing w:after="0" w:line="240" w:lineRule="auto"/>
      <w:ind w:left="284" w:hanging="284"/>
      <w:jc w:val="both"/>
    </w:pPr>
    <w:rPr>
      <w:sz w:val="20"/>
      <w:szCs w:val="20"/>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021C8B"/>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FR"/>
    <w:basedOn w:val="Standardnpsmoodstavce"/>
    <w:uiPriority w:val="99"/>
    <w:unhideWhenUsed/>
    <w:qFormat/>
    <w:rsid w:val="00FA586B"/>
    <w:rPr>
      <w:vertAlign w:val="superscript"/>
    </w:rPr>
  </w:style>
  <w:style w:type="paragraph" w:styleId="Textbubliny">
    <w:name w:val="Balloon Text"/>
    <w:basedOn w:val="Normln"/>
    <w:link w:val="TextbublinyChar"/>
    <w:uiPriority w:val="99"/>
    <w:semiHidden/>
    <w:unhideWhenUsed/>
    <w:rsid w:val="007944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42B"/>
    <w:rPr>
      <w:rFonts w:ascii="Segoe UI" w:hAnsi="Segoe UI" w:cs="Segoe UI"/>
      <w:sz w:val="18"/>
      <w:szCs w:val="18"/>
    </w:rPr>
  </w:style>
  <w:style w:type="table" w:styleId="Mkatabulky">
    <w:name w:val="Table Grid"/>
    <w:basedOn w:val="Normlntabulka"/>
    <w:uiPriority w:val="59"/>
    <w:rsid w:val="00A53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pis pro KZ Char,odrážky Char,Odstavec_muj Char,List Paragraph_0 Char,List Paragraph1 Char,List Paragraph2 Char,Nad Char,Nad1 Char,Nad2 Char,Odstavec_muj1 Char,Odstavec_muj10 Char,Odstavec_muj2 Char,Odstavec_muj3 Char"/>
    <w:basedOn w:val="Standardnpsmoodstavce"/>
    <w:link w:val="Odstavecseseznamem"/>
    <w:uiPriority w:val="34"/>
    <w:qFormat/>
    <w:locked/>
    <w:rsid w:val="008014BE"/>
  </w:style>
  <w:style w:type="paragraph" w:styleId="Titulek">
    <w:name w:val="caption"/>
    <w:aliases w:val="Caption Char3,Caption Char2 Char,Caption Char1 Char Char,Caption Char Char Char Char,Caption Char Char1 Char,Caption Char1 Char1,Caption Char Char Char1,Caption Char Char2,Titulek Char,KP_titulek"/>
    <w:basedOn w:val="Normln"/>
    <w:next w:val="Normln"/>
    <w:uiPriority w:val="35"/>
    <w:unhideWhenUsed/>
    <w:qFormat/>
    <w:rsid w:val="00241984"/>
    <w:pPr>
      <w:spacing w:after="200" w:line="240" w:lineRule="auto"/>
    </w:pPr>
    <w:rPr>
      <w:i/>
      <w:iCs/>
      <w:color w:val="44546A" w:themeColor="text2"/>
      <w:sz w:val="18"/>
      <w:szCs w:val="18"/>
    </w:rPr>
  </w:style>
  <w:style w:type="paragraph" w:styleId="Zhlav">
    <w:name w:val="header"/>
    <w:basedOn w:val="Normln"/>
    <w:link w:val="ZhlavChar"/>
    <w:uiPriority w:val="99"/>
    <w:unhideWhenUsed/>
    <w:rsid w:val="008576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621"/>
  </w:style>
  <w:style w:type="paragraph" w:styleId="Zpat">
    <w:name w:val="footer"/>
    <w:basedOn w:val="Normln"/>
    <w:link w:val="ZpatChar"/>
    <w:uiPriority w:val="99"/>
    <w:unhideWhenUsed/>
    <w:rsid w:val="00857621"/>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621"/>
  </w:style>
  <w:style w:type="character" w:styleId="Hypertextovodkaz">
    <w:name w:val="Hyperlink"/>
    <w:basedOn w:val="Standardnpsmoodstavce"/>
    <w:uiPriority w:val="99"/>
    <w:unhideWhenUsed/>
    <w:rsid w:val="00297C21"/>
    <w:rPr>
      <w:color w:val="0563C1" w:themeColor="hyperlink"/>
      <w:u w:val="single"/>
    </w:rPr>
  </w:style>
  <w:style w:type="character" w:styleId="Siln">
    <w:name w:val="Strong"/>
    <w:basedOn w:val="Standardnpsmoodstavce"/>
    <w:uiPriority w:val="22"/>
    <w:qFormat/>
    <w:rsid w:val="00A90BE1"/>
    <w:rPr>
      <w:b/>
      <w:bCs/>
    </w:rPr>
  </w:style>
  <w:style w:type="paragraph" w:customStyle="1" w:styleId="JK3">
    <w:name w:val="JK3"/>
    <w:basedOn w:val="JK1"/>
    <w:link w:val="JK3Char"/>
    <w:autoRedefine/>
    <w:qFormat/>
    <w:rsid w:val="00574766"/>
    <w:pPr>
      <w:numPr>
        <w:numId w:val="18"/>
      </w:numPr>
      <w:spacing w:after="120"/>
      <w:ind w:left="0" w:firstLine="0"/>
    </w:pPr>
    <w:rPr>
      <w:color w:val="auto"/>
    </w:rPr>
  </w:style>
  <w:style w:type="paragraph" w:customStyle="1" w:styleId="JK4">
    <w:name w:val="JK4"/>
    <w:basedOn w:val="JK3"/>
    <w:link w:val="JK4Char"/>
    <w:qFormat/>
    <w:rsid w:val="00574766"/>
    <w:pPr>
      <w:numPr>
        <w:numId w:val="5"/>
      </w:numPr>
      <w:spacing w:after="60"/>
      <w:ind w:left="0" w:firstLine="0"/>
      <w:outlineLvl w:val="3"/>
    </w:pPr>
  </w:style>
  <w:style w:type="character" w:styleId="Odkaznakoment">
    <w:name w:val="annotation reference"/>
    <w:basedOn w:val="Standardnpsmoodstavce"/>
    <w:uiPriority w:val="99"/>
    <w:semiHidden/>
    <w:unhideWhenUsed/>
    <w:rsid w:val="008E5A98"/>
    <w:rPr>
      <w:sz w:val="16"/>
      <w:szCs w:val="16"/>
    </w:rPr>
  </w:style>
  <w:style w:type="paragraph" w:styleId="Textkomente">
    <w:name w:val="annotation text"/>
    <w:basedOn w:val="Normln"/>
    <w:link w:val="TextkomenteChar"/>
    <w:uiPriority w:val="99"/>
    <w:unhideWhenUsed/>
    <w:rsid w:val="008E5A98"/>
    <w:pPr>
      <w:spacing w:line="240" w:lineRule="auto"/>
    </w:pPr>
    <w:rPr>
      <w:sz w:val="20"/>
      <w:szCs w:val="20"/>
    </w:rPr>
  </w:style>
  <w:style w:type="character" w:customStyle="1" w:styleId="TextkomenteChar">
    <w:name w:val="Text komentáře Char"/>
    <w:basedOn w:val="Standardnpsmoodstavce"/>
    <w:link w:val="Textkomente"/>
    <w:uiPriority w:val="99"/>
    <w:rsid w:val="008E5A98"/>
    <w:rPr>
      <w:sz w:val="20"/>
      <w:szCs w:val="20"/>
    </w:rPr>
  </w:style>
  <w:style w:type="paragraph" w:styleId="Pedmtkomente">
    <w:name w:val="annotation subject"/>
    <w:basedOn w:val="Textkomente"/>
    <w:next w:val="Textkomente"/>
    <w:link w:val="PedmtkomenteChar"/>
    <w:uiPriority w:val="99"/>
    <w:semiHidden/>
    <w:unhideWhenUsed/>
    <w:rsid w:val="008E5A98"/>
    <w:rPr>
      <w:b/>
      <w:bCs/>
    </w:rPr>
  </w:style>
  <w:style w:type="character" w:customStyle="1" w:styleId="PedmtkomenteChar">
    <w:name w:val="Předmět komentáře Char"/>
    <w:basedOn w:val="TextkomenteChar"/>
    <w:link w:val="Pedmtkomente"/>
    <w:uiPriority w:val="99"/>
    <w:semiHidden/>
    <w:rsid w:val="008E5A98"/>
    <w:rPr>
      <w:b/>
      <w:bCs/>
      <w:sz w:val="20"/>
      <w:szCs w:val="20"/>
    </w:rPr>
  </w:style>
  <w:style w:type="paragraph" w:customStyle="1" w:styleId="KPseznamcislo">
    <w:name w:val="KP_seznam_cislo"/>
    <w:basedOn w:val="Normln"/>
    <w:uiPriority w:val="3"/>
    <w:qFormat/>
    <w:rsid w:val="009438AB"/>
    <w:pPr>
      <w:numPr>
        <w:numId w:val="1"/>
      </w:numPr>
      <w:spacing w:before="60" w:after="60" w:line="276" w:lineRule="auto"/>
      <w:jc w:val="both"/>
    </w:pPr>
    <w:rPr>
      <w:rFonts w:ascii="Calibri" w:eastAsia="Times New Roman" w:hAnsi="Calibri" w:cs="Times New Roman"/>
      <w:sz w:val="24"/>
      <w:szCs w:val="24"/>
      <w:lang w:eastAsia="cs-CZ"/>
    </w:rPr>
  </w:style>
  <w:style w:type="paragraph" w:customStyle="1" w:styleId="KPnormal">
    <w:name w:val="KP_normal"/>
    <w:basedOn w:val="Normln"/>
    <w:link w:val="KPnormalChar"/>
    <w:qFormat/>
    <w:rsid w:val="007C58F2"/>
    <w:pPr>
      <w:spacing w:before="160" w:after="0" w:line="276" w:lineRule="auto"/>
      <w:ind w:firstLine="720"/>
      <w:jc w:val="both"/>
    </w:pPr>
    <w:rPr>
      <w:rFonts w:ascii="Calibri" w:eastAsia="Times New Roman" w:hAnsi="Calibri" w:cs="Times New Roman"/>
      <w:color w:val="000000"/>
      <w:sz w:val="24"/>
      <w:lang w:eastAsia="cs-CZ"/>
    </w:rPr>
  </w:style>
  <w:style w:type="character" w:customStyle="1" w:styleId="KPnormalChar">
    <w:name w:val="KP_normal Char"/>
    <w:basedOn w:val="Standardnpsmoodstavce"/>
    <w:link w:val="KPnormal"/>
    <w:rsid w:val="007C58F2"/>
    <w:rPr>
      <w:rFonts w:ascii="Calibri" w:eastAsia="Times New Roman" w:hAnsi="Calibri" w:cs="Times New Roman"/>
      <w:color w:val="000000"/>
      <w:sz w:val="24"/>
      <w:lang w:eastAsia="cs-CZ"/>
    </w:rPr>
  </w:style>
  <w:style w:type="paragraph" w:customStyle="1" w:styleId="KPodrazka1">
    <w:name w:val="KP_odrazka1"/>
    <w:basedOn w:val="Odstavecseseznamem"/>
    <w:autoRedefine/>
    <w:uiPriority w:val="2"/>
    <w:qFormat/>
    <w:rsid w:val="00756254"/>
    <w:pPr>
      <w:spacing w:after="0" w:line="240" w:lineRule="auto"/>
      <w:ind w:left="0"/>
      <w:contextualSpacing w:val="0"/>
      <w:jc w:val="both"/>
    </w:pPr>
    <w:rPr>
      <w:rFonts w:ascii="Calibri" w:eastAsia="Calibri" w:hAnsi="Calibri" w:cs="Calibri"/>
      <w:sz w:val="24"/>
      <w:szCs w:val="24"/>
      <w:lang w:eastAsia="cs-CZ"/>
    </w:rPr>
  </w:style>
  <w:style w:type="paragraph" w:customStyle="1" w:styleId="KPodrazka1posl">
    <w:name w:val="KP_odrazka1_posl"/>
    <w:basedOn w:val="KPodrazka1"/>
    <w:next w:val="KPnormal"/>
    <w:uiPriority w:val="2"/>
    <w:qFormat/>
    <w:rsid w:val="002256E5"/>
    <w:pPr>
      <w:spacing w:after="160"/>
      <w:ind w:left="1004" w:hanging="360"/>
    </w:pPr>
  </w:style>
  <w:style w:type="table" w:customStyle="1" w:styleId="Mkatabulky1">
    <w:name w:val="Mřížka tabulky1"/>
    <w:basedOn w:val="Normlntabulka"/>
    <w:next w:val="Mkatabulky"/>
    <w:uiPriority w:val="39"/>
    <w:rsid w:val="00815FDB"/>
    <w:pPr>
      <w:spacing w:before="160"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Pzdroj">
    <w:name w:val="KP_zdroj"/>
    <w:basedOn w:val="KPnormal"/>
    <w:next w:val="KPnormal"/>
    <w:uiPriority w:val="4"/>
    <w:qFormat/>
    <w:rsid w:val="00815FDB"/>
    <w:pPr>
      <w:tabs>
        <w:tab w:val="left" w:pos="709"/>
      </w:tabs>
      <w:spacing w:before="60" w:after="160"/>
      <w:ind w:left="709" w:hanging="709"/>
      <w:contextualSpacing/>
    </w:pPr>
    <w:rPr>
      <w:rFonts w:eastAsiaTheme="minorHAnsi"/>
      <w:sz w:val="20"/>
    </w:rPr>
  </w:style>
  <w:style w:type="paragraph" w:customStyle="1" w:styleId="KPsvazany">
    <w:name w:val="KP_svazany"/>
    <w:basedOn w:val="KPnormal"/>
    <w:next w:val="Normln"/>
    <w:qFormat/>
    <w:rsid w:val="00815FDB"/>
    <w:pPr>
      <w:keepNext/>
    </w:pPr>
  </w:style>
  <w:style w:type="character" w:styleId="slodku">
    <w:name w:val="line number"/>
    <w:basedOn w:val="Standardnpsmoodstavce"/>
    <w:uiPriority w:val="99"/>
    <w:semiHidden/>
    <w:unhideWhenUsed/>
    <w:rsid w:val="00E859FF"/>
  </w:style>
  <w:style w:type="paragraph" w:styleId="Revize">
    <w:name w:val="Revision"/>
    <w:hidden/>
    <w:uiPriority w:val="99"/>
    <w:semiHidden/>
    <w:rsid w:val="00B12AB4"/>
    <w:pPr>
      <w:spacing w:after="0" w:line="240" w:lineRule="auto"/>
    </w:pPr>
  </w:style>
  <w:style w:type="paragraph" w:customStyle="1" w:styleId="JK1">
    <w:name w:val="JK1"/>
    <w:basedOn w:val="KPnormal"/>
    <w:link w:val="JK1Char"/>
    <w:qFormat/>
    <w:rsid w:val="00E349B0"/>
    <w:pPr>
      <w:numPr>
        <w:numId w:val="2"/>
      </w:numPr>
      <w:tabs>
        <w:tab w:val="left" w:pos="567"/>
      </w:tabs>
      <w:spacing w:before="120" w:line="240" w:lineRule="auto"/>
    </w:pPr>
    <w:rPr>
      <w:szCs w:val="24"/>
    </w:rPr>
  </w:style>
  <w:style w:type="paragraph" w:customStyle="1" w:styleId="JK2">
    <w:name w:val="JK2"/>
    <w:basedOn w:val="JK1"/>
    <w:qFormat/>
    <w:rsid w:val="006E156E"/>
    <w:pPr>
      <w:numPr>
        <w:numId w:val="4"/>
      </w:numPr>
      <w:spacing w:after="120"/>
      <w:ind w:left="0" w:firstLine="0"/>
    </w:pPr>
  </w:style>
  <w:style w:type="paragraph" w:customStyle="1" w:styleId="Mluvcnadpis">
    <w:name w:val="Mluvící nadpis"/>
    <w:basedOn w:val="JK4"/>
    <w:qFormat/>
    <w:rsid w:val="004A4C07"/>
    <w:pPr>
      <w:numPr>
        <w:numId w:val="0"/>
      </w:numPr>
      <w:tabs>
        <w:tab w:val="left" w:pos="0"/>
      </w:tabs>
    </w:pPr>
    <w:rPr>
      <w:b/>
      <w:color w:val="C00000"/>
    </w:rPr>
  </w:style>
  <w:style w:type="paragraph" w:customStyle="1" w:styleId="Nadpismsk">
    <w:name w:val="Nadpis římská"/>
    <w:basedOn w:val="Normln"/>
    <w:link w:val="NadpismskChar"/>
    <w:qFormat/>
    <w:rsid w:val="008014BE"/>
    <w:pPr>
      <w:numPr>
        <w:numId w:val="17"/>
      </w:numPr>
      <w:spacing w:after="240" w:line="240" w:lineRule="auto"/>
      <w:ind w:left="453" w:hanging="96"/>
      <w:jc w:val="center"/>
      <w:outlineLvl w:val="0"/>
    </w:pPr>
    <w:rPr>
      <w:rFonts w:ascii="Calibri" w:hAnsi="Calibri" w:cs="Calibri"/>
      <w:b/>
      <w:sz w:val="28"/>
    </w:rPr>
  </w:style>
  <w:style w:type="paragraph" w:customStyle="1" w:styleId="Default">
    <w:name w:val="Default"/>
    <w:uiPriority w:val="99"/>
    <w:rsid w:val="003B7DC6"/>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mskChar">
    <w:name w:val="Nadpis římská Char"/>
    <w:basedOn w:val="Standardnpsmoodstavce"/>
    <w:link w:val="Nadpismsk"/>
    <w:rsid w:val="008014BE"/>
    <w:rPr>
      <w:rFonts w:ascii="Calibri" w:hAnsi="Calibri" w:cs="Calibri"/>
      <w:b/>
      <w:sz w:val="28"/>
    </w:rPr>
  </w:style>
  <w:style w:type="character" w:customStyle="1" w:styleId="Nadpis1Char">
    <w:name w:val="Nadpis 1 Char"/>
    <w:basedOn w:val="Standardnpsmoodstavce"/>
    <w:link w:val="Nadpis1"/>
    <w:uiPriority w:val="9"/>
    <w:rsid w:val="007003EA"/>
    <w:rPr>
      <w:rFonts w:asciiTheme="majorHAnsi" w:eastAsiaTheme="majorEastAsia" w:hAnsiTheme="majorHAnsi" w:cstheme="majorBidi"/>
      <w:color w:val="2E74B5" w:themeColor="accent1" w:themeShade="BF"/>
      <w:sz w:val="32"/>
      <w:szCs w:val="32"/>
    </w:rPr>
  </w:style>
  <w:style w:type="paragraph" w:customStyle="1" w:styleId="EZvraznn">
    <w:name w:val="E_Zvýraznění"/>
    <w:basedOn w:val="Normln"/>
    <w:uiPriority w:val="4"/>
    <w:qFormat/>
    <w:rsid w:val="008106E8"/>
    <w:pPr>
      <w:spacing w:line="276" w:lineRule="auto"/>
      <w:jc w:val="both"/>
    </w:pPr>
    <w:rPr>
      <w:sz w:val="24"/>
      <w:szCs w:val="24"/>
    </w:rPr>
  </w:style>
  <w:style w:type="character" w:customStyle="1" w:styleId="Bodytext2">
    <w:name w:val="Body text|2_"/>
    <w:basedOn w:val="Standardnpsmoodstavce"/>
    <w:link w:val="Bodytext20"/>
    <w:uiPriority w:val="99"/>
    <w:rsid w:val="00DA574B"/>
    <w:rPr>
      <w:rFonts w:ascii="Calibri" w:eastAsia="Calibri" w:hAnsi="Calibri" w:cs="Calibri"/>
      <w:sz w:val="19"/>
      <w:szCs w:val="19"/>
      <w:shd w:val="clear" w:color="auto" w:fill="FFFFFF"/>
    </w:rPr>
  </w:style>
  <w:style w:type="paragraph" w:customStyle="1" w:styleId="Bodytext20">
    <w:name w:val="Body text|2"/>
    <w:basedOn w:val="Normln"/>
    <w:link w:val="Bodytext2"/>
    <w:uiPriority w:val="99"/>
    <w:qFormat/>
    <w:rsid w:val="00C05CB4"/>
    <w:pPr>
      <w:widowControl w:val="0"/>
      <w:shd w:val="clear" w:color="auto" w:fill="FFFFFF"/>
      <w:spacing w:before="100" w:after="100" w:line="293" w:lineRule="exact"/>
      <w:ind w:hanging="360"/>
      <w:jc w:val="both"/>
    </w:pPr>
    <w:rPr>
      <w:rFonts w:ascii="Calibri" w:eastAsia="Calibri" w:hAnsi="Calibri" w:cs="Calibri"/>
      <w:sz w:val="19"/>
      <w:szCs w:val="19"/>
    </w:rPr>
  </w:style>
  <w:style w:type="character" w:customStyle="1" w:styleId="Bodytext4">
    <w:name w:val="Body text|4_"/>
    <w:basedOn w:val="Standardnpsmoodstavce"/>
    <w:link w:val="Bodytext40"/>
    <w:uiPriority w:val="99"/>
    <w:rsid w:val="00DA574B"/>
    <w:rPr>
      <w:rFonts w:ascii="Calibri" w:eastAsia="Calibri" w:hAnsi="Calibri" w:cs="Calibri"/>
      <w:b/>
      <w:sz w:val="20"/>
      <w:shd w:val="clear" w:color="auto" w:fill="FFFFFF"/>
    </w:rPr>
  </w:style>
  <w:style w:type="paragraph" w:customStyle="1" w:styleId="Bodytext40">
    <w:name w:val="Body text|4"/>
    <w:basedOn w:val="Normln"/>
    <w:link w:val="Bodytext4"/>
    <w:uiPriority w:val="99"/>
    <w:rsid w:val="00C05CB4"/>
    <w:pPr>
      <w:widowControl w:val="0"/>
      <w:shd w:val="clear" w:color="auto" w:fill="FFFFFF"/>
      <w:spacing w:before="140" w:after="0" w:line="244" w:lineRule="exact"/>
      <w:jc w:val="both"/>
    </w:pPr>
    <w:rPr>
      <w:rFonts w:ascii="Calibri" w:eastAsia="Calibri" w:hAnsi="Calibri" w:cs="Calibri"/>
      <w:b/>
      <w:sz w:val="20"/>
    </w:rPr>
  </w:style>
  <w:style w:type="character" w:customStyle="1" w:styleId="Bodytext6">
    <w:name w:val="Body text|6_"/>
    <w:basedOn w:val="Standardnpsmoodstavce"/>
    <w:link w:val="Bodytext60"/>
    <w:uiPriority w:val="99"/>
    <w:rsid w:val="00DA574B"/>
    <w:rPr>
      <w:rFonts w:ascii="Calibri" w:eastAsia="Calibri" w:hAnsi="Calibri" w:cs="Calibri"/>
      <w:i/>
      <w:sz w:val="18"/>
      <w:shd w:val="clear" w:color="auto" w:fill="FFFFFF"/>
    </w:rPr>
  </w:style>
  <w:style w:type="paragraph" w:customStyle="1" w:styleId="Bodytext60">
    <w:name w:val="Body text|6"/>
    <w:basedOn w:val="Normln"/>
    <w:link w:val="Bodytext6"/>
    <w:uiPriority w:val="99"/>
    <w:rsid w:val="00C05CB4"/>
    <w:pPr>
      <w:widowControl w:val="0"/>
      <w:shd w:val="clear" w:color="auto" w:fill="FFFFFF"/>
      <w:spacing w:before="320" w:after="200" w:line="220" w:lineRule="exact"/>
      <w:jc w:val="both"/>
    </w:pPr>
    <w:rPr>
      <w:rFonts w:ascii="Calibri" w:eastAsia="Calibri" w:hAnsi="Calibri" w:cs="Calibri"/>
      <w:i/>
      <w:sz w:val="18"/>
    </w:rPr>
  </w:style>
  <w:style w:type="character" w:styleId="Sledovanodkaz">
    <w:name w:val="FollowedHyperlink"/>
    <w:basedOn w:val="Standardnpsmoodstavce"/>
    <w:uiPriority w:val="99"/>
    <w:semiHidden/>
    <w:unhideWhenUsed/>
    <w:rsid w:val="002E32D5"/>
    <w:rPr>
      <w:color w:val="954F72" w:themeColor="followedHyperlink"/>
      <w:u w:val="single"/>
    </w:rPr>
  </w:style>
  <w:style w:type="paragraph" w:styleId="Obsah1">
    <w:name w:val="toc 1"/>
    <w:basedOn w:val="Normln"/>
    <w:next w:val="Normln"/>
    <w:autoRedefine/>
    <w:uiPriority w:val="39"/>
    <w:semiHidden/>
    <w:unhideWhenUsed/>
    <w:rsid w:val="007824DA"/>
    <w:pPr>
      <w:spacing w:after="100"/>
    </w:pPr>
  </w:style>
  <w:style w:type="paragraph" w:styleId="Rejstk1">
    <w:name w:val="index 1"/>
    <w:basedOn w:val="Normln"/>
    <w:next w:val="Normln"/>
    <w:autoRedefine/>
    <w:uiPriority w:val="99"/>
    <w:semiHidden/>
    <w:unhideWhenUsed/>
    <w:rsid w:val="007824DA"/>
    <w:pPr>
      <w:spacing w:after="0" w:line="240" w:lineRule="auto"/>
      <w:ind w:left="220" w:hanging="220"/>
    </w:pPr>
  </w:style>
  <w:style w:type="character" w:customStyle="1" w:styleId="Nadpis2Char">
    <w:name w:val="Nadpis 2 Char"/>
    <w:basedOn w:val="Standardnpsmoodstavce"/>
    <w:link w:val="Nadpis2"/>
    <w:uiPriority w:val="9"/>
    <w:rsid w:val="00385D98"/>
    <w:rPr>
      <w:rFonts w:asciiTheme="majorHAnsi" w:eastAsiaTheme="majorEastAsia" w:hAnsiTheme="majorHAnsi" w:cstheme="majorBidi"/>
      <w:color w:val="2E74B5" w:themeColor="accent1" w:themeShade="BF"/>
      <w:sz w:val="26"/>
      <w:szCs w:val="26"/>
    </w:rPr>
  </w:style>
  <w:style w:type="character" w:customStyle="1" w:styleId="A5">
    <w:name w:val="A5"/>
    <w:uiPriority w:val="99"/>
    <w:rsid w:val="00C80602"/>
    <w:rPr>
      <w:b/>
      <w:bCs/>
      <w:color w:val="000000"/>
      <w:sz w:val="40"/>
      <w:szCs w:val="40"/>
    </w:rPr>
  </w:style>
  <w:style w:type="paragraph" w:customStyle="1" w:styleId="KPnormalni">
    <w:name w:val="KP_normalni"/>
    <w:basedOn w:val="Normln"/>
    <w:qFormat/>
    <w:rsid w:val="00DA574B"/>
    <w:pPr>
      <w:spacing w:before="60" w:after="60" w:line="240" w:lineRule="auto"/>
      <w:jc w:val="both"/>
    </w:pPr>
    <w:rPr>
      <w:rFonts w:ascii="Calibri" w:hAnsi="Calibri" w:cs="Calibri"/>
      <w:sz w:val="24"/>
      <w:szCs w:val="24"/>
    </w:rPr>
  </w:style>
  <w:style w:type="paragraph" w:customStyle="1" w:styleId="KP-normlntext">
    <w:name w:val="KP-normální text"/>
    <w:basedOn w:val="Normln"/>
    <w:link w:val="KP-normlntextChar"/>
    <w:qFormat/>
    <w:rsid w:val="00D2591D"/>
    <w:pPr>
      <w:spacing w:after="120" w:line="240" w:lineRule="auto"/>
      <w:jc w:val="both"/>
    </w:pPr>
    <w:rPr>
      <w:rFonts w:eastAsia="Times New Roman" w:cs="Calibri"/>
      <w:sz w:val="24"/>
      <w:szCs w:val="24"/>
    </w:rPr>
  </w:style>
  <w:style w:type="character" w:customStyle="1" w:styleId="KP-normlntextChar">
    <w:name w:val="KP-normální text Char"/>
    <w:link w:val="KP-normlntext"/>
    <w:rsid w:val="00D2591D"/>
    <w:rPr>
      <w:rFonts w:eastAsia="Times New Roman" w:cs="Calibri"/>
      <w:sz w:val="24"/>
      <w:szCs w:val="24"/>
    </w:rPr>
  </w:style>
  <w:style w:type="character" w:styleId="Nevyeenzmnka">
    <w:name w:val="Unresolved Mention"/>
    <w:basedOn w:val="Standardnpsmoodstavce"/>
    <w:uiPriority w:val="99"/>
    <w:semiHidden/>
    <w:unhideWhenUsed/>
    <w:rsid w:val="0086659D"/>
    <w:rPr>
      <w:color w:val="605E5C"/>
      <w:shd w:val="clear" w:color="auto" w:fill="E1DFDD"/>
    </w:rPr>
  </w:style>
  <w:style w:type="paragraph" w:customStyle="1" w:styleId="KP-normlnbezodsazen">
    <w:name w:val="KP-normální bez odsazení"/>
    <w:basedOn w:val="KP-normlntext"/>
    <w:qFormat/>
    <w:rsid w:val="00C06C8E"/>
    <w:pPr>
      <w:spacing w:after="0"/>
    </w:pPr>
    <w:rPr>
      <w:rFonts w:cstheme="minorHAnsi"/>
    </w:rPr>
  </w:style>
  <w:style w:type="paragraph" w:customStyle="1" w:styleId="KP-normlntun">
    <w:name w:val="KP-normální tučně"/>
    <w:basedOn w:val="KP-normlntext"/>
    <w:qFormat/>
    <w:rsid w:val="002C41DC"/>
    <w:pPr>
      <w:spacing w:before="120"/>
    </w:pPr>
    <w:rPr>
      <w:rFonts w:cstheme="minorHAnsi"/>
      <w:b/>
    </w:rPr>
  </w:style>
  <w:style w:type="table" w:customStyle="1" w:styleId="Mkatabulky2">
    <w:name w:val="Mřížka tabulky2"/>
    <w:basedOn w:val="Normlntabulka"/>
    <w:next w:val="Mkatabulky"/>
    <w:uiPriority w:val="39"/>
    <w:rsid w:val="00F31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ln"/>
    <w:link w:val="footnotedescriptionChar"/>
    <w:hidden/>
    <w:rsid w:val="0063703B"/>
    <w:pPr>
      <w:spacing w:after="0" w:line="286" w:lineRule="auto"/>
      <w:ind w:left="283" w:firstLine="41"/>
    </w:pPr>
    <w:rPr>
      <w:rFonts w:ascii="Calibri" w:eastAsia="Calibri" w:hAnsi="Calibri" w:cs="Calibri"/>
      <w:color w:val="000000"/>
      <w:sz w:val="18"/>
      <w:lang w:eastAsia="cs-CZ"/>
    </w:rPr>
  </w:style>
  <w:style w:type="character" w:customStyle="1" w:styleId="footnotedescriptionChar">
    <w:name w:val="footnote description Char"/>
    <w:link w:val="footnotedescription"/>
    <w:rsid w:val="0063703B"/>
    <w:rPr>
      <w:rFonts w:ascii="Calibri" w:eastAsia="Calibri" w:hAnsi="Calibri" w:cs="Calibri"/>
      <w:color w:val="000000"/>
      <w:sz w:val="18"/>
      <w:lang w:eastAsia="cs-CZ"/>
    </w:rPr>
  </w:style>
  <w:style w:type="character" w:customStyle="1" w:styleId="footnotemark">
    <w:name w:val="footnote mark"/>
    <w:hidden/>
    <w:rsid w:val="0063703B"/>
    <w:rPr>
      <w:rFonts w:ascii="Calibri" w:eastAsia="Calibri" w:hAnsi="Calibri" w:cs="Calibri"/>
      <w:color w:val="000000"/>
      <w:sz w:val="18"/>
      <w:vertAlign w:val="superscript"/>
    </w:rPr>
  </w:style>
  <w:style w:type="table" w:customStyle="1" w:styleId="TableGrid1">
    <w:name w:val="TableGrid1"/>
    <w:rsid w:val="0063703B"/>
    <w:pPr>
      <w:spacing w:after="0" w:line="240" w:lineRule="auto"/>
    </w:pPr>
    <w:rPr>
      <w:rFonts w:eastAsia="Times New Roman"/>
      <w:lang w:eastAsia="cs-CZ"/>
    </w:rPr>
    <w:tblPr>
      <w:tblCellMar>
        <w:top w:w="0" w:type="dxa"/>
        <w:left w:w="0" w:type="dxa"/>
        <w:bottom w:w="0" w:type="dxa"/>
        <w:right w:w="0" w:type="dxa"/>
      </w:tblCellMar>
    </w:tblPr>
  </w:style>
  <w:style w:type="paragraph" w:customStyle="1" w:styleId="Pa18">
    <w:name w:val="Pa18"/>
    <w:basedOn w:val="Normln"/>
    <w:next w:val="Normln"/>
    <w:uiPriority w:val="99"/>
    <w:rsid w:val="003B1BC3"/>
    <w:pPr>
      <w:autoSpaceDE w:val="0"/>
      <w:autoSpaceDN w:val="0"/>
      <w:adjustRightInd w:val="0"/>
      <w:spacing w:after="0" w:line="211" w:lineRule="atLeast"/>
    </w:pPr>
    <w:rPr>
      <w:rFonts w:ascii="Calibri" w:eastAsia="Times New Roman" w:hAnsi="Calibri" w:cs="Times New Roman"/>
      <w:sz w:val="24"/>
      <w:szCs w:val="24"/>
      <w:lang w:eastAsia="cs-CZ"/>
    </w:rPr>
  </w:style>
  <w:style w:type="paragraph" w:customStyle="1" w:styleId="Pa19">
    <w:name w:val="Pa19"/>
    <w:basedOn w:val="Normln"/>
    <w:next w:val="Normln"/>
    <w:uiPriority w:val="99"/>
    <w:rsid w:val="003B1BC3"/>
    <w:pPr>
      <w:autoSpaceDE w:val="0"/>
      <w:autoSpaceDN w:val="0"/>
      <w:adjustRightInd w:val="0"/>
      <w:spacing w:after="0" w:line="211" w:lineRule="atLeast"/>
    </w:pPr>
    <w:rPr>
      <w:rFonts w:ascii="Calibri" w:eastAsia="Times New Roman" w:hAnsi="Calibri" w:cs="Times New Roman"/>
      <w:sz w:val="24"/>
      <w:szCs w:val="24"/>
      <w:lang w:eastAsia="cs-CZ"/>
    </w:rPr>
  </w:style>
  <w:style w:type="character" w:customStyle="1" w:styleId="A14">
    <w:name w:val="A14"/>
    <w:uiPriority w:val="99"/>
    <w:rsid w:val="003B1BC3"/>
    <w:rPr>
      <w:b/>
      <w:bCs w:val="0"/>
      <w:color w:val="000000"/>
      <w:sz w:val="54"/>
    </w:rPr>
  </w:style>
  <w:style w:type="paragraph" w:customStyle="1" w:styleId="kurzva">
    <w:name w:val="kurzíva"/>
    <w:basedOn w:val="Normln"/>
    <w:qFormat/>
    <w:rsid w:val="00757057"/>
    <w:pPr>
      <w:spacing w:before="240" w:after="60"/>
    </w:pPr>
    <w:rPr>
      <w:b/>
      <w:i/>
    </w:rPr>
  </w:style>
  <w:style w:type="character" w:customStyle="1" w:styleId="A4">
    <w:name w:val="A4"/>
    <w:uiPriority w:val="99"/>
    <w:rsid w:val="000E1B3B"/>
    <w:rPr>
      <w:color w:val="000000"/>
      <w:sz w:val="60"/>
      <w:szCs w:val="60"/>
    </w:rPr>
  </w:style>
  <w:style w:type="paragraph" w:customStyle="1" w:styleId="JKerventext">
    <w:name w:val="JK červený text"/>
    <w:basedOn w:val="JK4"/>
    <w:link w:val="JKerventextChar"/>
    <w:qFormat/>
    <w:rsid w:val="006D4737"/>
    <w:pPr>
      <w:numPr>
        <w:numId w:val="0"/>
      </w:numPr>
      <w:spacing w:after="120"/>
      <w:ind w:left="284" w:hanging="284"/>
      <w:outlineLvl w:val="2"/>
    </w:pPr>
    <w:rPr>
      <w:b/>
      <w:bCs/>
      <w:i/>
      <w:color w:val="FF0000"/>
    </w:rPr>
  </w:style>
  <w:style w:type="character" w:customStyle="1" w:styleId="JK1Char">
    <w:name w:val="JK1 Char"/>
    <w:basedOn w:val="KPnormalChar"/>
    <w:link w:val="JK1"/>
    <w:rsid w:val="006D4737"/>
    <w:rPr>
      <w:rFonts w:ascii="Calibri" w:eastAsia="Times New Roman" w:hAnsi="Calibri" w:cs="Times New Roman"/>
      <w:color w:val="000000"/>
      <w:sz w:val="24"/>
      <w:szCs w:val="24"/>
      <w:lang w:eastAsia="cs-CZ"/>
    </w:rPr>
  </w:style>
  <w:style w:type="character" w:customStyle="1" w:styleId="JK3Char">
    <w:name w:val="JK3 Char"/>
    <w:basedOn w:val="JK1Char"/>
    <w:link w:val="JK3"/>
    <w:rsid w:val="00574766"/>
    <w:rPr>
      <w:rFonts w:ascii="Calibri" w:eastAsia="Times New Roman" w:hAnsi="Calibri" w:cs="Times New Roman"/>
      <w:color w:val="000000"/>
      <w:sz w:val="24"/>
      <w:szCs w:val="24"/>
      <w:lang w:eastAsia="cs-CZ"/>
    </w:rPr>
  </w:style>
  <w:style w:type="character" w:customStyle="1" w:styleId="JK4Char">
    <w:name w:val="JK4 Char"/>
    <w:basedOn w:val="JK3Char"/>
    <w:link w:val="JK4"/>
    <w:rsid w:val="00574766"/>
    <w:rPr>
      <w:rFonts w:ascii="Calibri" w:eastAsia="Times New Roman" w:hAnsi="Calibri" w:cs="Times New Roman"/>
      <w:color w:val="000000"/>
      <w:sz w:val="24"/>
      <w:szCs w:val="24"/>
      <w:lang w:eastAsia="cs-CZ"/>
    </w:rPr>
  </w:style>
  <w:style w:type="character" w:customStyle="1" w:styleId="JKerventextChar">
    <w:name w:val="JK červený text Char"/>
    <w:basedOn w:val="JK4Char"/>
    <w:link w:val="JKerventext"/>
    <w:rsid w:val="006D4737"/>
    <w:rPr>
      <w:rFonts w:ascii="Calibri" w:eastAsia="Times New Roman" w:hAnsi="Calibri" w:cs="Times New Roman"/>
      <w:b/>
      <w:bCs/>
      <w:i/>
      <w:color w:val="FF0000"/>
      <w:sz w:val="24"/>
      <w:szCs w:val="24"/>
      <w:lang w:eastAsia="cs-CZ"/>
    </w:rPr>
  </w:style>
  <w:style w:type="paragraph" w:styleId="Normlnweb">
    <w:name w:val="Normal (Web)"/>
    <w:basedOn w:val="Normln"/>
    <w:uiPriority w:val="99"/>
    <w:semiHidden/>
    <w:unhideWhenUsed/>
    <w:rsid w:val="00E275E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Zjitn">
    <w:name w:val="Zjištění"/>
    <w:basedOn w:val="Nadpis2"/>
    <w:link w:val="ZjitnChar"/>
    <w:qFormat/>
    <w:rsid w:val="00433744"/>
    <w:pPr>
      <w:spacing w:before="360" w:after="240" w:line="240" w:lineRule="auto"/>
      <w:jc w:val="both"/>
    </w:pPr>
    <w:rPr>
      <w:rFonts w:cstheme="minorHAnsi"/>
      <w:b/>
      <w:i/>
      <w:color w:val="1F4E79" w:themeColor="accent1" w:themeShade="80"/>
      <w:sz w:val="24"/>
      <w:szCs w:val="28"/>
    </w:rPr>
  </w:style>
  <w:style w:type="character" w:customStyle="1" w:styleId="ZjitnChar">
    <w:name w:val="Zjištění Char"/>
    <w:basedOn w:val="Nadpis2Char"/>
    <w:link w:val="Zjitn"/>
    <w:rsid w:val="00433744"/>
    <w:rPr>
      <w:rFonts w:asciiTheme="majorHAnsi" w:eastAsiaTheme="majorEastAsia" w:hAnsiTheme="majorHAnsi" w:cstheme="minorHAnsi"/>
      <w:b/>
      <w:i/>
      <w:color w:val="1F4E79" w:themeColor="accent1" w:themeShade="80"/>
      <w:sz w:val="24"/>
      <w:szCs w:val="28"/>
    </w:rPr>
  </w:style>
  <w:style w:type="table" w:customStyle="1" w:styleId="TableGrid0">
    <w:name w:val="Table Grid0"/>
    <w:rsid w:val="008A3C39"/>
    <w:pPr>
      <w:spacing w:after="0" w:line="240" w:lineRule="auto"/>
    </w:pPr>
    <w:rPr>
      <w:rFonts w:eastAsia="Times New Roman"/>
      <w:lang w:eastAsia="cs-CZ"/>
    </w:rPr>
    <w:tblPr>
      <w:tblCellMar>
        <w:top w:w="0" w:type="dxa"/>
        <w:left w:w="0" w:type="dxa"/>
        <w:bottom w:w="0" w:type="dxa"/>
        <w:right w:w="0" w:type="dxa"/>
      </w:tblCellMar>
    </w:tblPr>
  </w:style>
  <w:style w:type="character" w:styleId="Zdraznn">
    <w:name w:val="Emphasis"/>
    <w:basedOn w:val="Standardnpsmoodstavce"/>
    <w:uiPriority w:val="20"/>
    <w:qFormat/>
    <w:rsid w:val="006828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6312">
      <w:bodyDiv w:val="1"/>
      <w:marLeft w:val="0"/>
      <w:marRight w:val="0"/>
      <w:marTop w:val="0"/>
      <w:marBottom w:val="0"/>
      <w:divBdr>
        <w:top w:val="none" w:sz="0" w:space="0" w:color="auto"/>
        <w:left w:val="none" w:sz="0" w:space="0" w:color="auto"/>
        <w:bottom w:val="none" w:sz="0" w:space="0" w:color="auto"/>
        <w:right w:val="none" w:sz="0" w:space="0" w:color="auto"/>
      </w:divBdr>
    </w:div>
    <w:div w:id="172571135">
      <w:bodyDiv w:val="1"/>
      <w:marLeft w:val="0"/>
      <w:marRight w:val="0"/>
      <w:marTop w:val="0"/>
      <w:marBottom w:val="0"/>
      <w:divBdr>
        <w:top w:val="none" w:sz="0" w:space="0" w:color="auto"/>
        <w:left w:val="none" w:sz="0" w:space="0" w:color="auto"/>
        <w:bottom w:val="none" w:sz="0" w:space="0" w:color="auto"/>
        <w:right w:val="none" w:sz="0" w:space="0" w:color="auto"/>
      </w:divBdr>
    </w:div>
    <w:div w:id="194123891">
      <w:bodyDiv w:val="1"/>
      <w:marLeft w:val="0"/>
      <w:marRight w:val="0"/>
      <w:marTop w:val="0"/>
      <w:marBottom w:val="0"/>
      <w:divBdr>
        <w:top w:val="none" w:sz="0" w:space="0" w:color="auto"/>
        <w:left w:val="none" w:sz="0" w:space="0" w:color="auto"/>
        <w:bottom w:val="none" w:sz="0" w:space="0" w:color="auto"/>
        <w:right w:val="none" w:sz="0" w:space="0" w:color="auto"/>
      </w:divBdr>
    </w:div>
    <w:div w:id="302930347">
      <w:bodyDiv w:val="1"/>
      <w:marLeft w:val="0"/>
      <w:marRight w:val="0"/>
      <w:marTop w:val="0"/>
      <w:marBottom w:val="0"/>
      <w:divBdr>
        <w:top w:val="none" w:sz="0" w:space="0" w:color="auto"/>
        <w:left w:val="none" w:sz="0" w:space="0" w:color="auto"/>
        <w:bottom w:val="none" w:sz="0" w:space="0" w:color="auto"/>
        <w:right w:val="none" w:sz="0" w:space="0" w:color="auto"/>
      </w:divBdr>
    </w:div>
    <w:div w:id="309211626">
      <w:bodyDiv w:val="1"/>
      <w:marLeft w:val="0"/>
      <w:marRight w:val="0"/>
      <w:marTop w:val="0"/>
      <w:marBottom w:val="0"/>
      <w:divBdr>
        <w:top w:val="none" w:sz="0" w:space="0" w:color="auto"/>
        <w:left w:val="none" w:sz="0" w:space="0" w:color="auto"/>
        <w:bottom w:val="none" w:sz="0" w:space="0" w:color="auto"/>
        <w:right w:val="none" w:sz="0" w:space="0" w:color="auto"/>
      </w:divBdr>
    </w:div>
    <w:div w:id="445268909">
      <w:bodyDiv w:val="1"/>
      <w:marLeft w:val="0"/>
      <w:marRight w:val="0"/>
      <w:marTop w:val="0"/>
      <w:marBottom w:val="0"/>
      <w:divBdr>
        <w:top w:val="none" w:sz="0" w:space="0" w:color="auto"/>
        <w:left w:val="none" w:sz="0" w:space="0" w:color="auto"/>
        <w:bottom w:val="none" w:sz="0" w:space="0" w:color="auto"/>
        <w:right w:val="none" w:sz="0" w:space="0" w:color="auto"/>
      </w:divBdr>
    </w:div>
    <w:div w:id="499277911">
      <w:bodyDiv w:val="1"/>
      <w:marLeft w:val="0"/>
      <w:marRight w:val="0"/>
      <w:marTop w:val="0"/>
      <w:marBottom w:val="0"/>
      <w:divBdr>
        <w:top w:val="none" w:sz="0" w:space="0" w:color="auto"/>
        <w:left w:val="none" w:sz="0" w:space="0" w:color="auto"/>
        <w:bottom w:val="none" w:sz="0" w:space="0" w:color="auto"/>
        <w:right w:val="none" w:sz="0" w:space="0" w:color="auto"/>
      </w:divBdr>
    </w:div>
    <w:div w:id="645939714">
      <w:bodyDiv w:val="1"/>
      <w:marLeft w:val="0"/>
      <w:marRight w:val="0"/>
      <w:marTop w:val="0"/>
      <w:marBottom w:val="0"/>
      <w:divBdr>
        <w:top w:val="none" w:sz="0" w:space="0" w:color="auto"/>
        <w:left w:val="none" w:sz="0" w:space="0" w:color="auto"/>
        <w:bottom w:val="none" w:sz="0" w:space="0" w:color="auto"/>
        <w:right w:val="none" w:sz="0" w:space="0" w:color="auto"/>
      </w:divBdr>
    </w:div>
    <w:div w:id="672953559">
      <w:bodyDiv w:val="1"/>
      <w:marLeft w:val="0"/>
      <w:marRight w:val="0"/>
      <w:marTop w:val="0"/>
      <w:marBottom w:val="0"/>
      <w:divBdr>
        <w:top w:val="none" w:sz="0" w:space="0" w:color="auto"/>
        <w:left w:val="none" w:sz="0" w:space="0" w:color="auto"/>
        <w:bottom w:val="none" w:sz="0" w:space="0" w:color="auto"/>
        <w:right w:val="none" w:sz="0" w:space="0" w:color="auto"/>
      </w:divBdr>
    </w:div>
    <w:div w:id="895624201">
      <w:bodyDiv w:val="1"/>
      <w:marLeft w:val="0"/>
      <w:marRight w:val="0"/>
      <w:marTop w:val="0"/>
      <w:marBottom w:val="0"/>
      <w:divBdr>
        <w:top w:val="none" w:sz="0" w:space="0" w:color="auto"/>
        <w:left w:val="none" w:sz="0" w:space="0" w:color="auto"/>
        <w:bottom w:val="none" w:sz="0" w:space="0" w:color="auto"/>
        <w:right w:val="none" w:sz="0" w:space="0" w:color="auto"/>
      </w:divBdr>
    </w:div>
    <w:div w:id="962271008">
      <w:bodyDiv w:val="1"/>
      <w:marLeft w:val="0"/>
      <w:marRight w:val="0"/>
      <w:marTop w:val="0"/>
      <w:marBottom w:val="0"/>
      <w:divBdr>
        <w:top w:val="none" w:sz="0" w:space="0" w:color="auto"/>
        <w:left w:val="none" w:sz="0" w:space="0" w:color="auto"/>
        <w:bottom w:val="none" w:sz="0" w:space="0" w:color="auto"/>
        <w:right w:val="none" w:sz="0" w:space="0" w:color="auto"/>
      </w:divBdr>
    </w:div>
    <w:div w:id="972372961">
      <w:bodyDiv w:val="1"/>
      <w:marLeft w:val="0"/>
      <w:marRight w:val="0"/>
      <w:marTop w:val="0"/>
      <w:marBottom w:val="0"/>
      <w:divBdr>
        <w:top w:val="none" w:sz="0" w:space="0" w:color="auto"/>
        <w:left w:val="none" w:sz="0" w:space="0" w:color="auto"/>
        <w:bottom w:val="none" w:sz="0" w:space="0" w:color="auto"/>
        <w:right w:val="none" w:sz="0" w:space="0" w:color="auto"/>
      </w:divBdr>
    </w:div>
    <w:div w:id="981421050">
      <w:bodyDiv w:val="1"/>
      <w:marLeft w:val="0"/>
      <w:marRight w:val="0"/>
      <w:marTop w:val="0"/>
      <w:marBottom w:val="0"/>
      <w:divBdr>
        <w:top w:val="none" w:sz="0" w:space="0" w:color="auto"/>
        <w:left w:val="none" w:sz="0" w:space="0" w:color="auto"/>
        <w:bottom w:val="none" w:sz="0" w:space="0" w:color="auto"/>
        <w:right w:val="none" w:sz="0" w:space="0" w:color="auto"/>
      </w:divBdr>
    </w:div>
    <w:div w:id="1001010837">
      <w:bodyDiv w:val="1"/>
      <w:marLeft w:val="0"/>
      <w:marRight w:val="0"/>
      <w:marTop w:val="0"/>
      <w:marBottom w:val="0"/>
      <w:divBdr>
        <w:top w:val="none" w:sz="0" w:space="0" w:color="auto"/>
        <w:left w:val="none" w:sz="0" w:space="0" w:color="auto"/>
        <w:bottom w:val="none" w:sz="0" w:space="0" w:color="auto"/>
        <w:right w:val="none" w:sz="0" w:space="0" w:color="auto"/>
      </w:divBdr>
    </w:div>
    <w:div w:id="1176306440">
      <w:bodyDiv w:val="1"/>
      <w:marLeft w:val="0"/>
      <w:marRight w:val="0"/>
      <w:marTop w:val="0"/>
      <w:marBottom w:val="0"/>
      <w:divBdr>
        <w:top w:val="none" w:sz="0" w:space="0" w:color="auto"/>
        <w:left w:val="none" w:sz="0" w:space="0" w:color="auto"/>
        <w:bottom w:val="none" w:sz="0" w:space="0" w:color="auto"/>
        <w:right w:val="none" w:sz="0" w:space="0" w:color="auto"/>
      </w:divBdr>
    </w:div>
    <w:div w:id="1258557939">
      <w:bodyDiv w:val="1"/>
      <w:marLeft w:val="0"/>
      <w:marRight w:val="0"/>
      <w:marTop w:val="0"/>
      <w:marBottom w:val="0"/>
      <w:divBdr>
        <w:top w:val="none" w:sz="0" w:space="0" w:color="auto"/>
        <w:left w:val="none" w:sz="0" w:space="0" w:color="auto"/>
        <w:bottom w:val="none" w:sz="0" w:space="0" w:color="auto"/>
        <w:right w:val="none" w:sz="0" w:space="0" w:color="auto"/>
      </w:divBdr>
    </w:div>
    <w:div w:id="1352949755">
      <w:bodyDiv w:val="1"/>
      <w:marLeft w:val="0"/>
      <w:marRight w:val="0"/>
      <w:marTop w:val="0"/>
      <w:marBottom w:val="0"/>
      <w:divBdr>
        <w:top w:val="none" w:sz="0" w:space="0" w:color="auto"/>
        <w:left w:val="none" w:sz="0" w:space="0" w:color="auto"/>
        <w:bottom w:val="none" w:sz="0" w:space="0" w:color="auto"/>
        <w:right w:val="none" w:sz="0" w:space="0" w:color="auto"/>
      </w:divBdr>
    </w:div>
    <w:div w:id="1396856121">
      <w:bodyDiv w:val="1"/>
      <w:marLeft w:val="0"/>
      <w:marRight w:val="0"/>
      <w:marTop w:val="0"/>
      <w:marBottom w:val="0"/>
      <w:divBdr>
        <w:top w:val="none" w:sz="0" w:space="0" w:color="auto"/>
        <w:left w:val="none" w:sz="0" w:space="0" w:color="auto"/>
        <w:bottom w:val="none" w:sz="0" w:space="0" w:color="auto"/>
        <w:right w:val="none" w:sz="0" w:space="0" w:color="auto"/>
      </w:divBdr>
    </w:div>
    <w:div w:id="1407993477">
      <w:bodyDiv w:val="1"/>
      <w:marLeft w:val="0"/>
      <w:marRight w:val="0"/>
      <w:marTop w:val="0"/>
      <w:marBottom w:val="0"/>
      <w:divBdr>
        <w:top w:val="none" w:sz="0" w:space="0" w:color="auto"/>
        <w:left w:val="none" w:sz="0" w:space="0" w:color="auto"/>
        <w:bottom w:val="none" w:sz="0" w:space="0" w:color="auto"/>
        <w:right w:val="none" w:sz="0" w:space="0" w:color="auto"/>
      </w:divBdr>
    </w:div>
    <w:div w:id="1485271753">
      <w:bodyDiv w:val="1"/>
      <w:marLeft w:val="0"/>
      <w:marRight w:val="0"/>
      <w:marTop w:val="0"/>
      <w:marBottom w:val="0"/>
      <w:divBdr>
        <w:top w:val="none" w:sz="0" w:space="0" w:color="auto"/>
        <w:left w:val="none" w:sz="0" w:space="0" w:color="auto"/>
        <w:bottom w:val="none" w:sz="0" w:space="0" w:color="auto"/>
        <w:right w:val="none" w:sz="0" w:space="0" w:color="auto"/>
      </w:divBdr>
    </w:div>
    <w:div w:id="1714888501">
      <w:bodyDiv w:val="1"/>
      <w:marLeft w:val="0"/>
      <w:marRight w:val="0"/>
      <w:marTop w:val="0"/>
      <w:marBottom w:val="0"/>
      <w:divBdr>
        <w:top w:val="none" w:sz="0" w:space="0" w:color="auto"/>
        <w:left w:val="none" w:sz="0" w:space="0" w:color="auto"/>
        <w:bottom w:val="none" w:sz="0" w:space="0" w:color="auto"/>
        <w:right w:val="none" w:sz="0" w:space="0" w:color="auto"/>
      </w:divBdr>
    </w:div>
    <w:div w:id="1807354826">
      <w:bodyDiv w:val="1"/>
      <w:marLeft w:val="0"/>
      <w:marRight w:val="0"/>
      <w:marTop w:val="0"/>
      <w:marBottom w:val="0"/>
      <w:divBdr>
        <w:top w:val="none" w:sz="0" w:space="0" w:color="auto"/>
        <w:left w:val="none" w:sz="0" w:space="0" w:color="auto"/>
        <w:bottom w:val="none" w:sz="0" w:space="0" w:color="auto"/>
        <w:right w:val="none" w:sz="0" w:space="0" w:color="auto"/>
      </w:divBdr>
    </w:div>
    <w:div w:id="1928296646">
      <w:bodyDiv w:val="1"/>
      <w:marLeft w:val="0"/>
      <w:marRight w:val="0"/>
      <w:marTop w:val="0"/>
      <w:marBottom w:val="0"/>
      <w:divBdr>
        <w:top w:val="none" w:sz="0" w:space="0" w:color="auto"/>
        <w:left w:val="none" w:sz="0" w:space="0" w:color="auto"/>
        <w:bottom w:val="none" w:sz="0" w:space="0" w:color="auto"/>
        <w:right w:val="none" w:sz="0" w:space="0" w:color="auto"/>
      </w:divBdr>
    </w:div>
    <w:div w:id="1999648588">
      <w:bodyDiv w:val="1"/>
      <w:marLeft w:val="0"/>
      <w:marRight w:val="0"/>
      <w:marTop w:val="0"/>
      <w:marBottom w:val="0"/>
      <w:divBdr>
        <w:top w:val="none" w:sz="0" w:space="0" w:color="auto"/>
        <w:left w:val="none" w:sz="0" w:space="0" w:color="auto"/>
        <w:bottom w:val="none" w:sz="0" w:space="0" w:color="auto"/>
        <w:right w:val="none" w:sz="0" w:space="0" w:color="auto"/>
      </w:divBdr>
    </w:div>
    <w:div w:id="2017027025">
      <w:bodyDiv w:val="1"/>
      <w:marLeft w:val="0"/>
      <w:marRight w:val="0"/>
      <w:marTop w:val="0"/>
      <w:marBottom w:val="0"/>
      <w:divBdr>
        <w:top w:val="none" w:sz="0" w:space="0" w:color="auto"/>
        <w:left w:val="none" w:sz="0" w:space="0" w:color="auto"/>
        <w:bottom w:val="none" w:sz="0" w:space="0" w:color="auto"/>
        <w:right w:val="none" w:sz="0" w:space="0" w:color="auto"/>
      </w:divBdr>
    </w:div>
    <w:div w:id="2029210678">
      <w:bodyDiv w:val="1"/>
      <w:marLeft w:val="0"/>
      <w:marRight w:val="0"/>
      <w:marTop w:val="0"/>
      <w:marBottom w:val="0"/>
      <w:divBdr>
        <w:top w:val="none" w:sz="0" w:space="0" w:color="auto"/>
        <w:left w:val="none" w:sz="0" w:space="0" w:color="auto"/>
        <w:bottom w:val="none" w:sz="0" w:space="0" w:color="auto"/>
        <w:right w:val="none" w:sz="0" w:space="0" w:color="auto"/>
      </w:divBdr>
    </w:div>
    <w:div w:id="20630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083333333333331"/>
          <c:y val="0.11805555555555555"/>
          <c:w val="0.41666666666666674"/>
          <c:h val="0.69444444444444453"/>
        </c:manualLayout>
      </c:layout>
      <c:pieChart>
        <c:varyColors val="1"/>
        <c:ser>
          <c:idx val="0"/>
          <c:order val="0"/>
          <c:spPr>
            <a:solidFill>
              <a:schemeClr val="accent6"/>
            </a:solidFill>
          </c:spPr>
          <c:dPt>
            <c:idx val="0"/>
            <c:bubble3D val="0"/>
            <c:explosion val="13"/>
            <c:spPr>
              <a:solidFill>
                <a:schemeClr val="accent6"/>
              </a:solidFill>
              <a:ln w="19050">
                <a:solidFill>
                  <a:schemeClr val="lt1"/>
                </a:solidFill>
              </a:ln>
              <a:effectLst/>
            </c:spPr>
            <c:extLst>
              <c:ext xmlns:c16="http://schemas.microsoft.com/office/drawing/2014/chart" uri="{C3380CC4-5D6E-409C-BE32-E72D297353CC}">
                <c16:uniqueId val="{00000001-6D76-4E77-8B88-3AC5F0A296DD}"/>
              </c:ext>
            </c:extLst>
          </c:dPt>
          <c:dPt>
            <c:idx val="1"/>
            <c:bubble3D val="0"/>
            <c:spPr>
              <a:solidFill>
                <a:srgbClr val="FF0000">
                  <a:alpha val="50196"/>
                </a:srgbClr>
              </a:solidFill>
              <a:ln w="19050">
                <a:solidFill>
                  <a:schemeClr val="lt1"/>
                </a:solidFill>
              </a:ln>
              <a:effectLst/>
            </c:spPr>
            <c:extLst>
              <c:ext xmlns:c16="http://schemas.microsoft.com/office/drawing/2014/chart" uri="{C3380CC4-5D6E-409C-BE32-E72D297353CC}">
                <c16:uniqueId val="{00000003-6D76-4E77-8B88-3AC5F0A296DD}"/>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6D76-4E77-8B88-3AC5F0A296DD}"/>
              </c:ext>
            </c:extLst>
          </c:dPt>
          <c:dLbls>
            <c:dLbl>
              <c:idx val="0"/>
              <c:layout>
                <c:manualLayout>
                  <c:x val="6.6666666666666638E-2"/>
                  <c:y val="5.8049118984156628E-2"/>
                </c:manualLayout>
              </c:layout>
              <c:tx>
                <c:rich>
                  <a:bodyPr/>
                  <a:lstStyle/>
                  <a:p>
                    <a:r>
                      <a:rPr lang="en-US">
                        <a:solidFill>
                          <a:sysClr val="windowText" lastClr="000000"/>
                        </a:solidFill>
                      </a:rPr>
                      <a:t>AO byla identifikována v žádosti o podporu </a:t>
                    </a:r>
                    <a:br>
                      <a:rPr lang="en-US">
                        <a:solidFill>
                          <a:sysClr val="windowText" lastClr="000000"/>
                        </a:solidFill>
                      </a:rPr>
                    </a:br>
                    <a:r>
                      <a:rPr lang="en-US">
                        <a:solidFill>
                          <a:sysClr val="windowText" lastClr="000000"/>
                        </a:solidFill>
                      </a:rPr>
                      <a:t>a byl u ní proveden genderový audit</a:t>
                    </a:r>
                    <a:r>
                      <a:rPr lang="en-US" baseline="0">
                        <a:solidFill>
                          <a:sysClr val="windowText" lastClr="000000"/>
                        </a:solidFill>
                      </a:rPr>
                      <a:t>
</a:t>
                    </a:r>
                    <a:fld id="{106BC79A-9893-436B-A47D-CE4EC60CF482}" type="PERCENTAGE">
                      <a:rPr lang="en-US" baseline="0">
                        <a:solidFill>
                          <a:sysClr val="windowText" lastClr="000000"/>
                        </a:solidFill>
                      </a:rPr>
                      <a:pPr/>
                      <a:t>[PROCENTO]</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19723016434091245"/>
                      <c:h val="0.20758971841879947"/>
                    </c:manualLayout>
                  </c15:layout>
                  <c15:dlblFieldTable/>
                  <c15:showDataLabelsRange val="0"/>
                </c:ext>
                <c:ext xmlns:c16="http://schemas.microsoft.com/office/drawing/2014/chart" uri="{C3380CC4-5D6E-409C-BE32-E72D297353CC}">
                  <c16:uniqueId val="{00000001-6D76-4E77-8B88-3AC5F0A296DD}"/>
                </c:ext>
              </c:extLst>
            </c:dLbl>
            <c:dLbl>
              <c:idx val="1"/>
              <c:layout>
                <c:manualLayout>
                  <c:x val="0.12777777777777768"/>
                  <c:y val="-1.8518554263773197E-2"/>
                </c:manualLayout>
              </c:layout>
              <c:tx>
                <c:rich>
                  <a:bodyPr/>
                  <a:lstStyle/>
                  <a:p>
                    <a:r>
                      <a:rPr lang="en-US">
                        <a:solidFill>
                          <a:sysClr val="windowText" lastClr="000000"/>
                        </a:solidFill>
                      </a:rPr>
                      <a:t>AO byla sice identifikována </a:t>
                    </a:r>
                    <a:br>
                      <a:rPr lang="en-US">
                        <a:solidFill>
                          <a:sysClr val="windowText" lastClr="000000"/>
                        </a:solidFill>
                      </a:rPr>
                    </a:br>
                    <a:r>
                      <a:rPr lang="en-US">
                        <a:solidFill>
                          <a:sysClr val="windowText" lastClr="000000"/>
                        </a:solidFill>
                      </a:rPr>
                      <a:t>v žádosti o podporu, avšak v průběhu realizace</a:t>
                    </a:r>
                    <a:r>
                      <a:rPr lang="en-US" baseline="0">
                        <a:solidFill>
                          <a:sysClr val="windowText" lastClr="000000"/>
                        </a:solidFill>
                      </a:rPr>
                      <a:t> projektu byla nahrazena jinou AO
11 %</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19757650262757404"/>
                      <c:h val="0.35798355708075452"/>
                    </c:manualLayout>
                  </c15:layout>
                </c:ext>
                <c:ext xmlns:c16="http://schemas.microsoft.com/office/drawing/2014/chart" uri="{C3380CC4-5D6E-409C-BE32-E72D297353CC}">
                  <c16:uniqueId val="{00000003-6D76-4E77-8B88-3AC5F0A296DD}"/>
                </c:ext>
              </c:extLst>
            </c:dLbl>
            <c:dLbl>
              <c:idx val="2"/>
              <c:layout>
                <c:manualLayout>
                  <c:x val="-2.2815617475060213E-2"/>
                  <c:y val="-7.8703703703703665E-2"/>
                </c:manualLayout>
              </c:layout>
              <c:tx>
                <c:rich>
                  <a:bodyPr/>
                  <a:lstStyle/>
                  <a:p>
                    <a:r>
                      <a:rPr lang="en-US">
                        <a:solidFill>
                          <a:sysClr val="windowText" lastClr="000000"/>
                        </a:solidFill>
                      </a:rPr>
                      <a:t>AO nebyla  při</a:t>
                    </a:r>
                    <a:r>
                      <a:rPr lang="en-US" baseline="0">
                        <a:solidFill>
                          <a:sysClr val="windowText" lastClr="000000"/>
                        </a:solidFill>
                      </a:rPr>
                      <a:t> schvalování žádosti </a:t>
                    </a:r>
                    <a:br>
                      <a:rPr lang="en-US" baseline="0">
                        <a:solidFill>
                          <a:sysClr val="windowText" lastClr="000000"/>
                        </a:solidFill>
                      </a:rPr>
                    </a:br>
                    <a:r>
                      <a:rPr lang="en-US" baseline="0">
                        <a:solidFill>
                          <a:sysClr val="windowText" lastClr="000000"/>
                        </a:solidFill>
                      </a:rPr>
                      <a:t>o podporu ze strany MPSV vůbec známa</a:t>
                    </a:r>
                  </a:p>
                  <a:p>
                    <a:fld id="{ACB7CA27-B16C-4C2E-A757-8EDF1F3A2695}" type="PERCENTAGE">
                      <a:rPr lang="en-US" baseline="0">
                        <a:solidFill>
                          <a:sysClr val="windowText" lastClr="000000"/>
                        </a:solidFill>
                      </a:rPr>
                      <a:pPr/>
                      <a:t>[PROCENTO]</a:t>
                    </a:fld>
                    <a:endParaRPr lang="cs-CZ"/>
                  </a:p>
                </c:rich>
              </c:tx>
              <c:dLblPos val="bestFit"/>
              <c:showLegendKey val="0"/>
              <c:showVal val="0"/>
              <c:showCatName val="1"/>
              <c:showSerName val="0"/>
              <c:showPercent val="1"/>
              <c:showBubbleSize val="0"/>
              <c:extLst>
                <c:ext xmlns:c15="http://schemas.microsoft.com/office/drawing/2012/chart" uri="{CE6537A1-D6FC-4f65-9D91-7224C49458BB}">
                  <c15:layout>
                    <c:manualLayout>
                      <c:w val="0.21304523467074354"/>
                      <c:h val="0.20441088271425362"/>
                    </c:manualLayout>
                  </c15:layout>
                  <c15:dlblFieldTable/>
                  <c15:showDataLabelsRange val="0"/>
                </c:ext>
                <c:ext xmlns:c16="http://schemas.microsoft.com/office/drawing/2014/chart" uri="{C3380CC4-5D6E-409C-BE32-E72D297353CC}">
                  <c16:uniqueId val="{00000005-6D76-4E77-8B88-3AC5F0A296DD}"/>
                </c:ext>
              </c:extLst>
            </c:dLbl>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List1!$E$40:$E$42</c:f>
              <c:strCache>
                <c:ptCount val="3"/>
                <c:pt idx="0">
                  <c:v>identifikovaná v žádosti o podporu s provedeným genderovým auditem</c:v>
                </c:pt>
                <c:pt idx="1">
                  <c:v>identifikovaná v žádosti o podporu a ze strany příjemce nahrazená jinou AO v průběhu realizace projektu</c:v>
                </c:pt>
                <c:pt idx="2">
                  <c:v>v době schvalování žádosti o podporu ze strany MPSV příjemcem dosud neidentifikovaná AO</c:v>
                </c:pt>
              </c:strCache>
            </c:strRef>
          </c:cat>
          <c:val>
            <c:numRef>
              <c:f>List1!$F$40:$F$42</c:f>
              <c:numCache>
                <c:formatCode>#,##0</c:formatCode>
                <c:ptCount val="3"/>
                <c:pt idx="0">
                  <c:v>18</c:v>
                </c:pt>
                <c:pt idx="1">
                  <c:v>6</c:v>
                </c:pt>
                <c:pt idx="2">
                  <c:v>28</c:v>
                </c:pt>
              </c:numCache>
            </c:numRef>
          </c:val>
          <c:extLst>
            <c:ext xmlns:c16="http://schemas.microsoft.com/office/drawing/2014/chart" uri="{C3380CC4-5D6E-409C-BE32-E72D297353CC}">
              <c16:uniqueId val="{00000006-6D76-4E77-8B88-3AC5F0A296D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25900408282299"/>
          <c:y val="0.18182542357302614"/>
          <c:w val="0.33948217410323711"/>
          <c:h val="0.76086277153099058"/>
        </c:manualLayout>
      </c:layout>
      <c:pieChart>
        <c:varyColors val="1"/>
        <c:ser>
          <c:idx val="0"/>
          <c:order val="0"/>
          <c:spPr>
            <a:solidFill>
              <a:srgbClr val="00B050"/>
            </a:solidFill>
          </c:spPr>
          <c:dPt>
            <c:idx val="0"/>
            <c:bubble3D val="0"/>
            <c:explosion val="37"/>
            <c:spPr>
              <a:solidFill>
                <a:srgbClr val="00B050"/>
              </a:solidFill>
              <a:ln w="19050">
                <a:solidFill>
                  <a:schemeClr val="lt1"/>
                </a:solidFill>
              </a:ln>
              <a:effectLst/>
            </c:spPr>
            <c:extLst>
              <c:ext xmlns:c16="http://schemas.microsoft.com/office/drawing/2014/chart" uri="{C3380CC4-5D6E-409C-BE32-E72D297353CC}">
                <c16:uniqueId val="{00000001-F27D-422A-BF4A-B64BB84BAD57}"/>
              </c:ext>
            </c:extLst>
          </c:dPt>
          <c:dPt>
            <c:idx val="1"/>
            <c:bubble3D val="0"/>
            <c:spPr>
              <a:solidFill>
                <a:srgbClr val="FF0000"/>
              </a:solidFill>
              <a:ln w="19050">
                <a:solidFill>
                  <a:schemeClr val="lt1"/>
                </a:solidFill>
              </a:ln>
              <a:effectLst/>
            </c:spPr>
            <c:extLst>
              <c:ext xmlns:c16="http://schemas.microsoft.com/office/drawing/2014/chart" uri="{C3380CC4-5D6E-409C-BE32-E72D297353CC}">
                <c16:uniqueId val="{00000003-F27D-422A-BF4A-B64BB84BAD57}"/>
              </c:ext>
            </c:extLst>
          </c:dPt>
          <c:dLbls>
            <c:dLbl>
              <c:idx val="0"/>
              <c:layout>
                <c:manualLayout>
                  <c:x val="0.18252387722368038"/>
                  <c:y val="3.488260465496288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baseline="0">
                        <a:solidFill>
                          <a:sysClr val="windowText" lastClr="000000"/>
                        </a:solidFill>
                        <a:effectLst/>
                      </a:rPr>
                      <a:t>Projekt přispěl k účelu podpory ve všech klíčových oblastech</a:t>
                    </a:r>
                    <a:r>
                      <a:rPr lang="en-US" baseline="0">
                        <a:solidFill>
                          <a:sysClr val="windowText" lastClr="000000"/>
                        </a:solidFill>
                      </a:rPr>
                      <a:t>
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108816"/>
                        <a:gd name="adj2" fmla="val -13218"/>
                      </a:avLst>
                    </a:prstGeom>
                    <a:noFill/>
                    <a:ln>
                      <a:noFill/>
                    </a:ln>
                  </c15:spPr>
                  <c15:layout>
                    <c:manualLayout>
                      <c:w val="0.21958497375328084"/>
                      <c:h val="0.33443222320945293"/>
                    </c:manualLayout>
                  </c15:layout>
                </c:ext>
                <c:ext xmlns:c16="http://schemas.microsoft.com/office/drawing/2014/chart" uri="{C3380CC4-5D6E-409C-BE32-E72D297353CC}">
                  <c16:uniqueId val="{00000001-F27D-422A-BF4A-B64BB84BAD57}"/>
                </c:ext>
              </c:extLst>
            </c:dLbl>
            <c:dLbl>
              <c:idx val="1"/>
              <c:layout>
                <c:manualLayout>
                  <c:x val="-0.19455088947214932"/>
                  <c:y val="-8.2089320546993888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baseline="0">
                        <a:solidFill>
                          <a:sysClr val="windowText" lastClr="000000"/>
                        </a:solidFill>
                        <a:effectLst/>
                      </a:rPr>
                      <a:t>Projekt nepřispěl k účelu podpory nebo přispěl jen v některých klíčových oblastech</a:t>
                    </a:r>
                    <a:r>
                      <a:rPr lang="en-US" baseline="0">
                        <a:solidFill>
                          <a:sysClr val="windowText" lastClr="000000"/>
                        </a:solidFill>
                      </a:rPr>
                      <a:t>
92 %</a:t>
                    </a:r>
                  </a:p>
                </c:rich>
              </c:tx>
              <c:spPr>
                <a:xfrm>
                  <a:off x="419312" y="1312840"/>
                  <a:ext cx="1266974" cy="946836"/>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gd name="adj1" fmla="val 81406"/>
                        <a:gd name="adj2" fmla="val 9863"/>
                      </a:avLst>
                    </a:prstGeom>
                    <a:noFill/>
                    <a:ln>
                      <a:noFill/>
                    </a:ln>
                  </c15:spPr>
                  <c15:layout>
                    <c:manualLayout>
                      <c:w val="0.23092993584135316"/>
                      <c:h val="0.38679167049644075"/>
                    </c:manualLayout>
                  </c15:layout>
                </c:ext>
                <c:ext xmlns:c16="http://schemas.microsoft.com/office/drawing/2014/chart" uri="{C3380CC4-5D6E-409C-BE32-E72D297353CC}">
                  <c16:uniqueId val="{00000003-F27D-422A-BF4A-B64BB84BAD5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'[IGA + GA - potenciál projektů k Ú final.xlsx]IGA'!$B$24:$B$26</c:f>
              <c:strCache>
                <c:ptCount val="2"/>
                <c:pt idx="0">
                  <c:v>Projekt přispěl k účelu podpory ve všech klíčových aspektech genderové nerovnosti</c:v>
                </c:pt>
                <c:pt idx="1">
                  <c:v>Projekt přispěl k účelu podpory jen v některých nebo v žádném z klíčových aspektů genderové nerovnosti</c:v>
                </c:pt>
              </c:strCache>
              <c:extLst/>
            </c:strRef>
          </c:cat>
          <c:val>
            <c:numRef>
              <c:f>'[IGA + GA - potenciál projektů k Ú final.xlsx]IGA'!$C$24:$C$26</c:f>
              <c:numCache>
                <c:formatCode>0%</c:formatCode>
                <c:ptCount val="2"/>
                <c:pt idx="0">
                  <c:v>8.3621675768217066E-2</c:v>
                </c:pt>
                <c:pt idx="1">
                  <c:v>0.91637832423178289</c:v>
                </c:pt>
              </c:numCache>
              <c:extLst/>
            </c:numRef>
          </c:val>
          <c:extLst>
            <c:ext xmlns:c16="http://schemas.microsoft.com/office/drawing/2014/chart" uri="{C3380CC4-5D6E-409C-BE32-E72D297353CC}">
              <c16:uniqueId val="{00000004-F27D-422A-BF4A-B64BB84BAD57}"/>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135136068517752"/>
          <c:y val="0.19898278463223598"/>
          <c:w val="0.31729727862964496"/>
          <c:h val="0.75951474569615807"/>
        </c:manualLayout>
      </c:layout>
      <c:pieChart>
        <c:varyColors val="1"/>
        <c:ser>
          <c:idx val="0"/>
          <c:order val="0"/>
          <c:dPt>
            <c:idx val="0"/>
            <c:bubble3D val="0"/>
            <c:explosion val="22"/>
            <c:spPr>
              <a:solidFill>
                <a:srgbClr val="00B050"/>
              </a:solidFill>
              <a:ln w="19050">
                <a:solidFill>
                  <a:schemeClr val="lt1"/>
                </a:solidFill>
              </a:ln>
              <a:effectLst/>
            </c:spPr>
            <c:extLst>
              <c:ext xmlns:c16="http://schemas.microsoft.com/office/drawing/2014/chart" uri="{C3380CC4-5D6E-409C-BE32-E72D297353CC}">
                <c16:uniqueId val="{00000001-BCC8-4A68-990F-1B8F08A35A59}"/>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BCC8-4A68-990F-1B8F08A35A59}"/>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BCC8-4A68-990F-1B8F08A35A59}"/>
              </c:ext>
            </c:extLst>
          </c:dPt>
          <c:dLbls>
            <c:dLbl>
              <c:idx val="0"/>
              <c:layout>
                <c:manualLayout>
                  <c:x val="3.0701754385964831E-2"/>
                  <c:y val="4.7244094488188976E-2"/>
                </c:manualLayout>
              </c:layout>
              <c:tx>
                <c:rich>
                  <a:bodyPr/>
                  <a:lstStyle/>
                  <a:p>
                    <a:r>
                      <a:rPr lang="en-US">
                        <a:solidFill>
                          <a:sysClr val="windowText" lastClr="000000"/>
                        </a:solidFill>
                      </a:rPr>
                      <a:t>Žádné propojení</a:t>
                    </a:r>
                    <a:r>
                      <a:rPr lang="en-US" baseline="0">
                        <a:solidFill>
                          <a:sysClr val="windowText" lastClr="000000"/>
                        </a:solidFill>
                      </a:rPr>
                      <a:t>
</a:t>
                    </a:r>
                    <a:fld id="{05DB564B-B0F3-4377-AD5F-19DA36D1654B}" type="PERCENTAGE">
                      <a:rPr lang="en-US" baseline="0">
                        <a:solidFill>
                          <a:sysClr val="windowText" lastClr="000000"/>
                        </a:solidFill>
                      </a:rPr>
                      <a:pPr/>
                      <a:t>[PROCENTO]</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C8-4A68-990F-1B8F08A35A59}"/>
                </c:ext>
              </c:extLst>
            </c:dLbl>
            <c:dLbl>
              <c:idx val="1"/>
              <c:tx>
                <c:rich>
                  <a:bodyPr/>
                  <a:lstStyle/>
                  <a:p>
                    <a:r>
                      <a:rPr lang="en-US">
                        <a:solidFill>
                          <a:sysClr val="windowText" lastClr="000000"/>
                        </a:solidFill>
                      </a:rPr>
                      <a:t>Částečné propojení</a:t>
                    </a:r>
                    <a:r>
                      <a:rPr lang="en-US" baseline="0">
                        <a:solidFill>
                          <a:sysClr val="windowText" lastClr="000000"/>
                        </a:solidFill>
                      </a:rPr>
                      <a:t>
</a:t>
                    </a:r>
                    <a:fld id="{EFAF4769-10BF-4505-8A03-0A3CC224F46F}" type="PERCENTAGE">
                      <a:rPr lang="en-US" baseline="0">
                        <a:solidFill>
                          <a:sysClr val="windowText" lastClr="000000"/>
                        </a:solidFill>
                      </a:rPr>
                      <a:pPr/>
                      <a:t>[PROCENTO]</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C8-4A68-990F-1B8F08A35A59}"/>
                </c:ext>
              </c:extLst>
            </c:dLbl>
            <c:dLbl>
              <c:idx val="2"/>
              <c:tx>
                <c:rich>
                  <a:bodyPr/>
                  <a:lstStyle/>
                  <a:p>
                    <a:r>
                      <a:rPr lang="en-US">
                        <a:solidFill>
                          <a:sysClr val="windowText" lastClr="000000"/>
                        </a:solidFill>
                      </a:rPr>
                      <a:t>Úplné propojení</a:t>
                    </a:r>
                    <a:r>
                      <a:rPr lang="en-US" baseline="0">
                        <a:solidFill>
                          <a:sysClr val="windowText" lastClr="000000"/>
                        </a:solidFill>
                      </a:rPr>
                      <a:t>
</a:t>
                    </a:r>
                    <a:fld id="{FF7E4ACE-E6BB-40D9-8DBD-70A2E1542FB8}" type="PERCENTAGE">
                      <a:rPr lang="en-US" baseline="0">
                        <a:solidFill>
                          <a:sysClr val="windowText" lastClr="000000"/>
                        </a:solidFill>
                      </a:rPr>
                      <a:pPr/>
                      <a:t>[PROCENTO]</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CC8-4A68-990F-1B8F08A35A59}"/>
                </c:ext>
              </c:extLst>
            </c:dLbl>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IGA!$B$24:$B$26</c:f>
              <c:strCache>
                <c:ptCount val="3"/>
                <c:pt idx="0">
                  <c:v>žádné</c:v>
                </c:pt>
                <c:pt idx="1">
                  <c:v>částečné</c:v>
                </c:pt>
                <c:pt idx="2">
                  <c:v>úplné</c:v>
                </c:pt>
              </c:strCache>
            </c:strRef>
          </c:cat>
          <c:val>
            <c:numRef>
              <c:f>IGA!$C$24:$C$26</c:f>
              <c:numCache>
                <c:formatCode>0%</c:formatCode>
                <c:ptCount val="3"/>
                <c:pt idx="0">
                  <c:v>0.1111111111111111</c:v>
                </c:pt>
                <c:pt idx="1">
                  <c:v>0.33333333333333331</c:v>
                </c:pt>
                <c:pt idx="2">
                  <c:v>0.55555555555555558</c:v>
                </c:pt>
              </c:numCache>
            </c:numRef>
          </c:val>
          <c:extLst>
            <c:ext xmlns:c16="http://schemas.microsoft.com/office/drawing/2014/chart" uri="{C3380CC4-5D6E-409C-BE32-E72D297353CC}">
              <c16:uniqueId val="{00000006-BCC8-4A68-990F-1B8F08A35A59}"/>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59583528880083"/>
          <c:y val="8.8813426009045279E-2"/>
          <c:w val="0.43522779023482994"/>
          <c:h val="0.8562787794848119"/>
        </c:manualLayout>
      </c:layout>
      <c:pieChart>
        <c:varyColors val="1"/>
        <c:ser>
          <c:idx val="0"/>
          <c:order val="0"/>
          <c:spPr>
            <a:solidFill>
              <a:srgbClr val="FFFF00"/>
            </a:solidFill>
          </c:spPr>
          <c:dPt>
            <c:idx val="0"/>
            <c:bubble3D val="0"/>
            <c:explosion val="18"/>
            <c:spPr>
              <a:solidFill>
                <a:srgbClr val="00B050"/>
              </a:solidFill>
              <a:ln w="19050">
                <a:solidFill>
                  <a:schemeClr val="lt1"/>
                </a:solidFill>
              </a:ln>
              <a:effectLst/>
            </c:spPr>
            <c:extLst>
              <c:ext xmlns:c16="http://schemas.microsoft.com/office/drawing/2014/chart" uri="{C3380CC4-5D6E-409C-BE32-E72D297353CC}">
                <c16:uniqueId val="{00000001-F260-482D-9EB5-D2F94E8087D5}"/>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F260-482D-9EB5-D2F94E8087D5}"/>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F260-482D-9EB5-D2F94E8087D5}"/>
              </c:ext>
            </c:extLst>
          </c:dPt>
          <c:dLbls>
            <c:dLbl>
              <c:idx val="0"/>
              <c:layout>
                <c:manualLayout>
                  <c:x val="0.10192764718591105"/>
                  <c:y val="4.6838228061728972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fld id="{B0DF91D9-B791-41ED-8B1E-58448E2F504E}" type="CATEGORYNAME">
                      <a:rPr lang="en-US">
                        <a:solidFill>
                          <a:sysClr val="windowText" lastClr="000000"/>
                        </a:solidFill>
                      </a:rPr>
                      <a:pPr>
                        <a:defRPr/>
                      </a:pPr>
                      <a:t>[NÁZEV KATEGORIE]</a:t>
                    </a:fld>
                    <a:fld id="{5A122F77-FC59-4C90-A11B-516C88D70F21}" type="PERCENTAGE">
                      <a:rPr lang="en-US" baseline="0">
                        <a:solidFill>
                          <a:sysClr val="windowText" lastClr="000000"/>
                        </a:solidFill>
                      </a:rPr>
                      <a:pPr>
                        <a:defRPr/>
                      </a:pPr>
                      <a:t>[PROCENTO]</a:t>
                    </a:fld>
                    <a:endParaRPr lang="cs-CZ"/>
                  </a:p>
                </c:rich>
              </c:tx>
              <c:numFmt formatCode="0\ %" sourceLinked="0"/>
              <c:spPr>
                <a:xfrm>
                  <a:off x="3062993" y="39675"/>
                  <a:ext cx="814004" cy="626993"/>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3579"/>
                        <a:gd name="adj2" fmla="val 23453"/>
                      </a:avLst>
                    </a:prstGeom>
                    <a:noFill/>
                    <a:ln>
                      <a:noFill/>
                    </a:ln>
                  </c15:spPr>
                  <c15:layout>
                    <c:manualLayout>
                      <c:w val="0.17412355851606567"/>
                      <c:h val="0.324585980006937"/>
                    </c:manualLayout>
                  </c15:layout>
                  <c15:dlblFieldTable/>
                  <c15:showDataLabelsRange val="0"/>
                </c:ext>
                <c:ext xmlns:c16="http://schemas.microsoft.com/office/drawing/2014/chart" uri="{C3380CC4-5D6E-409C-BE32-E72D297353CC}">
                  <c16:uniqueId val="{00000001-F260-482D-9EB5-D2F94E8087D5}"/>
                </c:ext>
              </c:extLst>
            </c:dLbl>
            <c:dLbl>
              <c:idx val="1"/>
              <c:layout>
                <c:manualLayout>
                  <c:x val="5.9907864214068674E-3"/>
                  <c:y val="4.8586087813695701E-2"/>
                </c:manualLayout>
              </c:layout>
              <c:tx>
                <c:rich>
                  <a:bodyPr/>
                  <a:lstStyle/>
                  <a:p>
                    <a:fld id="{38D72A18-F92A-49ED-B152-7DB4BCFF8F3A}" type="CATEGORYNAME">
                      <a:rPr lang="en-US">
                        <a:solidFill>
                          <a:sysClr val="windowText" lastClr="000000"/>
                        </a:solidFill>
                      </a:rPr>
                      <a:pPr/>
                      <a:t>[NÁZEV KATEGORIE]</a:t>
                    </a:fld>
                    <a:fld id="{363083B8-678A-4430-9B82-BB521138D0E9}" type="PERCENTAGE">
                      <a:rPr lang="en-US" baseline="0">
                        <a:solidFill>
                          <a:sysClr val="windowText" lastClr="000000"/>
                        </a:solidFill>
                      </a:rPr>
                      <a:pPr/>
                      <a:t>[PROCENTO]</a:t>
                    </a:fld>
                    <a:endParaRPr lang="cs-CZ"/>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260-482D-9EB5-D2F94E8087D5}"/>
                </c:ext>
              </c:extLst>
            </c:dLbl>
            <c:dLbl>
              <c:idx val="2"/>
              <c:layout>
                <c:manualLayout>
                  <c:x val="-1.8732273850384132E-2"/>
                  <c:y val="1.696113792227574E-2"/>
                </c:manualLayout>
              </c:layout>
              <c:tx>
                <c:rich>
                  <a:bodyPr/>
                  <a:lstStyle/>
                  <a:p>
                    <a:fld id="{5705539D-A7E1-44DD-80FE-715697FB0376}" type="CATEGORYNAME">
                      <a:rPr lang="en-US">
                        <a:solidFill>
                          <a:sysClr val="windowText" lastClr="000000"/>
                        </a:solidFill>
                      </a:rPr>
                      <a:pPr/>
                      <a:t>[NÁZEV KATEGORIE]</a:t>
                    </a:fld>
                    <a:fld id="{F335DDE3-878C-481E-A008-7D77726EB868}" type="PERCENTAGE">
                      <a:rPr lang="en-US" baseline="0">
                        <a:solidFill>
                          <a:sysClr val="windowText" lastClr="000000"/>
                        </a:solidFill>
                      </a:rPr>
                      <a:pPr/>
                      <a:t>[PROCENTO]</a:t>
                    </a:fld>
                    <a:endParaRPr lang="cs-CZ"/>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260-482D-9EB5-D2F94E8087D5}"/>
                </c:ext>
              </c:extLst>
            </c:dLbl>
            <c:numFmt formatCode="0\ %"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graf!$A$13:$A$15</c:f>
              <c:strCache>
                <c:ptCount val="3"/>
                <c:pt idx="0">
                  <c:v>Pracovní výkazy vedeny kompletně
</c:v>
                </c:pt>
                <c:pt idx="1">
                  <c:v>Pracovní výkazy vedeny částečně
</c:v>
                </c:pt>
                <c:pt idx="2">
                  <c:v>Pracovní výkazy nevedeny
</c:v>
                </c:pt>
              </c:strCache>
            </c:strRef>
          </c:cat>
          <c:val>
            <c:numRef>
              <c:f>graf!$B$13:$B$15</c:f>
              <c:numCache>
                <c:formatCode>General</c:formatCode>
                <c:ptCount val="3"/>
                <c:pt idx="0">
                  <c:v>2</c:v>
                </c:pt>
                <c:pt idx="1">
                  <c:v>1</c:v>
                </c:pt>
                <c:pt idx="2">
                  <c:v>6</c:v>
                </c:pt>
              </c:numCache>
            </c:numRef>
          </c:val>
          <c:extLst>
            <c:ext xmlns:c16="http://schemas.microsoft.com/office/drawing/2014/chart" uri="{C3380CC4-5D6E-409C-BE32-E72D297353CC}">
              <c16:uniqueId val="{00000006-F260-482D-9EB5-D2F94E8087D5}"/>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EF324D8BCFC748BF8724C1677C6AFD" ma:contentTypeVersion="2" ma:contentTypeDescription="Vytvoří nový dokument" ma:contentTypeScope="" ma:versionID="863d202a4fd9095f3983d8b5a5177280">
  <xsd:schema xmlns:xsd="http://www.w3.org/2001/XMLSchema" xmlns:xs="http://www.w3.org/2001/XMLSchema" xmlns:p="http://schemas.microsoft.com/office/2006/metadata/properties" xmlns:ns2="3fb7abd5-a6bb-4ec7-939d-a7f5cb624015" targetNamespace="http://schemas.microsoft.com/office/2006/metadata/properties" ma:root="true" ma:fieldsID="7f11a08b56f49b9f5c41191bddb1bc15" ns2:_="">
    <xsd:import namespace="3fb7abd5-a6bb-4ec7-939d-a7f5cb62401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7abd5-a6bb-4ec7-939d-a7f5cb62401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7E2FC-291F-4EE4-9192-1A386369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7abd5-a6bb-4ec7-939d-a7f5cb62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0B12F-4A0F-48D5-B368-EF5CF9FBC2FF}">
  <ds:schemaRefs>
    <ds:schemaRef ds:uri="http://purl.org/dc/terms/"/>
    <ds:schemaRef ds:uri="http://schemas.microsoft.com/office/2006/documentManagement/types"/>
    <ds:schemaRef ds:uri="3fb7abd5-a6bb-4ec7-939d-a7f5cb624015"/>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D9EA464-FFE9-4F0E-967A-38F46429A4E7}">
  <ds:schemaRefs>
    <ds:schemaRef ds:uri="http://schemas.microsoft.com/sharepoint/v3/contenttype/forms"/>
  </ds:schemaRefs>
</ds:datastoreItem>
</file>

<file path=customXml/itemProps4.xml><?xml version="1.0" encoding="utf-8"?>
<ds:datastoreItem xmlns:ds="http://schemas.openxmlformats.org/officeDocument/2006/customXml" ds:itemID="{42CDA21D-7245-4DC2-97E5-548A9FCB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8327</Words>
  <Characters>49136</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Kontrolní závěr z kontrolní akce NKÚ č. 22/10 - Peněžní prostředky státního rozpočtu a Evropské unie určené na realizaci a implementaci genderových auditů</vt:lpstr>
    </vt:vector>
  </TitlesOfParts>
  <Company>NKU</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22/10 - Peněžní prostředky státního rozpočtu a Evropské unie určené na realizaci a implementaci genderových auditů</dc:title>
  <dc:subject>Kontrolní závěr z kontrolní akce NKÚ č. 22/10 - Peněžní prostředky státního rozpočtu a Evropské unie určené na realizaci a implementaci genderových auditů</dc:subject>
  <dc:creator>Nejvyšší kontrolní úřad</dc:creator>
  <dc:description/>
  <cp:lastModifiedBy>KOKRDA Daniel</cp:lastModifiedBy>
  <cp:revision>3</cp:revision>
  <cp:lastPrinted>2023-03-07T09:19:00Z</cp:lastPrinted>
  <dcterms:created xsi:type="dcterms:W3CDTF">2023-03-07T09:17:00Z</dcterms:created>
  <dcterms:modified xsi:type="dcterms:W3CDTF">2023-03-07T09:21:00Z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0x0101008CEF324D8BCFC748BF8724C1677C6AFD</vt:lpwstr>
  </property>
</Properties>
</file>