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4DF35" w14:textId="77777777" w:rsidR="00635769" w:rsidRPr="0069391C" w:rsidRDefault="007E2A6B" w:rsidP="0069391C">
      <w:pPr>
        <w:spacing w:after="0" w:line="240" w:lineRule="auto"/>
        <w:jc w:val="center"/>
        <w:rPr>
          <w:rFonts w:cstheme="minorHAnsi"/>
          <w:sz w:val="24"/>
          <w:szCs w:val="24"/>
        </w:rPr>
      </w:pPr>
      <w:r w:rsidRPr="0069391C">
        <w:rPr>
          <w:noProof/>
          <w:sz w:val="24"/>
          <w:szCs w:val="24"/>
          <w:lang w:eastAsia="cs-CZ"/>
        </w:rPr>
        <w:drawing>
          <wp:anchor distT="0" distB="0" distL="114300" distR="114300" simplePos="0" relativeHeight="251653120" behindDoc="0" locked="0" layoutInCell="1" allowOverlap="1" wp14:anchorId="750F1B3F" wp14:editId="5F9523CD">
            <wp:simplePos x="0" y="0"/>
            <wp:positionH relativeFrom="margin">
              <wp:posOffset>2479040</wp:posOffset>
            </wp:positionH>
            <wp:positionV relativeFrom="paragraph">
              <wp:posOffset>0</wp:posOffset>
            </wp:positionV>
            <wp:extent cx="792480" cy="559435"/>
            <wp:effectExtent l="0" t="0" r="762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480" cy="559435"/>
                    </a:xfrm>
                    <a:prstGeom prst="rect">
                      <a:avLst/>
                    </a:prstGeom>
                    <a:noFill/>
                  </pic:spPr>
                </pic:pic>
              </a:graphicData>
            </a:graphic>
            <wp14:sizeRelV relativeFrom="margin">
              <wp14:pctHeight>0</wp14:pctHeight>
            </wp14:sizeRelV>
          </wp:anchor>
        </w:drawing>
      </w:r>
    </w:p>
    <w:p w14:paraId="0D43E626" w14:textId="77777777" w:rsidR="00635769" w:rsidRPr="0069391C" w:rsidRDefault="00635769" w:rsidP="0069391C">
      <w:pPr>
        <w:spacing w:after="0" w:line="240" w:lineRule="auto"/>
        <w:jc w:val="center"/>
        <w:rPr>
          <w:rFonts w:cstheme="minorHAnsi"/>
          <w:sz w:val="24"/>
          <w:szCs w:val="24"/>
        </w:rPr>
      </w:pPr>
    </w:p>
    <w:p w14:paraId="00E0F6E2" w14:textId="77777777" w:rsidR="0069391C" w:rsidRPr="0069391C" w:rsidRDefault="0069391C" w:rsidP="0069391C">
      <w:pPr>
        <w:spacing w:after="0" w:line="240" w:lineRule="auto"/>
        <w:jc w:val="center"/>
        <w:rPr>
          <w:rFonts w:cstheme="minorHAnsi"/>
          <w:sz w:val="24"/>
          <w:szCs w:val="24"/>
        </w:rPr>
      </w:pPr>
    </w:p>
    <w:p w14:paraId="516BDC9F" w14:textId="77777777" w:rsidR="00036DCF" w:rsidRPr="00635769" w:rsidRDefault="007E2A6B" w:rsidP="00241D97">
      <w:pPr>
        <w:spacing w:after="0" w:line="240" w:lineRule="auto"/>
        <w:jc w:val="center"/>
        <w:rPr>
          <w:b/>
          <w:sz w:val="32"/>
          <w:szCs w:val="32"/>
        </w:rPr>
      </w:pPr>
      <w:bookmarkStart w:id="0" w:name="_GoBack"/>
      <w:r w:rsidRPr="00EC3A0D">
        <w:rPr>
          <w:rFonts w:cstheme="minorHAnsi"/>
          <w:b/>
          <w:sz w:val="28"/>
          <w:szCs w:val="28"/>
        </w:rPr>
        <w:t>Kontrolní závěr z kontrolní akce</w:t>
      </w:r>
    </w:p>
    <w:p w14:paraId="31FB9329" w14:textId="77777777" w:rsidR="004F2B40" w:rsidRDefault="004F2B40" w:rsidP="00A20F64">
      <w:pPr>
        <w:spacing w:after="0" w:line="240" w:lineRule="auto"/>
        <w:jc w:val="center"/>
      </w:pPr>
    </w:p>
    <w:p w14:paraId="1B495135" w14:textId="77777777" w:rsidR="00036DCF" w:rsidRPr="00EC3A0D" w:rsidRDefault="007E2A6B" w:rsidP="00A20F64">
      <w:pPr>
        <w:spacing w:after="0" w:line="240" w:lineRule="auto"/>
        <w:jc w:val="center"/>
        <w:rPr>
          <w:rFonts w:cstheme="minorHAnsi"/>
          <w:b/>
          <w:sz w:val="28"/>
          <w:szCs w:val="28"/>
        </w:rPr>
      </w:pPr>
      <w:r>
        <w:rPr>
          <w:rFonts w:cstheme="minorHAnsi"/>
          <w:b/>
          <w:sz w:val="28"/>
          <w:szCs w:val="28"/>
        </w:rPr>
        <w:t>2</w:t>
      </w:r>
      <w:r w:rsidR="00D25518">
        <w:rPr>
          <w:rFonts w:cstheme="minorHAnsi"/>
          <w:b/>
          <w:sz w:val="28"/>
          <w:szCs w:val="28"/>
        </w:rPr>
        <w:t>2</w:t>
      </w:r>
      <w:r w:rsidRPr="00EC3A0D">
        <w:rPr>
          <w:rFonts w:cstheme="minorHAnsi"/>
          <w:b/>
          <w:sz w:val="28"/>
          <w:szCs w:val="28"/>
        </w:rPr>
        <w:t>/</w:t>
      </w:r>
      <w:r w:rsidR="00D25518">
        <w:rPr>
          <w:rFonts w:cstheme="minorHAnsi"/>
          <w:b/>
          <w:sz w:val="28"/>
          <w:szCs w:val="28"/>
        </w:rPr>
        <w:t>04</w:t>
      </w:r>
    </w:p>
    <w:p w14:paraId="66BD1267" w14:textId="77777777" w:rsidR="00036DCF" w:rsidRDefault="00036DCF" w:rsidP="00A20F64">
      <w:pPr>
        <w:spacing w:after="0" w:line="240" w:lineRule="auto"/>
        <w:jc w:val="center"/>
      </w:pPr>
    </w:p>
    <w:p w14:paraId="7E77E370" w14:textId="77777777" w:rsidR="00284276" w:rsidRPr="00EC3A0D" w:rsidRDefault="007E2A6B" w:rsidP="0069391C">
      <w:pPr>
        <w:spacing w:after="0" w:line="240" w:lineRule="auto"/>
        <w:jc w:val="center"/>
        <w:rPr>
          <w:rFonts w:cstheme="minorHAnsi"/>
          <w:b/>
          <w:sz w:val="28"/>
          <w:szCs w:val="28"/>
        </w:rPr>
      </w:pPr>
      <w:r w:rsidRPr="0045046D">
        <w:rPr>
          <w:rFonts w:cstheme="minorHAnsi"/>
          <w:b/>
          <w:sz w:val="28"/>
          <w:szCs w:val="28"/>
        </w:rPr>
        <w:t xml:space="preserve">Peněžní prostředky </w:t>
      </w:r>
      <w:r w:rsidR="00D25518">
        <w:rPr>
          <w:rFonts w:cstheme="minorHAnsi"/>
          <w:b/>
          <w:i/>
          <w:sz w:val="28"/>
          <w:szCs w:val="28"/>
        </w:rPr>
        <w:t>Integrovaného regionálního operačního programu</w:t>
      </w:r>
      <w:r w:rsidRPr="0045046D">
        <w:rPr>
          <w:rFonts w:cstheme="minorHAnsi"/>
          <w:b/>
          <w:sz w:val="28"/>
          <w:szCs w:val="28"/>
        </w:rPr>
        <w:t xml:space="preserve"> </w:t>
      </w:r>
      <w:r w:rsidR="00D25518">
        <w:rPr>
          <w:rFonts w:cstheme="minorHAnsi"/>
          <w:b/>
          <w:sz w:val="28"/>
          <w:szCs w:val="28"/>
        </w:rPr>
        <w:t xml:space="preserve">určené </w:t>
      </w:r>
      <w:r w:rsidRPr="0045046D">
        <w:rPr>
          <w:rFonts w:cstheme="minorHAnsi"/>
          <w:b/>
          <w:sz w:val="28"/>
          <w:szCs w:val="28"/>
        </w:rPr>
        <w:t xml:space="preserve">na podporu </w:t>
      </w:r>
      <w:r w:rsidR="00D25518">
        <w:rPr>
          <w:rFonts w:cstheme="minorHAnsi"/>
          <w:b/>
          <w:sz w:val="28"/>
          <w:szCs w:val="28"/>
        </w:rPr>
        <w:t>infrastruktury regionální zdravotní péče</w:t>
      </w:r>
    </w:p>
    <w:bookmarkEnd w:id="0"/>
    <w:p w14:paraId="585D40B6" w14:textId="77777777" w:rsidR="00F11C48" w:rsidRDefault="00F11C48" w:rsidP="0069391C">
      <w:pPr>
        <w:pStyle w:val="KPnormalni"/>
      </w:pPr>
    </w:p>
    <w:p w14:paraId="0C887E3B" w14:textId="77777777" w:rsidR="0069391C" w:rsidRPr="004F2B40" w:rsidRDefault="0069391C" w:rsidP="0069391C">
      <w:pPr>
        <w:pStyle w:val="KPnormalni"/>
      </w:pPr>
    </w:p>
    <w:p w14:paraId="6B5F576D" w14:textId="77777777" w:rsidR="00036DCF" w:rsidRPr="004F2B40" w:rsidRDefault="007E2A6B" w:rsidP="0069391C">
      <w:pPr>
        <w:pStyle w:val="KPnormalni"/>
      </w:pPr>
      <w:r w:rsidRPr="004F2B40">
        <w:t>Kontrolní akce byla zařazena do plánu kontrolní činnosti Nejvyššího kontrolního úřadu (dále také „NKÚ“) na rok 20</w:t>
      </w:r>
      <w:r w:rsidR="00284276">
        <w:t>2</w:t>
      </w:r>
      <w:r w:rsidR="00D25518">
        <w:t>2</w:t>
      </w:r>
      <w:r w:rsidRPr="004F2B40">
        <w:t xml:space="preserve"> pod číslem </w:t>
      </w:r>
      <w:r w:rsidR="00284276">
        <w:t>2</w:t>
      </w:r>
      <w:r w:rsidR="00D25518">
        <w:t>2</w:t>
      </w:r>
      <w:r w:rsidRPr="004F2B40">
        <w:t>/</w:t>
      </w:r>
      <w:r w:rsidR="00D25518">
        <w:t>04</w:t>
      </w:r>
      <w:r w:rsidRPr="004F2B40">
        <w:t>. Kontrolní akci řídil a kontrolní závěr vypracoval člen</w:t>
      </w:r>
      <w:r w:rsidR="00F755F0">
        <w:t> </w:t>
      </w:r>
      <w:r w:rsidRPr="004F2B40">
        <w:t>NKÚ Ing. Jan Kinšt.</w:t>
      </w:r>
    </w:p>
    <w:p w14:paraId="43A9E111" w14:textId="77777777" w:rsidR="00036DCF" w:rsidRPr="004F2B40" w:rsidRDefault="00036DCF" w:rsidP="00241D97">
      <w:pPr>
        <w:pStyle w:val="KPnormalni"/>
      </w:pPr>
    </w:p>
    <w:p w14:paraId="672C1560" w14:textId="77777777" w:rsidR="00284276" w:rsidRPr="00284276" w:rsidRDefault="007E2A6B" w:rsidP="0069391C">
      <w:pPr>
        <w:pStyle w:val="KPnormalni"/>
        <w:rPr>
          <w:bCs/>
        </w:rPr>
      </w:pPr>
      <w:r w:rsidRPr="00284276">
        <w:rPr>
          <w:bCs/>
        </w:rPr>
        <w:t xml:space="preserve">Cílem </w:t>
      </w:r>
      <w:r w:rsidRPr="00DA574B">
        <w:t>kontroly</w:t>
      </w:r>
      <w:r w:rsidRPr="00284276">
        <w:rPr>
          <w:bCs/>
        </w:rPr>
        <w:t xml:space="preserve"> bylo </w:t>
      </w:r>
      <w:bookmarkStart w:id="1" w:name="_Hlk87435700"/>
      <w:r w:rsidR="0045046D">
        <w:t>p</w:t>
      </w:r>
      <w:r w:rsidR="0045046D" w:rsidRPr="00543EBF">
        <w:t xml:space="preserve">rověřit, </w:t>
      </w:r>
      <w:bookmarkStart w:id="2" w:name="_Hlk97728612"/>
      <w:r w:rsidR="0045046D" w:rsidRPr="00543EBF">
        <w:t xml:space="preserve">zda peněžní prostředky </w:t>
      </w:r>
      <w:r w:rsidR="00D25518" w:rsidRPr="00D25518">
        <w:rPr>
          <w:i/>
        </w:rPr>
        <w:t>Integrovaného regionálního operačního programu</w:t>
      </w:r>
      <w:r w:rsidR="00D25518" w:rsidRPr="00D25518">
        <w:t xml:space="preserve"> určené na podporu infrastruktury regionální zdravotní péče </w:t>
      </w:r>
      <w:r w:rsidR="0045046D" w:rsidRPr="00543EBF">
        <w:t>byly poskytovány a čerpány účelně</w:t>
      </w:r>
      <w:r w:rsidR="00D25518">
        <w:t>, hospodárně</w:t>
      </w:r>
      <w:r w:rsidR="0045046D" w:rsidRPr="00543EBF">
        <w:t xml:space="preserve"> a v souladu s právními předpisy</w:t>
      </w:r>
      <w:bookmarkEnd w:id="1"/>
      <w:r w:rsidR="0045046D">
        <w:t>.</w:t>
      </w:r>
      <w:bookmarkEnd w:id="2"/>
    </w:p>
    <w:p w14:paraId="213CF9AA" w14:textId="77777777" w:rsidR="00284276" w:rsidRDefault="00284276" w:rsidP="0069391C">
      <w:pPr>
        <w:spacing w:after="0" w:line="240" w:lineRule="auto"/>
        <w:jc w:val="both"/>
        <w:rPr>
          <w:rFonts w:ascii="Calibri" w:hAnsi="Calibri" w:cs="Calibri"/>
          <w:bCs/>
          <w:sz w:val="24"/>
          <w:szCs w:val="24"/>
        </w:rPr>
      </w:pPr>
    </w:p>
    <w:p w14:paraId="3B42B6EA" w14:textId="77777777" w:rsidR="00F11C48" w:rsidRPr="005D2CEC" w:rsidRDefault="007E2A6B" w:rsidP="0069391C">
      <w:pPr>
        <w:spacing w:after="0" w:line="240" w:lineRule="auto"/>
        <w:jc w:val="both"/>
        <w:rPr>
          <w:rFonts w:ascii="Calibri" w:hAnsi="Calibri" w:cs="Calibri"/>
          <w:b/>
          <w:sz w:val="24"/>
          <w:szCs w:val="24"/>
        </w:rPr>
      </w:pPr>
      <w:r w:rsidRPr="005D2CEC">
        <w:rPr>
          <w:rFonts w:ascii="Calibri" w:hAnsi="Calibri" w:cs="Calibri"/>
          <w:b/>
          <w:sz w:val="24"/>
          <w:szCs w:val="24"/>
        </w:rPr>
        <w:t>Kontrolované osoby</w:t>
      </w:r>
      <w:r w:rsidR="00036DCF" w:rsidRPr="005D2CEC">
        <w:rPr>
          <w:rFonts w:ascii="Calibri" w:hAnsi="Calibri" w:cs="Calibri"/>
          <w:b/>
          <w:sz w:val="24"/>
          <w:szCs w:val="24"/>
        </w:rPr>
        <w:t>:</w:t>
      </w:r>
    </w:p>
    <w:p w14:paraId="097005C7" w14:textId="77777777" w:rsidR="00284276" w:rsidRPr="005D2CEC" w:rsidRDefault="007E2A6B" w:rsidP="00241D97">
      <w:pPr>
        <w:pStyle w:val="KPnormalni"/>
      </w:pPr>
      <w:r w:rsidRPr="005D2CEC">
        <w:t xml:space="preserve">Ministerstvo pro místní rozvoj </w:t>
      </w:r>
      <w:r w:rsidR="0007424F" w:rsidRPr="005D2CEC">
        <w:t>(dále také „</w:t>
      </w:r>
      <w:r w:rsidRPr="005D2CEC">
        <w:t>MMR</w:t>
      </w:r>
      <w:r w:rsidR="0007424F" w:rsidRPr="005D2CEC">
        <w:t>“);</w:t>
      </w:r>
    </w:p>
    <w:p w14:paraId="299A63CF" w14:textId="77777777" w:rsidR="00284276" w:rsidRPr="005D2CEC" w:rsidRDefault="007E2A6B" w:rsidP="00241D97">
      <w:pPr>
        <w:pStyle w:val="KPnormalni"/>
      </w:pPr>
      <w:r w:rsidRPr="005D2CEC">
        <w:t>Centrum pro regionální rozvoj České republiky</w:t>
      </w:r>
      <w:r w:rsidR="00B32BC4" w:rsidRPr="005D2CEC">
        <w:t>, Praha</w:t>
      </w:r>
      <w:r w:rsidRPr="005D2CEC">
        <w:t xml:space="preserve"> </w:t>
      </w:r>
      <w:r w:rsidR="0007424F" w:rsidRPr="005D2CEC">
        <w:t>(dále také „</w:t>
      </w:r>
      <w:r w:rsidRPr="005D2CEC">
        <w:t>CRR</w:t>
      </w:r>
      <w:r w:rsidR="00313B39" w:rsidRPr="005D2CEC">
        <w:t>“)</w:t>
      </w:r>
      <w:r w:rsidRPr="005D2CEC">
        <w:t>;</w:t>
      </w:r>
    </w:p>
    <w:p w14:paraId="22F3BEBD" w14:textId="77777777" w:rsidR="0045046D" w:rsidRPr="00284276" w:rsidRDefault="007E2A6B" w:rsidP="00241D97">
      <w:pPr>
        <w:pStyle w:val="KPnormalni"/>
      </w:pPr>
      <w:r w:rsidRPr="005D2CEC">
        <w:t xml:space="preserve">vybraní příjemci podpory: </w:t>
      </w:r>
      <w:r w:rsidR="003006B2" w:rsidRPr="005D2CEC">
        <w:t xml:space="preserve">Nemocnice s poliklinikou Česká Lípa, a.s.; </w:t>
      </w:r>
      <w:r w:rsidR="00C9243F" w:rsidRPr="005D2CEC">
        <w:t xml:space="preserve">Fakultní nemocnice Ostrava; Fakultní nemocnice v Motole; Fakultní nemocnice Brno; </w:t>
      </w:r>
      <w:r w:rsidR="003006B2" w:rsidRPr="005D2CEC">
        <w:t xml:space="preserve">Krajská nemocnice </w:t>
      </w:r>
      <w:r w:rsidR="00A12B57">
        <w:br/>
      </w:r>
      <w:r w:rsidR="003006B2" w:rsidRPr="005D2CEC">
        <w:t>Liberec,</w:t>
      </w:r>
      <w:r w:rsidR="00A12B57">
        <w:t xml:space="preserve"> </w:t>
      </w:r>
      <w:r w:rsidR="003006B2" w:rsidRPr="005D2CEC">
        <w:t>a.s.; Krajská zdravotní, a.s., Ústí nad Labem; Nemocnice Jihlava, příspěvková organizace; Nemocnice Vyškov, příspěvková organizace.</w:t>
      </w:r>
    </w:p>
    <w:p w14:paraId="7BE91786" w14:textId="77777777" w:rsidR="00284276" w:rsidRDefault="00284276" w:rsidP="0069391C">
      <w:pPr>
        <w:pStyle w:val="KPnormalni"/>
      </w:pPr>
    </w:p>
    <w:p w14:paraId="383858BB" w14:textId="77777777" w:rsidR="00036DCF" w:rsidRPr="004F2B40" w:rsidRDefault="007E2A6B" w:rsidP="0069391C">
      <w:pPr>
        <w:pStyle w:val="KPnormalni"/>
      </w:pPr>
      <w:r w:rsidRPr="004F2B40">
        <w:t xml:space="preserve">Kontrolováno bylo období </w:t>
      </w:r>
      <w:r w:rsidR="001660DA">
        <w:t xml:space="preserve">od roku </w:t>
      </w:r>
      <w:r w:rsidRPr="004F2B40">
        <w:t>201</w:t>
      </w:r>
      <w:r w:rsidR="00D25518">
        <w:t>4</w:t>
      </w:r>
      <w:r w:rsidR="001660DA">
        <w:t xml:space="preserve"> do roku </w:t>
      </w:r>
      <w:r w:rsidRPr="004F2B40">
        <w:t>20</w:t>
      </w:r>
      <w:r w:rsidR="00284276">
        <w:t>2</w:t>
      </w:r>
      <w:r w:rsidR="00D25518">
        <w:t>2</w:t>
      </w:r>
      <w:r w:rsidRPr="004F2B40">
        <w:t>, v případě věcných souvislostí i období předcházející.</w:t>
      </w:r>
    </w:p>
    <w:p w14:paraId="64B0CAE2" w14:textId="77777777" w:rsidR="00036DCF" w:rsidRPr="004F2B40" w:rsidRDefault="00036DCF" w:rsidP="0069391C">
      <w:pPr>
        <w:pStyle w:val="KPnormalni"/>
      </w:pPr>
    </w:p>
    <w:p w14:paraId="6D642ED8" w14:textId="77777777" w:rsidR="00036DCF" w:rsidRPr="004F2B40" w:rsidRDefault="007E2A6B" w:rsidP="0069391C">
      <w:pPr>
        <w:pStyle w:val="KPnormalni"/>
      </w:pPr>
      <w:r w:rsidRPr="004F2B40">
        <w:t xml:space="preserve">Kontrola byla prováděna </w:t>
      </w:r>
      <w:r w:rsidR="003165DA" w:rsidRPr="004F2B40">
        <w:t>u kontrolovaných osob</w:t>
      </w:r>
      <w:r w:rsidRPr="004F2B40">
        <w:t xml:space="preserve"> v době </w:t>
      </w:r>
      <w:r w:rsidRPr="00656227">
        <w:t xml:space="preserve">od </w:t>
      </w:r>
      <w:r w:rsidR="00D25518">
        <w:t>února</w:t>
      </w:r>
      <w:r w:rsidR="0045046D">
        <w:t xml:space="preserve"> 202</w:t>
      </w:r>
      <w:r w:rsidR="00D25518">
        <w:t>2</w:t>
      </w:r>
      <w:r w:rsidR="00284276" w:rsidRPr="00656227">
        <w:t xml:space="preserve"> </w:t>
      </w:r>
      <w:r w:rsidRPr="00656227">
        <w:t xml:space="preserve">do </w:t>
      </w:r>
      <w:r w:rsidR="00D25518">
        <w:t>října</w:t>
      </w:r>
      <w:r w:rsidR="003165DA" w:rsidRPr="00656227">
        <w:t xml:space="preserve"> </w:t>
      </w:r>
      <w:r w:rsidRPr="00656227">
        <w:t>20</w:t>
      </w:r>
      <w:r w:rsidR="00284276" w:rsidRPr="00656227">
        <w:t>2</w:t>
      </w:r>
      <w:r w:rsidR="0045046D">
        <w:t>2</w:t>
      </w:r>
      <w:r w:rsidRPr="004F2B40">
        <w:t>.</w:t>
      </w:r>
    </w:p>
    <w:p w14:paraId="37660024" w14:textId="77777777" w:rsidR="00F11C48" w:rsidRPr="004F2B40" w:rsidRDefault="00F11C48" w:rsidP="0069391C">
      <w:pPr>
        <w:pStyle w:val="KPnormalni"/>
      </w:pPr>
    </w:p>
    <w:p w14:paraId="5F203FAA" w14:textId="77777777" w:rsidR="00036DCF" w:rsidRPr="004F2B40" w:rsidRDefault="007E2A6B"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Kolegium</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NKÚ</w:t>
      </w:r>
      <w:r w:rsidRPr="004F2B40">
        <w:rPr>
          <w:rFonts w:ascii="Calibri" w:hAnsi="Calibri" w:cs="Calibri"/>
          <w:sz w:val="24"/>
          <w:szCs w:val="24"/>
        </w:rPr>
        <w:t xml:space="preserve">   </w:t>
      </w:r>
      <w:r w:rsidRPr="00646562">
        <w:rPr>
          <w:rFonts w:ascii="Calibri" w:hAnsi="Calibri" w:cs="Calibri"/>
          <w:sz w:val="24"/>
          <w:szCs w:val="24"/>
        </w:rPr>
        <w:t>na svém</w:t>
      </w:r>
      <w:r w:rsidR="001C5850" w:rsidRPr="00646562">
        <w:rPr>
          <w:rFonts w:ascii="Calibri" w:hAnsi="Calibri" w:cs="Calibri"/>
          <w:sz w:val="24"/>
          <w:szCs w:val="24"/>
        </w:rPr>
        <w:t xml:space="preserve"> </w:t>
      </w:r>
      <w:r w:rsidR="00D659B4">
        <w:rPr>
          <w:rFonts w:ascii="Calibri" w:hAnsi="Calibri" w:cs="Calibri"/>
          <w:sz w:val="24"/>
          <w:szCs w:val="24"/>
        </w:rPr>
        <w:t>XVI</w:t>
      </w:r>
      <w:r w:rsidRPr="00646562">
        <w:rPr>
          <w:rFonts w:ascii="Calibri" w:hAnsi="Calibri" w:cs="Calibri"/>
          <w:sz w:val="24"/>
          <w:szCs w:val="24"/>
        </w:rPr>
        <w:t>. jednání</w:t>
      </w:r>
      <w:r w:rsidRPr="004F2B40">
        <w:rPr>
          <w:rFonts w:ascii="Calibri" w:hAnsi="Calibri" w:cs="Calibri"/>
          <w:sz w:val="24"/>
          <w:szCs w:val="24"/>
        </w:rPr>
        <w:t>, které se konalo dne</w:t>
      </w:r>
      <w:r w:rsidR="001A0B55">
        <w:rPr>
          <w:rFonts w:ascii="Calibri" w:hAnsi="Calibri" w:cs="Calibri"/>
          <w:sz w:val="24"/>
          <w:szCs w:val="24"/>
        </w:rPr>
        <w:t xml:space="preserve"> </w:t>
      </w:r>
      <w:r w:rsidR="00D659B4">
        <w:rPr>
          <w:rFonts w:ascii="Calibri" w:hAnsi="Calibri" w:cs="Calibri"/>
          <w:sz w:val="24"/>
          <w:szCs w:val="24"/>
        </w:rPr>
        <w:t>12</w:t>
      </w:r>
      <w:r w:rsidR="00B36CDE" w:rsidRPr="00B36CDE">
        <w:rPr>
          <w:rFonts w:ascii="Calibri" w:hAnsi="Calibri" w:cs="Calibri"/>
          <w:sz w:val="24"/>
          <w:szCs w:val="24"/>
        </w:rPr>
        <w:t>.</w:t>
      </w:r>
      <w:r w:rsidR="00306808" w:rsidRPr="00B36CDE">
        <w:rPr>
          <w:rFonts w:ascii="Calibri" w:hAnsi="Calibri" w:cs="Calibri"/>
          <w:sz w:val="24"/>
          <w:szCs w:val="24"/>
        </w:rPr>
        <w:t> prosince</w:t>
      </w:r>
      <w:r w:rsidR="001A0B55" w:rsidRPr="00B36CDE">
        <w:rPr>
          <w:rFonts w:ascii="Calibri" w:hAnsi="Calibri" w:cs="Calibri"/>
          <w:sz w:val="24"/>
          <w:szCs w:val="24"/>
        </w:rPr>
        <w:t xml:space="preserve"> 202</w:t>
      </w:r>
      <w:r w:rsidR="003C36F2" w:rsidRPr="00B36CDE">
        <w:rPr>
          <w:rFonts w:ascii="Calibri" w:hAnsi="Calibri" w:cs="Calibri"/>
          <w:sz w:val="24"/>
          <w:szCs w:val="24"/>
        </w:rPr>
        <w:t>2</w:t>
      </w:r>
      <w:r w:rsidR="001A0B55">
        <w:rPr>
          <w:rFonts w:ascii="Calibri" w:hAnsi="Calibri" w:cs="Calibri"/>
          <w:sz w:val="24"/>
          <w:szCs w:val="24"/>
        </w:rPr>
        <w:t>,</w:t>
      </w:r>
    </w:p>
    <w:p w14:paraId="73374DBF" w14:textId="77777777" w:rsidR="00036DCF" w:rsidRPr="004F2B40" w:rsidRDefault="007E2A6B"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schválilo</w:t>
      </w:r>
      <w:r w:rsidRPr="004F2B40">
        <w:rPr>
          <w:rFonts w:ascii="Calibri" w:hAnsi="Calibri" w:cs="Calibri"/>
          <w:sz w:val="24"/>
          <w:szCs w:val="24"/>
        </w:rPr>
        <w:t xml:space="preserve">   usnesením č.</w:t>
      </w:r>
      <w:r w:rsidR="001A0B55">
        <w:rPr>
          <w:rFonts w:ascii="Calibri" w:hAnsi="Calibri" w:cs="Calibri"/>
          <w:sz w:val="24"/>
          <w:szCs w:val="24"/>
        </w:rPr>
        <w:t xml:space="preserve"> </w:t>
      </w:r>
      <w:r w:rsidR="00D100F9">
        <w:rPr>
          <w:rFonts w:ascii="Calibri" w:hAnsi="Calibri" w:cs="Calibri"/>
          <w:sz w:val="24"/>
          <w:szCs w:val="24"/>
        </w:rPr>
        <w:t>9</w:t>
      </w:r>
      <w:r w:rsidR="005775EC">
        <w:rPr>
          <w:rFonts w:ascii="Calibri" w:hAnsi="Calibri" w:cs="Calibri"/>
          <w:sz w:val="24"/>
          <w:szCs w:val="24"/>
        </w:rPr>
        <w:t>/</w:t>
      </w:r>
      <w:r w:rsidR="00D659B4">
        <w:rPr>
          <w:rFonts w:ascii="Calibri" w:hAnsi="Calibri" w:cs="Calibri"/>
          <w:sz w:val="24"/>
          <w:szCs w:val="24"/>
        </w:rPr>
        <w:t>XVI/</w:t>
      </w:r>
      <w:r w:rsidR="005775EC">
        <w:rPr>
          <w:rFonts w:ascii="Calibri" w:hAnsi="Calibri" w:cs="Calibri"/>
          <w:sz w:val="24"/>
          <w:szCs w:val="24"/>
        </w:rPr>
        <w:t>2022</w:t>
      </w:r>
    </w:p>
    <w:p w14:paraId="2BAE954B" w14:textId="77777777" w:rsidR="004F2B40" w:rsidRDefault="007E2A6B" w:rsidP="00124B87">
      <w:pPr>
        <w:spacing w:line="240" w:lineRule="auto"/>
        <w:jc w:val="both"/>
        <w:rPr>
          <w:rFonts w:ascii="Calibri" w:hAnsi="Calibri" w:cs="Calibri"/>
          <w:sz w:val="24"/>
          <w:szCs w:val="24"/>
        </w:rPr>
      </w:pPr>
      <w:r w:rsidRPr="004F2B40">
        <w:rPr>
          <w:rFonts w:ascii="Calibri" w:hAnsi="Calibri" w:cs="Calibri"/>
          <w:b/>
          <w:bCs/>
          <w:i/>
          <w:iCs/>
          <w:spacing w:val="60"/>
          <w:sz w:val="24"/>
          <w:szCs w:val="24"/>
        </w:rPr>
        <w:t>kontrolní</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závěr</w:t>
      </w:r>
      <w:r w:rsidRPr="004F2B40">
        <w:rPr>
          <w:rFonts w:ascii="Calibri" w:hAnsi="Calibri" w:cs="Calibri"/>
          <w:sz w:val="24"/>
          <w:szCs w:val="24"/>
        </w:rPr>
        <w:t xml:space="preserve">   v tomto znění:</w:t>
      </w:r>
    </w:p>
    <w:p w14:paraId="63A2304A" w14:textId="77777777" w:rsidR="0069391C" w:rsidRDefault="007E2A6B">
      <w:pPr>
        <w:rPr>
          <w:rFonts w:ascii="Calibri" w:hAnsi="Calibri" w:cs="Calibri"/>
          <w:sz w:val="24"/>
          <w:szCs w:val="24"/>
        </w:rPr>
      </w:pPr>
      <w:r>
        <w:rPr>
          <w:rFonts w:ascii="Calibri" w:hAnsi="Calibri" w:cs="Calibri"/>
          <w:sz w:val="24"/>
          <w:szCs w:val="24"/>
        </w:rPr>
        <w:br w:type="page"/>
      </w:r>
    </w:p>
    <w:p w14:paraId="6023831D" w14:textId="77777777" w:rsidR="000E1B3B" w:rsidRPr="00566D4B" w:rsidRDefault="007E2A6B" w:rsidP="00C80602">
      <w:pPr>
        <w:spacing w:after="0" w:line="240" w:lineRule="auto"/>
        <w:jc w:val="center"/>
        <w:rPr>
          <w:rStyle w:val="A4"/>
          <w:rFonts w:ascii="Calibri" w:hAnsi="Calibri" w:cs="Calibri"/>
          <w:b/>
          <w:color w:val="2E74B5" w:themeColor="accent1" w:themeShade="BF"/>
          <w:sz w:val="40"/>
          <w:szCs w:val="40"/>
        </w:rPr>
      </w:pPr>
      <w:r w:rsidRPr="00566D4B">
        <w:rPr>
          <w:rStyle w:val="A4"/>
          <w:rFonts w:ascii="Calibri" w:hAnsi="Calibri" w:cs="Calibri"/>
          <w:b/>
          <w:noProof/>
          <w:color w:val="9CC2E5" w:themeColor="accent1" w:themeTint="99"/>
          <w:sz w:val="32"/>
          <w:szCs w:val="32"/>
        </w:rPr>
        <w:lastRenderedPageBreak/>
        <mc:AlternateContent>
          <mc:Choice Requires="wps">
            <w:drawing>
              <wp:anchor distT="0" distB="0" distL="114300" distR="114300" simplePos="0" relativeHeight="251657216" behindDoc="0" locked="0" layoutInCell="1" allowOverlap="1" wp14:anchorId="778B64E2" wp14:editId="39AA2425">
                <wp:simplePos x="0" y="0"/>
                <wp:positionH relativeFrom="column">
                  <wp:posOffset>4079875</wp:posOffset>
                </wp:positionH>
                <wp:positionV relativeFrom="paragraph">
                  <wp:posOffset>1118235</wp:posOffset>
                </wp:positionV>
                <wp:extent cx="1835150" cy="1430655"/>
                <wp:effectExtent l="0" t="0" r="12700" b="17145"/>
                <wp:wrapTopAndBottom/>
                <wp:docPr id="5" name="Obdélník: se zakulacenými rohy 5"/>
                <wp:cNvGraphicFramePr/>
                <a:graphic xmlns:a="http://schemas.openxmlformats.org/drawingml/2006/main">
                  <a:graphicData uri="http://schemas.microsoft.com/office/word/2010/wordprocessingShape">
                    <wps:wsp>
                      <wps:cNvSpPr/>
                      <wps:spPr>
                        <a:xfrm>
                          <a:off x="0" y="0"/>
                          <a:ext cx="1835150" cy="1430655"/>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F6B23B" w14:textId="77777777" w:rsidR="001825F1" w:rsidRPr="00793BB2" w:rsidRDefault="001825F1" w:rsidP="00566D4B">
                            <w:pPr>
                              <w:jc w:val="center"/>
                              <w:rPr>
                                <w:b/>
                                <w:sz w:val="36"/>
                                <w:szCs w:val="36"/>
                              </w:rPr>
                            </w:pPr>
                            <w:r>
                              <w:rPr>
                                <w:b/>
                                <w:sz w:val="36"/>
                                <w:szCs w:val="36"/>
                              </w:rPr>
                              <w:t>142</w:t>
                            </w:r>
                          </w:p>
                          <w:p w14:paraId="7C2083F5" w14:textId="77777777" w:rsidR="001825F1" w:rsidRPr="008B1789" w:rsidRDefault="001825F1" w:rsidP="00566D4B">
                            <w:pPr>
                              <w:suppressOverlap/>
                              <w:jc w:val="center"/>
                              <w:rPr>
                                <w:b/>
                                <w:sz w:val="24"/>
                                <w:szCs w:val="24"/>
                              </w:rPr>
                            </w:pPr>
                            <w:r w:rsidRPr="008B1789">
                              <w:rPr>
                                <w:b/>
                                <w:sz w:val="24"/>
                                <w:szCs w:val="24"/>
                              </w:rPr>
                              <w:t xml:space="preserve">Počet podpořených projektů z kontrolovaných </w:t>
                            </w:r>
                            <w:r>
                              <w:rPr>
                                <w:b/>
                                <w:sz w:val="24"/>
                                <w:szCs w:val="24"/>
                              </w:rPr>
                              <w:t>výzev</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78B64E2" id="Obdélník: se zakulacenými rohy 5" o:spid="_x0000_s1026" style="position:absolute;left:0;text-align:left;margin-left:321.25pt;margin-top:88.05pt;width:144.5pt;height:11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" fillcolor="#004595" strokecolor="#1f4d78 [1604]" strokeweight="1pt">
                <v:stroke joinstyle="miter"/>
                <v:textbox>
                  <w:txbxContent>
                    <w:p w14:paraId="7DF6B23B" w14:textId="77777777" w:rsidR="001825F1" w:rsidRPr="00793BB2" w:rsidRDefault="001825F1" w:rsidP="00566D4B">
                      <w:pPr>
                        <w:jc w:val="center"/>
                        <w:rPr>
                          <w:b/>
                          <w:sz w:val="36"/>
                          <w:szCs w:val="36"/>
                        </w:rPr>
                      </w:pPr>
                      <w:r>
                        <w:rPr>
                          <w:b/>
                          <w:sz w:val="36"/>
                          <w:szCs w:val="36"/>
                        </w:rPr>
                        <w:t>142</w:t>
                      </w:r>
                    </w:p>
                    <w:p w14:paraId="7C2083F5" w14:textId="77777777" w:rsidR="001825F1" w:rsidRPr="008B1789" w:rsidRDefault="001825F1" w:rsidP="00566D4B">
                      <w:pPr>
                        <w:suppressOverlap/>
                        <w:jc w:val="center"/>
                        <w:rPr>
                          <w:b/>
                          <w:sz w:val="24"/>
                          <w:szCs w:val="24"/>
                        </w:rPr>
                      </w:pPr>
                      <w:r w:rsidRPr="008B1789">
                        <w:rPr>
                          <w:b/>
                          <w:sz w:val="24"/>
                          <w:szCs w:val="24"/>
                        </w:rPr>
                        <w:t xml:space="preserve">Počet podpořených projektů z kontrolovaných </w:t>
                      </w:r>
                      <w:r>
                        <w:rPr>
                          <w:b/>
                          <w:sz w:val="24"/>
                          <w:szCs w:val="24"/>
                        </w:rPr>
                        <w:t>výzev</w:t>
                      </w:r>
                    </w:p>
                  </w:txbxContent>
                </v:textbox>
                <w10:wrap type="topAndBottom"/>
              </v:roundrect>
            </w:pict>
          </mc:Fallback>
        </mc:AlternateContent>
      </w:r>
      <w:r w:rsidRPr="00566D4B">
        <w:rPr>
          <w:rStyle w:val="A4"/>
          <w:rFonts w:ascii="Calibri" w:hAnsi="Calibri" w:cs="Calibri"/>
          <w:b/>
          <w:noProof/>
          <w:color w:val="9CC2E5" w:themeColor="accent1" w:themeTint="99"/>
          <w:sz w:val="32"/>
          <w:szCs w:val="32"/>
        </w:rPr>
        <mc:AlternateContent>
          <mc:Choice Requires="wps">
            <w:drawing>
              <wp:anchor distT="0" distB="0" distL="114300" distR="114300" simplePos="0" relativeHeight="251656192" behindDoc="0" locked="0" layoutInCell="1" allowOverlap="1" wp14:anchorId="4F39649A" wp14:editId="67D53485">
                <wp:simplePos x="0" y="0"/>
                <wp:positionH relativeFrom="column">
                  <wp:posOffset>2039620</wp:posOffset>
                </wp:positionH>
                <wp:positionV relativeFrom="paragraph">
                  <wp:posOffset>1118235</wp:posOffset>
                </wp:positionV>
                <wp:extent cx="1835150" cy="1430020"/>
                <wp:effectExtent l="0" t="0" r="12700" b="17780"/>
                <wp:wrapTopAndBottom/>
                <wp:docPr id="3" name="Obdélník: se zakulacenými rohy 3"/>
                <wp:cNvGraphicFramePr/>
                <a:graphic xmlns:a="http://schemas.openxmlformats.org/drawingml/2006/main">
                  <a:graphicData uri="http://schemas.microsoft.com/office/word/2010/wordprocessingShape">
                    <wps:wsp>
                      <wps:cNvSpPr/>
                      <wps:spPr>
                        <a:xfrm>
                          <a:off x="0" y="0"/>
                          <a:ext cx="1835150" cy="1430020"/>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393F49" w14:textId="77777777" w:rsidR="001825F1" w:rsidRPr="00793BB2" w:rsidRDefault="001825F1" w:rsidP="00566D4B">
                            <w:pPr>
                              <w:jc w:val="center"/>
                              <w:rPr>
                                <w:b/>
                                <w:sz w:val="36"/>
                                <w:szCs w:val="36"/>
                              </w:rPr>
                            </w:pPr>
                            <w:r w:rsidRPr="00566D4B">
                              <w:rPr>
                                <w:b/>
                                <w:sz w:val="36"/>
                                <w:szCs w:val="36"/>
                              </w:rPr>
                              <w:t>7</w:t>
                            </w:r>
                            <w:r>
                              <w:rPr>
                                <w:b/>
                                <w:sz w:val="36"/>
                                <w:szCs w:val="36"/>
                              </w:rPr>
                              <w:t xml:space="preserve"> </w:t>
                            </w:r>
                            <w:r w:rsidRPr="00566D4B">
                              <w:rPr>
                                <w:b/>
                                <w:sz w:val="36"/>
                                <w:szCs w:val="36"/>
                              </w:rPr>
                              <w:t>540,9</w:t>
                            </w:r>
                            <w:r>
                              <w:rPr>
                                <w:b/>
                                <w:sz w:val="36"/>
                                <w:szCs w:val="36"/>
                              </w:rPr>
                              <w:t xml:space="preserve"> </w:t>
                            </w:r>
                            <w:r w:rsidRPr="00793BB2">
                              <w:rPr>
                                <w:b/>
                                <w:sz w:val="36"/>
                                <w:szCs w:val="36"/>
                              </w:rPr>
                              <w:t>mil. Kč</w:t>
                            </w:r>
                          </w:p>
                          <w:p w14:paraId="683D85B8" w14:textId="77777777" w:rsidR="001825F1" w:rsidRPr="008B1789" w:rsidRDefault="001825F1" w:rsidP="00566D4B">
                            <w:pPr>
                              <w:suppressOverlap/>
                              <w:jc w:val="center"/>
                              <w:rPr>
                                <w:b/>
                                <w:sz w:val="24"/>
                                <w:szCs w:val="24"/>
                              </w:rPr>
                            </w:pPr>
                            <w:r w:rsidRPr="008B1789">
                              <w:rPr>
                                <w:b/>
                                <w:sz w:val="24"/>
                                <w:szCs w:val="24"/>
                              </w:rPr>
                              <w:t xml:space="preserve">Výše čerpané podpory z kontrolovaných </w:t>
                            </w:r>
                            <w:r>
                              <w:rPr>
                                <w:b/>
                                <w:sz w:val="24"/>
                                <w:szCs w:val="24"/>
                              </w:rPr>
                              <w:t>výzev</w:t>
                            </w:r>
                            <w:r w:rsidRPr="008B1789">
                              <w:rPr>
                                <w:b/>
                                <w:sz w:val="24"/>
                                <w:szCs w:val="24"/>
                              </w:rPr>
                              <w:t xml:space="preserve"> v letech 201</w:t>
                            </w:r>
                            <w:r>
                              <w:rPr>
                                <w:b/>
                                <w:sz w:val="24"/>
                                <w:szCs w:val="24"/>
                              </w:rPr>
                              <w:t>5 </w:t>
                            </w:r>
                            <w:r w:rsidRPr="008B1789">
                              <w:rPr>
                                <w:b/>
                                <w:sz w:val="24"/>
                                <w:szCs w:val="24"/>
                              </w:rPr>
                              <w:t>až 2022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F39649A" id="Obdélník: se zakulacenými rohy 3" o:spid="_x0000_s1027" style="position:absolute;left:0;text-align:left;margin-left:160.6pt;margin-top:88.05pt;width:144.5pt;height:1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" fillcolor="#004595" strokecolor="#1f4d78 [1604]" strokeweight="1pt">
                <v:stroke joinstyle="miter"/>
                <v:textbox>
                  <w:txbxContent>
                    <w:p w14:paraId="0D393F49" w14:textId="77777777" w:rsidR="001825F1" w:rsidRPr="00793BB2" w:rsidRDefault="001825F1" w:rsidP="00566D4B">
                      <w:pPr>
                        <w:jc w:val="center"/>
                        <w:rPr>
                          <w:b/>
                          <w:sz w:val="36"/>
                          <w:szCs w:val="36"/>
                        </w:rPr>
                      </w:pPr>
                      <w:r w:rsidRPr="00566D4B">
                        <w:rPr>
                          <w:b/>
                          <w:sz w:val="36"/>
                          <w:szCs w:val="36"/>
                        </w:rPr>
                        <w:t>7</w:t>
                      </w:r>
                      <w:r>
                        <w:rPr>
                          <w:b/>
                          <w:sz w:val="36"/>
                          <w:szCs w:val="36"/>
                        </w:rPr>
                        <w:t xml:space="preserve"> </w:t>
                      </w:r>
                      <w:r w:rsidRPr="00566D4B">
                        <w:rPr>
                          <w:b/>
                          <w:sz w:val="36"/>
                          <w:szCs w:val="36"/>
                        </w:rPr>
                        <w:t>540,9</w:t>
                      </w:r>
                      <w:r>
                        <w:rPr>
                          <w:b/>
                          <w:sz w:val="36"/>
                          <w:szCs w:val="36"/>
                        </w:rPr>
                        <w:t xml:space="preserve"> </w:t>
                      </w:r>
                      <w:r w:rsidRPr="00793BB2">
                        <w:rPr>
                          <w:b/>
                          <w:sz w:val="36"/>
                          <w:szCs w:val="36"/>
                        </w:rPr>
                        <w:t>mil. Kč</w:t>
                      </w:r>
                    </w:p>
                    <w:p w14:paraId="683D85B8" w14:textId="77777777" w:rsidR="001825F1" w:rsidRPr="008B1789" w:rsidRDefault="001825F1" w:rsidP="00566D4B">
                      <w:pPr>
                        <w:suppressOverlap/>
                        <w:jc w:val="center"/>
                        <w:rPr>
                          <w:b/>
                          <w:sz w:val="24"/>
                          <w:szCs w:val="24"/>
                        </w:rPr>
                      </w:pPr>
                      <w:r w:rsidRPr="008B1789">
                        <w:rPr>
                          <w:b/>
                          <w:sz w:val="24"/>
                          <w:szCs w:val="24"/>
                        </w:rPr>
                        <w:t xml:space="preserve">Výše čerpané podpory z kontrolovaných </w:t>
                      </w:r>
                      <w:r>
                        <w:rPr>
                          <w:b/>
                          <w:sz w:val="24"/>
                          <w:szCs w:val="24"/>
                        </w:rPr>
                        <w:t>výzev</w:t>
                      </w:r>
                      <w:r w:rsidRPr="008B1789">
                        <w:rPr>
                          <w:b/>
                          <w:sz w:val="24"/>
                          <w:szCs w:val="24"/>
                        </w:rPr>
                        <w:t xml:space="preserve"> v letech 201</w:t>
                      </w:r>
                      <w:r>
                        <w:rPr>
                          <w:b/>
                          <w:sz w:val="24"/>
                          <w:szCs w:val="24"/>
                        </w:rPr>
                        <w:t>5 </w:t>
                      </w:r>
                      <w:r w:rsidRPr="008B1789">
                        <w:rPr>
                          <w:b/>
                          <w:sz w:val="24"/>
                          <w:szCs w:val="24"/>
                        </w:rPr>
                        <w:t>až 2022</w:t>
                      </w:r>
                    </w:p>
                  </w:txbxContent>
                </v:textbox>
                <w10:wrap type="topAndBottom"/>
              </v:roundrect>
            </w:pict>
          </mc:Fallback>
        </mc:AlternateContent>
      </w:r>
      <w:r w:rsidRPr="00566D4B">
        <w:rPr>
          <w:rStyle w:val="A4"/>
          <w:rFonts w:ascii="Calibri" w:hAnsi="Calibri" w:cs="Calibri"/>
          <w:b/>
          <w:noProof/>
          <w:color w:val="9CC2E5" w:themeColor="accent1" w:themeTint="99"/>
          <w:sz w:val="32"/>
          <w:szCs w:val="32"/>
        </w:rPr>
        <mc:AlternateContent>
          <mc:Choice Requires="wps">
            <w:drawing>
              <wp:anchor distT="0" distB="0" distL="114300" distR="114300" simplePos="0" relativeHeight="251655168" behindDoc="0" locked="0" layoutInCell="1" allowOverlap="1" wp14:anchorId="794CC494" wp14:editId="111E620C">
                <wp:simplePos x="0" y="0"/>
                <wp:positionH relativeFrom="column">
                  <wp:posOffset>-635</wp:posOffset>
                </wp:positionH>
                <wp:positionV relativeFrom="paragraph">
                  <wp:posOffset>1111885</wp:posOffset>
                </wp:positionV>
                <wp:extent cx="1835150" cy="1438910"/>
                <wp:effectExtent l="0" t="0" r="12700" b="27940"/>
                <wp:wrapTopAndBottom/>
                <wp:docPr id="2" name="Obdélník: se zakulacenými rohy 2"/>
                <wp:cNvGraphicFramePr/>
                <a:graphic xmlns:a="http://schemas.openxmlformats.org/drawingml/2006/main">
                  <a:graphicData uri="http://schemas.microsoft.com/office/word/2010/wordprocessingShape">
                    <wps:wsp>
                      <wps:cNvSpPr/>
                      <wps:spPr>
                        <a:xfrm>
                          <a:off x="0" y="0"/>
                          <a:ext cx="1835150" cy="1438910"/>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1C5F2" w14:textId="77777777" w:rsidR="001825F1" w:rsidRPr="00793BB2" w:rsidRDefault="001825F1" w:rsidP="00566D4B">
                            <w:pPr>
                              <w:jc w:val="center"/>
                              <w:rPr>
                                <w:b/>
                                <w:sz w:val="36"/>
                                <w:szCs w:val="36"/>
                              </w:rPr>
                            </w:pPr>
                            <w:r w:rsidRPr="00566D4B">
                              <w:rPr>
                                <w:b/>
                                <w:sz w:val="36"/>
                                <w:szCs w:val="36"/>
                              </w:rPr>
                              <w:t>9 123,7</w:t>
                            </w:r>
                            <w:r w:rsidRPr="00793BB2">
                              <w:rPr>
                                <w:b/>
                                <w:sz w:val="36"/>
                                <w:szCs w:val="36"/>
                              </w:rPr>
                              <w:t xml:space="preserve"> mil. Kč</w:t>
                            </w:r>
                          </w:p>
                          <w:p w14:paraId="70F3C322" w14:textId="77777777" w:rsidR="001825F1" w:rsidRPr="008B1789" w:rsidRDefault="001825F1" w:rsidP="00566D4B">
                            <w:pPr>
                              <w:suppressOverlap/>
                              <w:jc w:val="center"/>
                              <w:rPr>
                                <w:b/>
                                <w:sz w:val="24"/>
                                <w:szCs w:val="24"/>
                              </w:rPr>
                            </w:pPr>
                            <w:r w:rsidRPr="008B1789">
                              <w:rPr>
                                <w:b/>
                                <w:sz w:val="24"/>
                                <w:szCs w:val="24"/>
                              </w:rPr>
                              <w:t xml:space="preserve">Alokace peněžních prostředků v kontrolovaných </w:t>
                            </w:r>
                            <w:r>
                              <w:rPr>
                                <w:b/>
                                <w:sz w:val="24"/>
                                <w:szCs w:val="24"/>
                              </w:rPr>
                              <w:t>výzvách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94CC494" id="Obdélník: se zakulacenými rohy 2" o:spid="_x0000_s1028" style="position:absolute;left:0;text-align:left;margin-left:-.05pt;margin-top:87.55pt;width:144.5pt;height:11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" fillcolor="#004595" strokecolor="#1f4d78 [1604]" strokeweight="1pt">
                <v:stroke joinstyle="miter"/>
                <v:textbox>
                  <w:txbxContent>
                    <w:p w14:paraId="7B61C5F2" w14:textId="77777777" w:rsidR="001825F1" w:rsidRPr="00793BB2" w:rsidRDefault="001825F1" w:rsidP="00566D4B">
                      <w:pPr>
                        <w:jc w:val="center"/>
                        <w:rPr>
                          <w:b/>
                          <w:sz w:val="36"/>
                          <w:szCs w:val="36"/>
                        </w:rPr>
                      </w:pPr>
                      <w:r w:rsidRPr="00566D4B">
                        <w:rPr>
                          <w:b/>
                          <w:sz w:val="36"/>
                          <w:szCs w:val="36"/>
                        </w:rPr>
                        <w:t>9 123,7</w:t>
                      </w:r>
                      <w:r w:rsidRPr="00793BB2">
                        <w:rPr>
                          <w:b/>
                          <w:sz w:val="36"/>
                          <w:szCs w:val="36"/>
                        </w:rPr>
                        <w:t xml:space="preserve"> mil. Kč</w:t>
                      </w:r>
                    </w:p>
                    <w:p w14:paraId="70F3C322" w14:textId="77777777" w:rsidR="001825F1" w:rsidRPr="008B1789" w:rsidRDefault="001825F1" w:rsidP="00566D4B">
                      <w:pPr>
                        <w:suppressOverlap/>
                        <w:jc w:val="center"/>
                        <w:rPr>
                          <w:b/>
                          <w:sz w:val="24"/>
                          <w:szCs w:val="24"/>
                        </w:rPr>
                      </w:pPr>
                      <w:r w:rsidRPr="008B1789">
                        <w:rPr>
                          <w:b/>
                          <w:sz w:val="24"/>
                          <w:szCs w:val="24"/>
                        </w:rPr>
                        <w:t xml:space="preserve">Alokace peněžních prostředků v kontrolovaných </w:t>
                      </w:r>
                      <w:r>
                        <w:rPr>
                          <w:b/>
                          <w:sz w:val="24"/>
                          <w:szCs w:val="24"/>
                        </w:rPr>
                        <w:t>výzvách</w:t>
                      </w:r>
                    </w:p>
                  </w:txbxContent>
                </v:textbox>
                <w10:wrap type="topAndBottom"/>
              </v:roundrect>
            </w:pict>
          </mc:Fallback>
        </mc:AlternateContent>
      </w:r>
      <w:r w:rsidR="000E1B3B" w:rsidRPr="00566D4B">
        <w:rPr>
          <w:rStyle w:val="A4"/>
          <w:rFonts w:ascii="Calibri" w:hAnsi="Calibri" w:cs="Calibri"/>
          <w:b/>
          <w:color w:val="2E74B5" w:themeColor="accent1" w:themeShade="BF"/>
          <w:sz w:val="40"/>
          <w:szCs w:val="40"/>
        </w:rPr>
        <w:t xml:space="preserve">Prostředky </w:t>
      </w:r>
      <w:r w:rsidR="00D25518" w:rsidRPr="00566D4B">
        <w:rPr>
          <w:rStyle w:val="A4"/>
          <w:rFonts w:ascii="Calibri" w:hAnsi="Calibri" w:cs="Calibri"/>
          <w:b/>
          <w:i/>
          <w:color w:val="2E74B5" w:themeColor="accent1" w:themeShade="BF"/>
          <w:sz w:val="40"/>
          <w:szCs w:val="40"/>
        </w:rPr>
        <w:t>Integrovaného regionálního operačního programu</w:t>
      </w:r>
      <w:r w:rsidR="00D25518" w:rsidRPr="00566D4B">
        <w:rPr>
          <w:rStyle w:val="A4"/>
          <w:rFonts w:ascii="Calibri" w:hAnsi="Calibri" w:cs="Calibri"/>
          <w:b/>
          <w:color w:val="2E74B5" w:themeColor="accent1" w:themeShade="BF"/>
          <w:sz w:val="40"/>
          <w:szCs w:val="40"/>
        </w:rPr>
        <w:t xml:space="preserve"> určené na podporu infrastruktury regionální zdravotní péče</w:t>
      </w:r>
    </w:p>
    <w:p w14:paraId="4D69CF85" w14:textId="77777777" w:rsidR="00A84199" w:rsidRDefault="00A84199" w:rsidP="00C011B7">
      <w:pPr>
        <w:pStyle w:val="KP-normlnbezodsazen"/>
        <w:rPr>
          <w:rStyle w:val="A4"/>
          <w:rFonts w:ascii="Calibri" w:hAnsi="Calibri" w:cs="Calibri"/>
          <w:b/>
          <w:color w:val="9CC2E5" w:themeColor="accent1" w:themeTint="99"/>
          <w:sz w:val="32"/>
          <w:szCs w:val="32"/>
        </w:rPr>
      </w:pPr>
    </w:p>
    <w:p w14:paraId="6F4AEEF1" w14:textId="77777777" w:rsidR="005C1E83" w:rsidRDefault="005C1E83" w:rsidP="00C011B7">
      <w:pPr>
        <w:pStyle w:val="KP-normlnbezodsazen"/>
        <w:rPr>
          <w:rStyle w:val="A4"/>
          <w:rFonts w:ascii="Calibri" w:hAnsi="Calibri" w:cs="Calibri"/>
          <w:b/>
          <w:color w:val="9CC2E5" w:themeColor="accent1" w:themeTint="99"/>
          <w:sz w:val="32"/>
          <w:szCs w:val="32"/>
        </w:rPr>
      </w:pPr>
    </w:p>
    <w:p w14:paraId="28BD7449" w14:textId="77777777" w:rsidR="003D7731" w:rsidRDefault="003D7731" w:rsidP="00C011B7">
      <w:pPr>
        <w:spacing w:after="0" w:line="240" w:lineRule="atLeast"/>
        <w:ind w:left="142"/>
        <w:jc w:val="center"/>
        <w:rPr>
          <w:b/>
          <w:sz w:val="28"/>
          <w:szCs w:val="28"/>
        </w:rPr>
      </w:pPr>
    </w:p>
    <w:p w14:paraId="0722DB2E" w14:textId="77777777" w:rsidR="003D7731" w:rsidRDefault="00C011B7" w:rsidP="00C011B7">
      <w:pPr>
        <w:spacing w:after="0" w:line="240" w:lineRule="atLeast"/>
        <w:ind w:left="142"/>
        <w:jc w:val="center"/>
        <w:rPr>
          <w:b/>
          <w:sz w:val="28"/>
          <w:szCs w:val="28"/>
        </w:rPr>
      </w:pPr>
      <w:r w:rsidRPr="003D7731">
        <w:rPr>
          <w:b/>
          <w:sz w:val="28"/>
          <w:szCs w:val="28"/>
        </w:rPr>
        <w:t>Výsledky kontroly vybraných projektů</w:t>
      </w:r>
    </w:p>
    <w:p w14:paraId="5F3F3233" w14:textId="77777777" w:rsidR="003D7731" w:rsidRDefault="004A6B6A" w:rsidP="00C011B7">
      <w:pPr>
        <w:spacing w:after="0" w:line="240" w:lineRule="atLeast"/>
        <w:ind w:left="142"/>
        <w:jc w:val="center"/>
        <w:rPr>
          <w:b/>
          <w:sz w:val="28"/>
          <w:szCs w:val="28"/>
        </w:rPr>
      </w:pPr>
      <w:r>
        <w:rPr>
          <w:noProof/>
        </w:rPr>
        <w:drawing>
          <wp:anchor distT="0" distB="0" distL="114300" distR="114300" simplePos="0" relativeHeight="251670528" behindDoc="0" locked="0" layoutInCell="1" allowOverlap="1" wp14:anchorId="55A418A3" wp14:editId="1351FA7C">
            <wp:simplePos x="0" y="0"/>
            <wp:positionH relativeFrom="column">
              <wp:posOffset>2865948</wp:posOffset>
            </wp:positionH>
            <wp:positionV relativeFrom="paragraph">
              <wp:posOffset>266065</wp:posOffset>
            </wp:positionV>
            <wp:extent cx="2981242" cy="2030400"/>
            <wp:effectExtent l="0" t="0" r="0" b="8255"/>
            <wp:wrapTopAndBottom/>
            <wp:docPr id="6" name="Obrázek 5">
              <a:extLst xmlns:a="http://schemas.openxmlformats.org/drawingml/2006/main">
                <a:ext uri="{FF2B5EF4-FFF2-40B4-BE49-F238E27FC236}">
                  <a16:creationId xmlns:a16="http://schemas.microsoft.com/office/drawing/2014/main" id="{6D838094-DCBC-4D18-8D7E-0D86EBCC11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6D838094-DCBC-4D18-8D7E-0D86EBCC119F}"/>
                        </a:ext>
                      </a:extLst>
                    </pic:cNvPr>
                    <pic:cNvPicPr>
                      <a:picLocks noChangeAspect="1"/>
                    </pic:cNvPicPr>
                  </pic:nvPicPr>
                  <pic:blipFill rotWithShape="1">
                    <a:blip r:embed="rId12"/>
                    <a:srcRect l="19660" t="8714" r="18037" b="8331"/>
                    <a:stretch/>
                  </pic:blipFill>
                  <pic:spPr>
                    <a:xfrm>
                      <a:off x="0" y="0"/>
                      <a:ext cx="2981242" cy="203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B0335A5" wp14:editId="552DE989">
            <wp:simplePos x="0" y="0"/>
            <wp:positionH relativeFrom="column">
              <wp:posOffset>-1353</wp:posOffset>
            </wp:positionH>
            <wp:positionV relativeFrom="paragraph">
              <wp:posOffset>267804</wp:posOffset>
            </wp:positionV>
            <wp:extent cx="2869379" cy="2030400"/>
            <wp:effectExtent l="0" t="0" r="7620" b="8255"/>
            <wp:wrapTopAndBottom/>
            <wp:docPr id="4" name="Obrázek 3">
              <a:extLst xmlns:a="http://schemas.openxmlformats.org/drawingml/2006/main">
                <a:ext uri="{FF2B5EF4-FFF2-40B4-BE49-F238E27FC236}">
                  <a16:creationId xmlns:a16="http://schemas.microsoft.com/office/drawing/2014/main" id="{13A6C2D6-3824-430D-9ED9-B0D78AF28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13A6C2D6-3824-430D-9ED9-B0D78AF28768}"/>
                        </a:ext>
                      </a:extLst>
                    </pic:cNvPr>
                    <pic:cNvPicPr>
                      <a:picLocks noChangeAspect="1"/>
                    </pic:cNvPicPr>
                  </pic:nvPicPr>
                  <pic:blipFill rotWithShape="1">
                    <a:blip r:embed="rId13"/>
                    <a:srcRect l="20213" t="8395" r="16902" b="8498"/>
                    <a:stretch/>
                  </pic:blipFill>
                  <pic:spPr>
                    <a:xfrm>
                      <a:off x="0" y="0"/>
                      <a:ext cx="2869379" cy="2030400"/>
                    </a:xfrm>
                    <a:prstGeom prst="rect">
                      <a:avLst/>
                    </a:prstGeom>
                  </pic:spPr>
                </pic:pic>
              </a:graphicData>
            </a:graphic>
            <wp14:sizeRelH relativeFrom="margin">
              <wp14:pctWidth>0</wp14:pctWidth>
            </wp14:sizeRelH>
            <wp14:sizeRelV relativeFrom="margin">
              <wp14:pctHeight>0</wp14:pctHeight>
            </wp14:sizeRelV>
          </wp:anchor>
        </w:drawing>
      </w:r>
    </w:p>
    <w:p w14:paraId="1675BB1A" w14:textId="77777777" w:rsidR="005C1E83" w:rsidRDefault="005C1E83" w:rsidP="00C011B7">
      <w:pPr>
        <w:spacing w:after="0" w:line="240" w:lineRule="atLeast"/>
        <w:ind w:left="142"/>
        <w:jc w:val="center"/>
        <w:rPr>
          <w:b/>
          <w:sz w:val="28"/>
          <w:szCs w:val="28"/>
        </w:rPr>
      </w:pPr>
    </w:p>
    <w:p w14:paraId="3D978F7D" w14:textId="77777777" w:rsidR="00DF2615" w:rsidRDefault="00DF2615" w:rsidP="00C011B7">
      <w:pPr>
        <w:spacing w:after="0" w:line="240" w:lineRule="atLeast"/>
        <w:ind w:left="142"/>
        <w:jc w:val="center"/>
        <w:rPr>
          <w:b/>
          <w:sz w:val="28"/>
          <w:szCs w:val="28"/>
        </w:rPr>
      </w:pPr>
    </w:p>
    <w:p w14:paraId="7A688D57" w14:textId="77777777" w:rsidR="00DF2615" w:rsidRDefault="007E2A6B" w:rsidP="00DF2615">
      <w:pPr>
        <w:spacing w:after="0" w:line="240" w:lineRule="atLeast"/>
        <w:ind w:left="142"/>
        <w:jc w:val="center"/>
        <w:rPr>
          <w:b/>
          <w:sz w:val="28"/>
          <w:szCs w:val="28"/>
        </w:rPr>
      </w:pPr>
      <w:r w:rsidRPr="003D7731">
        <w:rPr>
          <w:noProof/>
        </w:rPr>
        <mc:AlternateContent>
          <mc:Choice Requires="wps">
            <w:drawing>
              <wp:anchor distT="0" distB="0" distL="114300" distR="114300" simplePos="0" relativeHeight="251660288" behindDoc="0" locked="0" layoutInCell="1" allowOverlap="1" wp14:anchorId="5D650A81" wp14:editId="0850D99F">
                <wp:simplePos x="0" y="0"/>
                <wp:positionH relativeFrom="column">
                  <wp:posOffset>4080510</wp:posOffset>
                </wp:positionH>
                <wp:positionV relativeFrom="paragraph">
                  <wp:posOffset>470535</wp:posOffset>
                </wp:positionV>
                <wp:extent cx="1835150" cy="1430655"/>
                <wp:effectExtent l="0" t="0" r="12700" b="17145"/>
                <wp:wrapTopAndBottom/>
                <wp:docPr id="12" name="Obdélník: se zakulacenými rohy 12"/>
                <wp:cNvGraphicFramePr/>
                <a:graphic xmlns:a="http://schemas.openxmlformats.org/drawingml/2006/main">
                  <a:graphicData uri="http://schemas.microsoft.com/office/word/2010/wordprocessingShape">
                    <wps:wsp>
                      <wps:cNvSpPr/>
                      <wps:spPr>
                        <a:xfrm>
                          <a:off x="0" y="0"/>
                          <a:ext cx="1835150" cy="143065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A19E" w14:textId="77777777" w:rsidR="001825F1" w:rsidRPr="008B1789" w:rsidRDefault="001825F1" w:rsidP="003D7731">
                            <w:pPr>
                              <w:spacing w:after="0"/>
                              <w:suppressOverlap/>
                              <w:jc w:val="center"/>
                              <w:rPr>
                                <w:b/>
                                <w:sz w:val="24"/>
                                <w:szCs w:val="24"/>
                              </w:rPr>
                            </w:pPr>
                            <w:r w:rsidRPr="00C32BC0">
                              <w:rPr>
                                <w:b/>
                                <w:sz w:val="24"/>
                                <w:szCs w:val="24"/>
                              </w:rPr>
                              <w:t xml:space="preserve">Nevhodně nastavené podmínky výzvy: </w:t>
                            </w:r>
                            <w:r>
                              <w:rPr>
                                <w:b/>
                                <w:sz w:val="24"/>
                                <w:szCs w:val="24"/>
                              </w:rPr>
                              <w:t>n</w:t>
                            </w:r>
                            <w:r w:rsidRPr="00C32BC0">
                              <w:rPr>
                                <w:b/>
                                <w:sz w:val="24"/>
                                <w:szCs w:val="24"/>
                              </w:rPr>
                              <w:t>evyvážená míra podpory jednotlivý</w:t>
                            </w:r>
                            <w:r>
                              <w:rPr>
                                <w:b/>
                                <w:sz w:val="24"/>
                                <w:szCs w:val="24"/>
                              </w:rPr>
                              <w:t xml:space="preserve">m </w:t>
                            </w:r>
                            <w:r w:rsidRPr="00C32BC0">
                              <w:rPr>
                                <w:b/>
                                <w:sz w:val="24"/>
                                <w:szCs w:val="24"/>
                              </w:rPr>
                              <w:t>krajům</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D650A81" id="Obdélník: se zakulacenými rohy 12" o:spid="_x0000_s1029" style="position:absolute;left:0;text-align:left;margin-left:321.3pt;margin-top:37.05pt;width:144.5pt;height:1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" fillcolor="#c00000" strokecolor="#c00000" strokeweight="1pt">
                <v:stroke joinstyle="miter"/>
                <v:textbox>
                  <w:txbxContent>
                    <w:p w14:paraId="3EFFA19E" w14:textId="77777777" w:rsidR="001825F1" w:rsidRPr="008B1789" w:rsidRDefault="001825F1" w:rsidP="003D7731">
                      <w:pPr>
                        <w:spacing w:after="0"/>
                        <w:suppressOverlap/>
                        <w:jc w:val="center"/>
                        <w:rPr>
                          <w:b/>
                          <w:sz w:val="24"/>
                          <w:szCs w:val="24"/>
                        </w:rPr>
                      </w:pPr>
                      <w:r w:rsidRPr="00C32BC0">
                        <w:rPr>
                          <w:b/>
                          <w:sz w:val="24"/>
                          <w:szCs w:val="24"/>
                        </w:rPr>
                        <w:t xml:space="preserve">Nevhodně nastavené podmínky výzvy: </w:t>
                      </w:r>
                      <w:r>
                        <w:rPr>
                          <w:b/>
                          <w:sz w:val="24"/>
                          <w:szCs w:val="24"/>
                        </w:rPr>
                        <w:t>n</w:t>
                      </w:r>
                      <w:r w:rsidRPr="00C32BC0">
                        <w:rPr>
                          <w:b/>
                          <w:sz w:val="24"/>
                          <w:szCs w:val="24"/>
                        </w:rPr>
                        <w:t>evyvážená míra podpory jednotlivý</w:t>
                      </w:r>
                      <w:r>
                        <w:rPr>
                          <w:b/>
                          <w:sz w:val="24"/>
                          <w:szCs w:val="24"/>
                        </w:rPr>
                        <w:t xml:space="preserve">m </w:t>
                      </w:r>
                      <w:r w:rsidRPr="00C32BC0">
                        <w:rPr>
                          <w:b/>
                          <w:sz w:val="24"/>
                          <w:szCs w:val="24"/>
                        </w:rPr>
                        <w:t>krajům</w:t>
                      </w:r>
                    </w:p>
                  </w:txbxContent>
                </v:textbox>
                <w10:wrap type="topAndBottom"/>
              </v:roundrect>
            </w:pict>
          </mc:Fallback>
        </mc:AlternateContent>
      </w:r>
      <w:r w:rsidRPr="003D7731">
        <w:rPr>
          <w:noProof/>
        </w:rPr>
        <mc:AlternateContent>
          <mc:Choice Requires="wps">
            <w:drawing>
              <wp:anchor distT="0" distB="0" distL="114300" distR="114300" simplePos="0" relativeHeight="251659264" behindDoc="0" locked="0" layoutInCell="1" allowOverlap="1" wp14:anchorId="20B96BAD" wp14:editId="04648732">
                <wp:simplePos x="0" y="0"/>
                <wp:positionH relativeFrom="column">
                  <wp:posOffset>2040255</wp:posOffset>
                </wp:positionH>
                <wp:positionV relativeFrom="paragraph">
                  <wp:posOffset>470535</wp:posOffset>
                </wp:positionV>
                <wp:extent cx="1835150" cy="1430020"/>
                <wp:effectExtent l="0" t="0" r="12700" b="17780"/>
                <wp:wrapTopAndBottom/>
                <wp:docPr id="11" name="Obdélník: se zakulacenými rohy 11"/>
                <wp:cNvGraphicFramePr/>
                <a:graphic xmlns:a="http://schemas.openxmlformats.org/drawingml/2006/main">
                  <a:graphicData uri="http://schemas.microsoft.com/office/word/2010/wordprocessingShape">
                    <wps:wsp>
                      <wps:cNvSpPr/>
                      <wps:spPr>
                        <a:xfrm>
                          <a:off x="0" y="0"/>
                          <a:ext cx="1835150" cy="143002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D2FBA" w14:textId="77777777" w:rsidR="001825F1" w:rsidRPr="008B1789" w:rsidRDefault="001825F1" w:rsidP="00C32BC0">
                            <w:pPr>
                              <w:spacing w:after="0"/>
                              <w:suppressOverlap/>
                              <w:jc w:val="center"/>
                              <w:rPr>
                                <w:b/>
                                <w:sz w:val="24"/>
                                <w:szCs w:val="24"/>
                              </w:rPr>
                            </w:pPr>
                            <w:r>
                              <w:rPr>
                                <w:b/>
                                <w:sz w:val="24"/>
                                <w:szCs w:val="24"/>
                              </w:rPr>
                              <w:t>Splnění jednoho z cílů podpory „</w:t>
                            </w:r>
                            <w:r w:rsidRPr="004F7FAB">
                              <w:rPr>
                                <w:b/>
                                <w:i/>
                                <w:sz w:val="24"/>
                                <w:szCs w:val="24"/>
                              </w:rPr>
                              <w:t>snížení počtu akutních lůžek návazné zdravotní péče</w:t>
                            </w:r>
                            <w:r>
                              <w:rPr>
                                <w:b/>
                                <w:sz w:val="24"/>
                                <w:szCs w:val="24"/>
                              </w:rPr>
                              <w:t xml:space="preserve">“ ohroženo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0B96BAD" id="Obdélník: se zakulacenými rohy 11" o:spid="_x0000_s1030" style="position:absolute;left:0;text-align:left;margin-left:160.65pt;margin-top:37.05pt;width:144.5pt;height:1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" fillcolor="#c00000" strokecolor="#c00000" strokeweight="1pt">
                <v:stroke joinstyle="miter"/>
                <v:textbox>
                  <w:txbxContent>
                    <w:p w14:paraId="2FAD2FBA" w14:textId="77777777" w:rsidR="001825F1" w:rsidRPr="008B1789" w:rsidRDefault="001825F1" w:rsidP="00C32BC0">
                      <w:pPr>
                        <w:spacing w:after="0"/>
                        <w:suppressOverlap/>
                        <w:jc w:val="center"/>
                        <w:rPr>
                          <w:b/>
                          <w:sz w:val="24"/>
                          <w:szCs w:val="24"/>
                        </w:rPr>
                      </w:pPr>
                      <w:r>
                        <w:rPr>
                          <w:b/>
                          <w:sz w:val="24"/>
                          <w:szCs w:val="24"/>
                        </w:rPr>
                        <w:t>Splnění jednoho z cílů podpory „</w:t>
                      </w:r>
                      <w:r w:rsidRPr="004F7FAB">
                        <w:rPr>
                          <w:b/>
                          <w:i/>
                          <w:sz w:val="24"/>
                          <w:szCs w:val="24"/>
                        </w:rPr>
                        <w:t>snížení počtu akutních lůžek návazné zdravotní péče</w:t>
                      </w:r>
                      <w:r>
                        <w:rPr>
                          <w:b/>
                          <w:sz w:val="24"/>
                          <w:szCs w:val="24"/>
                        </w:rPr>
                        <w:t xml:space="preserve">“ ohroženo </w:t>
                      </w:r>
                    </w:p>
                  </w:txbxContent>
                </v:textbox>
                <w10:wrap type="topAndBottom"/>
              </v:roundrect>
            </w:pict>
          </mc:Fallback>
        </mc:AlternateContent>
      </w:r>
      <w:r w:rsidRPr="003D7731">
        <w:rPr>
          <w:noProof/>
        </w:rPr>
        <mc:AlternateContent>
          <mc:Choice Requires="wps">
            <w:drawing>
              <wp:anchor distT="0" distB="0" distL="114300" distR="114300" simplePos="0" relativeHeight="251658240" behindDoc="0" locked="0" layoutInCell="1" allowOverlap="1" wp14:anchorId="1FA3373F" wp14:editId="538B3A90">
                <wp:simplePos x="0" y="0"/>
                <wp:positionH relativeFrom="column">
                  <wp:posOffset>0</wp:posOffset>
                </wp:positionH>
                <wp:positionV relativeFrom="paragraph">
                  <wp:posOffset>464185</wp:posOffset>
                </wp:positionV>
                <wp:extent cx="1835150" cy="1438910"/>
                <wp:effectExtent l="0" t="0" r="12700" b="27940"/>
                <wp:wrapTopAndBottom/>
                <wp:docPr id="10" name="Obdélník: se zakulacenými rohy 10"/>
                <wp:cNvGraphicFramePr/>
                <a:graphic xmlns:a="http://schemas.openxmlformats.org/drawingml/2006/main">
                  <a:graphicData uri="http://schemas.microsoft.com/office/word/2010/wordprocessingShape">
                    <wps:wsp>
                      <wps:cNvSpPr/>
                      <wps:spPr>
                        <a:xfrm>
                          <a:off x="0" y="0"/>
                          <a:ext cx="1835150" cy="143891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70D40" w14:textId="77777777" w:rsidR="001825F1" w:rsidRPr="008B1789" w:rsidRDefault="001825F1" w:rsidP="003D7731">
                            <w:pPr>
                              <w:spacing w:after="0"/>
                              <w:suppressOverlap/>
                              <w:jc w:val="center"/>
                              <w:rPr>
                                <w:b/>
                                <w:sz w:val="24"/>
                                <w:szCs w:val="24"/>
                              </w:rPr>
                            </w:pPr>
                            <w:r>
                              <w:rPr>
                                <w:b/>
                                <w:sz w:val="24"/>
                                <w:szCs w:val="24"/>
                              </w:rPr>
                              <w:t>Neměřitelně stanovené cíle, indikátory nesledující výsledky podpory a přínosy pro pacienty</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FA3373F" id="Obdélník: se zakulacenými rohy 10" o:spid="_x0000_s1031" style="position:absolute;left:0;text-align:left;margin-left:0;margin-top:36.55pt;width:144.5pt;height:1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" fillcolor="#c00000" strokecolor="#c00000" strokeweight="1pt">
                <v:stroke joinstyle="miter"/>
                <v:textbox>
                  <w:txbxContent>
                    <w:p w14:paraId="5CF70D40" w14:textId="77777777" w:rsidR="001825F1" w:rsidRPr="008B1789" w:rsidRDefault="001825F1" w:rsidP="003D7731">
                      <w:pPr>
                        <w:spacing w:after="0"/>
                        <w:suppressOverlap/>
                        <w:jc w:val="center"/>
                        <w:rPr>
                          <w:b/>
                          <w:sz w:val="24"/>
                          <w:szCs w:val="24"/>
                        </w:rPr>
                      </w:pPr>
                      <w:r>
                        <w:rPr>
                          <w:b/>
                          <w:sz w:val="24"/>
                          <w:szCs w:val="24"/>
                        </w:rPr>
                        <w:t>Neměřitelně stanovené cíle, indikátory nesledující výsledky podpory a přínosy pro pacienty</w:t>
                      </w:r>
                    </w:p>
                  </w:txbxContent>
                </v:textbox>
                <w10:wrap type="topAndBottom"/>
              </v:roundrect>
            </w:pict>
          </mc:Fallback>
        </mc:AlternateContent>
      </w:r>
      <w:r>
        <w:rPr>
          <w:b/>
          <w:sz w:val="28"/>
          <w:szCs w:val="28"/>
        </w:rPr>
        <w:t xml:space="preserve">Nedostatky </w:t>
      </w:r>
      <w:r w:rsidR="004B63C1">
        <w:rPr>
          <w:b/>
          <w:sz w:val="28"/>
          <w:szCs w:val="28"/>
        </w:rPr>
        <w:t xml:space="preserve">v </w:t>
      </w:r>
      <w:r>
        <w:rPr>
          <w:b/>
          <w:sz w:val="28"/>
          <w:szCs w:val="28"/>
        </w:rPr>
        <w:t>poskytování podpory</w:t>
      </w:r>
      <w:r w:rsidR="004B63C1">
        <w:rPr>
          <w:b/>
          <w:sz w:val="28"/>
          <w:szCs w:val="28"/>
        </w:rPr>
        <w:t xml:space="preserve"> a </w:t>
      </w:r>
      <w:r w:rsidR="00F1375C">
        <w:rPr>
          <w:b/>
          <w:sz w:val="28"/>
          <w:szCs w:val="28"/>
        </w:rPr>
        <w:t xml:space="preserve">ve </w:t>
      </w:r>
      <w:r w:rsidR="004B63C1">
        <w:rPr>
          <w:b/>
          <w:sz w:val="28"/>
          <w:szCs w:val="28"/>
        </w:rPr>
        <w:t xml:space="preserve">vyhodnocování </w:t>
      </w:r>
      <w:r w:rsidR="00F1375C">
        <w:rPr>
          <w:b/>
          <w:sz w:val="28"/>
          <w:szCs w:val="28"/>
        </w:rPr>
        <w:t xml:space="preserve">jejích </w:t>
      </w:r>
      <w:r w:rsidR="004B63C1">
        <w:rPr>
          <w:b/>
          <w:sz w:val="28"/>
          <w:szCs w:val="28"/>
        </w:rPr>
        <w:t>účinků</w:t>
      </w:r>
    </w:p>
    <w:p w14:paraId="18034821" w14:textId="77777777" w:rsidR="003D7731" w:rsidRPr="003D7731" w:rsidRDefault="003D7731" w:rsidP="00C011B7">
      <w:pPr>
        <w:spacing w:after="0" w:line="240" w:lineRule="atLeast"/>
        <w:ind w:left="142"/>
        <w:jc w:val="center"/>
        <w:rPr>
          <w:b/>
          <w:sz w:val="28"/>
          <w:szCs w:val="28"/>
        </w:rPr>
      </w:pPr>
    </w:p>
    <w:p w14:paraId="50F2E7D7" w14:textId="77777777" w:rsidR="003D7731" w:rsidRDefault="007E2A6B" w:rsidP="003D7731">
      <w:pPr>
        <w:spacing w:after="0" w:line="240" w:lineRule="atLeast"/>
        <w:jc w:val="both"/>
        <w:rPr>
          <w:b/>
          <w:sz w:val="28"/>
          <w:szCs w:val="28"/>
        </w:rPr>
      </w:pPr>
      <w:r>
        <w:rPr>
          <w:b/>
        </w:rPr>
        <w:t xml:space="preserve"> </w:t>
      </w:r>
      <w:r w:rsidR="0069391C">
        <w:br w:type="page"/>
      </w:r>
    </w:p>
    <w:p w14:paraId="11B4F262" w14:textId="77777777" w:rsidR="0069391C" w:rsidRPr="0069391C" w:rsidRDefault="0069391C" w:rsidP="00BD6EAD">
      <w:pPr>
        <w:spacing w:after="0" w:line="240" w:lineRule="auto"/>
        <w:rPr>
          <w:rFonts w:eastAsiaTheme="majorEastAsia" w:cstheme="majorBidi"/>
          <w:sz w:val="24"/>
          <w:szCs w:val="32"/>
        </w:rPr>
      </w:pPr>
    </w:p>
    <w:p w14:paraId="65C353D2" w14:textId="77777777" w:rsidR="000309B6" w:rsidRPr="00232EB7" w:rsidRDefault="007E2A6B" w:rsidP="005E68DD">
      <w:pPr>
        <w:pStyle w:val="Nadpis1"/>
      </w:pPr>
      <w:r>
        <w:t xml:space="preserve">I. </w:t>
      </w:r>
      <w:r w:rsidRPr="00241D97">
        <w:t>Shrnutí</w:t>
      </w:r>
      <w:r w:rsidRPr="00232EB7">
        <w:t xml:space="preserve"> a vyhodnocení</w:t>
      </w:r>
    </w:p>
    <w:p w14:paraId="11737E4D" w14:textId="77777777" w:rsidR="000744B4" w:rsidRPr="000744B4" w:rsidRDefault="007E2A6B" w:rsidP="000744B4">
      <w:pPr>
        <w:pStyle w:val="JK1"/>
        <w:tabs>
          <w:tab w:val="clear" w:pos="567"/>
        </w:tabs>
        <w:ind w:left="426" w:hanging="426"/>
      </w:pPr>
      <w:bookmarkStart w:id="3" w:name="_Hlk118030900"/>
      <w:r w:rsidRPr="00334292">
        <w:t>NKÚ provedl kontrolu</w:t>
      </w:r>
      <w:r w:rsidRPr="000744B4">
        <w:t xml:space="preserve"> peněžních prostředků </w:t>
      </w:r>
      <w:r w:rsidR="00F56824" w:rsidRPr="00F2524B">
        <w:t xml:space="preserve">státního rozpočtu a Evropské unie </w:t>
      </w:r>
      <w:r w:rsidRPr="000744B4">
        <w:t xml:space="preserve">vynakládaných v rámci programového období 2014–2020 z </w:t>
      </w:r>
      <w:r w:rsidRPr="000744B4">
        <w:rPr>
          <w:i/>
        </w:rPr>
        <w:t>Integrovaného regionálního operačního programu</w:t>
      </w:r>
      <w:r w:rsidRPr="000744B4">
        <w:t xml:space="preserve"> (dále také „IROP“) na podporu </w:t>
      </w:r>
      <w:r>
        <w:t>infrastruktury regionální zdravotní péče</w:t>
      </w:r>
      <w:r w:rsidRPr="000744B4">
        <w:t>. Na</w:t>
      </w:r>
      <w:r>
        <w:t xml:space="preserve"> její</w:t>
      </w:r>
      <w:r w:rsidRPr="000744B4">
        <w:t xml:space="preserve"> podporu s celkovou plánovanou alokací ve výši 9</w:t>
      </w:r>
      <w:r>
        <w:t>,</w:t>
      </w:r>
      <w:r w:rsidRPr="000744B4">
        <w:t>1</w:t>
      </w:r>
      <w:r>
        <w:t> </w:t>
      </w:r>
      <w:r w:rsidRPr="000744B4">
        <w:t>mld. Kč vynaložil</w:t>
      </w:r>
      <w:r>
        <w:t>o</w:t>
      </w:r>
      <w:r w:rsidRPr="000744B4">
        <w:t xml:space="preserve"> </w:t>
      </w:r>
      <w:r>
        <w:t>MMR</w:t>
      </w:r>
      <w:r w:rsidRPr="000744B4">
        <w:t xml:space="preserve"> </w:t>
      </w:r>
      <w:r w:rsidR="00CD0CD0">
        <w:t xml:space="preserve">v letech 2015 až 2022 celkem </w:t>
      </w:r>
      <w:r w:rsidRPr="000744B4">
        <w:t>c</w:t>
      </w:r>
      <w:r>
        <w:t>c</w:t>
      </w:r>
      <w:r w:rsidRPr="000744B4">
        <w:t>a</w:t>
      </w:r>
      <w:r w:rsidR="009B2112">
        <w:t xml:space="preserve"> </w:t>
      </w:r>
      <w:r>
        <w:t>7,5 </w:t>
      </w:r>
      <w:r w:rsidRPr="000744B4">
        <w:t>mld. Kč</w:t>
      </w:r>
      <w:r w:rsidR="002D4C74">
        <w:t xml:space="preserve"> na realizaci celkem 142 projektů</w:t>
      </w:r>
      <w:r w:rsidRPr="000744B4">
        <w:t>.</w:t>
      </w:r>
    </w:p>
    <w:p w14:paraId="16C10FBD" w14:textId="77777777" w:rsidR="00CD0CD0" w:rsidRDefault="007E2A6B" w:rsidP="00CD0CD0">
      <w:pPr>
        <w:pStyle w:val="JK1"/>
        <w:tabs>
          <w:tab w:val="clear" w:pos="567"/>
        </w:tabs>
        <w:ind w:left="426" w:hanging="426"/>
      </w:pPr>
      <w:r w:rsidRPr="00F2524B">
        <w:t xml:space="preserve">Cílem kontroly bylo prověřit, zda peněžní prostředky </w:t>
      </w:r>
      <w:r w:rsidR="00F56824" w:rsidRPr="00D25518">
        <w:rPr>
          <w:i/>
        </w:rPr>
        <w:t>Integrovaného regionálního operačního programu</w:t>
      </w:r>
      <w:r w:rsidR="00F56824" w:rsidRPr="00F2524B">
        <w:t xml:space="preserve"> </w:t>
      </w:r>
      <w:r w:rsidRPr="00F2524B">
        <w:t xml:space="preserve">určené na podporu </w:t>
      </w:r>
      <w:r>
        <w:t xml:space="preserve">infrastruktury regionální zdravotní péče </w:t>
      </w:r>
      <w:r w:rsidRPr="00F2524B">
        <w:t xml:space="preserve">byly poskytovány a čerpány účelně, </w:t>
      </w:r>
      <w:r>
        <w:t>hospodárně</w:t>
      </w:r>
      <w:r w:rsidRPr="00F2524B">
        <w:t xml:space="preserve"> a v souladu s právními předpisy</w:t>
      </w:r>
      <w:r w:rsidRPr="008A4590">
        <w:t>. Kontrola byla provedena u MMR, kde</w:t>
      </w:r>
      <w:r>
        <w:t xml:space="preserve"> </w:t>
      </w:r>
      <w:r w:rsidRPr="008A4590">
        <w:t>se zaměřila na</w:t>
      </w:r>
      <w:r w:rsidR="009B2112">
        <w:t xml:space="preserve"> </w:t>
      </w:r>
      <w:r w:rsidRPr="008A4590">
        <w:t>je</w:t>
      </w:r>
      <w:r>
        <w:t>ho</w:t>
      </w:r>
      <w:r w:rsidRPr="008A4590">
        <w:t xml:space="preserve"> činnost jakožto řídicí</w:t>
      </w:r>
      <w:r>
        <w:t>ho</w:t>
      </w:r>
      <w:r w:rsidRPr="008A4590">
        <w:t xml:space="preserve"> orgán</w:t>
      </w:r>
      <w:r>
        <w:t>u</w:t>
      </w:r>
      <w:r w:rsidRPr="008A4590">
        <w:t xml:space="preserve"> </w:t>
      </w:r>
      <w:r>
        <w:t>IROP</w:t>
      </w:r>
      <w:r w:rsidRPr="008A4590">
        <w:t>, dále u</w:t>
      </w:r>
      <w:r w:rsidR="00FC0287">
        <w:t> </w:t>
      </w:r>
      <w:r w:rsidRPr="008A4590">
        <w:t>CRR jako zprostředkujícího subjektu</w:t>
      </w:r>
      <w:r>
        <w:t xml:space="preserve"> IROP</w:t>
      </w:r>
      <w:r w:rsidRPr="008A4590">
        <w:t xml:space="preserve"> a rovněž u </w:t>
      </w:r>
      <w:r>
        <w:t>osmi</w:t>
      </w:r>
      <w:r w:rsidRPr="008A4590">
        <w:t xml:space="preserve"> vybraných příjemců dotací, </w:t>
      </w:r>
      <w:r w:rsidR="00AE3164">
        <w:br/>
      </w:r>
      <w:r w:rsidRPr="008A4590">
        <w:t>u</w:t>
      </w:r>
      <w:r w:rsidR="00AE3164">
        <w:t xml:space="preserve"> </w:t>
      </w:r>
      <w:r w:rsidRPr="008A4590">
        <w:t>nichž byla prověřena realizace</w:t>
      </w:r>
      <w:r w:rsidR="009B2112">
        <w:t xml:space="preserve"> </w:t>
      </w:r>
      <w:r w:rsidRPr="008A4590">
        <w:t>16 projektů schválených k podpoře.</w:t>
      </w:r>
      <w:r w:rsidRPr="006F7F25">
        <w:t xml:space="preserve"> </w:t>
      </w:r>
      <w:r w:rsidRPr="00A90634">
        <w:t xml:space="preserve">Finanční objem kontrolovaných projektů činil </w:t>
      </w:r>
      <w:r>
        <w:t>994,4 </w:t>
      </w:r>
      <w:r w:rsidRPr="00A90634">
        <w:t>mil.</w:t>
      </w:r>
      <w:r>
        <w:t> </w:t>
      </w:r>
      <w:r w:rsidRPr="00A90634">
        <w:t>Kč</w:t>
      </w:r>
      <w:r>
        <w:t>.</w:t>
      </w:r>
    </w:p>
    <w:bookmarkEnd w:id="3"/>
    <w:p w14:paraId="07858F3E" w14:textId="77777777" w:rsidR="00A23E2C" w:rsidRDefault="007E2A6B" w:rsidP="00DA5431">
      <w:pPr>
        <w:pStyle w:val="JK1"/>
        <w:tabs>
          <w:tab w:val="clear" w:pos="567"/>
        </w:tabs>
        <w:ind w:left="426" w:hanging="426"/>
        <w:rPr>
          <w:b/>
        </w:rPr>
      </w:pPr>
      <w:r>
        <w:rPr>
          <w:b/>
        </w:rPr>
        <w:t xml:space="preserve">Při kontrole </w:t>
      </w:r>
      <w:r w:rsidR="00C33B0E">
        <w:rPr>
          <w:b/>
        </w:rPr>
        <w:t>pořizování</w:t>
      </w:r>
      <w:r>
        <w:rPr>
          <w:b/>
        </w:rPr>
        <w:t xml:space="preserve"> zdravotnického vybavení ve vybraných projektech NKÚ zjistil, že naprostá většina peněžních prostředků byla </w:t>
      </w:r>
      <w:r w:rsidR="00E84531">
        <w:rPr>
          <w:b/>
        </w:rPr>
        <w:t xml:space="preserve">čerpána </w:t>
      </w:r>
      <w:r>
        <w:rPr>
          <w:b/>
        </w:rPr>
        <w:t xml:space="preserve">účelně a </w:t>
      </w:r>
      <w:r w:rsidR="00AB0356">
        <w:rPr>
          <w:b/>
        </w:rPr>
        <w:t>hospodárně. Pořízené vybavení přispívalo ke kvalitativnímu zlepšení poskytované regionální zdravotní péče.</w:t>
      </w:r>
      <w:r w:rsidR="000D654D">
        <w:rPr>
          <w:b/>
        </w:rPr>
        <w:t xml:space="preserve"> </w:t>
      </w:r>
      <w:r w:rsidR="00F779A3">
        <w:rPr>
          <w:b/>
        </w:rPr>
        <w:t>Příjemci čerpali peněžní prostředky v souladu s právními předpisy.</w:t>
      </w:r>
    </w:p>
    <w:p w14:paraId="29D4FF3D" w14:textId="77777777" w:rsidR="000A3629" w:rsidRPr="00C83CCF" w:rsidRDefault="00C83CCF" w:rsidP="00C32BC0">
      <w:pPr>
        <w:pStyle w:val="JK1"/>
        <w:numPr>
          <w:ilvl w:val="0"/>
          <w:numId w:val="0"/>
        </w:numPr>
        <w:tabs>
          <w:tab w:val="clear" w:pos="567"/>
        </w:tabs>
        <w:ind w:left="426"/>
        <w:rPr>
          <w:b/>
        </w:rPr>
      </w:pPr>
      <w:r w:rsidRPr="00C83CCF">
        <w:rPr>
          <w:b/>
        </w:rPr>
        <w:t xml:space="preserve">NKÚ nicméně zjistil nedostatky, </w:t>
      </w:r>
      <w:r w:rsidR="0064308D">
        <w:rPr>
          <w:b/>
        </w:rPr>
        <w:t xml:space="preserve">ze </w:t>
      </w:r>
      <w:r w:rsidRPr="00C83CCF">
        <w:rPr>
          <w:b/>
        </w:rPr>
        <w:t>kter</w:t>
      </w:r>
      <w:r w:rsidR="0064308D">
        <w:rPr>
          <w:b/>
        </w:rPr>
        <w:t>ých</w:t>
      </w:r>
      <w:r w:rsidRPr="00C83CCF">
        <w:rPr>
          <w:b/>
        </w:rPr>
        <w:t xml:space="preserve"> </w:t>
      </w:r>
      <w:r w:rsidR="0064308D">
        <w:rPr>
          <w:b/>
        </w:rPr>
        <w:t>vyplývají</w:t>
      </w:r>
      <w:r w:rsidR="0064308D" w:rsidRPr="00C83CCF">
        <w:rPr>
          <w:b/>
        </w:rPr>
        <w:t xml:space="preserve"> </w:t>
      </w:r>
      <w:r w:rsidRPr="00C83CCF">
        <w:rPr>
          <w:b/>
        </w:rPr>
        <w:t>rizik</w:t>
      </w:r>
      <w:r w:rsidR="000B553F">
        <w:rPr>
          <w:b/>
        </w:rPr>
        <w:t>a</w:t>
      </w:r>
      <w:r w:rsidRPr="00C83CCF">
        <w:rPr>
          <w:b/>
        </w:rPr>
        <w:t xml:space="preserve"> pro naplnění stanoveného cíle podpory, tedy umožnit přístup ke zdravotním službám ve všech regionech bez rozdílu v</w:t>
      </w:r>
      <w:r>
        <w:rPr>
          <w:b/>
        </w:rPr>
        <w:t> </w:t>
      </w:r>
      <w:r w:rsidRPr="00C83CCF">
        <w:rPr>
          <w:b/>
        </w:rPr>
        <w:t>jejich kvalitě, zkrátit dobu pobytu pacientů mimo přirozené prostředí a dobu pracovní neschopnosti a podpořit tak sociální začleňování osob ohrožených sociálním vyloučením v důsledku zdravotního stavu.</w:t>
      </w:r>
    </w:p>
    <w:p w14:paraId="6B508619" w14:textId="77777777" w:rsidR="002D131F" w:rsidRPr="002F30FE" w:rsidRDefault="00C83CCF" w:rsidP="002D131F">
      <w:pPr>
        <w:pStyle w:val="JK1"/>
        <w:numPr>
          <w:ilvl w:val="0"/>
          <w:numId w:val="0"/>
        </w:numPr>
        <w:tabs>
          <w:tab w:val="clear" w:pos="567"/>
        </w:tabs>
        <w:ind w:left="426"/>
        <w:rPr>
          <w:b/>
        </w:rPr>
      </w:pPr>
      <w:r w:rsidRPr="00C83CCF">
        <w:rPr>
          <w:b/>
        </w:rPr>
        <w:t xml:space="preserve">MMR </w:t>
      </w:r>
      <w:r w:rsidR="00163936">
        <w:rPr>
          <w:b/>
        </w:rPr>
        <w:t>akceptovalo a převzalo cíle projektů uvedené v žádostech o podporu, aniž by je příjemcům stanovilo konkrétně a měřitelně</w:t>
      </w:r>
      <w:r w:rsidRPr="00C83CCF">
        <w:rPr>
          <w:b/>
        </w:rPr>
        <w:t>.</w:t>
      </w:r>
      <w:r>
        <w:rPr>
          <w:b/>
        </w:rPr>
        <w:t xml:space="preserve"> </w:t>
      </w:r>
      <w:r w:rsidR="00C06BE6">
        <w:rPr>
          <w:b/>
        </w:rPr>
        <w:t>Neprovedlo ani žádné jiné vyhodnocení účinků poskytnuté podpory</w:t>
      </w:r>
      <w:r w:rsidR="007D5DA3">
        <w:rPr>
          <w:b/>
        </w:rPr>
        <w:t>.</w:t>
      </w:r>
      <w:r w:rsidR="00A84B90">
        <w:rPr>
          <w:b/>
        </w:rPr>
        <w:t xml:space="preserve"> </w:t>
      </w:r>
      <w:r w:rsidR="00163936" w:rsidRPr="00C83CCF">
        <w:rPr>
          <w:b/>
        </w:rPr>
        <w:t>Nemělo tak žádné informace o přínosech a výsledcích dosažených realizací</w:t>
      </w:r>
      <w:r w:rsidR="00163936">
        <w:rPr>
          <w:b/>
        </w:rPr>
        <w:t xml:space="preserve"> projektů. </w:t>
      </w:r>
      <w:r w:rsidR="00C06BE6">
        <w:rPr>
          <w:b/>
        </w:rPr>
        <w:t xml:space="preserve">Vlivem poskytnuté podpory mělo </w:t>
      </w:r>
      <w:r w:rsidR="00A84B90">
        <w:rPr>
          <w:b/>
        </w:rPr>
        <w:t xml:space="preserve">také </w:t>
      </w:r>
      <w:r w:rsidR="00C06BE6">
        <w:rPr>
          <w:b/>
        </w:rPr>
        <w:t xml:space="preserve">dojít ke snížení počtu </w:t>
      </w:r>
      <w:r w:rsidR="00AC319F">
        <w:rPr>
          <w:b/>
        </w:rPr>
        <w:t xml:space="preserve">akutních </w:t>
      </w:r>
      <w:r w:rsidR="00C06BE6">
        <w:rPr>
          <w:b/>
        </w:rPr>
        <w:t>lůžek</w:t>
      </w:r>
      <w:r w:rsidR="00A84B90">
        <w:rPr>
          <w:b/>
        </w:rPr>
        <w:t xml:space="preserve"> </w:t>
      </w:r>
      <w:r w:rsidR="00AC319F">
        <w:rPr>
          <w:b/>
        </w:rPr>
        <w:t xml:space="preserve">návazné </w:t>
      </w:r>
      <w:r w:rsidR="00A84B90">
        <w:rPr>
          <w:b/>
        </w:rPr>
        <w:t>zdravotní péče</w:t>
      </w:r>
      <w:r w:rsidR="00C06BE6">
        <w:rPr>
          <w:b/>
        </w:rPr>
        <w:t>, avšak průběžn</w:t>
      </w:r>
      <w:r w:rsidR="007E2A6B">
        <w:rPr>
          <w:b/>
        </w:rPr>
        <w:t>ě</w:t>
      </w:r>
      <w:r w:rsidR="00C06BE6">
        <w:rPr>
          <w:b/>
        </w:rPr>
        <w:t xml:space="preserve"> vykazované hodnoty vypovídají o opaku</w:t>
      </w:r>
      <w:r w:rsidR="00640C5C">
        <w:rPr>
          <w:b/>
        </w:rPr>
        <w:t xml:space="preserve"> a není pravděpodobné, že tohoto cíle bude dosaženo</w:t>
      </w:r>
      <w:r w:rsidR="00C06BE6">
        <w:rPr>
          <w:b/>
        </w:rPr>
        <w:t>.</w:t>
      </w:r>
      <w:r w:rsidR="007E2A6B">
        <w:rPr>
          <w:b/>
        </w:rPr>
        <w:t xml:space="preserve"> </w:t>
      </w:r>
    </w:p>
    <w:p w14:paraId="0B355D1A" w14:textId="77777777" w:rsidR="003E0DE7" w:rsidRDefault="007E2A6B" w:rsidP="000A3629">
      <w:pPr>
        <w:pStyle w:val="JK1"/>
        <w:numPr>
          <w:ilvl w:val="0"/>
          <w:numId w:val="0"/>
        </w:numPr>
        <w:tabs>
          <w:tab w:val="clear" w:pos="567"/>
        </w:tabs>
        <w:ind w:left="426"/>
        <w:rPr>
          <w:b/>
        </w:rPr>
      </w:pPr>
      <w:r>
        <w:rPr>
          <w:b/>
        </w:rPr>
        <w:t xml:space="preserve">S ohledem na omezené </w:t>
      </w:r>
      <w:r w:rsidR="00A36DAE">
        <w:rPr>
          <w:b/>
        </w:rPr>
        <w:t>finanční</w:t>
      </w:r>
      <w:r>
        <w:rPr>
          <w:b/>
        </w:rPr>
        <w:t xml:space="preserve"> zdroje a </w:t>
      </w:r>
      <w:r w:rsidR="00A36DAE">
        <w:rPr>
          <w:b/>
        </w:rPr>
        <w:t xml:space="preserve">zvýšený </w:t>
      </w:r>
      <w:r w:rsidR="00F70FA1">
        <w:rPr>
          <w:b/>
        </w:rPr>
        <w:t>záj</w:t>
      </w:r>
      <w:r>
        <w:rPr>
          <w:b/>
        </w:rPr>
        <w:t>e</w:t>
      </w:r>
      <w:r w:rsidR="00F70FA1">
        <w:rPr>
          <w:b/>
        </w:rPr>
        <w:t xml:space="preserve">m o podporu návazné zdravotní péče nenastavilo </w:t>
      </w:r>
      <w:r>
        <w:rPr>
          <w:b/>
        </w:rPr>
        <w:t xml:space="preserve">MMR </w:t>
      </w:r>
      <w:r w:rsidR="00F70FA1">
        <w:rPr>
          <w:b/>
        </w:rPr>
        <w:t xml:space="preserve">vhodné podmínky pro </w:t>
      </w:r>
      <w:r>
        <w:rPr>
          <w:b/>
        </w:rPr>
        <w:t>předložení</w:t>
      </w:r>
      <w:r w:rsidR="00F70FA1">
        <w:rPr>
          <w:b/>
        </w:rPr>
        <w:t xml:space="preserve"> </w:t>
      </w:r>
      <w:r>
        <w:rPr>
          <w:b/>
        </w:rPr>
        <w:t xml:space="preserve">a hodnocení </w:t>
      </w:r>
      <w:r w:rsidR="00F70FA1">
        <w:rPr>
          <w:b/>
        </w:rPr>
        <w:t>žádostí</w:t>
      </w:r>
      <w:r>
        <w:rPr>
          <w:b/>
        </w:rPr>
        <w:t xml:space="preserve"> o dotaci</w:t>
      </w:r>
      <w:r w:rsidR="00F70FA1">
        <w:rPr>
          <w:b/>
        </w:rPr>
        <w:t xml:space="preserve">. </w:t>
      </w:r>
      <w:r w:rsidR="003E0DE7" w:rsidRPr="003E0DE7">
        <w:rPr>
          <w:b/>
          <w:color w:val="auto"/>
        </w:rPr>
        <w:t xml:space="preserve">MMR při přípravě těchto podmínek zcela opomenulo problém regionální nerovnosti v kvalitě a dostupnosti zdravotní péče, </w:t>
      </w:r>
      <w:r w:rsidR="003835DE">
        <w:rPr>
          <w:b/>
          <w:color w:val="auto"/>
        </w:rPr>
        <w:t>který</w:t>
      </w:r>
      <w:r w:rsidR="003E0DE7" w:rsidRPr="003E0DE7">
        <w:rPr>
          <w:b/>
          <w:color w:val="auto"/>
        </w:rPr>
        <w:t xml:space="preserve"> chtělo pomocí podpory řešit. </w:t>
      </w:r>
      <w:r w:rsidR="00F70FA1" w:rsidRPr="003E0DE7">
        <w:rPr>
          <w:b/>
          <w:color w:val="auto"/>
        </w:rPr>
        <w:t>Be</w:t>
      </w:r>
      <w:r w:rsidR="00F70FA1">
        <w:rPr>
          <w:b/>
        </w:rPr>
        <w:t xml:space="preserve">z přesunu peněžních prostředků z jiného operačního programu </w:t>
      </w:r>
      <w:r w:rsidR="00B4180F">
        <w:rPr>
          <w:b/>
        </w:rPr>
        <w:t xml:space="preserve">až </w:t>
      </w:r>
      <w:r w:rsidR="00AC319F">
        <w:rPr>
          <w:b/>
        </w:rPr>
        <w:t>necelé dva roky před koncem</w:t>
      </w:r>
      <w:r w:rsidR="00B4180F">
        <w:rPr>
          <w:b/>
        </w:rPr>
        <w:t xml:space="preserve"> programového období 2014</w:t>
      </w:r>
      <w:r w:rsidR="005D2CEC">
        <w:rPr>
          <w:b/>
        </w:rPr>
        <w:t>–</w:t>
      </w:r>
      <w:r w:rsidR="00B4180F">
        <w:rPr>
          <w:b/>
        </w:rPr>
        <w:t xml:space="preserve">2020 </w:t>
      </w:r>
      <w:r w:rsidR="00955640">
        <w:rPr>
          <w:b/>
        </w:rPr>
        <w:t xml:space="preserve">by </w:t>
      </w:r>
      <w:r>
        <w:rPr>
          <w:b/>
        </w:rPr>
        <w:t>nebyl</w:t>
      </w:r>
      <w:r w:rsidR="00AC319F">
        <w:rPr>
          <w:b/>
        </w:rPr>
        <w:t>a podpora vůbec</w:t>
      </w:r>
      <w:r>
        <w:rPr>
          <w:b/>
        </w:rPr>
        <w:t xml:space="preserve"> </w:t>
      </w:r>
      <w:r w:rsidR="00BD1197">
        <w:rPr>
          <w:b/>
        </w:rPr>
        <w:t>poskytnuta</w:t>
      </w:r>
      <w:r>
        <w:rPr>
          <w:b/>
        </w:rPr>
        <w:t xml:space="preserve"> </w:t>
      </w:r>
      <w:r w:rsidR="00B4180F">
        <w:rPr>
          <w:b/>
        </w:rPr>
        <w:t>např</w:t>
      </w:r>
      <w:r w:rsidR="00CE0B0D">
        <w:rPr>
          <w:b/>
        </w:rPr>
        <w:t>íklad</w:t>
      </w:r>
      <w:r w:rsidR="00B4180F">
        <w:rPr>
          <w:b/>
        </w:rPr>
        <w:t xml:space="preserve"> </w:t>
      </w:r>
      <w:r>
        <w:rPr>
          <w:b/>
        </w:rPr>
        <w:t>Pardubick</w:t>
      </w:r>
      <w:r w:rsidR="00320C67">
        <w:rPr>
          <w:b/>
        </w:rPr>
        <w:t>ému</w:t>
      </w:r>
      <w:r>
        <w:rPr>
          <w:b/>
        </w:rPr>
        <w:t xml:space="preserve"> kraj</w:t>
      </w:r>
      <w:r w:rsidR="00320C67">
        <w:rPr>
          <w:b/>
        </w:rPr>
        <w:t>i</w:t>
      </w:r>
      <w:r>
        <w:rPr>
          <w:b/>
        </w:rPr>
        <w:t>, což by mělo oproti stanovenému cíli opačný efekt</w:t>
      </w:r>
      <w:r w:rsidR="003E0DE7">
        <w:rPr>
          <w:b/>
        </w:rPr>
        <w:t>.</w:t>
      </w:r>
    </w:p>
    <w:p w14:paraId="19417734" w14:textId="77777777" w:rsidR="003003FE" w:rsidRPr="00E745C9" w:rsidRDefault="007E2A6B" w:rsidP="002250BA">
      <w:pPr>
        <w:pStyle w:val="JK1"/>
        <w:tabs>
          <w:tab w:val="clear" w:pos="567"/>
        </w:tabs>
        <w:ind w:left="425" w:hanging="425"/>
      </w:pPr>
      <w:r w:rsidRPr="001A193B">
        <w:t>Toto celkové zhodnocení</w:t>
      </w:r>
      <w:r w:rsidRPr="00DB2D27">
        <w:t xml:space="preserve"> se opírá o následující hlavní </w:t>
      </w:r>
      <w:r w:rsidR="00097A99">
        <w:t xml:space="preserve">skutečnosti </w:t>
      </w:r>
      <w:r w:rsidRPr="00DB2D27">
        <w:t>zjištěn</w:t>
      </w:r>
      <w:r w:rsidR="00097A99">
        <w:t>é</w:t>
      </w:r>
      <w:r w:rsidRPr="00DB2D27">
        <w:t xml:space="preserve"> </w:t>
      </w:r>
      <w:r w:rsidR="00097A99">
        <w:t>v</w:t>
      </w:r>
      <w:r w:rsidR="00C32BC0">
        <w:t> </w:t>
      </w:r>
      <w:r w:rsidRPr="00DB2D27">
        <w:t>kontrol</w:t>
      </w:r>
      <w:r w:rsidR="00097A99">
        <w:t>e</w:t>
      </w:r>
      <w:r w:rsidRPr="00DB2D27">
        <w:t>:</w:t>
      </w:r>
    </w:p>
    <w:p w14:paraId="7F86C7AD" w14:textId="77777777" w:rsidR="00B64FA1" w:rsidRPr="001D3122" w:rsidRDefault="007E2A6B" w:rsidP="00E62E5F">
      <w:pPr>
        <w:pStyle w:val="JK1"/>
        <w:numPr>
          <w:ilvl w:val="0"/>
          <w:numId w:val="8"/>
        </w:numPr>
        <w:tabs>
          <w:tab w:val="clear" w:pos="567"/>
        </w:tabs>
        <w:ind w:left="709" w:hanging="283"/>
      </w:pPr>
      <w:r>
        <w:t xml:space="preserve">Pro podporu regionální zdravotní péče nestanovilo MMR cíle a indikátory tak, aby bylo možné sledovat výsledky a přínosy pro pacienty </w:t>
      </w:r>
      <w:r w:rsidR="001A193B">
        <w:t xml:space="preserve">u </w:t>
      </w:r>
      <w:r>
        <w:t xml:space="preserve">vysoce specializované a návazné zdravotní péče. </w:t>
      </w:r>
      <w:r w:rsidR="00B4180F">
        <w:t>MMR např. stanovilo i</w:t>
      </w:r>
      <w:r w:rsidR="00C951F0">
        <w:t>ndikátor</w:t>
      </w:r>
      <w:r w:rsidR="00B4180F">
        <w:t>, který</w:t>
      </w:r>
      <w:r w:rsidR="00C951F0">
        <w:t xml:space="preserve"> měřil kapacitu lůžek společně za</w:t>
      </w:r>
      <w:r w:rsidR="00CE0B0D">
        <w:t xml:space="preserve"> </w:t>
      </w:r>
      <w:r w:rsidR="00467A33">
        <w:t>vysoce specializovan</w:t>
      </w:r>
      <w:r w:rsidR="00C951F0">
        <w:t>ou</w:t>
      </w:r>
      <w:r w:rsidR="00467A33">
        <w:t xml:space="preserve"> </w:t>
      </w:r>
      <w:r w:rsidR="001A193B">
        <w:t>i</w:t>
      </w:r>
      <w:r w:rsidR="00467A33">
        <w:t xml:space="preserve"> návazn</w:t>
      </w:r>
      <w:r w:rsidR="00C951F0">
        <w:t>ou</w:t>
      </w:r>
      <w:r w:rsidR="00467A33">
        <w:t xml:space="preserve"> zdravotní péč</w:t>
      </w:r>
      <w:r w:rsidR="00C951F0">
        <w:t>i</w:t>
      </w:r>
      <w:r w:rsidR="00467A33">
        <w:t>, i když podpor</w:t>
      </w:r>
      <w:r w:rsidR="00B4180F">
        <w:t>ou</w:t>
      </w:r>
      <w:r w:rsidR="00467A33">
        <w:t xml:space="preserve"> měl</w:t>
      </w:r>
      <w:r w:rsidR="00B4180F">
        <w:t>o být</w:t>
      </w:r>
      <w:r w:rsidR="00467A33">
        <w:t xml:space="preserve"> </w:t>
      </w:r>
      <w:r w:rsidR="00B4180F">
        <w:t>na</w:t>
      </w:r>
      <w:r w:rsidR="00CE0B0D">
        <w:t xml:space="preserve"> </w:t>
      </w:r>
      <w:r w:rsidR="00B4180F">
        <w:t xml:space="preserve">jedné </w:t>
      </w:r>
      <w:r w:rsidR="00B4180F">
        <w:lastRenderedPageBreak/>
        <w:t>straně dosaženo</w:t>
      </w:r>
      <w:r w:rsidR="00467A33">
        <w:t xml:space="preserve"> navýšení počtu lůžek vysoce specializované péče a </w:t>
      </w:r>
      <w:r w:rsidR="00B4180F">
        <w:t xml:space="preserve">na druhé straně </w:t>
      </w:r>
      <w:r w:rsidR="00467A33">
        <w:t xml:space="preserve">snížení počtu lůžek návazné zdravotní péče. </w:t>
      </w:r>
      <w:r w:rsidR="000E3642">
        <w:t xml:space="preserve">Navíc poslední </w:t>
      </w:r>
      <w:r w:rsidR="009D44D5">
        <w:t xml:space="preserve">známá </w:t>
      </w:r>
      <w:r w:rsidR="000E3642">
        <w:t xml:space="preserve">dosažená hodnota </w:t>
      </w:r>
      <w:r w:rsidR="00C756B4">
        <w:t>za rok</w:t>
      </w:r>
      <w:r w:rsidR="000E3642">
        <w:t xml:space="preserve"> 2019 </w:t>
      </w:r>
      <w:r w:rsidR="0078210F">
        <w:t xml:space="preserve">nesvědčí o plnění cíle snížit počet lůžek návazné zdravotní péče, neboť oproti roku 2014 došlo k mírnému nárůstu o cca 0,5 %. </w:t>
      </w:r>
      <w:r w:rsidR="009425A2" w:rsidRPr="009425A2">
        <w:t xml:space="preserve">NKÚ </w:t>
      </w:r>
      <w:r w:rsidR="007E79CA">
        <w:t xml:space="preserve">proto </w:t>
      </w:r>
      <w:r w:rsidR="009425A2" w:rsidRPr="009425A2">
        <w:t>nepovažuje za</w:t>
      </w:r>
      <w:r w:rsidR="001A193B">
        <w:t xml:space="preserve"> </w:t>
      </w:r>
      <w:r w:rsidR="009425A2" w:rsidRPr="009425A2">
        <w:t xml:space="preserve">pravděpodobné, že do konce roku 2023 bude dosaženo plánovaného snížení kapacity lůžek </w:t>
      </w:r>
      <w:r w:rsidR="00C93311">
        <w:t xml:space="preserve">regionální zdravotní péče </w:t>
      </w:r>
      <w:r w:rsidR="009425A2" w:rsidRPr="009425A2">
        <w:t>o 13 %</w:t>
      </w:r>
      <w:r w:rsidR="0078210F">
        <w:t xml:space="preserve">. </w:t>
      </w:r>
      <w:r w:rsidR="00A17845">
        <w:t>Nedostatečn</w:t>
      </w:r>
      <w:r w:rsidR="00791C04">
        <w:t>é informace o výsledcích a</w:t>
      </w:r>
      <w:r w:rsidR="00450E1E">
        <w:t> </w:t>
      </w:r>
      <w:r w:rsidR="00791C04">
        <w:t>přínosech poskytnuté podpory neumožňují MMR vyhodnotit, zda bylo dosaženo vytyčených cílů, tj. zda peněžní prostředky poskytlo účelně. Vyhodnocení dosažení cílů neprovedlo ani prostřednictvím evaluace</w:t>
      </w:r>
      <w:r w:rsidR="00C963D1">
        <w:t>. MMR tím nesplnilo povinnosti, které mu ukládají právní předpisy ČR i Evropské unie</w:t>
      </w:r>
      <w:r w:rsidR="003333D3">
        <w:rPr>
          <w:rStyle w:val="Znakapoznpodarou"/>
        </w:rPr>
        <w:footnoteReference w:id="2"/>
      </w:r>
      <w:r w:rsidR="00567885">
        <w:t xml:space="preserve"> </w:t>
      </w:r>
      <w:r w:rsidR="00791C04" w:rsidRPr="001D3122">
        <w:t>(viz odst. </w:t>
      </w:r>
      <w:r w:rsidR="007E79CA" w:rsidRPr="001D3122">
        <w:t>4.3 až 4.8</w:t>
      </w:r>
      <w:r w:rsidR="00791C04" w:rsidRPr="001D3122">
        <w:t>).</w:t>
      </w:r>
    </w:p>
    <w:p w14:paraId="70A7241E" w14:textId="77777777" w:rsidR="00A12A84" w:rsidRPr="001D3122" w:rsidRDefault="007E2A6B" w:rsidP="003E0B65">
      <w:pPr>
        <w:pStyle w:val="JK1"/>
        <w:numPr>
          <w:ilvl w:val="0"/>
          <w:numId w:val="8"/>
        </w:numPr>
        <w:tabs>
          <w:tab w:val="clear" w:pos="567"/>
        </w:tabs>
        <w:ind w:left="709" w:hanging="283"/>
      </w:pPr>
      <w:r w:rsidRPr="00777656">
        <w:t>Podpora infrastruktur</w:t>
      </w:r>
      <w:r w:rsidR="001F6D22" w:rsidRPr="00777656">
        <w:t>y</w:t>
      </w:r>
      <w:r w:rsidRPr="00777656">
        <w:t xml:space="preserve"> návazné</w:t>
      </w:r>
      <w:r w:rsidRPr="001D3122">
        <w:t xml:space="preserve"> zdravotní péče bez dodatečných zdrojů převedených z</w:t>
      </w:r>
      <w:r w:rsidR="002250BA" w:rsidRPr="001D3122">
        <w:t> jiného o</w:t>
      </w:r>
      <w:r w:rsidRPr="001D3122">
        <w:t>peračního programu by nesnížil</w:t>
      </w:r>
      <w:r w:rsidR="001F6D22" w:rsidRPr="001D3122">
        <w:t>a</w:t>
      </w:r>
      <w:r w:rsidRPr="001D3122">
        <w:t xml:space="preserve"> regionální rozdíly v kvalitě poskytování této péče</w:t>
      </w:r>
      <w:r w:rsidR="00372FC2" w:rsidRPr="001D3122">
        <w:t>.</w:t>
      </w:r>
      <w:r w:rsidRPr="001D3122">
        <w:t xml:space="preserve"> MMR nastavilo nevhodné podmínky výzvy ve vztahu k dostupným zdrojům </w:t>
      </w:r>
      <w:r w:rsidR="00CE0B0D">
        <w:br/>
      </w:r>
      <w:r w:rsidRPr="001D3122">
        <w:t>a</w:t>
      </w:r>
      <w:r w:rsidR="00CE0B0D">
        <w:t xml:space="preserve"> </w:t>
      </w:r>
      <w:r w:rsidRPr="001D3122">
        <w:t>předpokládané poptávce ze strany žadatelů</w:t>
      </w:r>
      <w:r w:rsidR="0038056C" w:rsidRPr="001D3122">
        <w:t>, např. podání neomezeného počtu žádostí jedním žadatelem nebo absence věcného hodnocení předložených projektů.</w:t>
      </w:r>
      <w:r w:rsidR="001F6D22" w:rsidRPr="001D3122">
        <w:t xml:space="preserve"> </w:t>
      </w:r>
      <w:r w:rsidR="00294DB2" w:rsidRPr="00F779A3">
        <w:t xml:space="preserve">MMR při </w:t>
      </w:r>
      <w:r w:rsidR="00294DB2">
        <w:t xml:space="preserve">stanovení </w:t>
      </w:r>
      <w:r w:rsidR="00294DB2" w:rsidRPr="00F779A3">
        <w:t>podmínek</w:t>
      </w:r>
      <w:r w:rsidR="00294DB2">
        <w:t xml:space="preserve"> výzvy</w:t>
      </w:r>
      <w:r w:rsidR="00294DB2" w:rsidRPr="00F779A3">
        <w:t xml:space="preserve"> nerespektovalo zásadu účinnosti </w:t>
      </w:r>
      <w:r w:rsidR="00294DB2">
        <w:t>stanovenou právním předpis</w:t>
      </w:r>
      <w:r w:rsidR="003333D3">
        <w:t>em</w:t>
      </w:r>
      <w:r w:rsidR="00294DB2">
        <w:t xml:space="preserve"> Evropské unie</w:t>
      </w:r>
      <w:r w:rsidR="006350C9">
        <w:rPr>
          <w:rStyle w:val="Znakapoznpodarou"/>
        </w:rPr>
        <w:footnoteReference w:id="3"/>
      </w:r>
      <w:r w:rsidR="00294DB2">
        <w:t>, protože</w:t>
      </w:r>
      <w:r w:rsidR="00294DB2" w:rsidRPr="001D3122">
        <w:t xml:space="preserve"> </w:t>
      </w:r>
      <w:r w:rsidR="00294DB2" w:rsidRPr="00F779A3">
        <w:t>nevytvořilo předpoklady pro dosažení stanoven</w:t>
      </w:r>
      <w:r w:rsidR="006350C9">
        <w:t>ého</w:t>
      </w:r>
      <w:r w:rsidR="00294DB2" w:rsidRPr="00F779A3">
        <w:t xml:space="preserve"> </w:t>
      </w:r>
      <w:r w:rsidR="00294DB2">
        <w:t xml:space="preserve">specifického </w:t>
      </w:r>
      <w:r w:rsidR="00294DB2" w:rsidRPr="00F779A3">
        <w:t>cíl</w:t>
      </w:r>
      <w:r w:rsidR="00294DB2">
        <w:t>e programu.</w:t>
      </w:r>
      <w:r w:rsidR="00294DB2" w:rsidRPr="001D3122" w:rsidDel="00294DB2">
        <w:t xml:space="preserve"> </w:t>
      </w:r>
      <w:r w:rsidR="00294DB2">
        <w:t>K</w:t>
      </w:r>
      <w:r w:rsidR="00727265" w:rsidRPr="001D3122">
        <w:t>ombinace nevhodných podmínek umožnil</w:t>
      </w:r>
      <w:r w:rsidR="00294DB2">
        <w:t>a</w:t>
      </w:r>
      <w:r w:rsidR="00567885">
        <w:t xml:space="preserve"> MMR</w:t>
      </w:r>
      <w:r w:rsidR="00727265" w:rsidRPr="001D3122">
        <w:t xml:space="preserve"> poskytnout podporu v jednotlivých krajích nevyváženě, aniž by si zjistilo, jaký to bude mít dopad na</w:t>
      </w:r>
      <w:r w:rsidR="00CE0B0D">
        <w:t xml:space="preserve"> </w:t>
      </w:r>
      <w:r w:rsidR="00727265" w:rsidRPr="001D3122">
        <w:t>vyrovnání územních rozdílů v kvalitě poskytované zdravotní péče. V</w:t>
      </w:r>
      <w:r w:rsidR="009866EB" w:rsidRPr="001D3122">
        <w:t xml:space="preserve">livem takto nastavených podmínek by </w:t>
      </w:r>
      <w:r w:rsidR="00B4180F" w:rsidRPr="001D3122">
        <w:t xml:space="preserve">např. </w:t>
      </w:r>
      <w:r w:rsidR="009866EB" w:rsidRPr="001D3122">
        <w:t>Pardubický kraj neobdržel žádnou podporu, a</w:t>
      </w:r>
      <w:r w:rsidR="00B4180F" w:rsidRPr="001D3122">
        <w:t>le</w:t>
      </w:r>
      <w:r w:rsidR="009866EB" w:rsidRPr="001D3122">
        <w:t xml:space="preserve"> naopak v</w:t>
      </w:r>
      <w:r w:rsidR="00CE0B0D">
        <w:t xml:space="preserve"> </w:t>
      </w:r>
      <w:r w:rsidR="009866EB" w:rsidRPr="001D3122">
        <w:t xml:space="preserve">šesti krajích MMR </w:t>
      </w:r>
      <w:r w:rsidR="00054B14">
        <w:t>podpořilo</w:t>
      </w:r>
      <w:r w:rsidR="009866EB" w:rsidRPr="001D3122">
        <w:t xml:space="preserve"> všechny projekty</w:t>
      </w:r>
      <w:r w:rsidR="00C32BC0" w:rsidRPr="001D3122">
        <w:t xml:space="preserve"> předložené</w:t>
      </w:r>
      <w:r w:rsidR="00B4180F" w:rsidRPr="001D3122">
        <w:t xml:space="preserve"> žadateli</w:t>
      </w:r>
      <w:r w:rsidR="009866EB" w:rsidRPr="001D3122">
        <w:t>. Teprve v</w:t>
      </w:r>
      <w:r w:rsidR="00CE0B0D">
        <w:t xml:space="preserve"> </w:t>
      </w:r>
      <w:r w:rsidR="009866EB" w:rsidRPr="001D3122">
        <w:t xml:space="preserve">březnu 2019, tj. po téměř třech letech po ukončení </w:t>
      </w:r>
      <w:r w:rsidR="00FB445D" w:rsidRPr="001D3122">
        <w:t>výzvy</w:t>
      </w:r>
      <w:r w:rsidR="000462E8" w:rsidRPr="001D3122">
        <w:t xml:space="preserve"> </w:t>
      </w:r>
      <w:r w:rsidR="00980C4B" w:rsidRPr="001D3122">
        <w:t>k předkládání žádostí o podporu infrastruktury návazné zdravotní péče</w:t>
      </w:r>
      <w:r w:rsidR="009866EB" w:rsidRPr="001D3122">
        <w:t xml:space="preserve">, MMR </w:t>
      </w:r>
      <w:r w:rsidR="00780759" w:rsidRPr="001D3122">
        <w:t xml:space="preserve">navýšilo alokaci </w:t>
      </w:r>
      <w:r w:rsidR="00B4180F" w:rsidRPr="001D3122">
        <w:t>díky</w:t>
      </w:r>
      <w:r w:rsidR="007C7FE5">
        <w:t xml:space="preserve"> </w:t>
      </w:r>
      <w:r w:rsidR="00780759" w:rsidRPr="001D3122">
        <w:t>nespotřebova</w:t>
      </w:r>
      <w:r w:rsidR="00AC319F" w:rsidRPr="001D3122">
        <w:t>ný</w:t>
      </w:r>
      <w:r w:rsidR="00B4180F" w:rsidRPr="001D3122">
        <w:t>m</w:t>
      </w:r>
      <w:r w:rsidR="00780759" w:rsidRPr="001D3122">
        <w:t xml:space="preserve"> zdrojů</w:t>
      </w:r>
      <w:r w:rsidR="00B4180F" w:rsidRPr="001D3122">
        <w:t>m převedeným z</w:t>
      </w:r>
      <w:r w:rsidR="00780759" w:rsidRPr="001D3122">
        <w:t xml:space="preserve"> </w:t>
      </w:r>
      <w:r w:rsidR="007C7FE5">
        <w:t>o</w:t>
      </w:r>
      <w:r w:rsidR="00780759" w:rsidRPr="001D3122">
        <w:t xml:space="preserve">peračního programu </w:t>
      </w:r>
      <w:r w:rsidR="00780759" w:rsidRPr="001D3122">
        <w:rPr>
          <w:i/>
        </w:rPr>
        <w:t>Podnikání a inovace</w:t>
      </w:r>
      <w:r w:rsidR="007E79CA" w:rsidRPr="001D3122">
        <w:rPr>
          <w:i/>
        </w:rPr>
        <w:t xml:space="preserve"> pro konkurenceschopnost</w:t>
      </w:r>
      <w:r w:rsidR="00AC319F" w:rsidRPr="001D3122">
        <w:t xml:space="preserve"> </w:t>
      </w:r>
      <w:r w:rsidR="00780759" w:rsidRPr="001D3122">
        <w:t>a poskytlo podporu na realizaci zbývajících kladně hodnocených projektů (viz odst. 4.9 až 4.1</w:t>
      </w:r>
      <w:r w:rsidR="005C380D">
        <w:t>8</w:t>
      </w:r>
      <w:r w:rsidR="00780759" w:rsidRPr="001D3122">
        <w:t>).</w:t>
      </w:r>
    </w:p>
    <w:p w14:paraId="57217EDE" w14:textId="77777777" w:rsidR="005A112C" w:rsidRPr="001D3122" w:rsidRDefault="007E2A6B" w:rsidP="003E0B65">
      <w:pPr>
        <w:pStyle w:val="JK1"/>
        <w:numPr>
          <w:ilvl w:val="0"/>
          <w:numId w:val="8"/>
        </w:numPr>
        <w:tabs>
          <w:tab w:val="clear" w:pos="567"/>
        </w:tabs>
        <w:ind w:left="709" w:hanging="283"/>
      </w:pPr>
      <w:r w:rsidRPr="001D3122">
        <w:t>MMR schvalovalo k podpoře projekty na základě hodnocení, které vykazovalo některé nedostatky. Zejména chybělo ověření, zda žadatelé vymezili cíle projektu konkrétně a</w:t>
      </w:r>
      <w:r w:rsidR="00FC0287">
        <w:t> </w:t>
      </w:r>
      <w:r w:rsidRPr="001D3122">
        <w:t xml:space="preserve">měřitelně </w:t>
      </w:r>
      <w:r w:rsidR="00445A24" w:rsidRPr="001D3122">
        <w:t xml:space="preserve">nebo zda dodrží podmínku výhradního použití dotace a pořízené vybavení bude využíváno pouze pacienty podpořeného </w:t>
      </w:r>
      <w:r w:rsidR="00296B2F" w:rsidRPr="001D3122">
        <w:t>pracoviště</w:t>
      </w:r>
      <w:r w:rsidR="00445A24" w:rsidRPr="001D3122">
        <w:t xml:space="preserve"> vysoce specializované péče</w:t>
      </w:r>
      <w:r w:rsidRPr="001D3122">
        <w:t xml:space="preserve">. </w:t>
      </w:r>
      <w:r w:rsidR="005F72FC" w:rsidRPr="00FB5D93">
        <w:rPr>
          <w:shd w:val="clear" w:color="auto" w:fill="FFFFFF" w:themeFill="background1"/>
        </w:rPr>
        <w:t>Dle k</w:t>
      </w:r>
      <w:r w:rsidR="002B5A04" w:rsidRPr="00FB5D93">
        <w:rPr>
          <w:shd w:val="clear" w:color="auto" w:fill="FFFFFF" w:themeFill="background1"/>
        </w:rPr>
        <w:t>ritéria k posouzení p</w:t>
      </w:r>
      <w:r w:rsidRPr="00FB5D93">
        <w:rPr>
          <w:shd w:val="clear" w:color="auto" w:fill="FFFFFF" w:themeFill="background1"/>
        </w:rPr>
        <w:t>otřebnost</w:t>
      </w:r>
      <w:r w:rsidR="002B5A04" w:rsidRPr="00FB5D93">
        <w:rPr>
          <w:shd w:val="clear" w:color="auto" w:fill="FFFFFF" w:themeFill="background1"/>
        </w:rPr>
        <w:t>i</w:t>
      </w:r>
      <w:r w:rsidR="005F72FC" w:rsidRPr="00FB5D93">
        <w:rPr>
          <w:shd w:val="clear" w:color="auto" w:fill="FFFFFF" w:themeFill="background1"/>
        </w:rPr>
        <w:t>, které</w:t>
      </w:r>
      <w:r w:rsidRPr="00FB5D93">
        <w:rPr>
          <w:shd w:val="clear" w:color="auto" w:fill="FFFFFF" w:themeFill="background1"/>
        </w:rPr>
        <w:t xml:space="preserve"> </w:t>
      </w:r>
      <w:r w:rsidR="00AB39F0" w:rsidRPr="00FB5D93">
        <w:rPr>
          <w:shd w:val="clear" w:color="auto" w:fill="FFFFFF" w:themeFill="background1"/>
        </w:rPr>
        <w:t>MMR</w:t>
      </w:r>
      <w:r w:rsidR="002B5A04" w:rsidRPr="00FB5D93">
        <w:rPr>
          <w:shd w:val="clear" w:color="auto" w:fill="FFFFFF" w:themeFill="background1"/>
        </w:rPr>
        <w:t xml:space="preserve"> definovalo</w:t>
      </w:r>
      <w:r w:rsidR="005F72FC" w:rsidRPr="00FB5D93">
        <w:rPr>
          <w:shd w:val="clear" w:color="auto" w:fill="FFFFFF" w:themeFill="background1"/>
        </w:rPr>
        <w:t xml:space="preserve">, </w:t>
      </w:r>
      <w:r w:rsidR="006E005E" w:rsidRPr="00FB5D93">
        <w:rPr>
          <w:shd w:val="clear" w:color="auto" w:fill="FFFFFF" w:themeFill="background1"/>
        </w:rPr>
        <w:t>bylo pouze formálně ověřováno, zda žádost obsahuje pasáž zdůvodňující pořízení požadovaného zdravotnického vybavení</w:t>
      </w:r>
      <w:r w:rsidR="00056D2B" w:rsidRPr="00FB5D93">
        <w:t>;</w:t>
      </w:r>
      <w:r w:rsidR="00056D2B" w:rsidRPr="001D3122">
        <w:t xml:space="preserve"> NKÚ zjistil </w:t>
      </w:r>
      <w:r w:rsidR="00980C4B" w:rsidRPr="001D3122">
        <w:t xml:space="preserve">tři takové případy </w:t>
      </w:r>
      <w:r w:rsidR="00056D2B" w:rsidRPr="001D3122">
        <w:t>při kontrole u</w:t>
      </w:r>
      <w:r w:rsidR="00FC0287">
        <w:t> </w:t>
      </w:r>
      <w:r w:rsidR="00056D2B" w:rsidRPr="001D3122">
        <w:t>příjemců podpory</w:t>
      </w:r>
      <w:r w:rsidR="00AB39F0" w:rsidRPr="001D3122">
        <w:t xml:space="preserve"> (viz odst. 4.</w:t>
      </w:r>
      <w:r w:rsidR="005F004A" w:rsidRPr="001D3122">
        <w:t>1</w:t>
      </w:r>
      <w:r w:rsidR="005C380D">
        <w:t>9</w:t>
      </w:r>
      <w:r w:rsidR="00AB39F0" w:rsidRPr="001D3122">
        <w:t xml:space="preserve"> až 4.</w:t>
      </w:r>
      <w:r w:rsidR="004A5FD8" w:rsidRPr="001D3122">
        <w:t>3</w:t>
      </w:r>
      <w:r w:rsidR="00E17F09">
        <w:t>1 a 4.4</w:t>
      </w:r>
      <w:r w:rsidR="000F5EF3">
        <w:t>5</w:t>
      </w:r>
      <w:r w:rsidR="00AB39F0" w:rsidRPr="001D3122">
        <w:t>).</w:t>
      </w:r>
      <w:r w:rsidRPr="001D3122">
        <w:t xml:space="preserve"> </w:t>
      </w:r>
    </w:p>
    <w:p w14:paraId="3B0D011C" w14:textId="77777777" w:rsidR="00557104" w:rsidRPr="001D3122" w:rsidRDefault="007E2A6B" w:rsidP="006E2D4A">
      <w:pPr>
        <w:pStyle w:val="JK1"/>
        <w:keepLines/>
        <w:numPr>
          <w:ilvl w:val="0"/>
          <w:numId w:val="8"/>
        </w:numPr>
        <w:tabs>
          <w:tab w:val="clear" w:pos="567"/>
        </w:tabs>
        <w:ind w:left="709" w:hanging="284"/>
      </w:pPr>
      <w:r w:rsidRPr="001D3122">
        <w:t xml:space="preserve">Systém kontrol nastavený MMR nezajišťoval v plném rozsahu ověření, zda od ukončení realizace projektu příjemce provozoval pořízené zdravotnické vybavení </w:t>
      </w:r>
      <w:r w:rsidR="0059777D" w:rsidRPr="001D3122">
        <w:t>v</w:t>
      </w:r>
      <w:r w:rsidR="00CE0B0D">
        <w:t xml:space="preserve"> </w:t>
      </w:r>
      <w:r w:rsidR="0059777D" w:rsidRPr="001D3122">
        <w:t xml:space="preserve">plném rozsahu </w:t>
      </w:r>
      <w:r w:rsidRPr="001D3122">
        <w:t>a poskytoval zdravotní služby pacientům, pro které bylo vybavení určeno (viz</w:t>
      </w:r>
      <w:r w:rsidR="006E2D4A">
        <w:t> </w:t>
      </w:r>
      <w:r w:rsidRPr="001D3122">
        <w:t>odst. 4.</w:t>
      </w:r>
      <w:r w:rsidR="004A5FD8" w:rsidRPr="001D3122">
        <w:t>3</w:t>
      </w:r>
      <w:r w:rsidR="005C380D">
        <w:t>2</w:t>
      </w:r>
      <w:r w:rsidRPr="001D3122">
        <w:t xml:space="preserve"> až 4.</w:t>
      </w:r>
      <w:r w:rsidR="004A5FD8" w:rsidRPr="001D3122">
        <w:t>3</w:t>
      </w:r>
      <w:r w:rsidR="005C380D">
        <w:t>8</w:t>
      </w:r>
      <w:r w:rsidRPr="001D3122">
        <w:t>).</w:t>
      </w:r>
    </w:p>
    <w:p w14:paraId="7CF06FAD" w14:textId="77777777" w:rsidR="00617E0E" w:rsidRPr="001D3122" w:rsidRDefault="007E2A6B" w:rsidP="00B43E80">
      <w:pPr>
        <w:pStyle w:val="JK1"/>
        <w:numPr>
          <w:ilvl w:val="0"/>
          <w:numId w:val="8"/>
        </w:numPr>
        <w:tabs>
          <w:tab w:val="clear" w:pos="567"/>
        </w:tabs>
        <w:ind w:left="709" w:hanging="283"/>
      </w:pPr>
      <w:r w:rsidRPr="001D3122">
        <w:lastRenderedPageBreak/>
        <w:t>Z kontrolovaného objemu prostředků ve výši 602 mil. Kč na pořízení zdravotnického vybavení p</w:t>
      </w:r>
      <w:r w:rsidR="0065324F" w:rsidRPr="001D3122">
        <w:t xml:space="preserve">říjemci </w:t>
      </w:r>
      <w:r w:rsidR="00FB5D93">
        <w:t>vynaložili</w:t>
      </w:r>
      <w:r w:rsidR="00FB5D93" w:rsidRPr="001D3122">
        <w:t xml:space="preserve"> </w:t>
      </w:r>
      <w:r w:rsidR="0065324F" w:rsidRPr="001D3122">
        <w:t xml:space="preserve">podporu </w:t>
      </w:r>
      <w:r w:rsidRPr="001D3122">
        <w:t>v 99,</w:t>
      </w:r>
      <w:r w:rsidR="004A6B6A">
        <w:t>5</w:t>
      </w:r>
      <w:r w:rsidRPr="001D3122">
        <w:t xml:space="preserve"> % </w:t>
      </w:r>
      <w:r w:rsidR="0065324F" w:rsidRPr="001D3122">
        <w:t>účelně</w:t>
      </w:r>
      <w:r w:rsidRPr="001D3122">
        <w:t>, případně s mírnými nedostatky</w:t>
      </w:r>
      <w:r w:rsidR="00187F0D" w:rsidRPr="001D3122">
        <w:t>,</w:t>
      </w:r>
      <w:r w:rsidR="002A2CB2" w:rsidRPr="001D3122">
        <w:t xml:space="preserve"> a pouze 0,</w:t>
      </w:r>
      <w:r w:rsidR="00FE69AE">
        <w:t>5</w:t>
      </w:r>
      <w:r w:rsidR="002A2CB2" w:rsidRPr="001D3122">
        <w:t xml:space="preserve"> % vynaložili omezeně účelně</w:t>
      </w:r>
      <w:r w:rsidR="00372FC2" w:rsidRPr="001D3122">
        <w:t xml:space="preserve"> (viz odst. 4.</w:t>
      </w:r>
      <w:r w:rsidR="005F004A" w:rsidRPr="001D3122">
        <w:t>4</w:t>
      </w:r>
      <w:r w:rsidR="000F5EF3">
        <w:t>1</w:t>
      </w:r>
      <w:r w:rsidR="00372FC2" w:rsidRPr="001D3122">
        <w:t xml:space="preserve"> až 4.</w:t>
      </w:r>
      <w:r w:rsidR="004A5FD8" w:rsidRPr="001D3122">
        <w:t>4</w:t>
      </w:r>
      <w:r w:rsidR="000F5EF3">
        <w:t>6</w:t>
      </w:r>
      <w:r w:rsidR="00372FC2" w:rsidRPr="001D3122">
        <w:t>)</w:t>
      </w:r>
      <w:r w:rsidR="002A2CB2" w:rsidRPr="001D3122">
        <w:t>.</w:t>
      </w:r>
    </w:p>
    <w:p w14:paraId="2EF93E41" w14:textId="77777777" w:rsidR="00A95047" w:rsidRPr="001D3122" w:rsidRDefault="007E2A6B" w:rsidP="005F004A">
      <w:pPr>
        <w:pStyle w:val="JK1"/>
        <w:numPr>
          <w:ilvl w:val="0"/>
          <w:numId w:val="8"/>
        </w:numPr>
        <w:tabs>
          <w:tab w:val="clear" w:pos="567"/>
        </w:tabs>
        <w:ind w:left="709" w:hanging="283"/>
      </w:pPr>
      <w:r w:rsidRPr="001D3122">
        <w:t xml:space="preserve">Z kontrolovaného objemu prostředků na pořízení zdravotnického vybavení ve výši </w:t>
      </w:r>
      <w:r w:rsidR="001B67C7">
        <w:br/>
      </w:r>
      <w:r w:rsidRPr="001D3122">
        <w:t>615</w:t>
      </w:r>
      <w:r w:rsidR="001B67C7">
        <w:t xml:space="preserve"> </w:t>
      </w:r>
      <w:r w:rsidRPr="001D3122">
        <w:t>mil. Kč</w:t>
      </w:r>
      <w:r w:rsidR="00097A99" w:rsidRPr="001D3122">
        <w:t xml:space="preserve"> </w:t>
      </w:r>
      <w:r w:rsidRPr="001D3122">
        <w:t>vynaložili příjemci podporu v 95,</w:t>
      </w:r>
      <w:r w:rsidR="004A6B6A">
        <w:t>6</w:t>
      </w:r>
      <w:r w:rsidR="003835DE">
        <w:t xml:space="preserve"> </w:t>
      </w:r>
      <w:r w:rsidRPr="001D3122">
        <w:t>% hospodárně, případně s mírnými nedostatky</w:t>
      </w:r>
      <w:r w:rsidR="00E75F7A" w:rsidRPr="001D3122">
        <w:t>,</w:t>
      </w:r>
      <w:r w:rsidRPr="001D3122">
        <w:t xml:space="preserve"> a 4,</w:t>
      </w:r>
      <w:r w:rsidR="00FE69AE">
        <w:t>4</w:t>
      </w:r>
      <w:r w:rsidRPr="001D3122">
        <w:t xml:space="preserve"> % čerpali omezeně hospodárně</w:t>
      </w:r>
      <w:r w:rsidR="00372FC2" w:rsidRPr="001D3122">
        <w:t xml:space="preserve"> (viz odst. 4.</w:t>
      </w:r>
      <w:r w:rsidR="005C380D">
        <w:t>4</w:t>
      </w:r>
      <w:r w:rsidR="003E16D5">
        <w:t>7</w:t>
      </w:r>
      <w:r w:rsidR="00372FC2" w:rsidRPr="001D3122">
        <w:t xml:space="preserve"> až 4.</w:t>
      </w:r>
      <w:r w:rsidR="005F004A" w:rsidRPr="001D3122">
        <w:t>5</w:t>
      </w:r>
      <w:r w:rsidR="003E16D5">
        <w:t>1</w:t>
      </w:r>
      <w:r w:rsidR="00372FC2" w:rsidRPr="001D3122">
        <w:t>)</w:t>
      </w:r>
      <w:r w:rsidRPr="001D3122">
        <w:t>.</w:t>
      </w:r>
    </w:p>
    <w:p w14:paraId="2AD60793" w14:textId="77777777" w:rsidR="006A6BA0" w:rsidRPr="00232EB7" w:rsidRDefault="007E2A6B" w:rsidP="005E68DD">
      <w:pPr>
        <w:pStyle w:val="Nadpis1"/>
      </w:pPr>
      <w:r>
        <w:t xml:space="preserve">II. </w:t>
      </w:r>
      <w:r w:rsidRPr="00232EB7">
        <w:t>Informace o kontrolované oblasti</w:t>
      </w:r>
    </w:p>
    <w:p w14:paraId="6FED6293" w14:textId="77777777" w:rsidR="00626D26" w:rsidRDefault="007E2A6B" w:rsidP="001A4F81">
      <w:pPr>
        <w:pStyle w:val="JK2"/>
        <w:tabs>
          <w:tab w:val="clear" w:pos="567"/>
          <w:tab w:val="left" w:pos="482"/>
        </w:tabs>
        <w:spacing w:after="0"/>
      </w:pPr>
      <w:r>
        <w:t>V </w:t>
      </w:r>
      <w:r w:rsidRPr="00481431">
        <w:t>oblasti zdravotnictví</w:t>
      </w:r>
      <w:r>
        <w:t xml:space="preserve"> jsou problémem regionální </w:t>
      </w:r>
      <w:r w:rsidR="00133569">
        <w:t>nerovnosti</w:t>
      </w:r>
      <w:r>
        <w:t xml:space="preserve"> v dostupnosti a kvalitě vysoce specializované a návazné zdravotní péče</w:t>
      </w:r>
      <w:r w:rsidRPr="00FB5D93">
        <w:t xml:space="preserve">. </w:t>
      </w:r>
      <w:r w:rsidR="00672471" w:rsidRPr="00FB5D93">
        <w:t>Vlastní poskytování zdravotní péče je hrazeno prostřednictvím zdravotních pojišťoven na základě úhradové vyhlášky.</w:t>
      </w:r>
      <w:r w:rsidR="00672471">
        <w:t xml:space="preserve"> </w:t>
      </w:r>
      <w:r w:rsidR="00057805">
        <w:t xml:space="preserve">Předpokladem </w:t>
      </w:r>
      <w:r w:rsidR="00481431">
        <w:br/>
      </w:r>
      <w:r w:rsidR="00057805">
        <w:t>pro</w:t>
      </w:r>
      <w:r w:rsidR="00481431">
        <w:t xml:space="preserve"> </w:t>
      </w:r>
      <w:r w:rsidR="00057805">
        <w:t>poskytování kvalitní a dostupné zdravotní péče je zajištění dostatečně kvalitní materiálně</w:t>
      </w:r>
      <w:r w:rsidR="00FC0287">
        <w:noBreakHyphen/>
      </w:r>
      <w:r w:rsidR="00057805">
        <w:t>technické základny.</w:t>
      </w:r>
    </w:p>
    <w:p w14:paraId="00EB88E2" w14:textId="77777777" w:rsidR="00626D26" w:rsidRDefault="007E2A6B" w:rsidP="004030D4">
      <w:pPr>
        <w:pStyle w:val="JK2"/>
        <w:tabs>
          <w:tab w:val="clear" w:pos="567"/>
          <w:tab w:val="left" w:pos="482"/>
        </w:tabs>
        <w:spacing w:after="0"/>
      </w:pPr>
      <w:r>
        <w:t>Dotační podpora infrastruktury regionální zdravotní péče je v České republice poskytována z</w:t>
      </w:r>
      <w:r w:rsidR="007B0636">
        <w:t>e</w:t>
      </w:r>
      <w:r w:rsidR="00CE0B0D">
        <w:t xml:space="preserve"> </w:t>
      </w:r>
      <w:r>
        <w:t xml:space="preserve">zdrojů </w:t>
      </w:r>
      <w:r w:rsidR="007B0636">
        <w:t xml:space="preserve">státního rozpočtu </w:t>
      </w:r>
      <w:r>
        <w:t>a ze zdrojů Evropské unie</w:t>
      </w:r>
      <w:r w:rsidR="005E78C6">
        <w:t xml:space="preserve"> (dále také „EU“)</w:t>
      </w:r>
      <w:r w:rsidR="009C4E9A">
        <w:t>, konkrétně z </w:t>
      </w:r>
      <w:r w:rsidR="009C4E9A" w:rsidRPr="00901820">
        <w:rPr>
          <w:i/>
        </w:rPr>
        <w:t>Evropského fondu pro regionální rozvoj</w:t>
      </w:r>
      <w:r w:rsidR="009C4E9A" w:rsidRPr="00F67BA9">
        <w:t xml:space="preserve"> (dále t</w:t>
      </w:r>
      <w:r w:rsidR="009C4E9A">
        <w:t>aké</w:t>
      </w:r>
      <w:r w:rsidR="009C4E9A" w:rsidRPr="00F67BA9">
        <w:t xml:space="preserve"> „EFRR“)</w:t>
      </w:r>
      <w:r>
        <w:t xml:space="preserve">. </w:t>
      </w:r>
      <w:r w:rsidR="004B1A30">
        <w:t>Ministerstv</w:t>
      </w:r>
      <w:r w:rsidR="007B0636">
        <w:t>o</w:t>
      </w:r>
      <w:r w:rsidR="004B1A30">
        <w:t xml:space="preserve"> zdravotnictví </w:t>
      </w:r>
      <w:r w:rsidR="00625E07">
        <w:t>(dále také „</w:t>
      </w:r>
      <w:proofErr w:type="spellStart"/>
      <w:r w:rsidR="00625E07">
        <w:t>MZd</w:t>
      </w:r>
      <w:proofErr w:type="spellEnd"/>
      <w:r w:rsidR="00625E07">
        <w:t xml:space="preserve">“) </w:t>
      </w:r>
      <w:r w:rsidR="007B0636" w:rsidRPr="007B0636">
        <w:t>poskytuje podporu z</w:t>
      </w:r>
      <w:r w:rsidR="007B0636">
        <w:t>e</w:t>
      </w:r>
      <w:r w:rsidR="007B0636" w:rsidRPr="007B0636">
        <w:t xml:space="preserve"> zdrojů </w:t>
      </w:r>
      <w:r w:rsidR="007B0636">
        <w:t xml:space="preserve">státního rozpočtu </w:t>
      </w:r>
      <w:r w:rsidR="007B0636" w:rsidRPr="007B0636">
        <w:t>prostřednictvím národních dotačních programů zejména fakultním nemocnicím a dalším nemocnicím zřizovaným státem</w:t>
      </w:r>
      <w:r w:rsidR="004B1A30">
        <w:t xml:space="preserve">. </w:t>
      </w:r>
    </w:p>
    <w:p w14:paraId="66EEF3BB" w14:textId="77777777" w:rsidR="004B1A30" w:rsidRDefault="007E2A6B" w:rsidP="004030D4">
      <w:pPr>
        <w:pStyle w:val="JK2"/>
        <w:tabs>
          <w:tab w:val="clear" w:pos="567"/>
          <w:tab w:val="left" w:pos="482"/>
        </w:tabs>
        <w:spacing w:after="0"/>
      </w:pPr>
      <w:r w:rsidRPr="007C45C7">
        <w:t>Ze zdrojů EU je infrastruktura</w:t>
      </w:r>
      <w:r>
        <w:t xml:space="preserve"> regionální zdravotní péče podporována z </w:t>
      </w:r>
      <w:r w:rsidRPr="006E318D">
        <w:rPr>
          <w:i/>
        </w:rPr>
        <w:t>Integrovaného regionálního operačního programu</w:t>
      </w:r>
      <w:r>
        <w:t>, a to v rámci</w:t>
      </w:r>
    </w:p>
    <w:p w14:paraId="78093E86" w14:textId="77777777" w:rsidR="004B1A30" w:rsidRDefault="007C45C7" w:rsidP="00B43E80">
      <w:pPr>
        <w:pStyle w:val="JK2"/>
        <w:numPr>
          <w:ilvl w:val="0"/>
          <w:numId w:val="10"/>
        </w:numPr>
        <w:tabs>
          <w:tab w:val="clear" w:pos="567"/>
          <w:tab w:val="left" w:pos="426"/>
        </w:tabs>
        <w:spacing w:before="0" w:after="0"/>
        <w:ind w:left="777" w:hanging="357"/>
      </w:pPr>
      <w:r>
        <w:t>s</w:t>
      </w:r>
      <w:r w:rsidR="007E2A6B" w:rsidRPr="004F7FAB">
        <w:t>pecifického cíle 2.3:</w:t>
      </w:r>
      <w:r w:rsidR="007E2A6B">
        <w:rPr>
          <w:i/>
        </w:rPr>
        <w:t xml:space="preserve"> Rozvoj infrastruktury pro poskytování zdravotních služeb a péče o zdraví</w:t>
      </w:r>
      <w:r w:rsidR="000B638B">
        <w:t xml:space="preserve"> (dále t</w:t>
      </w:r>
      <w:r w:rsidR="005E78C6">
        <w:t>aké</w:t>
      </w:r>
      <w:r w:rsidR="000B638B">
        <w:t xml:space="preserve"> „SC 2.3“)</w:t>
      </w:r>
      <w:r w:rsidR="007E2A6B">
        <w:t xml:space="preserve"> a</w:t>
      </w:r>
    </w:p>
    <w:p w14:paraId="15B08E12" w14:textId="77777777" w:rsidR="004B1A30" w:rsidRDefault="007C45C7" w:rsidP="00B43E80">
      <w:pPr>
        <w:pStyle w:val="JK2"/>
        <w:numPr>
          <w:ilvl w:val="0"/>
          <w:numId w:val="10"/>
        </w:numPr>
        <w:tabs>
          <w:tab w:val="clear" w:pos="567"/>
          <w:tab w:val="left" w:pos="426"/>
        </w:tabs>
        <w:spacing w:before="0" w:after="0"/>
        <w:ind w:left="777" w:hanging="357"/>
      </w:pPr>
      <w:r>
        <w:t>p</w:t>
      </w:r>
      <w:r w:rsidR="007E2A6B" w:rsidRPr="004F7FAB">
        <w:t>rioritní osy 6:</w:t>
      </w:r>
      <w:r w:rsidR="007E2A6B">
        <w:rPr>
          <w:i/>
        </w:rPr>
        <w:t xml:space="preserve"> REACT-</w:t>
      </w:r>
      <w:r w:rsidR="00967839">
        <w:rPr>
          <w:i/>
        </w:rPr>
        <w:t>E</w:t>
      </w:r>
      <w:r w:rsidR="007E2A6B">
        <w:rPr>
          <w:i/>
        </w:rPr>
        <w:t>U</w:t>
      </w:r>
      <w:r w:rsidR="007E2A6B">
        <w:rPr>
          <w:rStyle w:val="Znakapoznpodarou"/>
          <w:i/>
        </w:rPr>
        <w:footnoteReference w:id="4"/>
      </w:r>
      <w:r w:rsidR="007E2A6B">
        <w:rPr>
          <w:i/>
        </w:rPr>
        <w:t>.</w:t>
      </w:r>
    </w:p>
    <w:p w14:paraId="314717E4" w14:textId="77777777" w:rsidR="00044FD4" w:rsidRDefault="007E2A6B" w:rsidP="00BD0AB5">
      <w:pPr>
        <w:pStyle w:val="JK2"/>
        <w:tabs>
          <w:tab w:val="clear" w:pos="567"/>
          <w:tab w:val="left" w:pos="482"/>
        </w:tabs>
      </w:pPr>
      <w:r>
        <w:t>Intervence z</w:t>
      </w:r>
      <w:r w:rsidR="000B638B">
        <w:t>e</w:t>
      </w:r>
      <w:r w:rsidR="007C45C7">
        <w:t xml:space="preserve"> </w:t>
      </w:r>
      <w:r>
        <w:t>SC 2.3 IROP jsou zaměřeny na vyrovnání postavení nemocných v systému zdravotní péče v ČR, posílení sociálního začlenění a umožnění přesunu péče do komunity, což by mělo umožnit přístup ke kvalitním zdravotním službám, které doposud nebyly ve všech regionech dostupné.</w:t>
      </w:r>
      <w:r w:rsidR="00C83167">
        <w:t xml:space="preserve"> </w:t>
      </w:r>
      <w:r>
        <w:t xml:space="preserve">Cílem je dle programového dokumentu IROP zlepšení systému funkční </w:t>
      </w:r>
      <w:r w:rsidR="00CE0B0D">
        <w:br/>
      </w:r>
      <w:r>
        <w:t>a</w:t>
      </w:r>
      <w:r w:rsidR="00CE0B0D">
        <w:t xml:space="preserve"> </w:t>
      </w:r>
      <w:r>
        <w:t>udržitelné péče</w:t>
      </w:r>
      <w:r w:rsidR="00DC7B35">
        <w:t xml:space="preserve">, podporující sociální začleňování osob ohrožených sociálním vyloučením v důsledku jejich zdravotního stavu, ztížené dostupnosti zdravotních služeb, a zkrácení doby pobytu </w:t>
      </w:r>
      <w:r w:rsidR="007B0636">
        <w:t xml:space="preserve">pacientů </w:t>
      </w:r>
      <w:r w:rsidR="00DC7B35">
        <w:t>mimo přirozené prostředí a doby pracovní neschopnosti.</w:t>
      </w:r>
    </w:p>
    <w:p w14:paraId="0F6C4705" w14:textId="77777777" w:rsidR="004B1A30" w:rsidRDefault="007E2A6B" w:rsidP="00E45D1C">
      <w:pPr>
        <w:pStyle w:val="JK2"/>
        <w:keepNext/>
        <w:tabs>
          <w:tab w:val="clear" w:pos="567"/>
          <w:tab w:val="left" w:pos="482"/>
        </w:tabs>
        <w:spacing w:after="0"/>
      </w:pPr>
      <w:r>
        <w:t>Podpora z</w:t>
      </w:r>
      <w:r w:rsidR="000B638B">
        <w:t>e</w:t>
      </w:r>
      <w:r w:rsidR="0008587C">
        <w:t xml:space="preserve"> </w:t>
      </w:r>
      <w:r>
        <w:t>SC</w:t>
      </w:r>
      <w:r w:rsidR="0008587C">
        <w:t xml:space="preserve"> </w:t>
      </w:r>
      <w:r>
        <w:t xml:space="preserve">2.3 </w:t>
      </w:r>
      <w:r w:rsidR="00402A02">
        <w:t xml:space="preserve">IROP </w:t>
      </w:r>
      <w:r>
        <w:t xml:space="preserve">v rámci dvou </w:t>
      </w:r>
      <w:r w:rsidR="0099446D">
        <w:t xml:space="preserve">průběžných (nesoutěžních) </w:t>
      </w:r>
      <w:r>
        <w:t>výzev směřov</w:t>
      </w:r>
      <w:r w:rsidR="005E71FF">
        <w:t>ala</w:t>
      </w:r>
      <w:r>
        <w:t xml:space="preserve"> </w:t>
      </w:r>
      <w:r w:rsidR="005E71FF">
        <w:t>na</w:t>
      </w:r>
      <w:r w:rsidR="003F7C89">
        <w:t xml:space="preserve"> </w:t>
      </w:r>
      <w:r>
        <w:t>modernizac</w:t>
      </w:r>
      <w:r w:rsidR="005E71FF">
        <w:t>i</w:t>
      </w:r>
      <w:r>
        <w:t xml:space="preserve"> základní infrastruktury sítí poskytovatelů zdravotních služeb zaměřených na</w:t>
      </w:r>
      <w:r w:rsidR="003F7C89">
        <w:t xml:space="preserve"> </w:t>
      </w:r>
      <w:r>
        <w:t>poskytování vysoce specializované péče a dále na péči na ni navazující, tj. návaznou</w:t>
      </w:r>
      <w:r w:rsidR="00C83167">
        <w:t>:</w:t>
      </w:r>
    </w:p>
    <w:p w14:paraId="47ED3F57" w14:textId="77777777" w:rsidR="00C83167" w:rsidRDefault="007E2A6B" w:rsidP="00B43E80">
      <w:pPr>
        <w:pStyle w:val="KPnormal"/>
        <w:numPr>
          <w:ilvl w:val="0"/>
          <w:numId w:val="13"/>
        </w:numPr>
        <w:tabs>
          <w:tab w:val="left" w:pos="482"/>
        </w:tabs>
        <w:spacing w:before="0" w:line="240" w:lineRule="auto"/>
        <w:ind w:left="850" w:hanging="357"/>
      </w:pPr>
      <w:r w:rsidRPr="00C83167">
        <w:t xml:space="preserve">Vysoce specializovanou péčí se rozumí péče poskytovaná v centrech vysoce specializované péče, </w:t>
      </w:r>
      <w:r w:rsidR="00F374A7" w:rsidRPr="00C83167">
        <w:t>kter</w:t>
      </w:r>
      <w:r w:rsidR="00F374A7">
        <w:t>á</w:t>
      </w:r>
      <w:r w:rsidR="00F374A7" w:rsidRPr="00C83167">
        <w:t xml:space="preserve"> </w:t>
      </w:r>
      <w:r w:rsidRPr="00C83167">
        <w:t xml:space="preserve">jsou </w:t>
      </w:r>
      <w:r w:rsidR="00F374A7" w:rsidRPr="00C83167">
        <w:t>definován</w:t>
      </w:r>
      <w:r w:rsidR="00F374A7">
        <w:t>a</w:t>
      </w:r>
      <w:r w:rsidR="00F374A7" w:rsidRPr="00C83167">
        <w:t xml:space="preserve"> </w:t>
      </w:r>
      <w:r w:rsidRPr="00C83167">
        <w:t>zákonem o zdravotních službách</w:t>
      </w:r>
      <w:r>
        <w:rPr>
          <w:rStyle w:val="Znakapoznpodarou"/>
        </w:rPr>
        <w:footnoteReference w:id="5"/>
      </w:r>
      <w:r w:rsidRPr="00C83167">
        <w:t>. V</w:t>
      </w:r>
      <w:r>
        <w:t> </w:t>
      </w:r>
      <w:r w:rsidRPr="00C83167">
        <w:t>programovém období 2014</w:t>
      </w:r>
      <w:r w:rsidR="005D2CEC">
        <w:t>–</w:t>
      </w:r>
      <w:r w:rsidRPr="00C83167">
        <w:t>2020 byla podporována vysoce specializovaná centra v</w:t>
      </w:r>
      <w:r w:rsidR="00FC0287">
        <w:t> </w:t>
      </w:r>
      <w:r w:rsidRPr="00C83167">
        <w:t xml:space="preserve">oblasti </w:t>
      </w:r>
      <w:proofErr w:type="spellStart"/>
      <w:r w:rsidRPr="00C83167">
        <w:t>onkogynekologie</w:t>
      </w:r>
      <w:proofErr w:type="spellEnd"/>
      <w:r w:rsidRPr="00C83167">
        <w:t xml:space="preserve"> a </w:t>
      </w:r>
      <w:proofErr w:type="spellStart"/>
      <w:r w:rsidRPr="00C83167">
        <w:t>perinatologie</w:t>
      </w:r>
      <w:proofErr w:type="spellEnd"/>
      <w:r w:rsidRPr="00C83167">
        <w:t>.</w:t>
      </w:r>
    </w:p>
    <w:p w14:paraId="73A3D31B" w14:textId="77777777" w:rsidR="0081663A" w:rsidRDefault="007E2A6B" w:rsidP="00A84D31">
      <w:pPr>
        <w:pStyle w:val="KPnormal"/>
        <w:keepLines/>
        <w:numPr>
          <w:ilvl w:val="0"/>
          <w:numId w:val="13"/>
        </w:numPr>
        <w:tabs>
          <w:tab w:val="left" w:pos="482"/>
        </w:tabs>
        <w:spacing w:before="0" w:line="240" w:lineRule="auto"/>
        <w:ind w:left="850" w:hanging="357"/>
      </w:pPr>
      <w:r>
        <w:lastRenderedPageBreak/>
        <w:t xml:space="preserve">Pro účely poskytování podpory z IROP </w:t>
      </w:r>
      <w:r w:rsidR="007B0636">
        <w:t>M</w:t>
      </w:r>
      <w:r w:rsidR="00932B0C">
        <w:t>inisterstvo zdravotnictví</w:t>
      </w:r>
      <w:r w:rsidR="007B0636">
        <w:t xml:space="preserve"> </w:t>
      </w:r>
      <w:r w:rsidR="002C101C">
        <w:t>vymezilo</w:t>
      </w:r>
      <w:r w:rsidR="007B0636">
        <w:t xml:space="preserve"> v červnu 2014 </w:t>
      </w:r>
      <w:r>
        <w:t>návazn</w:t>
      </w:r>
      <w:r w:rsidR="007B0636">
        <w:t>ou</w:t>
      </w:r>
      <w:r>
        <w:t xml:space="preserve"> </w:t>
      </w:r>
      <w:r w:rsidR="007B33CD">
        <w:t xml:space="preserve">zdravotní </w:t>
      </w:r>
      <w:r>
        <w:t>péč</w:t>
      </w:r>
      <w:r w:rsidR="007B0636">
        <w:t>i</w:t>
      </w:r>
      <w:r>
        <w:t xml:space="preserve"> v </w:t>
      </w:r>
      <w:r w:rsidRPr="00C83167">
        <w:rPr>
          <w:i/>
        </w:rPr>
        <w:t>Koncepci návazné péče</w:t>
      </w:r>
      <w:r>
        <w:t xml:space="preserve">. Návazná </w:t>
      </w:r>
      <w:r w:rsidR="007B33CD">
        <w:t xml:space="preserve">zdravotní </w:t>
      </w:r>
      <w:r>
        <w:t xml:space="preserve">péče agreguje obory bezprostředně předcházející </w:t>
      </w:r>
      <w:r w:rsidR="00213508">
        <w:t>vysoce specializovan</w:t>
      </w:r>
      <w:r w:rsidR="00A141D1">
        <w:t>é</w:t>
      </w:r>
      <w:r w:rsidR="00213508">
        <w:t xml:space="preserve"> </w:t>
      </w:r>
      <w:r w:rsidR="00A141D1">
        <w:t>péči a dále</w:t>
      </w:r>
      <w:r>
        <w:t xml:space="preserve"> </w:t>
      </w:r>
      <w:r w:rsidR="00A141D1">
        <w:t xml:space="preserve">obory </w:t>
      </w:r>
      <w:r>
        <w:t xml:space="preserve">přímo </w:t>
      </w:r>
      <w:r w:rsidR="00A141D1">
        <w:t xml:space="preserve">na ni </w:t>
      </w:r>
      <w:r>
        <w:t>navazující.</w:t>
      </w:r>
    </w:p>
    <w:p w14:paraId="6EE69F3A" w14:textId="77777777" w:rsidR="00615ED1" w:rsidRDefault="007E2A6B" w:rsidP="00973E41">
      <w:pPr>
        <w:pStyle w:val="JK2"/>
        <w:spacing w:after="0"/>
      </w:pPr>
      <w:r>
        <w:t>V únoru 2016 uzavřel</w:t>
      </w:r>
      <w:r w:rsidR="00CA21C5">
        <w:t>y</w:t>
      </w:r>
      <w:r>
        <w:t xml:space="preserve"> </w:t>
      </w:r>
      <w:r w:rsidR="000A429E">
        <w:t>MMR a</w:t>
      </w:r>
      <w:r w:rsidR="00A141D1">
        <w:t xml:space="preserve"> </w:t>
      </w:r>
      <w:proofErr w:type="spellStart"/>
      <w:r>
        <w:t>MZd</w:t>
      </w:r>
      <w:proofErr w:type="spellEnd"/>
      <w:r>
        <w:t xml:space="preserve"> dohodu o spolupráci, na jejímž základě </w:t>
      </w:r>
      <w:proofErr w:type="spellStart"/>
      <w:r>
        <w:t>MZd</w:t>
      </w:r>
      <w:proofErr w:type="spellEnd"/>
      <w:r>
        <w:t xml:space="preserve"> </w:t>
      </w:r>
      <w:r w:rsidR="003B5219">
        <w:t>plnilo roli</w:t>
      </w:r>
      <w:r>
        <w:t xml:space="preserve"> věcného garanta SC 2.3</w:t>
      </w:r>
      <w:r w:rsidR="000A429E">
        <w:t xml:space="preserve"> IROP. S</w:t>
      </w:r>
      <w:r w:rsidR="000A429E" w:rsidRPr="000A429E">
        <w:t xml:space="preserve">polupráce </w:t>
      </w:r>
      <w:r w:rsidR="000A429E">
        <w:t>mezi oběma ministerstvy zahrnovala mimo jiné přípravu výzev (</w:t>
      </w:r>
      <w:r w:rsidR="003B5219">
        <w:t xml:space="preserve">technické parametry a </w:t>
      </w:r>
      <w:r w:rsidR="000A429E">
        <w:t>věcný obsah jejich zaměření</w:t>
      </w:r>
      <w:r w:rsidR="003B5219">
        <w:t xml:space="preserve"> </w:t>
      </w:r>
      <w:r w:rsidR="007B33CD">
        <w:t>včetně</w:t>
      </w:r>
      <w:r w:rsidR="003B5219">
        <w:t xml:space="preserve"> </w:t>
      </w:r>
      <w:r w:rsidR="003B5219" w:rsidRPr="003B5219">
        <w:t>monitorovací</w:t>
      </w:r>
      <w:r w:rsidR="007B33CD">
        <w:t>ch</w:t>
      </w:r>
      <w:r w:rsidR="003B5219">
        <w:t xml:space="preserve"> </w:t>
      </w:r>
      <w:r w:rsidR="003B5219" w:rsidRPr="003B5219">
        <w:t>indikátor</w:t>
      </w:r>
      <w:r w:rsidR="007B33CD">
        <w:t>ů</w:t>
      </w:r>
      <w:r w:rsidR="003B5219" w:rsidRPr="003B5219">
        <w:t>, plán</w:t>
      </w:r>
      <w:r w:rsidR="007B33CD">
        <w:t>u</w:t>
      </w:r>
      <w:r w:rsidR="003B5219" w:rsidRPr="003B5219">
        <w:t xml:space="preserve"> čerpání a milník</w:t>
      </w:r>
      <w:r w:rsidR="007B33CD">
        <w:t>ů</w:t>
      </w:r>
      <w:r w:rsidR="003B5219" w:rsidRPr="003B5219">
        <w:t xml:space="preserve"> implementace, hodnot</w:t>
      </w:r>
      <w:r w:rsidR="00CA21C5">
        <w:t>i</w:t>
      </w:r>
      <w:r w:rsidR="003B5219" w:rsidRPr="003B5219">
        <w:t>c</w:t>
      </w:r>
      <w:r w:rsidR="003B5219">
        <w:t>í</w:t>
      </w:r>
      <w:r w:rsidR="007B33CD">
        <w:t>ch</w:t>
      </w:r>
      <w:r w:rsidR="003B5219" w:rsidRPr="003B5219">
        <w:t xml:space="preserve"> kritéri</w:t>
      </w:r>
      <w:r w:rsidR="007B33CD">
        <w:t>í</w:t>
      </w:r>
      <w:r w:rsidR="003B5219">
        <w:t>),</w:t>
      </w:r>
      <w:r w:rsidR="000A429E">
        <w:t xml:space="preserve"> a </w:t>
      </w:r>
      <w:r w:rsidR="003B5219">
        <w:t>to prostřednictvím</w:t>
      </w:r>
      <w:r w:rsidR="000A429E">
        <w:t xml:space="preserve"> </w:t>
      </w:r>
      <w:r w:rsidR="000A429E" w:rsidRPr="000A429E">
        <w:t>účast</w:t>
      </w:r>
      <w:r w:rsidR="003B5219">
        <w:t>i</w:t>
      </w:r>
      <w:r w:rsidR="000A429E" w:rsidRPr="000A429E">
        <w:t xml:space="preserve"> zástupc</w:t>
      </w:r>
      <w:r w:rsidR="00FA0C5D">
        <w:t>ů</w:t>
      </w:r>
      <w:r w:rsidR="000A429E" w:rsidRPr="000A429E">
        <w:t xml:space="preserve"> </w:t>
      </w:r>
      <w:proofErr w:type="spellStart"/>
      <w:r w:rsidR="000A429E" w:rsidRPr="000A429E">
        <w:t>MZd</w:t>
      </w:r>
      <w:proofErr w:type="spellEnd"/>
      <w:r w:rsidR="000A429E" w:rsidRPr="000A429E">
        <w:t xml:space="preserve"> v </w:t>
      </w:r>
      <w:r w:rsidR="00CA21C5">
        <w:t>p</w:t>
      </w:r>
      <w:r w:rsidR="000A429E" w:rsidRPr="000A429E">
        <w:t xml:space="preserve">racovním týmu IROP pro SC 2.3, Monitorovacím výboru IROP </w:t>
      </w:r>
      <w:r w:rsidR="003B5219">
        <w:t xml:space="preserve">(dále také „MV IROP“) </w:t>
      </w:r>
      <w:r w:rsidR="000A429E" w:rsidRPr="000A429E">
        <w:t xml:space="preserve">a </w:t>
      </w:r>
      <w:r w:rsidR="00CA21C5">
        <w:t>p</w:t>
      </w:r>
      <w:r w:rsidR="000A429E" w:rsidRPr="000A429E">
        <w:t xml:space="preserve">racovní skupině pro plánování výzev </w:t>
      </w:r>
      <w:r w:rsidR="003B5219">
        <w:t>MV</w:t>
      </w:r>
      <w:r w:rsidR="000A429E" w:rsidRPr="000A429E">
        <w:t xml:space="preserve"> IROP.</w:t>
      </w:r>
    </w:p>
    <w:p w14:paraId="20776DFB" w14:textId="77777777" w:rsidR="00357037" w:rsidRPr="004D3301" w:rsidRDefault="007E2A6B" w:rsidP="004D3301">
      <w:pPr>
        <w:pStyle w:val="Nadpis2"/>
      </w:pPr>
      <w:r w:rsidRPr="004D3301">
        <w:t>Podpora vysoce specializované zdravotní péče</w:t>
      </w:r>
    </w:p>
    <w:p w14:paraId="20C2FE0B" w14:textId="77777777" w:rsidR="0081663A" w:rsidRDefault="007E2A6B" w:rsidP="004030D4">
      <w:pPr>
        <w:pStyle w:val="JK2"/>
        <w:tabs>
          <w:tab w:val="clear" w:pos="567"/>
          <w:tab w:val="left" w:pos="482"/>
        </w:tabs>
      </w:pPr>
      <w:r w:rsidRPr="00FA06CF">
        <w:t>Na podporu vysoce specializované zdravotní</w:t>
      </w:r>
      <w:r>
        <w:t xml:space="preserve"> péče vyhlásilo MMR v září 2015 </w:t>
      </w:r>
      <w:r w:rsidR="00EE14E8">
        <w:t>v</w:t>
      </w:r>
      <w:r>
        <w:t xml:space="preserve">ýzvu č. 5. Výzva byla zaměřena na zvýšení kvality vysoce specializované péče v oborech </w:t>
      </w:r>
      <w:proofErr w:type="spellStart"/>
      <w:r>
        <w:t>onkogynekologie</w:t>
      </w:r>
      <w:proofErr w:type="spellEnd"/>
      <w:r>
        <w:t xml:space="preserve"> a </w:t>
      </w:r>
      <w:proofErr w:type="spellStart"/>
      <w:r>
        <w:t>perinatologie</w:t>
      </w:r>
      <w:proofErr w:type="spellEnd"/>
      <w:r>
        <w:t>.</w:t>
      </w:r>
    </w:p>
    <w:p w14:paraId="7398A6E3" w14:textId="77777777" w:rsidR="00DD5B2E" w:rsidRDefault="007E2A6B" w:rsidP="003A21CF">
      <w:pPr>
        <w:pStyle w:val="JK2"/>
        <w:tabs>
          <w:tab w:val="clear" w:pos="567"/>
          <w:tab w:val="left" w:pos="482"/>
        </w:tabs>
      </w:pPr>
      <w:r>
        <w:t>Výzva určila konkrétní oprávněné žadatele</w:t>
      </w:r>
      <w:r w:rsidR="000F36CB">
        <w:t xml:space="preserve"> </w:t>
      </w:r>
      <w:r>
        <w:t>uvedením jmenného seznamu. Oprávněnými žadateli byli poskytovatelé vysoce specializované zdravotní péče v</w:t>
      </w:r>
      <w:r w:rsidR="00CE0B0D">
        <w:t xml:space="preserve"> </w:t>
      </w:r>
      <w:proofErr w:type="spellStart"/>
      <w:r>
        <w:t>onkogyn</w:t>
      </w:r>
      <w:r w:rsidR="000F36CB">
        <w:t>ek</w:t>
      </w:r>
      <w:r>
        <w:t>ologii</w:t>
      </w:r>
      <w:proofErr w:type="spellEnd"/>
      <w:r>
        <w:t xml:space="preserve"> </w:t>
      </w:r>
      <w:r w:rsidR="00CE0B0D">
        <w:br/>
      </w:r>
      <w:r>
        <w:t>a</w:t>
      </w:r>
      <w:r w:rsidR="00CE0B0D">
        <w:t xml:space="preserve"> </w:t>
      </w:r>
      <w:proofErr w:type="spellStart"/>
      <w:r>
        <w:t>perinatologii</w:t>
      </w:r>
      <w:proofErr w:type="spellEnd"/>
      <w:r>
        <w:t>, kteří byli v</w:t>
      </w:r>
      <w:r w:rsidR="00CE0B0D">
        <w:t xml:space="preserve"> </w:t>
      </w:r>
      <w:r>
        <w:t>době podání žádosti o podporu uvedeni v</w:t>
      </w:r>
      <w:r w:rsidR="00CE0B0D">
        <w:t xml:space="preserve"> </w:t>
      </w:r>
      <w:r>
        <w:t xml:space="preserve">platných </w:t>
      </w:r>
      <w:r w:rsidR="004E4E19">
        <w:rPr>
          <w:i/>
        </w:rPr>
        <w:t>v</w:t>
      </w:r>
      <w:r w:rsidRPr="003A21CF">
        <w:rPr>
          <w:i/>
        </w:rPr>
        <w:t>ěstnících Ministerstva zdravotnictví</w:t>
      </w:r>
      <w:r w:rsidR="003A21CF" w:rsidRPr="003A21CF">
        <w:rPr>
          <w:i/>
        </w:rPr>
        <w:t xml:space="preserve"> ČR</w:t>
      </w:r>
      <w:r>
        <w:t>.</w:t>
      </w:r>
      <w:r w:rsidR="008102A9">
        <w:t xml:space="preserve"> Jednalo se o 17 center vysoce specializované péče v </w:t>
      </w:r>
      <w:proofErr w:type="spellStart"/>
      <w:r w:rsidR="008102A9">
        <w:t>onkogynekologii</w:t>
      </w:r>
      <w:proofErr w:type="spellEnd"/>
      <w:r w:rsidR="008102A9">
        <w:t xml:space="preserve"> a 12 center vysoce specializované </w:t>
      </w:r>
      <w:r w:rsidR="00340F6F">
        <w:t xml:space="preserve">intenzivní </w:t>
      </w:r>
      <w:r w:rsidR="008102A9">
        <w:t>péče v </w:t>
      </w:r>
      <w:proofErr w:type="spellStart"/>
      <w:r w:rsidR="008102A9">
        <w:t>perinatologii</w:t>
      </w:r>
      <w:proofErr w:type="spellEnd"/>
      <w:r w:rsidR="008102A9">
        <w:t>.</w:t>
      </w:r>
      <w:r w:rsidR="003C7073">
        <w:t xml:space="preserve"> Každý žadatel mohl předložit jednu žádost o podporu centra vysoce specializované zdravotní péče v </w:t>
      </w:r>
      <w:proofErr w:type="spellStart"/>
      <w:r w:rsidR="003C7073">
        <w:t>onkogynekologii</w:t>
      </w:r>
      <w:proofErr w:type="spellEnd"/>
      <w:r w:rsidR="003C7073">
        <w:t xml:space="preserve"> a jednu žádost na podporu centra vysoce specializované intenzivní péče v </w:t>
      </w:r>
      <w:proofErr w:type="spellStart"/>
      <w:r w:rsidR="003C7073">
        <w:t>perinatologii</w:t>
      </w:r>
      <w:proofErr w:type="spellEnd"/>
      <w:r w:rsidR="003C7073">
        <w:t xml:space="preserve">. </w:t>
      </w:r>
      <w:r w:rsidR="00340F6F">
        <w:t xml:space="preserve">Ve výzvě byly stanoveny maximální celkové způsobilé výdaje na jednu žádost o podporu, a to pro oblast </w:t>
      </w:r>
      <w:proofErr w:type="spellStart"/>
      <w:r w:rsidR="00340F6F">
        <w:t>onkogynekologie</w:t>
      </w:r>
      <w:proofErr w:type="spellEnd"/>
      <w:r w:rsidR="00340F6F">
        <w:t xml:space="preserve"> ve výši 60 mil. Kč a pro oblast </w:t>
      </w:r>
      <w:proofErr w:type="spellStart"/>
      <w:r w:rsidR="00340F6F">
        <w:t>perinatologie</w:t>
      </w:r>
      <w:proofErr w:type="spellEnd"/>
      <w:r w:rsidR="00340F6F">
        <w:t xml:space="preserve"> ve</w:t>
      </w:r>
      <w:r w:rsidR="00FC0287">
        <w:t> </w:t>
      </w:r>
      <w:r w:rsidR="00340F6F">
        <w:t>výši 70 mil. Kč.</w:t>
      </w:r>
    </w:p>
    <w:p w14:paraId="424749D3" w14:textId="77777777" w:rsidR="0096730A" w:rsidRDefault="007E2A6B" w:rsidP="0096730A">
      <w:pPr>
        <w:pStyle w:val="JK2"/>
      </w:pPr>
      <w:bookmarkStart w:id="4" w:name="_Ref117612534"/>
      <w:bookmarkStart w:id="5" w:name="_Ref117612144"/>
      <w:r>
        <w:t>Výzva byla vyhlášena jako nesoutěžní, tj. bez věcného hodnocení žádostí o podporu, které by vzhledem k omezením stanoveným ve výzvě nebylo přínosné. Systém hodnocení přijatelnosti podaných žádostí o podporu obsahoval kritéria</w:t>
      </w:r>
      <w:r w:rsidR="00932B0C">
        <w:rPr>
          <w:rStyle w:val="Znakapoznpodarou"/>
        </w:rPr>
        <w:footnoteReference w:id="6"/>
      </w:r>
      <w:r>
        <w:t xml:space="preserve">, která musel žadatel splnit. V opačném případě </w:t>
      </w:r>
      <w:r w:rsidR="0041070F">
        <w:t>ne</w:t>
      </w:r>
      <w:r>
        <w:t xml:space="preserve">byla žádost </w:t>
      </w:r>
      <w:r w:rsidR="0041070F">
        <w:t>doporučena ke schválení</w:t>
      </w:r>
      <w:r>
        <w:t>. Některé dílčí otázky, které byly součástí hodnot</w:t>
      </w:r>
      <w:r w:rsidR="004E4E19">
        <w:t>i</w:t>
      </w:r>
      <w:r>
        <w:t xml:space="preserve">cích kritérií, byly v kontrolních listech označeny jako povinné pro posouzení externím expertem. Teprve po provedení expertního posudku hodnotitel </w:t>
      </w:r>
      <w:r w:rsidR="009B28E0">
        <w:t xml:space="preserve">CRR </w:t>
      </w:r>
      <w:r>
        <w:t>definitivně vyhodnotil splnění daného kritéria.</w:t>
      </w:r>
      <w:bookmarkEnd w:id="4"/>
      <w:r>
        <w:t xml:space="preserve"> </w:t>
      </w:r>
    </w:p>
    <w:p w14:paraId="43E80B21" w14:textId="77777777" w:rsidR="00C8529A" w:rsidRDefault="007E2A6B" w:rsidP="00C8529A">
      <w:pPr>
        <w:pStyle w:val="JK2"/>
        <w:tabs>
          <w:tab w:val="clear" w:pos="567"/>
          <w:tab w:val="left" w:pos="482"/>
        </w:tabs>
      </w:pPr>
      <w:r>
        <w:t>Aktivitami podporovanými v rámci výzvy č. 5 bylo pořízení přístrojového vybavení a</w:t>
      </w:r>
      <w:r w:rsidR="00FC0287">
        <w:t> </w:t>
      </w:r>
      <w:r>
        <w:t>technologií uvedených v </w:t>
      </w:r>
      <w:r w:rsidR="008122A3">
        <w:rPr>
          <w:i/>
        </w:rPr>
        <w:t>s</w:t>
      </w:r>
      <w:r w:rsidRPr="00C8529A">
        <w:rPr>
          <w:i/>
        </w:rPr>
        <w:t>eznamech doporučeného vybavení center vysoce specializované péče</w:t>
      </w:r>
      <w:r>
        <w:t xml:space="preserve"> v podporovaných oborech včetně instruktáže personálu a pořízení spotřebního materiálu nezbytného k uvedení přístrojů a technologií do provozu. Podpora byla poskytována na celém území ČR a cílovou skupinu tvořili pacienti vysoce specializované zdravotní péče v podporovaných oborech.</w:t>
      </w:r>
      <w:bookmarkEnd w:id="5"/>
    </w:p>
    <w:p w14:paraId="37FFC4E9" w14:textId="77777777" w:rsidR="000F3291" w:rsidRDefault="007E2A6B" w:rsidP="003A21CF">
      <w:pPr>
        <w:pStyle w:val="JK2"/>
        <w:tabs>
          <w:tab w:val="clear" w:pos="567"/>
          <w:tab w:val="left" w:pos="482"/>
        </w:tabs>
      </w:pPr>
      <w:bookmarkStart w:id="6" w:name="_Ref117611970"/>
      <w:r>
        <w:t xml:space="preserve">Jednou z podporovaných aktivit bylo pořízení přístrojů. Ke všem přístrojům, jejichž pořizovací hodnota byla vyšší než 5 mil. Kč </w:t>
      </w:r>
      <w:r w:rsidR="00810596">
        <w:t>(</w:t>
      </w:r>
      <w:r>
        <w:t>bez DPH</w:t>
      </w:r>
      <w:r w:rsidR="00810596">
        <w:t>)</w:t>
      </w:r>
      <w:r w:rsidR="00D82C86">
        <w:t>,</w:t>
      </w:r>
      <w:r>
        <w:t xml:space="preserve"> byli žadatelé povinni předkládat </w:t>
      </w:r>
      <w:r w:rsidR="00D82C86">
        <w:t>„s</w:t>
      </w:r>
      <w:r w:rsidRPr="003A21CF">
        <w:rPr>
          <w:i/>
        </w:rPr>
        <w:t xml:space="preserve">tanovisko Přístrojové komise </w:t>
      </w:r>
      <w:r w:rsidR="008D0677" w:rsidRPr="003A21CF">
        <w:rPr>
          <w:i/>
        </w:rPr>
        <w:t>M</w:t>
      </w:r>
      <w:r w:rsidR="00340F6F">
        <w:rPr>
          <w:i/>
        </w:rPr>
        <w:t>inisterstva zdravotnictví</w:t>
      </w:r>
      <w:r w:rsidR="00D82C86">
        <w:t>“</w:t>
      </w:r>
      <w:r w:rsidR="003A21CF">
        <w:t>.</w:t>
      </w:r>
      <w:r>
        <w:t xml:space="preserve"> </w:t>
      </w:r>
      <w:r w:rsidR="003A21CF">
        <w:t xml:space="preserve">Hlavním úkolem </w:t>
      </w:r>
      <w:r w:rsidR="00D82C86">
        <w:t>k</w:t>
      </w:r>
      <w:r w:rsidR="00340F6F">
        <w:t xml:space="preserve">omise </w:t>
      </w:r>
      <w:proofErr w:type="spellStart"/>
      <w:r w:rsidR="00D82C86">
        <w:t>MZd</w:t>
      </w:r>
      <w:proofErr w:type="spellEnd"/>
      <w:r w:rsidR="00D82C86">
        <w:t xml:space="preserve"> </w:t>
      </w:r>
      <w:r w:rsidR="00340F6F">
        <w:t>pro</w:t>
      </w:r>
      <w:r w:rsidR="00D82C86">
        <w:t xml:space="preserve"> </w:t>
      </w:r>
      <w:r w:rsidR="00340F6F">
        <w:lastRenderedPageBreak/>
        <w:t>posuzování rozmístění přístrojových zdravotnických prostředků (dále také „</w:t>
      </w:r>
      <w:r w:rsidR="00614A36">
        <w:t xml:space="preserve">Přístrojová </w:t>
      </w:r>
      <w:r w:rsidR="003A21CF">
        <w:t xml:space="preserve">komise </w:t>
      </w:r>
      <w:proofErr w:type="spellStart"/>
      <w:r w:rsidR="003A21CF">
        <w:t>MZd</w:t>
      </w:r>
      <w:proofErr w:type="spellEnd"/>
      <w:r w:rsidR="00340F6F">
        <w:t>“)</w:t>
      </w:r>
      <w:r>
        <w:t xml:space="preserve"> je především pos</w:t>
      </w:r>
      <w:r w:rsidR="007B33CD">
        <w:t>ouzení</w:t>
      </w:r>
      <w:r>
        <w:t xml:space="preserve"> efektivit</w:t>
      </w:r>
      <w:r w:rsidR="007B33CD">
        <w:t>y</w:t>
      </w:r>
      <w:r>
        <w:t xml:space="preserve"> přístrojové techniky z hlediska účelnosti jej</w:t>
      </w:r>
      <w:r w:rsidR="00BD1197">
        <w:t>ího</w:t>
      </w:r>
      <w:r>
        <w:t xml:space="preserve"> pořízení ve vztahu k potřeb</w:t>
      </w:r>
      <w:r w:rsidR="007B33CD">
        <w:t>né</w:t>
      </w:r>
      <w:r>
        <w:t xml:space="preserve"> dostupnosti těchto </w:t>
      </w:r>
      <w:r w:rsidR="007B33CD">
        <w:t>přístrojů</w:t>
      </w:r>
      <w:r>
        <w:t xml:space="preserve"> v rámci ČR.</w:t>
      </w:r>
      <w:bookmarkEnd w:id="6"/>
    </w:p>
    <w:p w14:paraId="6A31E2E7" w14:textId="77777777" w:rsidR="00C8529A" w:rsidRDefault="007E2A6B" w:rsidP="007541BC">
      <w:pPr>
        <w:pStyle w:val="JK2"/>
        <w:tabs>
          <w:tab w:val="clear" w:pos="567"/>
          <w:tab w:val="left" w:pos="482"/>
        </w:tabs>
      </w:pPr>
      <w:r>
        <w:t xml:space="preserve"> </w:t>
      </w:r>
      <w:bookmarkStart w:id="7" w:name="_Hlk121926865"/>
      <w:r>
        <w:t>Podpora byla poskytována formou ex-post plateb</w:t>
      </w:r>
      <w:r>
        <w:rPr>
          <w:noProof/>
        </w:rPr>
        <w:t xml:space="preserve">, přičemž </w:t>
      </w:r>
      <w:r w:rsidR="009C4E9A">
        <w:rPr>
          <w:noProof/>
        </w:rPr>
        <w:t>podíl financování</w:t>
      </w:r>
      <w:r>
        <w:rPr>
          <w:noProof/>
        </w:rPr>
        <w:t xml:space="preserve"> ze </w:t>
      </w:r>
      <w:r w:rsidR="009533DE">
        <w:rPr>
          <w:noProof/>
        </w:rPr>
        <w:t>z</w:t>
      </w:r>
      <w:r>
        <w:rPr>
          <w:noProof/>
        </w:rPr>
        <w:t xml:space="preserve">drojů EU </w:t>
      </w:r>
      <w:r w:rsidR="009C4E9A">
        <w:rPr>
          <w:noProof/>
        </w:rPr>
        <w:t>byl stanoven ve výši 85 % celkových způsobilých výdajů</w:t>
      </w:r>
      <w:r>
        <w:rPr>
          <w:noProof/>
        </w:rPr>
        <w:t>.</w:t>
      </w:r>
      <w:r w:rsidR="009C4E9A">
        <w:rPr>
          <w:noProof/>
        </w:rPr>
        <w:t xml:space="preserve"> V případě, že byl projekt realizován na území hlavního města Prahy, byla podpora ze zdrojů EU snížena na 74,95 % celkových způsobilých výdajů. Spolufinancování ze zdrojů státního rozpočtu (dále také „SR“) se odvíjelo od právní formy příjemce.</w:t>
      </w:r>
      <w:r>
        <w:rPr>
          <w:noProof/>
        </w:rPr>
        <w:t xml:space="preserve"> Příjemci podpory jsou povinni po skončení projektů dodržovat pětiletou lhůtu udržitelnosti výstupů podpořených projektů. </w:t>
      </w:r>
      <w:bookmarkStart w:id="8" w:name="_Hlk118030951"/>
      <w:r>
        <w:rPr>
          <w:noProof/>
        </w:rPr>
        <w:t>Přehled celkové finanční alokace, výš</w:t>
      </w:r>
      <w:r w:rsidR="00271E52">
        <w:rPr>
          <w:noProof/>
        </w:rPr>
        <w:t>i</w:t>
      </w:r>
      <w:r>
        <w:rPr>
          <w:noProof/>
        </w:rPr>
        <w:t xml:space="preserve"> prostředků odpovídající </w:t>
      </w:r>
      <w:r w:rsidR="00097438">
        <w:rPr>
          <w:noProof/>
        </w:rPr>
        <w:t xml:space="preserve">podpoře ve </w:t>
      </w:r>
      <w:r>
        <w:rPr>
          <w:noProof/>
        </w:rPr>
        <w:t>vydaný</w:t>
      </w:r>
      <w:r w:rsidR="00097438">
        <w:rPr>
          <w:noProof/>
        </w:rPr>
        <w:t>ch</w:t>
      </w:r>
      <w:r>
        <w:rPr>
          <w:noProof/>
        </w:rPr>
        <w:t xml:space="preserve"> právní</w:t>
      </w:r>
      <w:r w:rsidR="00097438">
        <w:rPr>
          <w:noProof/>
        </w:rPr>
        <w:t>ch</w:t>
      </w:r>
      <w:r>
        <w:rPr>
          <w:noProof/>
        </w:rPr>
        <w:t xml:space="preserve"> akt</w:t>
      </w:r>
      <w:r w:rsidR="00097438">
        <w:rPr>
          <w:noProof/>
        </w:rPr>
        <w:t>ech</w:t>
      </w:r>
      <w:r>
        <w:rPr>
          <w:noProof/>
        </w:rPr>
        <w:t xml:space="preserve"> i skutečně </w:t>
      </w:r>
      <w:r w:rsidR="00097438">
        <w:rPr>
          <w:noProof/>
        </w:rPr>
        <w:t>poskytnut</w:t>
      </w:r>
      <w:r w:rsidR="00302826">
        <w:rPr>
          <w:noProof/>
        </w:rPr>
        <w:t>ou</w:t>
      </w:r>
      <w:r w:rsidR="00097438">
        <w:rPr>
          <w:noProof/>
        </w:rPr>
        <w:t xml:space="preserve"> podpor</w:t>
      </w:r>
      <w:r w:rsidR="00302826">
        <w:rPr>
          <w:noProof/>
        </w:rPr>
        <w:t>u</w:t>
      </w:r>
      <w:r w:rsidR="00097438">
        <w:rPr>
          <w:noProof/>
        </w:rPr>
        <w:t xml:space="preserve"> příjemcům</w:t>
      </w:r>
      <w:r>
        <w:rPr>
          <w:noProof/>
        </w:rPr>
        <w:t xml:space="preserve"> </w:t>
      </w:r>
      <w:r w:rsidR="00025984">
        <w:rPr>
          <w:noProof/>
        </w:rPr>
        <w:t>uvádí</w:t>
      </w:r>
      <w:r w:rsidR="00D93F59">
        <w:rPr>
          <w:noProof/>
        </w:rPr>
        <w:t xml:space="preserve"> tabul</w:t>
      </w:r>
      <w:r w:rsidR="000744B4">
        <w:rPr>
          <w:noProof/>
        </w:rPr>
        <w:t>ka</w:t>
      </w:r>
      <w:r>
        <w:rPr>
          <w:noProof/>
        </w:rPr>
        <w:t xml:space="preserve"> č. 1.</w:t>
      </w:r>
      <w:bookmarkEnd w:id="7"/>
      <w:bookmarkEnd w:id="8"/>
    </w:p>
    <w:p w14:paraId="16DAA3F8" w14:textId="77777777" w:rsidR="00C8529A" w:rsidRPr="00C8529A" w:rsidRDefault="007E2A6B" w:rsidP="004F7FAB">
      <w:pPr>
        <w:pStyle w:val="Nadpistabulkynebografu"/>
        <w:ind w:left="1304" w:hanging="1304"/>
      </w:pPr>
      <w:r w:rsidRPr="00C8529A">
        <w:t xml:space="preserve">Tabulka č. </w:t>
      </w:r>
      <w:r>
        <w:t>1</w:t>
      </w:r>
      <w:r w:rsidRPr="00C8529A">
        <w:t xml:space="preserve">: </w:t>
      </w:r>
      <w:r>
        <w:tab/>
      </w:r>
      <w:r w:rsidRPr="00C8529A">
        <w:t xml:space="preserve">Finanční alokace IROP na podporu </w:t>
      </w:r>
      <w:r>
        <w:t xml:space="preserve">vysoce specializované </w:t>
      </w:r>
      <w:r w:rsidR="00973E41">
        <w:t xml:space="preserve">zdravotní </w:t>
      </w:r>
      <w:r>
        <w:t>péče ve</w:t>
      </w:r>
      <w:r w:rsidR="00973E41">
        <w:t> </w:t>
      </w:r>
      <w:r>
        <w:t>výzvě č. 5</w:t>
      </w:r>
      <w:r w:rsidRPr="00C8529A">
        <w:t xml:space="preserve"> a</w:t>
      </w:r>
      <w:r w:rsidR="00973E41">
        <w:t> </w:t>
      </w:r>
      <w:r w:rsidRPr="00C8529A">
        <w:t>její čerpání</w:t>
      </w:r>
      <w:r>
        <w:tab/>
      </w:r>
      <w:r w:rsidRPr="00C8529A">
        <w:t xml:space="preserve">(v </w:t>
      </w:r>
      <w:r w:rsidR="009533DE">
        <w:t xml:space="preserve">mil. </w:t>
      </w:r>
      <w:r w:rsidRPr="00C8529A">
        <w:t>Kč)</w:t>
      </w:r>
    </w:p>
    <w:tbl>
      <w:tblPr>
        <w:tblStyle w:val="Mkatabulky"/>
        <w:tblW w:w="5000" w:type="pct"/>
        <w:tblLook w:val="04A0" w:firstRow="1" w:lastRow="0" w:firstColumn="1" w:lastColumn="0" w:noHBand="0" w:noVBand="1"/>
      </w:tblPr>
      <w:tblGrid>
        <w:gridCol w:w="1008"/>
        <w:gridCol w:w="1007"/>
        <w:gridCol w:w="1007"/>
        <w:gridCol w:w="1006"/>
        <w:gridCol w:w="1007"/>
        <w:gridCol w:w="1007"/>
        <w:gridCol w:w="1006"/>
        <w:gridCol w:w="1006"/>
        <w:gridCol w:w="1006"/>
      </w:tblGrid>
      <w:tr w:rsidR="00D44C38" w14:paraId="4D56CABF" w14:textId="77777777" w:rsidTr="004F7FAB">
        <w:trPr>
          <w:trHeight w:val="567"/>
        </w:trPr>
        <w:tc>
          <w:tcPr>
            <w:tcW w:w="1668" w:type="pct"/>
            <w:gridSpan w:val="3"/>
            <w:shd w:val="clear" w:color="auto" w:fill="E5F1FF"/>
            <w:vAlign w:val="center"/>
          </w:tcPr>
          <w:p w14:paraId="5CD111B9" w14:textId="77777777" w:rsidR="009533DE" w:rsidRPr="004F7FAB" w:rsidRDefault="007E2A6B" w:rsidP="009C4E9A">
            <w:pPr>
              <w:keepNext/>
              <w:keepLines/>
              <w:jc w:val="center"/>
              <w:rPr>
                <w:sz w:val="20"/>
                <w:szCs w:val="20"/>
              </w:rPr>
            </w:pPr>
            <w:bookmarkStart w:id="9" w:name="_Hlk84481684"/>
            <w:r w:rsidRPr="004F7FAB">
              <w:rPr>
                <w:b/>
                <w:sz w:val="20"/>
                <w:szCs w:val="20"/>
              </w:rPr>
              <w:t>Finanční alokace</w:t>
            </w:r>
          </w:p>
        </w:tc>
        <w:tc>
          <w:tcPr>
            <w:tcW w:w="1667" w:type="pct"/>
            <w:gridSpan w:val="3"/>
            <w:shd w:val="clear" w:color="auto" w:fill="E5F1FF"/>
            <w:vAlign w:val="center"/>
          </w:tcPr>
          <w:p w14:paraId="5BA1BBA0" w14:textId="77777777" w:rsidR="009533DE" w:rsidRPr="004F7FAB" w:rsidRDefault="007E2A6B" w:rsidP="009C4E9A">
            <w:pPr>
              <w:keepNext/>
              <w:keepLines/>
              <w:jc w:val="center"/>
              <w:rPr>
                <w:sz w:val="20"/>
                <w:szCs w:val="20"/>
              </w:rPr>
            </w:pPr>
            <w:r w:rsidRPr="004F7FAB">
              <w:rPr>
                <w:b/>
                <w:sz w:val="20"/>
                <w:szCs w:val="20"/>
              </w:rPr>
              <w:t xml:space="preserve">Podpora ve vydaných právních aktech o poskytnutí dotace </w:t>
            </w:r>
          </w:p>
        </w:tc>
        <w:tc>
          <w:tcPr>
            <w:tcW w:w="1666" w:type="pct"/>
            <w:gridSpan w:val="3"/>
            <w:shd w:val="clear" w:color="auto" w:fill="E5F1FF"/>
            <w:vAlign w:val="center"/>
          </w:tcPr>
          <w:p w14:paraId="66A7C5A9" w14:textId="77777777" w:rsidR="009533DE" w:rsidRPr="004F7FAB" w:rsidRDefault="007E2A6B" w:rsidP="009C4E9A">
            <w:pPr>
              <w:keepNext/>
              <w:keepLines/>
              <w:jc w:val="center"/>
              <w:rPr>
                <w:sz w:val="20"/>
                <w:szCs w:val="20"/>
              </w:rPr>
            </w:pPr>
            <w:r w:rsidRPr="004F7FAB">
              <w:rPr>
                <w:b/>
                <w:sz w:val="20"/>
                <w:szCs w:val="20"/>
              </w:rPr>
              <w:t xml:space="preserve">Podpora poskytnutá příjemcům </w:t>
            </w:r>
          </w:p>
        </w:tc>
      </w:tr>
      <w:tr w:rsidR="00D44C38" w14:paraId="4DB9D3EC" w14:textId="77777777" w:rsidTr="004F7FAB">
        <w:trPr>
          <w:trHeight w:val="454"/>
        </w:trPr>
        <w:tc>
          <w:tcPr>
            <w:tcW w:w="556" w:type="pct"/>
            <w:shd w:val="clear" w:color="auto" w:fill="E5F1FF"/>
            <w:vAlign w:val="center"/>
          </w:tcPr>
          <w:p w14:paraId="15ACDFE0" w14:textId="77777777" w:rsidR="009533DE" w:rsidRPr="004F7FAB" w:rsidRDefault="007E2A6B" w:rsidP="009C4E9A">
            <w:pPr>
              <w:keepNext/>
              <w:keepLines/>
              <w:jc w:val="center"/>
              <w:rPr>
                <w:b/>
                <w:sz w:val="20"/>
                <w:szCs w:val="20"/>
              </w:rPr>
            </w:pPr>
            <w:r w:rsidRPr="004F7FAB">
              <w:rPr>
                <w:b/>
                <w:sz w:val="20"/>
                <w:szCs w:val="20"/>
              </w:rPr>
              <w:t>EU</w:t>
            </w:r>
          </w:p>
        </w:tc>
        <w:tc>
          <w:tcPr>
            <w:tcW w:w="556" w:type="pct"/>
            <w:shd w:val="clear" w:color="auto" w:fill="E5F1FF"/>
            <w:vAlign w:val="center"/>
          </w:tcPr>
          <w:p w14:paraId="241549BA" w14:textId="77777777" w:rsidR="009533DE" w:rsidRPr="004F7FAB" w:rsidRDefault="007E2A6B" w:rsidP="009C4E9A">
            <w:pPr>
              <w:keepNext/>
              <w:keepLines/>
              <w:jc w:val="center"/>
              <w:rPr>
                <w:b/>
                <w:sz w:val="20"/>
                <w:szCs w:val="20"/>
              </w:rPr>
            </w:pPr>
            <w:r w:rsidRPr="004F7FAB">
              <w:rPr>
                <w:b/>
                <w:sz w:val="20"/>
                <w:szCs w:val="20"/>
              </w:rPr>
              <w:t>SR</w:t>
            </w:r>
          </w:p>
        </w:tc>
        <w:tc>
          <w:tcPr>
            <w:tcW w:w="556" w:type="pct"/>
            <w:shd w:val="clear" w:color="auto" w:fill="E5F1FF"/>
            <w:vAlign w:val="center"/>
          </w:tcPr>
          <w:p w14:paraId="5FBA24A2" w14:textId="77777777" w:rsidR="009533DE" w:rsidRPr="004F7FAB" w:rsidRDefault="007E2A6B" w:rsidP="009C4E9A">
            <w:pPr>
              <w:keepNext/>
              <w:keepLines/>
              <w:jc w:val="center"/>
              <w:rPr>
                <w:b/>
                <w:sz w:val="20"/>
                <w:szCs w:val="20"/>
              </w:rPr>
            </w:pPr>
            <w:r w:rsidRPr="004F7FAB">
              <w:rPr>
                <w:b/>
                <w:sz w:val="20"/>
                <w:szCs w:val="20"/>
              </w:rPr>
              <w:t>Celkem</w:t>
            </w:r>
          </w:p>
        </w:tc>
        <w:tc>
          <w:tcPr>
            <w:tcW w:w="555" w:type="pct"/>
            <w:shd w:val="clear" w:color="auto" w:fill="E5F1FF"/>
            <w:vAlign w:val="center"/>
          </w:tcPr>
          <w:p w14:paraId="031C404F" w14:textId="77777777" w:rsidR="009533DE" w:rsidRPr="004F7FAB" w:rsidRDefault="007E2A6B" w:rsidP="009C4E9A">
            <w:pPr>
              <w:keepNext/>
              <w:keepLines/>
              <w:jc w:val="center"/>
              <w:rPr>
                <w:b/>
                <w:sz w:val="20"/>
                <w:szCs w:val="20"/>
              </w:rPr>
            </w:pPr>
            <w:r w:rsidRPr="004F7FAB">
              <w:rPr>
                <w:b/>
                <w:sz w:val="20"/>
                <w:szCs w:val="20"/>
              </w:rPr>
              <w:t>EU</w:t>
            </w:r>
          </w:p>
        </w:tc>
        <w:tc>
          <w:tcPr>
            <w:tcW w:w="556" w:type="pct"/>
            <w:shd w:val="clear" w:color="auto" w:fill="E5F1FF"/>
            <w:vAlign w:val="center"/>
          </w:tcPr>
          <w:p w14:paraId="6DDBC7ED" w14:textId="77777777" w:rsidR="009533DE" w:rsidRPr="004F7FAB" w:rsidRDefault="007E2A6B" w:rsidP="009C4E9A">
            <w:pPr>
              <w:keepNext/>
              <w:keepLines/>
              <w:jc w:val="center"/>
              <w:rPr>
                <w:b/>
                <w:sz w:val="20"/>
                <w:szCs w:val="20"/>
              </w:rPr>
            </w:pPr>
            <w:r w:rsidRPr="004F7FAB">
              <w:rPr>
                <w:b/>
                <w:sz w:val="20"/>
                <w:szCs w:val="20"/>
              </w:rPr>
              <w:t>SR</w:t>
            </w:r>
          </w:p>
        </w:tc>
        <w:tc>
          <w:tcPr>
            <w:tcW w:w="556" w:type="pct"/>
            <w:shd w:val="clear" w:color="auto" w:fill="E5F1FF"/>
            <w:vAlign w:val="center"/>
          </w:tcPr>
          <w:p w14:paraId="2391B5E7" w14:textId="77777777" w:rsidR="009533DE" w:rsidRPr="004F7FAB" w:rsidRDefault="007E2A6B" w:rsidP="009C4E9A">
            <w:pPr>
              <w:keepNext/>
              <w:keepLines/>
              <w:jc w:val="center"/>
              <w:rPr>
                <w:b/>
                <w:sz w:val="20"/>
                <w:szCs w:val="20"/>
              </w:rPr>
            </w:pPr>
            <w:r w:rsidRPr="004F7FAB">
              <w:rPr>
                <w:b/>
                <w:sz w:val="20"/>
                <w:szCs w:val="20"/>
              </w:rPr>
              <w:t>Celkem</w:t>
            </w:r>
          </w:p>
        </w:tc>
        <w:tc>
          <w:tcPr>
            <w:tcW w:w="555" w:type="pct"/>
            <w:shd w:val="clear" w:color="auto" w:fill="E5F1FF"/>
            <w:vAlign w:val="center"/>
          </w:tcPr>
          <w:p w14:paraId="27FC3191" w14:textId="77777777" w:rsidR="009533DE" w:rsidRPr="004F7FAB" w:rsidRDefault="007E2A6B" w:rsidP="009C4E9A">
            <w:pPr>
              <w:keepNext/>
              <w:keepLines/>
              <w:jc w:val="center"/>
              <w:rPr>
                <w:b/>
                <w:sz w:val="20"/>
                <w:szCs w:val="20"/>
              </w:rPr>
            </w:pPr>
            <w:r w:rsidRPr="004F7FAB">
              <w:rPr>
                <w:b/>
                <w:sz w:val="20"/>
                <w:szCs w:val="20"/>
              </w:rPr>
              <w:t>EU</w:t>
            </w:r>
          </w:p>
        </w:tc>
        <w:tc>
          <w:tcPr>
            <w:tcW w:w="555" w:type="pct"/>
            <w:shd w:val="clear" w:color="auto" w:fill="E5F1FF"/>
            <w:vAlign w:val="center"/>
          </w:tcPr>
          <w:p w14:paraId="11064891" w14:textId="77777777" w:rsidR="009533DE" w:rsidRPr="004F7FAB" w:rsidRDefault="007E2A6B" w:rsidP="009C4E9A">
            <w:pPr>
              <w:keepNext/>
              <w:keepLines/>
              <w:jc w:val="center"/>
              <w:rPr>
                <w:b/>
                <w:sz w:val="20"/>
                <w:szCs w:val="20"/>
              </w:rPr>
            </w:pPr>
            <w:r w:rsidRPr="004F7FAB">
              <w:rPr>
                <w:b/>
                <w:sz w:val="20"/>
                <w:szCs w:val="20"/>
              </w:rPr>
              <w:t>SR</w:t>
            </w:r>
          </w:p>
        </w:tc>
        <w:tc>
          <w:tcPr>
            <w:tcW w:w="555" w:type="pct"/>
            <w:shd w:val="clear" w:color="auto" w:fill="E5F1FF"/>
            <w:vAlign w:val="center"/>
          </w:tcPr>
          <w:p w14:paraId="391AA1B1" w14:textId="77777777" w:rsidR="009533DE" w:rsidRPr="004F7FAB" w:rsidRDefault="007E2A6B" w:rsidP="009C4E9A">
            <w:pPr>
              <w:keepNext/>
              <w:keepLines/>
              <w:jc w:val="center"/>
              <w:rPr>
                <w:b/>
                <w:sz w:val="20"/>
                <w:szCs w:val="20"/>
              </w:rPr>
            </w:pPr>
            <w:r w:rsidRPr="004F7FAB">
              <w:rPr>
                <w:b/>
                <w:sz w:val="20"/>
                <w:szCs w:val="20"/>
              </w:rPr>
              <w:t>Celkem</w:t>
            </w:r>
          </w:p>
        </w:tc>
      </w:tr>
      <w:tr w:rsidR="00D44C38" w14:paraId="05684682" w14:textId="77777777" w:rsidTr="004F7FAB">
        <w:trPr>
          <w:trHeight w:val="397"/>
        </w:trPr>
        <w:tc>
          <w:tcPr>
            <w:tcW w:w="556" w:type="pct"/>
            <w:shd w:val="clear" w:color="auto" w:fill="auto"/>
            <w:vAlign w:val="center"/>
          </w:tcPr>
          <w:p w14:paraId="6D03EFA8" w14:textId="77777777" w:rsidR="009533DE" w:rsidRPr="004F7FAB" w:rsidRDefault="007E2A6B" w:rsidP="009C4E9A">
            <w:pPr>
              <w:keepNext/>
              <w:keepLines/>
              <w:jc w:val="center"/>
              <w:rPr>
                <w:b/>
                <w:sz w:val="20"/>
                <w:szCs w:val="20"/>
              </w:rPr>
            </w:pPr>
            <w:r w:rsidRPr="004F7FAB">
              <w:rPr>
                <w:b/>
                <w:sz w:val="20"/>
                <w:szCs w:val="20"/>
              </w:rPr>
              <w:t>1 521,8</w:t>
            </w:r>
          </w:p>
        </w:tc>
        <w:tc>
          <w:tcPr>
            <w:tcW w:w="556" w:type="pct"/>
            <w:shd w:val="clear" w:color="auto" w:fill="auto"/>
            <w:vAlign w:val="center"/>
          </w:tcPr>
          <w:p w14:paraId="4B0DE196" w14:textId="77777777" w:rsidR="009533DE" w:rsidRPr="004F7FAB" w:rsidRDefault="007E2A6B" w:rsidP="009C4E9A">
            <w:pPr>
              <w:keepNext/>
              <w:keepLines/>
              <w:jc w:val="center"/>
              <w:rPr>
                <w:b/>
                <w:sz w:val="20"/>
                <w:szCs w:val="20"/>
              </w:rPr>
            </w:pPr>
            <w:r w:rsidRPr="004F7FAB">
              <w:rPr>
                <w:b/>
                <w:sz w:val="20"/>
                <w:szCs w:val="20"/>
              </w:rPr>
              <w:t>321,1</w:t>
            </w:r>
          </w:p>
        </w:tc>
        <w:tc>
          <w:tcPr>
            <w:tcW w:w="556" w:type="pct"/>
            <w:shd w:val="clear" w:color="auto" w:fill="auto"/>
            <w:vAlign w:val="center"/>
          </w:tcPr>
          <w:p w14:paraId="6E942483" w14:textId="77777777" w:rsidR="009533DE" w:rsidRPr="004F7FAB" w:rsidRDefault="007E2A6B" w:rsidP="009C4E9A">
            <w:pPr>
              <w:keepNext/>
              <w:keepLines/>
              <w:jc w:val="center"/>
              <w:rPr>
                <w:b/>
                <w:sz w:val="20"/>
                <w:szCs w:val="20"/>
              </w:rPr>
            </w:pPr>
            <w:r w:rsidRPr="004F7FAB">
              <w:rPr>
                <w:b/>
                <w:sz w:val="20"/>
                <w:szCs w:val="20"/>
              </w:rPr>
              <w:t>1 842,9</w:t>
            </w:r>
          </w:p>
        </w:tc>
        <w:tc>
          <w:tcPr>
            <w:tcW w:w="555" w:type="pct"/>
            <w:shd w:val="clear" w:color="auto" w:fill="auto"/>
            <w:vAlign w:val="center"/>
          </w:tcPr>
          <w:p w14:paraId="44499A72" w14:textId="77777777" w:rsidR="009533DE" w:rsidRPr="004F7FAB" w:rsidRDefault="007E2A6B" w:rsidP="009C4E9A">
            <w:pPr>
              <w:keepNext/>
              <w:keepLines/>
              <w:jc w:val="center"/>
              <w:rPr>
                <w:b/>
                <w:sz w:val="20"/>
                <w:szCs w:val="20"/>
              </w:rPr>
            </w:pPr>
            <w:r w:rsidRPr="004F7FAB">
              <w:rPr>
                <w:b/>
                <w:sz w:val="20"/>
                <w:szCs w:val="20"/>
              </w:rPr>
              <w:t>1 521,7</w:t>
            </w:r>
          </w:p>
        </w:tc>
        <w:tc>
          <w:tcPr>
            <w:tcW w:w="556" w:type="pct"/>
            <w:shd w:val="clear" w:color="auto" w:fill="auto"/>
            <w:vAlign w:val="center"/>
          </w:tcPr>
          <w:p w14:paraId="56B6CDC5" w14:textId="77777777" w:rsidR="009533DE" w:rsidRPr="004F7FAB" w:rsidRDefault="007E2A6B" w:rsidP="009C4E9A">
            <w:pPr>
              <w:keepNext/>
              <w:keepLines/>
              <w:jc w:val="center"/>
              <w:rPr>
                <w:b/>
                <w:sz w:val="20"/>
                <w:szCs w:val="20"/>
              </w:rPr>
            </w:pPr>
            <w:r w:rsidRPr="004F7FAB">
              <w:rPr>
                <w:b/>
                <w:sz w:val="20"/>
                <w:szCs w:val="20"/>
              </w:rPr>
              <w:t>141,4</w:t>
            </w:r>
          </w:p>
        </w:tc>
        <w:tc>
          <w:tcPr>
            <w:tcW w:w="556" w:type="pct"/>
            <w:shd w:val="clear" w:color="auto" w:fill="auto"/>
            <w:vAlign w:val="center"/>
          </w:tcPr>
          <w:p w14:paraId="3E00EDE9" w14:textId="77777777" w:rsidR="009533DE" w:rsidRPr="004F7FAB" w:rsidRDefault="007E2A6B" w:rsidP="009C4E9A">
            <w:pPr>
              <w:keepNext/>
              <w:keepLines/>
              <w:jc w:val="center"/>
              <w:rPr>
                <w:b/>
                <w:sz w:val="20"/>
                <w:szCs w:val="20"/>
              </w:rPr>
            </w:pPr>
            <w:r w:rsidRPr="004F7FAB">
              <w:rPr>
                <w:b/>
                <w:sz w:val="20"/>
                <w:szCs w:val="20"/>
              </w:rPr>
              <w:t>1 663,1</w:t>
            </w:r>
          </w:p>
        </w:tc>
        <w:tc>
          <w:tcPr>
            <w:tcW w:w="555" w:type="pct"/>
            <w:shd w:val="clear" w:color="auto" w:fill="auto"/>
            <w:vAlign w:val="center"/>
          </w:tcPr>
          <w:p w14:paraId="44B3DA56" w14:textId="77777777" w:rsidR="009533DE" w:rsidRPr="004F7FAB" w:rsidRDefault="007E2A6B" w:rsidP="009C4E9A">
            <w:pPr>
              <w:keepNext/>
              <w:keepLines/>
              <w:jc w:val="center"/>
              <w:rPr>
                <w:b/>
                <w:sz w:val="20"/>
                <w:szCs w:val="20"/>
              </w:rPr>
            </w:pPr>
            <w:r w:rsidRPr="004F7FAB">
              <w:rPr>
                <w:b/>
                <w:sz w:val="20"/>
                <w:szCs w:val="20"/>
              </w:rPr>
              <w:t>1 454,4</w:t>
            </w:r>
          </w:p>
        </w:tc>
        <w:tc>
          <w:tcPr>
            <w:tcW w:w="555" w:type="pct"/>
            <w:shd w:val="clear" w:color="auto" w:fill="auto"/>
            <w:vAlign w:val="center"/>
          </w:tcPr>
          <w:p w14:paraId="42CBF527" w14:textId="77777777" w:rsidR="009533DE" w:rsidRPr="004F7FAB" w:rsidRDefault="007E2A6B" w:rsidP="009C4E9A">
            <w:pPr>
              <w:keepNext/>
              <w:keepLines/>
              <w:jc w:val="center"/>
              <w:rPr>
                <w:b/>
                <w:sz w:val="20"/>
                <w:szCs w:val="20"/>
              </w:rPr>
            </w:pPr>
            <w:r w:rsidRPr="004F7FAB">
              <w:rPr>
                <w:b/>
                <w:sz w:val="20"/>
                <w:szCs w:val="20"/>
              </w:rPr>
              <w:t>135,4</w:t>
            </w:r>
          </w:p>
        </w:tc>
        <w:tc>
          <w:tcPr>
            <w:tcW w:w="555" w:type="pct"/>
            <w:shd w:val="clear" w:color="auto" w:fill="auto"/>
            <w:vAlign w:val="center"/>
          </w:tcPr>
          <w:p w14:paraId="25889FD4" w14:textId="77777777" w:rsidR="009533DE" w:rsidRPr="004F7FAB" w:rsidRDefault="007E2A6B" w:rsidP="009C4E9A">
            <w:pPr>
              <w:keepNext/>
              <w:keepLines/>
              <w:jc w:val="center"/>
              <w:rPr>
                <w:b/>
                <w:sz w:val="20"/>
                <w:szCs w:val="20"/>
              </w:rPr>
            </w:pPr>
            <w:r w:rsidRPr="004F7FAB">
              <w:rPr>
                <w:b/>
                <w:sz w:val="20"/>
                <w:szCs w:val="20"/>
              </w:rPr>
              <w:t>1 589,8</w:t>
            </w:r>
          </w:p>
        </w:tc>
      </w:tr>
    </w:tbl>
    <w:bookmarkEnd w:id="9"/>
    <w:p w14:paraId="0C65AF70" w14:textId="77777777" w:rsidR="00C8529A" w:rsidRPr="00C8529A" w:rsidRDefault="007E2A6B" w:rsidP="005E68DD">
      <w:pPr>
        <w:pStyle w:val="Zdrojnebovysvtlivkapodtabulkou"/>
      </w:pPr>
      <w:r w:rsidRPr="00C8529A">
        <w:rPr>
          <w:b/>
        </w:rPr>
        <w:t>Zdroj:</w:t>
      </w:r>
      <w:r w:rsidRPr="00C8529A">
        <w:t xml:space="preserve"> MS2014+, stav k 0</w:t>
      </w:r>
      <w:r>
        <w:t>8</w:t>
      </w:r>
      <w:r w:rsidRPr="00C8529A">
        <w:t>/2022.</w:t>
      </w:r>
    </w:p>
    <w:p w14:paraId="340816BB" w14:textId="77777777" w:rsidR="00757057" w:rsidRPr="00CD7215" w:rsidRDefault="007E2A6B" w:rsidP="004D3301">
      <w:pPr>
        <w:pStyle w:val="Nadpis2"/>
      </w:pPr>
      <w:r w:rsidRPr="00CD7215">
        <w:t xml:space="preserve">Podpora </w:t>
      </w:r>
      <w:r w:rsidR="008102A9">
        <w:t>návazné zdravotní péče</w:t>
      </w:r>
    </w:p>
    <w:p w14:paraId="355CE2DE" w14:textId="77777777" w:rsidR="008102A9" w:rsidRDefault="007E2A6B" w:rsidP="008A1DEF">
      <w:pPr>
        <w:pStyle w:val="JK2"/>
        <w:tabs>
          <w:tab w:val="clear" w:pos="567"/>
          <w:tab w:val="left" w:pos="482"/>
        </w:tabs>
      </w:pPr>
      <w:r w:rsidRPr="00F86415">
        <w:t>Na podporu návazné</w:t>
      </w:r>
      <w:r>
        <w:t xml:space="preserve"> zdravotní péče vyhlásilo MMR</w:t>
      </w:r>
      <w:r w:rsidR="00757057">
        <w:t xml:space="preserve"> v</w:t>
      </w:r>
      <w:r>
        <w:t xml:space="preserve"> květnu 2016 </w:t>
      </w:r>
      <w:r w:rsidR="00EE14E8">
        <w:t>v</w:t>
      </w:r>
      <w:r>
        <w:t xml:space="preserve">ýzvu č. 31. </w:t>
      </w:r>
      <w:r w:rsidR="00EB2902">
        <w:t xml:space="preserve">Výzva byla zacílena na zvýšení kvality </w:t>
      </w:r>
      <w:r w:rsidR="007B33CD">
        <w:t>poskytovan</w:t>
      </w:r>
      <w:r w:rsidR="007C1FDC">
        <w:t>é</w:t>
      </w:r>
      <w:r w:rsidR="007B33CD">
        <w:t xml:space="preserve"> </w:t>
      </w:r>
      <w:r w:rsidR="00EB2902">
        <w:t>návazné</w:t>
      </w:r>
      <w:r w:rsidR="006E379F">
        <w:t xml:space="preserve"> zdravotní</w:t>
      </w:r>
      <w:r w:rsidR="00EB2902">
        <w:t xml:space="preserve"> péče.</w:t>
      </w:r>
    </w:p>
    <w:p w14:paraId="47783DCF" w14:textId="77777777" w:rsidR="007541BC" w:rsidRDefault="007E2A6B" w:rsidP="007541BC">
      <w:pPr>
        <w:pStyle w:val="JK2"/>
        <w:tabs>
          <w:tab w:val="clear" w:pos="567"/>
          <w:tab w:val="left" w:pos="482"/>
        </w:tabs>
        <w:spacing w:after="0"/>
      </w:pPr>
      <w:bookmarkStart w:id="10" w:name="_Ref117883570"/>
      <w:r>
        <w:t>Požádat o podporu mohli poskytovatelé zdravotn</w:t>
      </w:r>
      <w:r w:rsidR="00E90459">
        <w:t>ích</w:t>
      </w:r>
      <w:r>
        <w:t xml:space="preserve"> služeb, kteří kumulativně splňovali podmínky definované pro poskytovatele návazné</w:t>
      </w:r>
      <w:r w:rsidR="00E90459">
        <w:t xml:space="preserve"> zdravotní</w:t>
      </w:r>
      <w:r>
        <w:t xml:space="preserve"> péče, </w:t>
      </w:r>
      <w:r w:rsidR="006823F6">
        <w:t>tj.</w:t>
      </w:r>
      <w:bookmarkEnd w:id="10"/>
      <w:r w:rsidR="00B6180D" w:rsidRPr="00B6180D">
        <w:t xml:space="preserve"> </w:t>
      </w:r>
      <w:r w:rsidR="00B6180D">
        <w:t>žadatel</w:t>
      </w:r>
    </w:p>
    <w:p w14:paraId="6AE7FBE6" w14:textId="77777777" w:rsidR="006823F6" w:rsidRDefault="007E2A6B" w:rsidP="00B43E80">
      <w:pPr>
        <w:pStyle w:val="JK2"/>
        <w:numPr>
          <w:ilvl w:val="0"/>
          <w:numId w:val="11"/>
        </w:numPr>
        <w:tabs>
          <w:tab w:val="clear" w:pos="567"/>
          <w:tab w:val="left" w:pos="426"/>
        </w:tabs>
        <w:spacing w:before="0" w:after="0"/>
        <w:ind w:left="777" w:hanging="357"/>
      </w:pPr>
      <w:r>
        <w:t>r</w:t>
      </w:r>
      <w:r w:rsidRPr="006823F6">
        <w:t>efer</w:t>
      </w:r>
      <w:r>
        <w:t>oval pacienty</w:t>
      </w:r>
      <w:r w:rsidR="004914CA">
        <w:t xml:space="preserve"> </w:t>
      </w:r>
      <w:r w:rsidR="004914CA" w:rsidRPr="006823F6">
        <w:t>přímo</w:t>
      </w:r>
      <w:r w:rsidRPr="006823F6">
        <w:t xml:space="preserve"> pracovišti vysoce specializované péče nebo k</w:t>
      </w:r>
      <w:r w:rsidR="00CE0B0D">
        <w:t xml:space="preserve"> </w:t>
      </w:r>
      <w:r w:rsidR="004914CA">
        <w:t xml:space="preserve">němu byli </w:t>
      </w:r>
      <w:r w:rsidRPr="006823F6">
        <w:t xml:space="preserve">referováni pacienti </w:t>
      </w:r>
      <w:r w:rsidR="004914CA">
        <w:t xml:space="preserve">přímo </w:t>
      </w:r>
      <w:r w:rsidRPr="006823F6">
        <w:t xml:space="preserve">z pracovišť vysoce specializované péče nebo </w:t>
      </w:r>
      <w:r w:rsidR="004914CA">
        <w:t xml:space="preserve">u něho </w:t>
      </w:r>
      <w:r w:rsidRPr="006823F6">
        <w:t xml:space="preserve">návaznost na vysoce specializovanou </w:t>
      </w:r>
      <w:r w:rsidR="00BE278C">
        <w:t xml:space="preserve">zdravotní </w:t>
      </w:r>
      <w:r w:rsidRPr="006823F6">
        <w:t xml:space="preserve">péči </w:t>
      </w:r>
      <w:r w:rsidR="00BE278C">
        <w:t>v </w:t>
      </w:r>
      <w:proofErr w:type="spellStart"/>
      <w:r w:rsidR="00BE278C">
        <w:t>perinatologii</w:t>
      </w:r>
      <w:proofErr w:type="spellEnd"/>
      <w:r w:rsidR="00BE278C">
        <w:t xml:space="preserve"> </w:t>
      </w:r>
      <w:r w:rsidR="004914CA">
        <w:t xml:space="preserve">byla </w:t>
      </w:r>
      <w:r w:rsidRPr="006823F6">
        <w:t xml:space="preserve">definována </w:t>
      </w:r>
      <w:r w:rsidRPr="004914CA">
        <w:rPr>
          <w:i/>
        </w:rPr>
        <w:t xml:space="preserve">Věstníkem </w:t>
      </w:r>
      <w:r w:rsidR="004914CA" w:rsidRPr="004914CA">
        <w:rPr>
          <w:i/>
        </w:rPr>
        <w:t>Ministerstva zdravotnictví</w:t>
      </w:r>
      <w:r w:rsidR="004914CA">
        <w:rPr>
          <w:i/>
        </w:rPr>
        <w:t xml:space="preserve"> ČR</w:t>
      </w:r>
      <w:r>
        <w:rPr>
          <w:rStyle w:val="Znakapoznpodarou"/>
          <w:i/>
        </w:rPr>
        <w:footnoteReference w:id="7"/>
      </w:r>
      <w:r w:rsidR="004914CA" w:rsidRPr="004914CA">
        <w:t>,</w:t>
      </w:r>
    </w:p>
    <w:p w14:paraId="60B78E41" w14:textId="77777777" w:rsidR="007541BC" w:rsidRDefault="007E2A6B" w:rsidP="00B43E80">
      <w:pPr>
        <w:pStyle w:val="JK2"/>
        <w:numPr>
          <w:ilvl w:val="0"/>
          <w:numId w:val="11"/>
        </w:numPr>
        <w:tabs>
          <w:tab w:val="clear" w:pos="567"/>
          <w:tab w:val="left" w:pos="426"/>
        </w:tabs>
        <w:spacing w:before="0" w:after="0"/>
        <w:ind w:left="777" w:hanging="357"/>
      </w:pPr>
      <w:r>
        <w:t>zajišťoval péči a služby v oborech gynekologie a porodnictví, dětské lékařství, chirurgie a vnitřní lékařství,</w:t>
      </w:r>
    </w:p>
    <w:p w14:paraId="7CD93C6F" w14:textId="77777777" w:rsidR="007541BC" w:rsidRDefault="007E2A6B" w:rsidP="00B43E80">
      <w:pPr>
        <w:pStyle w:val="JK2"/>
        <w:numPr>
          <w:ilvl w:val="0"/>
          <w:numId w:val="11"/>
        </w:numPr>
        <w:tabs>
          <w:tab w:val="clear" w:pos="567"/>
          <w:tab w:val="left" w:pos="426"/>
        </w:tabs>
        <w:spacing w:before="0" w:after="0"/>
        <w:ind w:left="777" w:hanging="357"/>
      </w:pPr>
      <w:r>
        <w:t>zajišťoval péči alespoň ve čtyřech oborech</w:t>
      </w:r>
      <w:r w:rsidR="00E90459">
        <w:t xml:space="preserve"> nebo </w:t>
      </w:r>
      <w:r>
        <w:t xml:space="preserve">metodách definovaných </w:t>
      </w:r>
      <w:r w:rsidRPr="007541BC">
        <w:rPr>
          <w:i/>
        </w:rPr>
        <w:t>Koncepcí návazné péče</w:t>
      </w:r>
      <w:r>
        <w:t xml:space="preserve"> a </w:t>
      </w:r>
      <w:r w:rsidR="00E90459">
        <w:t xml:space="preserve">tyto obory nebo metody byly </w:t>
      </w:r>
      <w:r>
        <w:t>naváz</w:t>
      </w:r>
      <w:r w:rsidR="00E90459">
        <w:t>ány</w:t>
      </w:r>
      <w:r>
        <w:t xml:space="preserve"> na vysoce specializované centrum,</w:t>
      </w:r>
    </w:p>
    <w:p w14:paraId="34F072F3" w14:textId="77777777" w:rsidR="007541BC" w:rsidRDefault="007E2A6B" w:rsidP="00B43E80">
      <w:pPr>
        <w:pStyle w:val="JK2"/>
        <w:numPr>
          <w:ilvl w:val="0"/>
          <w:numId w:val="11"/>
        </w:numPr>
        <w:tabs>
          <w:tab w:val="clear" w:pos="567"/>
          <w:tab w:val="left" w:pos="426"/>
        </w:tabs>
        <w:spacing w:before="0" w:after="0"/>
        <w:ind w:left="777" w:hanging="357"/>
      </w:pPr>
      <w:r>
        <w:t xml:space="preserve">měl alespoň 300 akutních lůžek nebo méně, pokud </w:t>
      </w:r>
      <w:r w:rsidR="00E90459">
        <w:t>byl</w:t>
      </w:r>
      <w:r w:rsidR="00E61FA3">
        <w:t>a</w:t>
      </w:r>
      <w:r>
        <w:t xml:space="preserve"> v regionu LAU1</w:t>
      </w:r>
      <w:r>
        <w:rPr>
          <w:rStyle w:val="Znakapoznpodarou"/>
        </w:rPr>
        <w:footnoteReference w:id="8"/>
      </w:r>
      <w:r>
        <w:t xml:space="preserve"> pouze zařízení s menší kapacitou lůžek.</w:t>
      </w:r>
    </w:p>
    <w:p w14:paraId="07769B3D" w14:textId="77777777" w:rsidR="000062FE" w:rsidRDefault="007E2A6B" w:rsidP="00BD6BA6">
      <w:pPr>
        <w:pStyle w:val="JK2"/>
      </w:pPr>
      <w:r w:rsidRPr="00CF0FF8">
        <w:t>Splnění podmínek žadatelé</w:t>
      </w:r>
      <w:r>
        <w:t xml:space="preserve"> dokládali formou příloh k</w:t>
      </w:r>
      <w:r w:rsidR="00CE0B0D">
        <w:t xml:space="preserve"> </w:t>
      </w:r>
      <w:r>
        <w:t>žádosti o podporu, a to s</w:t>
      </w:r>
      <w:r w:rsidRPr="00E90459">
        <w:t>tanovisk</w:t>
      </w:r>
      <w:r>
        <w:t>em</w:t>
      </w:r>
      <w:r w:rsidRPr="00E90459">
        <w:t xml:space="preserve"> vysoce specializovaného centra k referování pacient</w:t>
      </w:r>
      <w:r w:rsidR="000F36CB">
        <w:t>ů</w:t>
      </w:r>
      <w:r>
        <w:t xml:space="preserve">, stanoviskem </w:t>
      </w:r>
      <w:proofErr w:type="spellStart"/>
      <w:r>
        <w:t>MZd</w:t>
      </w:r>
      <w:proofErr w:type="spellEnd"/>
      <w:r>
        <w:t xml:space="preserve"> </w:t>
      </w:r>
      <w:r w:rsidR="00CE0B0D">
        <w:br/>
      </w:r>
      <w:r>
        <w:t>o</w:t>
      </w:r>
      <w:r w:rsidR="00CE0B0D">
        <w:t xml:space="preserve"> </w:t>
      </w:r>
      <w:r>
        <w:t>souladu žádosti s</w:t>
      </w:r>
      <w:r w:rsidR="00CE0B0D">
        <w:t xml:space="preserve"> </w:t>
      </w:r>
      <w:r w:rsidRPr="000062FE">
        <w:rPr>
          <w:i/>
        </w:rPr>
        <w:t>Koncepcí návazné péče</w:t>
      </w:r>
      <w:r w:rsidR="009B28E0">
        <w:t xml:space="preserve"> a</w:t>
      </w:r>
      <w:r>
        <w:t xml:space="preserve"> čestným prohlášením o skutečném počtu akutních lůžek. V případě, že realizací projektu mělo dojít k navýšení </w:t>
      </w:r>
      <w:r w:rsidRPr="000062FE">
        <w:t>rozsah</w:t>
      </w:r>
      <w:r>
        <w:t>u</w:t>
      </w:r>
      <w:r w:rsidRPr="000062FE">
        <w:t xml:space="preserve"> nebo objem</w:t>
      </w:r>
      <w:r>
        <w:t>u poskytovaných</w:t>
      </w:r>
      <w:r w:rsidRPr="000062FE">
        <w:t xml:space="preserve"> zdravotních služeb, </w:t>
      </w:r>
      <w:r>
        <w:t xml:space="preserve">žadatelé přikládali </w:t>
      </w:r>
      <w:r w:rsidRPr="000062FE">
        <w:t xml:space="preserve">vyjádření Všeobecné zdravotní </w:t>
      </w:r>
      <w:r w:rsidRPr="000062FE">
        <w:lastRenderedPageBreak/>
        <w:t xml:space="preserve">pojišťovny a </w:t>
      </w:r>
      <w:r w:rsidR="003C61F8">
        <w:t>je</w:t>
      </w:r>
      <w:r w:rsidR="00E21714">
        <w:t xml:space="preserve">dné ze </w:t>
      </w:r>
      <w:r w:rsidRPr="000062FE">
        <w:t>zaměstnaneck</w:t>
      </w:r>
      <w:r w:rsidR="00E21714">
        <w:t>ých</w:t>
      </w:r>
      <w:r w:rsidRPr="000062FE">
        <w:t xml:space="preserve"> zdravotní</w:t>
      </w:r>
      <w:r w:rsidR="00E21714">
        <w:t>ch</w:t>
      </w:r>
      <w:r w:rsidRPr="000062FE">
        <w:t xml:space="preserve"> pojišťov</w:t>
      </w:r>
      <w:r w:rsidR="00E21714">
        <w:t>e</w:t>
      </w:r>
      <w:r w:rsidRPr="000062FE">
        <w:t>n</w:t>
      </w:r>
      <w:r>
        <w:t>, že bud</w:t>
      </w:r>
      <w:r w:rsidR="009B28E0">
        <w:t>ou</w:t>
      </w:r>
      <w:r>
        <w:t xml:space="preserve"> rozšířené zdravotní služby </w:t>
      </w:r>
      <w:r w:rsidR="00E61FA3">
        <w:t>hradit</w:t>
      </w:r>
      <w:r>
        <w:t xml:space="preserve"> z veřejného zdravotního pojištění. </w:t>
      </w:r>
    </w:p>
    <w:p w14:paraId="6C2E2728" w14:textId="77777777" w:rsidR="006823F6" w:rsidRDefault="007E2A6B" w:rsidP="006823F6">
      <w:pPr>
        <w:pStyle w:val="JK2"/>
        <w:tabs>
          <w:tab w:val="clear" w:pos="567"/>
          <w:tab w:val="left" w:pos="482"/>
        </w:tabs>
      </w:pPr>
      <w:bookmarkStart w:id="11" w:name="_Ref117612173"/>
      <w:r>
        <w:t xml:space="preserve">Aktivitami podporovanými v rámci výzvy č. 31 bylo </w:t>
      </w:r>
      <w:r w:rsidR="00EB2902">
        <w:t>pořízení a modernizace přístrojového vybavení, zdravotnických prostředků, technologií a dalšího vybavení, které slouží pro</w:t>
      </w:r>
      <w:r w:rsidR="00CF0FF8">
        <w:t xml:space="preserve"> </w:t>
      </w:r>
      <w:r w:rsidR="00EB2902">
        <w:t>poskytování zdravotních služeb v</w:t>
      </w:r>
      <w:r w:rsidR="00FE2D54">
        <w:t xml:space="preserve"> </w:t>
      </w:r>
      <w:r w:rsidR="00EB2902">
        <w:t xml:space="preserve">podporovaných oborech a metodách návazné péče podle </w:t>
      </w:r>
      <w:r w:rsidR="00EB2902" w:rsidRPr="007541BC">
        <w:rPr>
          <w:i/>
        </w:rPr>
        <w:t>Koncepce návazné péče</w:t>
      </w:r>
      <w:r>
        <w:t xml:space="preserve">, včetně nezbytných stavebních úprav. Součástí podporovaných aktivit bylo provedení </w:t>
      </w:r>
      <w:r w:rsidRPr="006823F6">
        <w:t>instruktáže personálu a pořízení spotřebního materiálu potřebného k</w:t>
      </w:r>
      <w:r w:rsidR="00FC0287">
        <w:t> </w:t>
      </w:r>
      <w:r w:rsidRPr="006823F6">
        <w:t>uvedení přístrojů a technologií do provozu</w:t>
      </w:r>
      <w:r>
        <w:t>. Podpora byla poskytována na celém území ČR kromě území hlavního města Prahy a cílovou skupinu tvořili pacienti návazné zdravotní péče.</w:t>
      </w:r>
      <w:bookmarkEnd w:id="11"/>
    </w:p>
    <w:p w14:paraId="41A12BFB" w14:textId="6180ABC1" w:rsidR="00C469AD" w:rsidRDefault="007E2A6B" w:rsidP="00097438">
      <w:pPr>
        <w:pStyle w:val="JK2"/>
        <w:tabs>
          <w:tab w:val="clear" w:pos="567"/>
          <w:tab w:val="left" w:pos="482"/>
        </w:tabs>
      </w:pPr>
      <w:r>
        <w:t xml:space="preserve">Jednou z podporovaných aktivit bylo pořízení přístrojů. </w:t>
      </w:r>
      <w:r w:rsidR="00E21714">
        <w:t xml:space="preserve">Stejně jako ve výzvě č. 5 </w:t>
      </w:r>
      <w:r w:rsidR="00B91D95">
        <w:br/>
      </w:r>
      <w:r w:rsidR="00E21714">
        <w:t>(viz odst</w:t>
      </w:r>
      <w:r w:rsidR="00A36155">
        <w:t>.</w:t>
      </w:r>
      <w:r w:rsidR="001429E5">
        <w:t xml:space="preserve"> </w:t>
      </w:r>
      <w:r w:rsidR="001429E5" w:rsidRPr="00A44D58">
        <w:fldChar w:fldCharType="begin"/>
      </w:r>
      <w:r w:rsidR="001429E5" w:rsidRPr="00A44D58">
        <w:instrText xml:space="preserve"> REF _Ref117611970 \r \h  \* MERGEFORMAT </w:instrText>
      </w:r>
      <w:r w:rsidR="001429E5" w:rsidRPr="00A44D58">
        <w:fldChar w:fldCharType="separate"/>
      </w:r>
      <w:r w:rsidR="001825F1">
        <w:t>2.11</w:t>
      </w:r>
      <w:r w:rsidR="001429E5" w:rsidRPr="00A44D58">
        <w:fldChar w:fldCharType="end"/>
      </w:r>
      <w:r w:rsidR="001429E5" w:rsidRPr="00A44D58">
        <w:t>)</w:t>
      </w:r>
      <w:r w:rsidR="00E21714">
        <w:t xml:space="preserve"> </w:t>
      </w:r>
      <w:r w:rsidR="00B91D95">
        <w:t xml:space="preserve">bylo </w:t>
      </w:r>
      <w:r w:rsidR="00E21714">
        <w:t xml:space="preserve">součástí žádosti o podporu </w:t>
      </w:r>
      <w:r w:rsidR="00B91D95">
        <w:t>„</w:t>
      </w:r>
      <w:r w:rsidR="00B91D95">
        <w:rPr>
          <w:i/>
        </w:rPr>
        <w:t>s</w:t>
      </w:r>
      <w:r w:rsidR="00E21714" w:rsidRPr="003A21CF">
        <w:rPr>
          <w:i/>
        </w:rPr>
        <w:t xml:space="preserve">tanovisko Přístrojové komise </w:t>
      </w:r>
      <w:proofErr w:type="spellStart"/>
      <w:r w:rsidR="00E21714" w:rsidRPr="003A21CF">
        <w:rPr>
          <w:i/>
        </w:rPr>
        <w:t>MZd</w:t>
      </w:r>
      <w:proofErr w:type="spellEnd"/>
      <w:r w:rsidR="00B91D95" w:rsidRPr="004F7FAB">
        <w:t>“</w:t>
      </w:r>
      <w:r w:rsidR="00E21714">
        <w:t xml:space="preserve"> k</w:t>
      </w:r>
      <w:r>
        <w:t>e všem přístrojům, jejichž pořizovací hodnota byla vyšší než 5 mil. Kč bez DPH.</w:t>
      </w:r>
    </w:p>
    <w:p w14:paraId="5F211F2A" w14:textId="77777777" w:rsidR="005C0E7D" w:rsidRDefault="007E2A6B" w:rsidP="005C0E7D">
      <w:pPr>
        <w:pStyle w:val="JK2"/>
      </w:pPr>
      <w:bookmarkStart w:id="12" w:name="_Hlk118031010"/>
      <w:r>
        <w:t xml:space="preserve">Výzva </w:t>
      </w:r>
      <w:r w:rsidR="00302826">
        <w:rPr>
          <w:rFonts w:cstheme="minorHAnsi"/>
        </w:rPr>
        <w:t xml:space="preserve">zahrnovala podporu </w:t>
      </w:r>
      <w:r w:rsidR="009425A2">
        <w:rPr>
          <w:rFonts w:cstheme="minorHAnsi"/>
        </w:rPr>
        <w:t xml:space="preserve">pořízení </w:t>
      </w:r>
      <w:r w:rsidR="00302826">
        <w:rPr>
          <w:rFonts w:cstheme="minorHAnsi"/>
        </w:rPr>
        <w:t xml:space="preserve">veškerého zdravotnického vybavení souvisejícího s poskytováním návazné </w:t>
      </w:r>
      <w:r w:rsidR="007B33CD">
        <w:rPr>
          <w:rFonts w:cstheme="minorHAnsi"/>
        </w:rPr>
        <w:t xml:space="preserve">zdravotní </w:t>
      </w:r>
      <w:r w:rsidR="00302826">
        <w:rPr>
          <w:rFonts w:cstheme="minorHAnsi"/>
        </w:rPr>
        <w:t>péče</w:t>
      </w:r>
      <w:r w:rsidR="00302826" w:rsidRPr="00640FAA">
        <w:rPr>
          <w:rFonts w:cstheme="minorHAnsi"/>
        </w:rPr>
        <w:t>.</w:t>
      </w:r>
      <w:r w:rsidR="00302826">
        <w:rPr>
          <w:rFonts w:cstheme="minorHAnsi"/>
        </w:rPr>
        <w:t xml:space="preserve"> </w:t>
      </w:r>
      <w:r>
        <w:t xml:space="preserve">Podporované aktivity </w:t>
      </w:r>
      <w:r w:rsidRPr="00E01BA0">
        <w:t xml:space="preserve">byly různorodé a zahrnovaly pořízení nového (tj. doplnění) i náhradu stávajícího (tj. obnovení) zdravotnického vybavení. </w:t>
      </w:r>
      <w:r w:rsidR="00302826">
        <w:t>R</w:t>
      </w:r>
      <w:r w:rsidRPr="00E01BA0">
        <w:t>ůznorodost byla dána mimo jiné vysok</w:t>
      </w:r>
      <w:r w:rsidR="009B28E0">
        <w:t>ým</w:t>
      </w:r>
      <w:r w:rsidRPr="00E01BA0">
        <w:t xml:space="preserve"> počt</w:t>
      </w:r>
      <w:r w:rsidR="009B28E0">
        <w:t>em</w:t>
      </w:r>
      <w:r w:rsidRPr="00E01BA0">
        <w:t xml:space="preserve"> podporovaných lékařských oborů, metod a činností souvisejících s poskytováním návazné </w:t>
      </w:r>
      <w:r w:rsidR="007B33CD">
        <w:t xml:space="preserve">zdravotní </w:t>
      </w:r>
      <w:r w:rsidRPr="00E01BA0">
        <w:t xml:space="preserve">péče, které definovala </w:t>
      </w:r>
      <w:r w:rsidRPr="00E01BA0">
        <w:rPr>
          <w:i/>
        </w:rPr>
        <w:t>Koncepce návazné péče</w:t>
      </w:r>
      <w:r>
        <w:t xml:space="preserve">. </w:t>
      </w:r>
      <w:r w:rsidRPr="00E01BA0">
        <w:rPr>
          <w:rFonts w:cstheme="minorHAnsi"/>
        </w:rPr>
        <w:t xml:space="preserve">Z hlediska lékařských oborů, které </w:t>
      </w:r>
      <w:r w:rsidR="009B28E0">
        <w:rPr>
          <w:rFonts w:cstheme="minorHAnsi"/>
        </w:rPr>
        <w:t>stanoví</w:t>
      </w:r>
      <w:r w:rsidR="00487316">
        <w:rPr>
          <w:rFonts w:cstheme="minorHAnsi"/>
        </w:rPr>
        <w:t xml:space="preserve"> </w:t>
      </w:r>
      <w:r w:rsidRPr="00E01BA0">
        <w:rPr>
          <w:rFonts w:cstheme="minorHAnsi"/>
        </w:rPr>
        <w:t>přílo</w:t>
      </w:r>
      <w:r w:rsidR="009B28E0">
        <w:rPr>
          <w:rFonts w:cstheme="minorHAnsi"/>
        </w:rPr>
        <w:t>ha</w:t>
      </w:r>
      <w:r w:rsidRPr="00E01BA0">
        <w:rPr>
          <w:rFonts w:cstheme="minorHAnsi"/>
        </w:rPr>
        <w:t xml:space="preserve"> č. 1 zákona č.</w:t>
      </w:r>
      <w:r w:rsidR="009B28E0">
        <w:rPr>
          <w:rFonts w:cstheme="minorHAnsi"/>
        </w:rPr>
        <w:t> </w:t>
      </w:r>
      <w:r w:rsidRPr="00E01BA0">
        <w:rPr>
          <w:rFonts w:cstheme="minorHAnsi"/>
        </w:rPr>
        <w:t>95/2004 Sb.</w:t>
      </w:r>
      <w:r>
        <w:rPr>
          <w:rFonts w:eastAsiaTheme="majorEastAsia" w:cstheme="minorHAnsi"/>
          <w:vertAlign w:val="superscript"/>
        </w:rPr>
        <w:footnoteReference w:id="9"/>
      </w:r>
      <w:r w:rsidRPr="00E01BA0">
        <w:rPr>
          <w:rFonts w:cstheme="minorHAnsi"/>
        </w:rPr>
        <w:t xml:space="preserve"> jako obory specializačního vzdělávání, </w:t>
      </w:r>
      <w:r>
        <w:rPr>
          <w:rFonts w:cstheme="minorHAnsi"/>
        </w:rPr>
        <w:t>bylo</w:t>
      </w:r>
      <w:r w:rsidRPr="00E01BA0">
        <w:rPr>
          <w:rFonts w:cstheme="minorHAnsi"/>
        </w:rPr>
        <w:t xml:space="preserve"> v návazné </w:t>
      </w:r>
      <w:r w:rsidR="007B33CD">
        <w:rPr>
          <w:rFonts w:cstheme="minorHAnsi"/>
        </w:rPr>
        <w:t xml:space="preserve">zdravotní </w:t>
      </w:r>
      <w:r w:rsidRPr="00E01BA0">
        <w:rPr>
          <w:rFonts w:cstheme="minorHAnsi"/>
        </w:rPr>
        <w:t xml:space="preserve">péči částečně nebo zcela zastoupeno </w:t>
      </w:r>
      <w:r w:rsidRPr="00237347">
        <w:rPr>
          <w:rFonts w:cstheme="minorHAnsi"/>
          <w:b/>
        </w:rPr>
        <w:t>31 z celkových 43 lékařských oborů</w:t>
      </w:r>
      <w:r w:rsidRPr="004F7FAB">
        <w:rPr>
          <w:rFonts w:cstheme="minorHAnsi"/>
          <w:b/>
        </w:rPr>
        <w:t>.</w:t>
      </w:r>
      <w:r>
        <w:rPr>
          <w:rFonts w:cstheme="minorHAnsi"/>
        </w:rPr>
        <w:t xml:space="preserve"> </w:t>
      </w:r>
      <w:r w:rsidRPr="00E01BA0">
        <w:rPr>
          <w:rFonts w:cstheme="minorHAnsi"/>
        </w:rPr>
        <w:t xml:space="preserve">Kromě lékařských oborů </w:t>
      </w:r>
      <w:r w:rsidR="00487316" w:rsidRPr="00E01BA0">
        <w:rPr>
          <w:rFonts w:cstheme="minorHAnsi"/>
        </w:rPr>
        <w:t xml:space="preserve">vymezila </w:t>
      </w:r>
      <w:r w:rsidRPr="00E01BA0">
        <w:rPr>
          <w:rFonts w:cstheme="minorHAnsi"/>
          <w:i/>
        </w:rPr>
        <w:t>Koncepce návazné péče</w:t>
      </w:r>
      <w:r>
        <w:rPr>
          <w:rFonts w:cstheme="minorHAnsi"/>
        </w:rPr>
        <w:t xml:space="preserve"> </w:t>
      </w:r>
      <w:r w:rsidRPr="00E01BA0">
        <w:rPr>
          <w:rFonts w:cstheme="minorHAnsi"/>
        </w:rPr>
        <w:t>další činnosti a metody</w:t>
      </w:r>
      <w:r w:rsidR="00CF6E38">
        <w:rPr>
          <w:rStyle w:val="Znakapoznpodarou"/>
          <w:rFonts w:cstheme="minorHAnsi"/>
        </w:rPr>
        <w:footnoteReference w:id="10"/>
      </w:r>
      <w:r w:rsidRPr="00E01BA0">
        <w:rPr>
          <w:rFonts w:cstheme="minorHAnsi"/>
        </w:rPr>
        <w:t>, které souvisí s péčí poskytovanou v</w:t>
      </w:r>
      <w:r w:rsidR="00FE2D54">
        <w:rPr>
          <w:rFonts w:cstheme="minorHAnsi"/>
        </w:rPr>
        <w:t xml:space="preserve"> </w:t>
      </w:r>
      <w:r w:rsidRPr="00E01BA0">
        <w:rPr>
          <w:rFonts w:cstheme="minorHAnsi"/>
        </w:rPr>
        <w:t>oborech navazujících na péči vysoce specializovanou.</w:t>
      </w:r>
      <w:r>
        <w:rPr>
          <w:rFonts w:cstheme="minorHAnsi"/>
        </w:rPr>
        <w:t xml:space="preserve"> </w:t>
      </w:r>
    </w:p>
    <w:p w14:paraId="14B56614" w14:textId="77777777" w:rsidR="000062FE" w:rsidRDefault="007E2A6B" w:rsidP="000062FE">
      <w:pPr>
        <w:pStyle w:val="JK2"/>
        <w:tabs>
          <w:tab w:val="clear" w:pos="567"/>
          <w:tab w:val="left" w:pos="482"/>
        </w:tabs>
      </w:pPr>
      <w:bookmarkStart w:id="13" w:name="_Hlk121926809"/>
      <w:bookmarkEnd w:id="12"/>
      <w:r>
        <w:t>Podpora byla poskytována formou ex-post plateb</w:t>
      </w:r>
      <w:r>
        <w:rPr>
          <w:noProof/>
        </w:rPr>
        <w:t xml:space="preserve">, přičemž podíl financování ze zdrojů EU byl stanoven ve výši 85 % celkových způsobilých výdajů. Spolufinancování ze zdrojů státního rozpočtu se odvíjelo od právní formy příjemce. Maximální </w:t>
      </w:r>
      <w:r w:rsidR="00D861A7">
        <w:rPr>
          <w:noProof/>
        </w:rPr>
        <w:t>částka</w:t>
      </w:r>
      <w:r>
        <w:rPr>
          <w:noProof/>
        </w:rPr>
        <w:t xml:space="preserve"> způsobilých výdajů na </w:t>
      </w:r>
      <w:r w:rsidR="00340F6F">
        <w:rPr>
          <w:noProof/>
        </w:rPr>
        <w:t>jednu žádost o podporu</w:t>
      </w:r>
      <w:r>
        <w:rPr>
          <w:noProof/>
        </w:rPr>
        <w:t xml:space="preserve"> byla stanovena ve výši 99 mil. Kč. Ve výzvě nebyl omezen počet </w:t>
      </w:r>
      <w:r w:rsidR="00ED69A4">
        <w:rPr>
          <w:noProof/>
        </w:rPr>
        <w:t>žádostí</w:t>
      </w:r>
      <w:r>
        <w:rPr>
          <w:noProof/>
        </w:rPr>
        <w:t xml:space="preserve"> </w:t>
      </w:r>
      <w:r w:rsidR="00340F6F">
        <w:rPr>
          <w:noProof/>
        </w:rPr>
        <w:t>podaných jedním žadatelem.</w:t>
      </w:r>
      <w:r>
        <w:rPr>
          <w:noProof/>
        </w:rPr>
        <w:t xml:space="preserve"> Příjemci podpory jsou povinni po skončení projektů dodržovat pětiletou lhůtu udržitelnosti výstupů podpořených projektů. </w:t>
      </w:r>
      <w:bookmarkStart w:id="14" w:name="_Hlk118030974"/>
      <w:r>
        <w:rPr>
          <w:noProof/>
        </w:rPr>
        <w:t>Přehled celkové finanční alokace, výš</w:t>
      </w:r>
      <w:r w:rsidR="00271E52">
        <w:rPr>
          <w:noProof/>
        </w:rPr>
        <w:t>i</w:t>
      </w:r>
      <w:r>
        <w:rPr>
          <w:noProof/>
        </w:rPr>
        <w:t xml:space="preserve"> prostředků odpovídající podpoře ve vydaných právních akt</w:t>
      </w:r>
      <w:r w:rsidR="00302826">
        <w:rPr>
          <w:noProof/>
        </w:rPr>
        <w:t>e</w:t>
      </w:r>
      <w:r>
        <w:rPr>
          <w:noProof/>
        </w:rPr>
        <w:t>ch i skutečně poskytnut</w:t>
      </w:r>
      <w:r w:rsidR="00302826">
        <w:rPr>
          <w:noProof/>
        </w:rPr>
        <w:t>ou</w:t>
      </w:r>
      <w:r>
        <w:rPr>
          <w:noProof/>
        </w:rPr>
        <w:t xml:space="preserve"> podpor</w:t>
      </w:r>
      <w:r w:rsidR="00302826">
        <w:rPr>
          <w:noProof/>
        </w:rPr>
        <w:t>u</w:t>
      </w:r>
      <w:r>
        <w:rPr>
          <w:noProof/>
        </w:rPr>
        <w:t xml:space="preserve"> příjemcům </w:t>
      </w:r>
      <w:r w:rsidR="000744B4">
        <w:rPr>
          <w:noProof/>
        </w:rPr>
        <w:t>uvádí</w:t>
      </w:r>
      <w:r w:rsidR="00E61FA3">
        <w:rPr>
          <w:noProof/>
        </w:rPr>
        <w:t xml:space="preserve"> tabul</w:t>
      </w:r>
      <w:r w:rsidR="000744B4">
        <w:rPr>
          <w:noProof/>
        </w:rPr>
        <w:t>ka</w:t>
      </w:r>
      <w:r>
        <w:rPr>
          <w:noProof/>
        </w:rPr>
        <w:t xml:space="preserve"> č. </w:t>
      </w:r>
      <w:r w:rsidR="00340F6F">
        <w:rPr>
          <w:noProof/>
        </w:rPr>
        <w:t>2</w:t>
      </w:r>
      <w:r>
        <w:rPr>
          <w:noProof/>
        </w:rPr>
        <w:t>.</w:t>
      </w:r>
      <w:bookmarkEnd w:id="14"/>
    </w:p>
    <w:bookmarkEnd w:id="13"/>
    <w:p w14:paraId="0E19BC40" w14:textId="77777777" w:rsidR="00340F6F" w:rsidRPr="00C8529A" w:rsidRDefault="007E2A6B" w:rsidP="004F7FAB">
      <w:pPr>
        <w:pStyle w:val="Nadpistabulkynebografu"/>
        <w:ind w:left="1304" w:hanging="1304"/>
      </w:pPr>
      <w:r w:rsidRPr="00340F6F">
        <w:lastRenderedPageBreak/>
        <w:t xml:space="preserve">Tabulka č. </w:t>
      </w:r>
      <w:r w:rsidR="000E3D0B">
        <w:t>2</w:t>
      </w:r>
      <w:r w:rsidRPr="00340F6F">
        <w:t xml:space="preserve">: </w:t>
      </w:r>
      <w:r w:rsidRPr="00340F6F">
        <w:tab/>
        <w:t xml:space="preserve">Finanční alokace IROP na podporu </w:t>
      </w:r>
      <w:r w:rsidR="00973E41">
        <w:t>návazné zdravotní</w:t>
      </w:r>
      <w:r w:rsidRPr="00340F6F">
        <w:t xml:space="preserve"> péče ve výzvě č. </w:t>
      </w:r>
      <w:r w:rsidR="000E3D0B">
        <w:t>31</w:t>
      </w:r>
      <w:r w:rsidRPr="00340F6F">
        <w:t xml:space="preserve"> a její čerpání</w:t>
      </w:r>
      <w:r w:rsidRPr="00340F6F">
        <w:tab/>
        <w:t>(v mil. Kč</w:t>
      </w:r>
      <w:r w:rsidRPr="00C8529A">
        <w:t>)</w:t>
      </w:r>
    </w:p>
    <w:tbl>
      <w:tblPr>
        <w:tblStyle w:val="Mkatabulky"/>
        <w:tblW w:w="5000" w:type="pct"/>
        <w:tblLook w:val="04A0" w:firstRow="1" w:lastRow="0" w:firstColumn="1" w:lastColumn="0" w:noHBand="0" w:noVBand="1"/>
      </w:tblPr>
      <w:tblGrid>
        <w:gridCol w:w="1008"/>
        <w:gridCol w:w="1007"/>
        <w:gridCol w:w="1007"/>
        <w:gridCol w:w="1006"/>
        <w:gridCol w:w="1007"/>
        <w:gridCol w:w="1007"/>
        <w:gridCol w:w="1006"/>
        <w:gridCol w:w="1006"/>
        <w:gridCol w:w="1006"/>
      </w:tblGrid>
      <w:tr w:rsidR="00D44C38" w14:paraId="38F4A1AD" w14:textId="77777777" w:rsidTr="004F7FAB">
        <w:trPr>
          <w:trHeight w:val="567"/>
        </w:trPr>
        <w:tc>
          <w:tcPr>
            <w:tcW w:w="1668" w:type="pct"/>
            <w:gridSpan w:val="3"/>
            <w:shd w:val="clear" w:color="auto" w:fill="E5F1FF"/>
            <w:vAlign w:val="center"/>
          </w:tcPr>
          <w:p w14:paraId="0C579275" w14:textId="77777777" w:rsidR="00340F6F" w:rsidRPr="004F7FAB" w:rsidRDefault="007E2A6B" w:rsidP="00BD0AB5">
            <w:pPr>
              <w:keepNext/>
              <w:keepLines/>
              <w:jc w:val="center"/>
              <w:rPr>
                <w:sz w:val="20"/>
                <w:szCs w:val="20"/>
              </w:rPr>
            </w:pPr>
            <w:r w:rsidRPr="004F7FAB">
              <w:rPr>
                <w:b/>
                <w:sz w:val="20"/>
                <w:szCs w:val="20"/>
              </w:rPr>
              <w:t>Finanční alokace</w:t>
            </w:r>
          </w:p>
        </w:tc>
        <w:tc>
          <w:tcPr>
            <w:tcW w:w="1667" w:type="pct"/>
            <w:gridSpan w:val="3"/>
            <w:shd w:val="clear" w:color="auto" w:fill="E5F1FF"/>
            <w:vAlign w:val="center"/>
          </w:tcPr>
          <w:p w14:paraId="169A569E" w14:textId="77777777" w:rsidR="00340F6F" w:rsidRPr="004F7FAB" w:rsidRDefault="007E2A6B" w:rsidP="00BD0AB5">
            <w:pPr>
              <w:keepNext/>
              <w:keepLines/>
              <w:jc w:val="center"/>
              <w:rPr>
                <w:sz w:val="20"/>
                <w:szCs w:val="20"/>
              </w:rPr>
            </w:pPr>
            <w:r w:rsidRPr="004F7FAB">
              <w:rPr>
                <w:b/>
                <w:sz w:val="20"/>
                <w:szCs w:val="20"/>
              </w:rPr>
              <w:t xml:space="preserve">Podpora ve vydaných právních aktech o poskytnutí dotace* </w:t>
            </w:r>
          </w:p>
        </w:tc>
        <w:tc>
          <w:tcPr>
            <w:tcW w:w="1666" w:type="pct"/>
            <w:gridSpan w:val="3"/>
            <w:shd w:val="clear" w:color="auto" w:fill="E5F1FF"/>
            <w:vAlign w:val="center"/>
          </w:tcPr>
          <w:p w14:paraId="39F9A325" w14:textId="77777777" w:rsidR="00340F6F" w:rsidRPr="004F7FAB" w:rsidRDefault="007E2A6B" w:rsidP="00BD0AB5">
            <w:pPr>
              <w:keepNext/>
              <w:keepLines/>
              <w:jc w:val="center"/>
              <w:rPr>
                <w:sz w:val="20"/>
                <w:szCs w:val="20"/>
              </w:rPr>
            </w:pPr>
            <w:r w:rsidRPr="004F7FAB">
              <w:rPr>
                <w:b/>
                <w:sz w:val="20"/>
                <w:szCs w:val="20"/>
              </w:rPr>
              <w:t xml:space="preserve">Podpora poskytnutá příjemcům </w:t>
            </w:r>
          </w:p>
        </w:tc>
      </w:tr>
      <w:tr w:rsidR="00D44C38" w14:paraId="3280C4D0" w14:textId="77777777" w:rsidTr="004F7FAB">
        <w:trPr>
          <w:trHeight w:val="454"/>
        </w:trPr>
        <w:tc>
          <w:tcPr>
            <w:tcW w:w="556" w:type="pct"/>
            <w:shd w:val="clear" w:color="auto" w:fill="E5F1FF"/>
            <w:vAlign w:val="center"/>
          </w:tcPr>
          <w:p w14:paraId="1BEB3E85" w14:textId="77777777" w:rsidR="00340F6F" w:rsidRPr="004F7FAB" w:rsidRDefault="007E2A6B" w:rsidP="00BD0AB5">
            <w:pPr>
              <w:keepNext/>
              <w:keepLines/>
              <w:jc w:val="center"/>
              <w:rPr>
                <w:b/>
                <w:sz w:val="20"/>
                <w:szCs w:val="20"/>
              </w:rPr>
            </w:pPr>
            <w:r w:rsidRPr="004F7FAB">
              <w:rPr>
                <w:b/>
                <w:sz w:val="20"/>
                <w:szCs w:val="20"/>
              </w:rPr>
              <w:t>EU</w:t>
            </w:r>
          </w:p>
        </w:tc>
        <w:tc>
          <w:tcPr>
            <w:tcW w:w="556" w:type="pct"/>
            <w:shd w:val="clear" w:color="auto" w:fill="E5F1FF"/>
            <w:vAlign w:val="center"/>
          </w:tcPr>
          <w:p w14:paraId="2ACA3189" w14:textId="77777777" w:rsidR="00340F6F" w:rsidRPr="004F7FAB" w:rsidRDefault="007E2A6B" w:rsidP="00BD0AB5">
            <w:pPr>
              <w:keepNext/>
              <w:keepLines/>
              <w:jc w:val="center"/>
              <w:rPr>
                <w:b/>
                <w:sz w:val="20"/>
                <w:szCs w:val="20"/>
              </w:rPr>
            </w:pPr>
            <w:r w:rsidRPr="004F7FAB">
              <w:rPr>
                <w:b/>
                <w:sz w:val="20"/>
                <w:szCs w:val="20"/>
              </w:rPr>
              <w:t>SR</w:t>
            </w:r>
          </w:p>
        </w:tc>
        <w:tc>
          <w:tcPr>
            <w:tcW w:w="556" w:type="pct"/>
            <w:shd w:val="clear" w:color="auto" w:fill="E5F1FF"/>
            <w:vAlign w:val="center"/>
          </w:tcPr>
          <w:p w14:paraId="29DB179B" w14:textId="77777777" w:rsidR="00340F6F" w:rsidRPr="004F7FAB" w:rsidRDefault="007E2A6B" w:rsidP="00BD0AB5">
            <w:pPr>
              <w:keepNext/>
              <w:keepLines/>
              <w:jc w:val="center"/>
              <w:rPr>
                <w:b/>
                <w:sz w:val="20"/>
                <w:szCs w:val="20"/>
              </w:rPr>
            </w:pPr>
            <w:r w:rsidRPr="004F7FAB">
              <w:rPr>
                <w:b/>
                <w:sz w:val="20"/>
                <w:szCs w:val="20"/>
              </w:rPr>
              <w:t>Celkem</w:t>
            </w:r>
          </w:p>
        </w:tc>
        <w:tc>
          <w:tcPr>
            <w:tcW w:w="555" w:type="pct"/>
            <w:shd w:val="clear" w:color="auto" w:fill="E5F1FF"/>
            <w:vAlign w:val="center"/>
          </w:tcPr>
          <w:p w14:paraId="5525700C" w14:textId="77777777" w:rsidR="00340F6F" w:rsidRPr="004F7FAB" w:rsidRDefault="007E2A6B" w:rsidP="00BD0AB5">
            <w:pPr>
              <w:keepNext/>
              <w:keepLines/>
              <w:jc w:val="center"/>
              <w:rPr>
                <w:b/>
                <w:sz w:val="20"/>
                <w:szCs w:val="20"/>
              </w:rPr>
            </w:pPr>
            <w:r w:rsidRPr="004F7FAB">
              <w:rPr>
                <w:b/>
                <w:sz w:val="20"/>
                <w:szCs w:val="20"/>
              </w:rPr>
              <w:t>EU</w:t>
            </w:r>
          </w:p>
        </w:tc>
        <w:tc>
          <w:tcPr>
            <w:tcW w:w="556" w:type="pct"/>
            <w:shd w:val="clear" w:color="auto" w:fill="E5F1FF"/>
            <w:vAlign w:val="center"/>
          </w:tcPr>
          <w:p w14:paraId="184854ED" w14:textId="77777777" w:rsidR="00340F6F" w:rsidRPr="004F7FAB" w:rsidRDefault="007E2A6B" w:rsidP="00BD0AB5">
            <w:pPr>
              <w:keepNext/>
              <w:keepLines/>
              <w:jc w:val="center"/>
              <w:rPr>
                <w:b/>
                <w:sz w:val="20"/>
                <w:szCs w:val="20"/>
              </w:rPr>
            </w:pPr>
            <w:r w:rsidRPr="004F7FAB">
              <w:rPr>
                <w:b/>
                <w:sz w:val="20"/>
                <w:szCs w:val="20"/>
              </w:rPr>
              <w:t>SR</w:t>
            </w:r>
          </w:p>
        </w:tc>
        <w:tc>
          <w:tcPr>
            <w:tcW w:w="556" w:type="pct"/>
            <w:shd w:val="clear" w:color="auto" w:fill="E5F1FF"/>
            <w:vAlign w:val="center"/>
          </w:tcPr>
          <w:p w14:paraId="29EED666" w14:textId="77777777" w:rsidR="00340F6F" w:rsidRPr="004F7FAB" w:rsidRDefault="007E2A6B" w:rsidP="00BD0AB5">
            <w:pPr>
              <w:keepNext/>
              <w:keepLines/>
              <w:jc w:val="center"/>
              <w:rPr>
                <w:b/>
                <w:sz w:val="20"/>
                <w:szCs w:val="20"/>
              </w:rPr>
            </w:pPr>
            <w:r w:rsidRPr="004F7FAB">
              <w:rPr>
                <w:b/>
                <w:sz w:val="20"/>
                <w:szCs w:val="20"/>
              </w:rPr>
              <w:t>Celkem</w:t>
            </w:r>
          </w:p>
        </w:tc>
        <w:tc>
          <w:tcPr>
            <w:tcW w:w="555" w:type="pct"/>
            <w:shd w:val="clear" w:color="auto" w:fill="E5F1FF"/>
            <w:vAlign w:val="center"/>
          </w:tcPr>
          <w:p w14:paraId="4AA3D9C6" w14:textId="77777777" w:rsidR="00340F6F" w:rsidRPr="004F7FAB" w:rsidRDefault="007E2A6B" w:rsidP="00BD0AB5">
            <w:pPr>
              <w:keepNext/>
              <w:keepLines/>
              <w:jc w:val="center"/>
              <w:rPr>
                <w:b/>
                <w:sz w:val="20"/>
                <w:szCs w:val="20"/>
              </w:rPr>
            </w:pPr>
            <w:r w:rsidRPr="004F7FAB">
              <w:rPr>
                <w:b/>
                <w:sz w:val="20"/>
                <w:szCs w:val="20"/>
              </w:rPr>
              <w:t>EU</w:t>
            </w:r>
          </w:p>
        </w:tc>
        <w:tc>
          <w:tcPr>
            <w:tcW w:w="555" w:type="pct"/>
            <w:shd w:val="clear" w:color="auto" w:fill="E5F1FF"/>
            <w:vAlign w:val="center"/>
          </w:tcPr>
          <w:p w14:paraId="0AE66F27" w14:textId="77777777" w:rsidR="00340F6F" w:rsidRPr="004F7FAB" w:rsidRDefault="007E2A6B" w:rsidP="00BD0AB5">
            <w:pPr>
              <w:keepNext/>
              <w:keepLines/>
              <w:jc w:val="center"/>
              <w:rPr>
                <w:b/>
                <w:sz w:val="20"/>
                <w:szCs w:val="20"/>
              </w:rPr>
            </w:pPr>
            <w:r w:rsidRPr="004F7FAB">
              <w:rPr>
                <w:b/>
                <w:sz w:val="20"/>
                <w:szCs w:val="20"/>
              </w:rPr>
              <w:t>SR</w:t>
            </w:r>
          </w:p>
        </w:tc>
        <w:tc>
          <w:tcPr>
            <w:tcW w:w="555" w:type="pct"/>
            <w:shd w:val="clear" w:color="auto" w:fill="E5F1FF"/>
            <w:vAlign w:val="center"/>
          </w:tcPr>
          <w:p w14:paraId="4542E610" w14:textId="77777777" w:rsidR="00340F6F" w:rsidRPr="004F7FAB" w:rsidRDefault="007E2A6B" w:rsidP="00BD0AB5">
            <w:pPr>
              <w:keepNext/>
              <w:keepLines/>
              <w:jc w:val="center"/>
              <w:rPr>
                <w:b/>
                <w:sz w:val="20"/>
                <w:szCs w:val="20"/>
              </w:rPr>
            </w:pPr>
            <w:r w:rsidRPr="004F7FAB">
              <w:rPr>
                <w:b/>
                <w:sz w:val="20"/>
                <w:szCs w:val="20"/>
              </w:rPr>
              <w:t>Celkem</w:t>
            </w:r>
          </w:p>
        </w:tc>
      </w:tr>
      <w:tr w:rsidR="00D44C38" w14:paraId="3753A2EB" w14:textId="77777777" w:rsidTr="004F7FAB">
        <w:trPr>
          <w:trHeight w:val="397"/>
        </w:trPr>
        <w:tc>
          <w:tcPr>
            <w:tcW w:w="556" w:type="pct"/>
            <w:shd w:val="clear" w:color="auto" w:fill="auto"/>
            <w:vAlign w:val="center"/>
          </w:tcPr>
          <w:p w14:paraId="110B209A" w14:textId="77777777" w:rsidR="00340F6F" w:rsidRPr="004F7FAB" w:rsidRDefault="007E2A6B" w:rsidP="00BD0AB5">
            <w:pPr>
              <w:keepNext/>
              <w:keepLines/>
              <w:jc w:val="center"/>
              <w:rPr>
                <w:b/>
                <w:sz w:val="20"/>
                <w:szCs w:val="20"/>
              </w:rPr>
            </w:pPr>
            <w:r w:rsidRPr="004F7FAB">
              <w:rPr>
                <w:b/>
                <w:sz w:val="20"/>
                <w:szCs w:val="20"/>
              </w:rPr>
              <w:t>6 188,7</w:t>
            </w:r>
          </w:p>
        </w:tc>
        <w:tc>
          <w:tcPr>
            <w:tcW w:w="556" w:type="pct"/>
            <w:shd w:val="clear" w:color="auto" w:fill="auto"/>
            <w:vAlign w:val="center"/>
          </w:tcPr>
          <w:p w14:paraId="72EE80E5" w14:textId="77777777" w:rsidR="00340F6F" w:rsidRPr="004F7FAB" w:rsidRDefault="007E2A6B" w:rsidP="00BD0AB5">
            <w:pPr>
              <w:keepNext/>
              <w:keepLines/>
              <w:jc w:val="center"/>
              <w:rPr>
                <w:b/>
                <w:sz w:val="20"/>
                <w:szCs w:val="20"/>
              </w:rPr>
            </w:pPr>
            <w:r w:rsidRPr="004F7FAB">
              <w:rPr>
                <w:b/>
                <w:sz w:val="20"/>
                <w:szCs w:val="20"/>
              </w:rPr>
              <w:t>1 092,1</w:t>
            </w:r>
          </w:p>
        </w:tc>
        <w:tc>
          <w:tcPr>
            <w:tcW w:w="556" w:type="pct"/>
            <w:shd w:val="clear" w:color="auto" w:fill="auto"/>
            <w:vAlign w:val="center"/>
          </w:tcPr>
          <w:p w14:paraId="42D3BFF0" w14:textId="77777777" w:rsidR="00340F6F" w:rsidRPr="004F7FAB" w:rsidRDefault="007E2A6B" w:rsidP="00BD0AB5">
            <w:pPr>
              <w:keepNext/>
              <w:keepLines/>
              <w:jc w:val="center"/>
              <w:rPr>
                <w:b/>
                <w:sz w:val="20"/>
                <w:szCs w:val="20"/>
              </w:rPr>
            </w:pPr>
            <w:r w:rsidRPr="004F7FAB">
              <w:rPr>
                <w:b/>
                <w:sz w:val="20"/>
                <w:szCs w:val="20"/>
              </w:rPr>
              <w:t>7 280,8</w:t>
            </w:r>
          </w:p>
        </w:tc>
        <w:tc>
          <w:tcPr>
            <w:tcW w:w="555" w:type="pct"/>
            <w:shd w:val="clear" w:color="auto" w:fill="auto"/>
            <w:vAlign w:val="center"/>
          </w:tcPr>
          <w:p w14:paraId="50771FA5" w14:textId="77777777" w:rsidR="00340F6F" w:rsidRPr="004F7FAB" w:rsidRDefault="007E2A6B" w:rsidP="00BD0AB5">
            <w:pPr>
              <w:keepNext/>
              <w:keepLines/>
              <w:jc w:val="center"/>
              <w:rPr>
                <w:b/>
                <w:sz w:val="20"/>
                <w:szCs w:val="20"/>
              </w:rPr>
            </w:pPr>
            <w:r w:rsidRPr="004F7FAB">
              <w:rPr>
                <w:b/>
                <w:sz w:val="20"/>
                <w:szCs w:val="20"/>
              </w:rPr>
              <w:t>6 099,6</w:t>
            </w:r>
          </w:p>
        </w:tc>
        <w:tc>
          <w:tcPr>
            <w:tcW w:w="556" w:type="pct"/>
            <w:shd w:val="clear" w:color="auto" w:fill="auto"/>
            <w:vAlign w:val="center"/>
          </w:tcPr>
          <w:p w14:paraId="0505E565" w14:textId="77777777" w:rsidR="00340F6F" w:rsidRPr="004F7FAB" w:rsidRDefault="007E2A6B" w:rsidP="00BD0AB5">
            <w:pPr>
              <w:keepNext/>
              <w:keepLines/>
              <w:jc w:val="center"/>
              <w:rPr>
                <w:b/>
                <w:sz w:val="20"/>
                <w:szCs w:val="20"/>
              </w:rPr>
            </w:pPr>
            <w:r w:rsidRPr="004F7FAB">
              <w:rPr>
                <w:b/>
                <w:sz w:val="20"/>
                <w:szCs w:val="20"/>
              </w:rPr>
              <w:t>244,5</w:t>
            </w:r>
          </w:p>
        </w:tc>
        <w:tc>
          <w:tcPr>
            <w:tcW w:w="556" w:type="pct"/>
            <w:shd w:val="clear" w:color="auto" w:fill="auto"/>
            <w:vAlign w:val="center"/>
          </w:tcPr>
          <w:p w14:paraId="4E3E0F1C" w14:textId="77777777" w:rsidR="00340F6F" w:rsidRPr="004F7FAB" w:rsidRDefault="007E2A6B" w:rsidP="00BD0AB5">
            <w:pPr>
              <w:keepNext/>
              <w:keepLines/>
              <w:jc w:val="center"/>
              <w:rPr>
                <w:b/>
                <w:sz w:val="20"/>
                <w:szCs w:val="20"/>
              </w:rPr>
            </w:pPr>
            <w:r w:rsidRPr="004F7FAB">
              <w:rPr>
                <w:b/>
                <w:sz w:val="20"/>
                <w:szCs w:val="20"/>
              </w:rPr>
              <w:t>6 344,1</w:t>
            </w:r>
          </w:p>
        </w:tc>
        <w:tc>
          <w:tcPr>
            <w:tcW w:w="555" w:type="pct"/>
            <w:shd w:val="clear" w:color="auto" w:fill="auto"/>
            <w:vAlign w:val="center"/>
          </w:tcPr>
          <w:p w14:paraId="3DD68096" w14:textId="77777777" w:rsidR="00340F6F" w:rsidRPr="004F7FAB" w:rsidRDefault="007E2A6B" w:rsidP="00BD0AB5">
            <w:pPr>
              <w:keepNext/>
              <w:keepLines/>
              <w:jc w:val="center"/>
              <w:rPr>
                <w:b/>
                <w:sz w:val="20"/>
                <w:szCs w:val="20"/>
              </w:rPr>
            </w:pPr>
            <w:r w:rsidRPr="004F7FAB">
              <w:rPr>
                <w:b/>
                <w:sz w:val="20"/>
                <w:szCs w:val="20"/>
              </w:rPr>
              <w:t>5 718,4</w:t>
            </w:r>
          </w:p>
        </w:tc>
        <w:tc>
          <w:tcPr>
            <w:tcW w:w="555" w:type="pct"/>
            <w:shd w:val="clear" w:color="auto" w:fill="auto"/>
            <w:vAlign w:val="center"/>
          </w:tcPr>
          <w:p w14:paraId="690FC50B" w14:textId="77777777" w:rsidR="00340F6F" w:rsidRPr="004F7FAB" w:rsidRDefault="007E2A6B" w:rsidP="00BD0AB5">
            <w:pPr>
              <w:keepNext/>
              <w:keepLines/>
              <w:jc w:val="center"/>
              <w:rPr>
                <w:b/>
                <w:sz w:val="20"/>
                <w:szCs w:val="20"/>
              </w:rPr>
            </w:pPr>
            <w:r w:rsidRPr="004F7FAB">
              <w:rPr>
                <w:b/>
                <w:sz w:val="20"/>
                <w:szCs w:val="20"/>
              </w:rPr>
              <w:t>232,7</w:t>
            </w:r>
          </w:p>
        </w:tc>
        <w:tc>
          <w:tcPr>
            <w:tcW w:w="555" w:type="pct"/>
            <w:shd w:val="clear" w:color="auto" w:fill="auto"/>
            <w:vAlign w:val="center"/>
          </w:tcPr>
          <w:p w14:paraId="1D072CF0" w14:textId="77777777" w:rsidR="00340F6F" w:rsidRPr="004F7FAB" w:rsidRDefault="007E2A6B" w:rsidP="00BD0AB5">
            <w:pPr>
              <w:keepNext/>
              <w:keepLines/>
              <w:jc w:val="center"/>
              <w:rPr>
                <w:b/>
                <w:sz w:val="20"/>
                <w:szCs w:val="20"/>
              </w:rPr>
            </w:pPr>
            <w:r w:rsidRPr="004F7FAB">
              <w:rPr>
                <w:b/>
                <w:sz w:val="20"/>
                <w:szCs w:val="20"/>
              </w:rPr>
              <w:t>5 951,1</w:t>
            </w:r>
          </w:p>
        </w:tc>
      </w:tr>
    </w:tbl>
    <w:p w14:paraId="1E9DDFE6" w14:textId="77777777" w:rsidR="00340F6F" w:rsidRPr="000E3D0B" w:rsidRDefault="007E2A6B" w:rsidP="005E68DD">
      <w:pPr>
        <w:pStyle w:val="Zdrojnebovysvtlivkapodtabulkou"/>
      </w:pPr>
      <w:r w:rsidRPr="000E3D0B">
        <w:rPr>
          <w:b/>
        </w:rPr>
        <w:t>Zdroj:</w:t>
      </w:r>
      <w:r w:rsidRPr="000E3D0B">
        <w:t xml:space="preserve"> MS2014+, stav k 08/2022.</w:t>
      </w:r>
    </w:p>
    <w:p w14:paraId="29A33BD2" w14:textId="77777777" w:rsidR="00340F6F" w:rsidRPr="000E3D0B" w:rsidRDefault="007E2A6B" w:rsidP="004F7FAB">
      <w:pPr>
        <w:pStyle w:val="Zdrojnebovysvtlivkapodtabulkou"/>
        <w:ind w:left="284" w:hanging="284"/>
      </w:pPr>
      <w:r w:rsidRPr="000E3D0B">
        <w:t xml:space="preserve">* </w:t>
      </w:r>
      <w:r w:rsidR="004B4257">
        <w:tab/>
      </w:r>
      <w:r w:rsidRPr="000E3D0B">
        <w:t>Bez projektů nedokončených</w:t>
      </w:r>
      <w:r w:rsidR="00E95C37">
        <w:t>,</w:t>
      </w:r>
      <w:r w:rsidRPr="000E3D0B">
        <w:t xml:space="preserve"> </w:t>
      </w:r>
      <w:r w:rsidR="00E95C37">
        <w:t xml:space="preserve">tj. </w:t>
      </w:r>
      <w:r w:rsidRPr="000E3D0B">
        <w:t xml:space="preserve">ukončených </w:t>
      </w:r>
      <w:r w:rsidR="00E95C37">
        <w:t xml:space="preserve">MMR před </w:t>
      </w:r>
      <w:r w:rsidR="00C4596A">
        <w:t>poskytnutím</w:t>
      </w:r>
      <w:r w:rsidR="00E95C37">
        <w:t xml:space="preserve"> podpory příjemc</w:t>
      </w:r>
      <w:r w:rsidR="00C4596A">
        <w:t>i</w:t>
      </w:r>
      <w:r w:rsidRPr="000E3D0B">
        <w:t>.</w:t>
      </w:r>
    </w:p>
    <w:p w14:paraId="763AA2C7" w14:textId="77777777" w:rsidR="006D791D" w:rsidRPr="00D96C84" w:rsidRDefault="007E2A6B" w:rsidP="005E68DD">
      <w:pPr>
        <w:pStyle w:val="Nadpis1"/>
      </w:pPr>
      <w:bookmarkStart w:id="15" w:name="_Hlk97728594"/>
      <w:r>
        <w:t xml:space="preserve">III. </w:t>
      </w:r>
      <w:r w:rsidR="000624C9" w:rsidRPr="00D96C84">
        <w:t>Rozsah kontroly</w:t>
      </w:r>
    </w:p>
    <w:p w14:paraId="4283B50A" w14:textId="77777777" w:rsidR="00E37BC5" w:rsidRPr="0010562A" w:rsidRDefault="007E2A6B" w:rsidP="00D16947">
      <w:pPr>
        <w:pStyle w:val="JK3"/>
      </w:pPr>
      <w:bookmarkStart w:id="16" w:name="_Hlk97729707"/>
      <w:bookmarkEnd w:id="15"/>
      <w:r w:rsidRPr="00364E88">
        <w:t>Cílem kontrolní</w:t>
      </w:r>
      <w:r w:rsidRPr="0010562A">
        <w:t xml:space="preserve"> akce bylo prověřit, zda </w:t>
      </w:r>
      <w:r w:rsidR="006A2E81" w:rsidRPr="00F2524B">
        <w:t xml:space="preserve">peněžní prostředky </w:t>
      </w:r>
      <w:r w:rsidR="006A2E81" w:rsidRPr="00D25518">
        <w:rPr>
          <w:i/>
        </w:rPr>
        <w:t>Integrovaného regionálního operačního programu</w:t>
      </w:r>
      <w:r w:rsidR="006A2E81" w:rsidRPr="00F2524B">
        <w:t xml:space="preserve"> určené</w:t>
      </w:r>
      <w:r w:rsidRPr="0010562A">
        <w:t xml:space="preserve"> na podporu </w:t>
      </w:r>
      <w:r w:rsidR="000D7A10" w:rsidRPr="0010562A">
        <w:t>infrastruktury regionální zdravotní péče</w:t>
      </w:r>
      <w:r w:rsidRPr="0010562A">
        <w:t xml:space="preserve"> byly poskytovány a čerpány účelně, </w:t>
      </w:r>
      <w:r w:rsidR="000F36CB" w:rsidRPr="0010562A">
        <w:t>hospodárně</w:t>
      </w:r>
      <w:r w:rsidRPr="0010562A">
        <w:t xml:space="preserve"> a v souladu s právními předpisy.</w:t>
      </w:r>
      <w:r w:rsidR="000820E1" w:rsidRPr="0010562A">
        <w:t xml:space="preserve"> </w:t>
      </w:r>
    </w:p>
    <w:p w14:paraId="51C50724" w14:textId="77777777" w:rsidR="00435B07" w:rsidRDefault="007E2A6B" w:rsidP="00D16947">
      <w:pPr>
        <w:pStyle w:val="JK3"/>
      </w:pPr>
      <w:bookmarkStart w:id="17" w:name="_Hlk121930116"/>
      <w:bookmarkStart w:id="18" w:name="_Ref118030275"/>
      <w:r w:rsidRPr="00E6602B">
        <w:t>Za účelné se považuje takové použití veřejných prostředků, které zajistí optimální míru dosažení cílů při plnění stanovených úkolů</w:t>
      </w:r>
      <w:bookmarkEnd w:id="17"/>
      <w:r>
        <w:rPr>
          <w:vertAlign w:val="superscript"/>
        </w:rPr>
        <w:footnoteReference w:id="11"/>
      </w:r>
      <w:r w:rsidRPr="00E6602B">
        <w:t xml:space="preserve">. Poskytování a čerpání peněžních prostředků bylo tedy účelné, </w:t>
      </w:r>
      <w:r w:rsidR="00207539">
        <w:t>pokud</w:t>
      </w:r>
      <w:r w:rsidRPr="00E6602B">
        <w:t xml:space="preserve"> došlo k naplnění stanovených cílů, </w:t>
      </w:r>
      <w:r w:rsidR="00207539">
        <w:t>tj.</w:t>
      </w:r>
      <w:r w:rsidRPr="00E6602B">
        <w:t xml:space="preserve"> došlo ke</w:t>
      </w:r>
      <w:r w:rsidR="009158F0">
        <w:t xml:space="preserve"> </w:t>
      </w:r>
      <w:r w:rsidR="009158F0" w:rsidRPr="009158F0">
        <w:t>zlepšení systému funkční a</w:t>
      </w:r>
      <w:r w:rsidR="00FC0287">
        <w:t> </w:t>
      </w:r>
      <w:r w:rsidR="009158F0" w:rsidRPr="009158F0">
        <w:t xml:space="preserve">udržitelné péče tak, aby bylo podpořeno sociální začleňování osob, které jsou ohroženy sociálním vyloučením v důsledku </w:t>
      </w:r>
      <w:r w:rsidR="00AA0D89">
        <w:t>svého</w:t>
      </w:r>
      <w:r w:rsidR="009158F0" w:rsidRPr="009158F0">
        <w:t xml:space="preserve"> zdravotního stavu nebo ztížené dostupnosti zdravotních služeb</w:t>
      </w:r>
      <w:r w:rsidR="00B07781" w:rsidRPr="00E6602B">
        <w:t>.</w:t>
      </w:r>
      <w:r w:rsidR="00135876" w:rsidRPr="00E6602B">
        <w:t xml:space="preserve"> </w:t>
      </w:r>
      <w:r w:rsidR="00B07781" w:rsidRPr="00E6602B">
        <w:t>V</w:t>
      </w:r>
      <w:r w:rsidR="00135876" w:rsidRPr="00E6602B">
        <w:t> konečném důsledku</w:t>
      </w:r>
      <w:r w:rsidR="00B07781" w:rsidRPr="00E6602B">
        <w:t xml:space="preserve"> (přínosu)</w:t>
      </w:r>
      <w:r w:rsidR="00135876" w:rsidRPr="00E6602B">
        <w:t xml:space="preserve"> </w:t>
      </w:r>
      <w:r w:rsidR="00B07781" w:rsidRPr="00E6602B">
        <w:t xml:space="preserve">měla </w:t>
      </w:r>
      <w:r w:rsidR="00135876" w:rsidRPr="00E6602B">
        <w:t>podpora v</w:t>
      </w:r>
      <w:r w:rsidR="00B07781" w:rsidRPr="00E6602B">
        <w:t>ést</w:t>
      </w:r>
      <w:bookmarkEnd w:id="18"/>
    </w:p>
    <w:p w14:paraId="0EAFC700" w14:textId="77777777" w:rsidR="00435B07" w:rsidRDefault="007E2A6B" w:rsidP="00435B07">
      <w:pPr>
        <w:pStyle w:val="Odstavecseseznamem"/>
        <w:numPr>
          <w:ilvl w:val="1"/>
          <w:numId w:val="7"/>
        </w:numPr>
        <w:spacing w:after="120" w:line="240" w:lineRule="auto"/>
        <w:ind w:left="709"/>
        <w:jc w:val="both"/>
        <w:rPr>
          <w:sz w:val="24"/>
        </w:rPr>
      </w:pPr>
      <w:r w:rsidRPr="00435B07">
        <w:rPr>
          <w:sz w:val="24"/>
        </w:rPr>
        <w:t>ke zkrácení doby pobytu mimo přirozené prostředí a doby pracovní neschopnosti</w:t>
      </w:r>
      <w:r>
        <w:rPr>
          <w:sz w:val="24"/>
        </w:rPr>
        <w:t>;</w:t>
      </w:r>
      <w:r w:rsidRPr="00435B07">
        <w:rPr>
          <w:sz w:val="24"/>
        </w:rPr>
        <w:t xml:space="preserve"> </w:t>
      </w:r>
    </w:p>
    <w:p w14:paraId="0871F317" w14:textId="77777777" w:rsidR="00435B07" w:rsidRDefault="007E2A6B" w:rsidP="00435B07">
      <w:pPr>
        <w:pStyle w:val="Odstavecseseznamem"/>
        <w:numPr>
          <w:ilvl w:val="1"/>
          <w:numId w:val="7"/>
        </w:numPr>
        <w:spacing w:after="120" w:line="240" w:lineRule="auto"/>
        <w:ind w:left="709"/>
        <w:jc w:val="both"/>
        <w:rPr>
          <w:sz w:val="24"/>
        </w:rPr>
      </w:pPr>
      <w:r>
        <w:rPr>
          <w:sz w:val="24"/>
        </w:rPr>
        <w:t xml:space="preserve">k </w:t>
      </w:r>
      <w:r w:rsidRPr="00435B07">
        <w:rPr>
          <w:sz w:val="24"/>
        </w:rPr>
        <w:t>umožnění přístupu ke kvalitním zdravotním službám, které dosud nebyly ve všech regionech dostupné</w:t>
      </w:r>
      <w:r>
        <w:rPr>
          <w:sz w:val="24"/>
        </w:rPr>
        <w:t>;</w:t>
      </w:r>
      <w:r w:rsidRPr="00435B07">
        <w:rPr>
          <w:sz w:val="24"/>
        </w:rPr>
        <w:t xml:space="preserve"> </w:t>
      </w:r>
    </w:p>
    <w:p w14:paraId="168773A7" w14:textId="77777777" w:rsidR="00E37BC5" w:rsidRDefault="007E2A6B" w:rsidP="00435B07">
      <w:pPr>
        <w:pStyle w:val="Odstavecseseznamem"/>
        <w:numPr>
          <w:ilvl w:val="1"/>
          <w:numId w:val="7"/>
        </w:numPr>
        <w:spacing w:after="0" w:line="240" w:lineRule="auto"/>
        <w:ind w:left="709" w:hanging="357"/>
        <w:jc w:val="both"/>
        <w:rPr>
          <w:sz w:val="24"/>
        </w:rPr>
      </w:pPr>
      <w:r w:rsidRPr="00435B07">
        <w:rPr>
          <w:sz w:val="24"/>
        </w:rPr>
        <w:t xml:space="preserve">ke koncentraci návazné </w:t>
      </w:r>
      <w:r w:rsidR="00556BBE">
        <w:rPr>
          <w:sz w:val="24"/>
        </w:rPr>
        <w:t xml:space="preserve">zdravotní </w:t>
      </w:r>
      <w:r w:rsidRPr="00435B07">
        <w:rPr>
          <w:sz w:val="24"/>
        </w:rPr>
        <w:t>péče do vybraných zařízení</w:t>
      </w:r>
      <w:r w:rsidR="00BD3307">
        <w:rPr>
          <w:sz w:val="24"/>
        </w:rPr>
        <w:t xml:space="preserve"> tak</w:t>
      </w:r>
      <w:r>
        <w:rPr>
          <w:sz w:val="24"/>
        </w:rPr>
        <w:t xml:space="preserve">, </w:t>
      </w:r>
      <w:r w:rsidR="00BD3307">
        <w:rPr>
          <w:sz w:val="24"/>
        </w:rPr>
        <w:t>aby to vedlo</w:t>
      </w:r>
      <w:r w:rsidRPr="00435B07">
        <w:rPr>
          <w:sz w:val="24"/>
        </w:rPr>
        <w:t xml:space="preserve"> k</w:t>
      </w:r>
      <w:r w:rsidR="00556BBE">
        <w:rPr>
          <w:sz w:val="24"/>
        </w:rPr>
        <w:t> </w:t>
      </w:r>
      <w:r w:rsidRPr="00435B07">
        <w:rPr>
          <w:sz w:val="24"/>
        </w:rPr>
        <w:t xml:space="preserve">vyrovnání regionálních rozdílů v úrovni </w:t>
      </w:r>
      <w:r>
        <w:rPr>
          <w:sz w:val="24"/>
        </w:rPr>
        <w:t xml:space="preserve">poskytování </w:t>
      </w:r>
      <w:r w:rsidRPr="00435B07">
        <w:rPr>
          <w:sz w:val="24"/>
        </w:rPr>
        <w:t>této péče a k uvolnění kapacit (tj.</w:t>
      </w:r>
      <w:r w:rsidR="00E45D1C">
        <w:rPr>
          <w:sz w:val="24"/>
        </w:rPr>
        <w:t> </w:t>
      </w:r>
      <w:r w:rsidRPr="00435B07">
        <w:rPr>
          <w:sz w:val="24"/>
        </w:rPr>
        <w:t xml:space="preserve">snížení počtu akutních lůžek) </w:t>
      </w:r>
      <w:r>
        <w:rPr>
          <w:sz w:val="24"/>
        </w:rPr>
        <w:t>ve prospěch</w:t>
      </w:r>
      <w:r w:rsidRPr="00435B07">
        <w:rPr>
          <w:sz w:val="24"/>
        </w:rPr>
        <w:t xml:space="preserve"> dlouhodob</w:t>
      </w:r>
      <w:r>
        <w:rPr>
          <w:sz w:val="24"/>
        </w:rPr>
        <w:t>é péče</w:t>
      </w:r>
      <w:r w:rsidRPr="00435B07">
        <w:rPr>
          <w:sz w:val="24"/>
        </w:rPr>
        <w:t>.</w:t>
      </w:r>
    </w:p>
    <w:p w14:paraId="656C8D48" w14:textId="77777777" w:rsidR="00E37BC5" w:rsidRPr="00E6602B" w:rsidRDefault="007E2A6B" w:rsidP="00D16947">
      <w:pPr>
        <w:pStyle w:val="JK3"/>
      </w:pPr>
      <w:bookmarkStart w:id="19" w:name="_Hlk121930149"/>
      <w:bookmarkStart w:id="20" w:name="_Ref118030304"/>
      <w:r w:rsidRPr="008D55EB">
        <w:t xml:space="preserve">Za </w:t>
      </w:r>
      <w:r w:rsidR="00435B07" w:rsidRPr="008D55EB">
        <w:t>hospodárné</w:t>
      </w:r>
      <w:r w:rsidRPr="00E6602B">
        <w:t xml:space="preserve"> se považuje takové </w:t>
      </w:r>
      <w:r w:rsidR="00E15073" w:rsidRPr="00E15073">
        <w:t>použití veřejných prostředků</w:t>
      </w:r>
      <w:r w:rsidR="007A778F">
        <w:t>, které vede</w:t>
      </w:r>
      <w:r w:rsidR="00E15073" w:rsidRPr="00E15073">
        <w:t xml:space="preserve"> k zajištění stanovených úkolů s</w:t>
      </w:r>
      <w:r w:rsidR="004C20D7">
        <w:t xml:space="preserve"> </w:t>
      </w:r>
      <w:r w:rsidR="00E15073" w:rsidRPr="00E15073">
        <w:t>co nejnižším vynaložením těchto prostředků, a to při dodržení odpovídající kvality plněných úkolů</w:t>
      </w:r>
      <w:bookmarkEnd w:id="19"/>
      <w:r>
        <w:rPr>
          <w:vertAlign w:val="superscript"/>
        </w:rPr>
        <w:footnoteReference w:id="12"/>
      </w:r>
      <w:r w:rsidRPr="00E6602B">
        <w:t xml:space="preserve">. </w:t>
      </w:r>
      <w:r w:rsidR="000B4847">
        <w:t>Č</w:t>
      </w:r>
      <w:r w:rsidRPr="00E6602B">
        <w:t xml:space="preserve">erpání peněžních prostředků bylo tedy </w:t>
      </w:r>
      <w:r w:rsidR="00E15073">
        <w:t>hospodárné</w:t>
      </w:r>
      <w:r w:rsidRPr="00E6602B">
        <w:t xml:space="preserve">, </w:t>
      </w:r>
      <w:r w:rsidR="00A54694" w:rsidRPr="00E6602B">
        <w:t>pokud</w:t>
      </w:r>
      <w:r w:rsidRPr="00E6602B">
        <w:t xml:space="preserve"> </w:t>
      </w:r>
      <w:r w:rsidR="000820E1" w:rsidRPr="00E6602B">
        <w:t>nebyly při</w:t>
      </w:r>
      <w:r w:rsidR="008D55EB">
        <w:t xml:space="preserve"> </w:t>
      </w:r>
      <w:r w:rsidR="000820E1" w:rsidRPr="00E6602B">
        <w:t xml:space="preserve">plnění těchto úkolů překročeny náklady v místě a čase </w:t>
      </w:r>
      <w:r w:rsidR="00A54694" w:rsidRPr="00E6602B">
        <w:t>obvyklé</w:t>
      </w:r>
      <w:r w:rsidR="009425A2">
        <w:t xml:space="preserve"> </w:t>
      </w:r>
      <w:r w:rsidR="009425A2" w:rsidRPr="00B36CD5">
        <w:t>za podmínek, které preventivně zamezily vzniku dodatečných nákladů, a současně bylo využíváno všech užitných vlastností pořízeného zdravotnického vybavení pro cílovou skupinu</w:t>
      </w:r>
      <w:r w:rsidRPr="00E6602B">
        <w:t xml:space="preserve">. </w:t>
      </w:r>
      <w:bookmarkEnd w:id="20"/>
    </w:p>
    <w:p w14:paraId="1074E52A" w14:textId="77777777" w:rsidR="00FC057C" w:rsidRPr="00DA5431" w:rsidRDefault="007E2A6B" w:rsidP="00D16947">
      <w:pPr>
        <w:pStyle w:val="JK3"/>
      </w:pPr>
      <w:r w:rsidRPr="00DA5431">
        <w:t>NKÚ provedl kontrolu u M</w:t>
      </w:r>
      <w:r w:rsidR="00731936" w:rsidRPr="00DA5431">
        <w:t>MR</w:t>
      </w:r>
      <w:r w:rsidRPr="00DA5431">
        <w:t xml:space="preserve"> jako řídicího orgánu </w:t>
      </w:r>
      <w:r w:rsidRPr="00DA5431">
        <w:rPr>
          <w:i/>
        </w:rPr>
        <w:t>Integrovaného regionálního operačního programu</w:t>
      </w:r>
      <w:r w:rsidRPr="00DA5431">
        <w:t xml:space="preserve">, </w:t>
      </w:r>
      <w:r w:rsidR="009367B4" w:rsidRPr="00DA5431">
        <w:t>u</w:t>
      </w:r>
      <w:r w:rsidR="00DA7929" w:rsidRPr="00DA5431">
        <w:t> </w:t>
      </w:r>
      <w:r w:rsidRPr="00DA5431">
        <w:t>CRR jako zprostředkujícího subjektu tohoto operačního programu a</w:t>
      </w:r>
      <w:r w:rsidR="003107E1" w:rsidRPr="00DA5431">
        <w:t> </w:t>
      </w:r>
      <w:r w:rsidRPr="00DA5431">
        <w:t>u</w:t>
      </w:r>
      <w:r w:rsidR="003107E1" w:rsidRPr="00DA5431">
        <w:t> </w:t>
      </w:r>
      <w:r w:rsidRPr="00DA5431">
        <w:t xml:space="preserve">vybraných příjemců podpory </w:t>
      </w:r>
      <w:r w:rsidR="004755B9">
        <w:t xml:space="preserve">poskytnuté ze SC 2.3 </w:t>
      </w:r>
      <w:r w:rsidR="00364282">
        <w:t>IROP</w:t>
      </w:r>
      <w:r w:rsidRPr="00DA5431">
        <w:t>.</w:t>
      </w:r>
      <w:r w:rsidR="00056601">
        <w:t xml:space="preserve"> </w:t>
      </w:r>
    </w:p>
    <w:p w14:paraId="6F884636" w14:textId="77777777" w:rsidR="00055C56" w:rsidRPr="00DA5431" w:rsidRDefault="007E2A6B" w:rsidP="00D16947">
      <w:pPr>
        <w:pStyle w:val="JK3"/>
      </w:pPr>
      <w:r w:rsidRPr="00056601">
        <w:t xml:space="preserve">Kontrolou </w:t>
      </w:r>
      <w:r>
        <w:t xml:space="preserve">u MMR a CRR </w:t>
      </w:r>
      <w:r w:rsidRPr="00056601">
        <w:t>bylo posouzeno nastavení</w:t>
      </w:r>
      <w:r>
        <w:t xml:space="preserve"> a </w:t>
      </w:r>
      <w:r w:rsidR="001217CE">
        <w:t>účinnost</w:t>
      </w:r>
      <w:r w:rsidRPr="00056601">
        <w:t xml:space="preserve"> </w:t>
      </w:r>
      <w:r>
        <w:t>systému poskytování peněžních prostředků na podporu infrastruktury regionální zdravotní péče prostřednictvím dvou výzev vyhlášených v rámci SC 2.3 IROP</w:t>
      </w:r>
      <w:r w:rsidR="00207539">
        <w:t xml:space="preserve"> z hlediska zajištění účelnosti a hospodárnosti poskytování veřejných prostředků</w:t>
      </w:r>
      <w:r w:rsidR="00E15388">
        <w:t xml:space="preserve"> a z hlediska souladu s právními předpisy</w:t>
      </w:r>
      <w:r>
        <w:t xml:space="preserve">. Při kontrole systému poskytování podpory </w:t>
      </w:r>
      <w:r w:rsidR="00E21714">
        <w:t>posoudil</w:t>
      </w:r>
      <w:r>
        <w:t xml:space="preserve"> </w:t>
      </w:r>
      <w:r w:rsidR="00FD5CBF">
        <w:t xml:space="preserve">NKÚ </w:t>
      </w:r>
      <w:r>
        <w:t xml:space="preserve">zejména stanovení cílů, monitorování výstupů </w:t>
      </w:r>
      <w:r w:rsidR="004C20D7">
        <w:br/>
      </w:r>
      <w:r>
        <w:lastRenderedPageBreak/>
        <w:t>a</w:t>
      </w:r>
      <w:r w:rsidR="004C20D7">
        <w:t xml:space="preserve"> </w:t>
      </w:r>
      <w:r>
        <w:t xml:space="preserve">výsledků, vyhodnocování dopadů poskytnuté podpory, nastavení a aplikaci pravidel </w:t>
      </w:r>
      <w:r w:rsidR="004C20D7">
        <w:br/>
      </w:r>
      <w:r>
        <w:t>k</w:t>
      </w:r>
      <w:r w:rsidR="004C20D7">
        <w:t xml:space="preserve"> </w:t>
      </w:r>
      <w:r>
        <w:t xml:space="preserve">zajištění výběru </w:t>
      </w:r>
      <w:r w:rsidR="005E7615">
        <w:t>projektů k</w:t>
      </w:r>
      <w:r w:rsidR="004C20D7">
        <w:t xml:space="preserve"> </w:t>
      </w:r>
      <w:r w:rsidR="005E7615">
        <w:t xml:space="preserve">podpoře splňujících podmínky </w:t>
      </w:r>
      <w:r>
        <w:t>účeln</w:t>
      </w:r>
      <w:r w:rsidR="005E7615">
        <w:t>osti</w:t>
      </w:r>
      <w:r>
        <w:t xml:space="preserve"> a hospodárn</w:t>
      </w:r>
      <w:r w:rsidR="005E7615">
        <w:t>osti</w:t>
      </w:r>
      <w:r>
        <w:t xml:space="preserve"> a</w:t>
      </w:r>
      <w:r w:rsidR="00E5291F">
        <w:t> </w:t>
      </w:r>
      <w:r>
        <w:t>nastavení a provádění kontrolní činnosti u</w:t>
      </w:r>
      <w:r w:rsidR="001217CE">
        <w:t> </w:t>
      </w:r>
      <w:r>
        <w:t>příjemců podpory.</w:t>
      </w:r>
      <w:r w:rsidR="00207539">
        <w:t xml:space="preserve"> </w:t>
      </w:r>
    </w:p>
    <w:p w14:paraId="59FA6A2B" w14:textId="1C3F76BA" w:rsidR="001217CE" w:rsidRPr="00A44D58" w:rsidRDefault="007E2A6B" w:rsidP="00D16947">
      <w:pPr>
        <w:pStyle w:val="JK3"/>
      </w:pPr>
      <w:r w:rsidRPr="00434E24">
        <w:t>U vybraných příjemců</w:t>
      </w:r>
      <w:r>
        <w:t xml:space="preserve"> podpory bylo kontrolou NKÚ zejména posouzeno, zda příjemci použili poskytnuté veřejné prostředky na pořízení kontrolovaného zdravotnického vybavení účelně a</w:t>
      </w:r>
      <w:r w:rsidR="00434E24">
        <w:t xml:space="preserve"> </w:t>
      </w:r>
      <w:r>
        <w:t>hospodárně.</w:t>
      </w:r>
      <w:r w:rsidR="00324B76">
        <w:t xml:space="preserve"> </w:t>
      </w:r>
      <w:r w:rsidRPr="00324B76">
        <w:t xml:space="preserve">NKÚ </w:t>
      </w:r>
      <w:r w:rsidR="00434E24">
        <w:t>pomocí</w:t>
      </w:r>
      <w:r w:rsidR="00434E24" w:rsidRPr="00324B76">
        <w:t xml:space="preserve"> čtyřstupňové škály </w:t>
      </w:r>
      <w:r w:rsidRPr="00324B76">
        <w:t>vyhodnotil u</w:t>
      </w:r>
      <w:r w:rsidR="00434E24">
        <w:t xml:space="preserve"> </w:t>
      </w:r>
      <w:r w:rsidRPr="00324B76">
        <w:t xml:space="preserve">každého </w:t>
      </w:r>
      <w:r>
        <w:t>zdravotnického vybavení</w:t>
      </w:r>
      <w:r w:rsidRPr="00324B76">
        <w:t xml:space="preserve"> na základě zjištěných skutečností účelnost a</w:t>
      </w:r>
      <w:r w:rsidR="00434E24">
        <w:t xml:space="preserve"> </w:t>
      </w:r>
      <w:r w:rsidRPr="00A44D58">
        <w:t>hospodárnost vynaložených peněžních prostředků</w:t>
      </w:r>
      <w:r w:rsidR="002250BA" w:rsidRPr="00A44D58">
        <w:t>,</w:t>
      </w:r>
      <w:r w:rsidRPr="00A44D58">
        <w:t xml:space="preserve"> ve smyslu jejich vymezení uvedené</w:t>
      </w:r>
      <w:r w:rsidR="006E50D1" w:rsidRPr="00A44D58">
        <w:t>ho</w:t>
      </w:r>
      <w:r w:rsidRPr="00A44D58">
        <w:t xml:space="preserve"> v</w:t>
      </w:r>
      <w:r w:rsidR="004C20D7">
        <w:t xml:space="preserve"> </w:t>
      </w:r>
      <w:r w:rsidRPr="00A44D58">
        <w:t xml:space="preserve">odstavci </w:t>
      </w:r>
      <w:r w:rsidR="006A2E81" w:rsidRPr="00A44D58">
        <w:fldChar w:fldCharType="begin"/>
      </w:r>
      <w:r w:rsidR="006A2E81" w:rsidRPr="00A44D58">
        <w:instrText xml:space="preserve"> REF _Ref118030275 \r \h  \* MERGEFORMAT </w:instrText>
      </w:r>
      <w:r w:rsidR="006A2E81" w:rsidRPr="00A44D58">
        <w:fldChar w:fldCharType="separate"/>
      </w:r>
      <w:r w:rsidR="001825F1">
        <w:t>3.2</w:t>
      </w:r>
      <w:r w:rsidR="006A2E81" w:rsidRPr="00A44D58">
        <w:fldChar w:fldCharType="end"/>
      </w:r>
      <w:r w:rsidRPr="00A44D58">
        <w:t xml:space="preserve"> a </w:t>
      </w:r>
      <w:r w:rsidR="006A2E81" w:rsidRPr="00A44D58">
        <w:fldChar w:fldCharType="begin"/>
      </w:r>
      <w:r w:rsidR="006A2E81" w:rsidRPr="00A44D58">
        <w:instrText xml:space="preserve"> REF _Ref118030304 \r \h </w:instrText>
      </w:r>
      <w:r w:rsidR="00A44D58">
        <w:instrText xml:space="preserve"> \* MERGEFORMAT </w:instrText>
      </w:r>
      <w:r w:rsidR="006A2E81" w:rsidRPr="00A44D58">
        <w:fldChar w:fldCharType="separate"/>
      </w:r>
      <w:r w:rsidR="001825F1">
        <w:t>3.3</w:t>
      </w:r>
      <w:r w:rsidR="006A2E81" w:rsidRPr="00A44D58">
        <w:fldChar w:fldCharType="end"/>
      </w:r>
      <w:r w:rsidRPr="00A44D58">
        <w:t>; podrobnosti ke kritériím vyhodnocení jsou uvedeny v</w:t>
      </w:r>
      <w:r w:rsidR="004C20D7">
        <w:t xml:space="preserve"> </w:t>
      </w:r>
      <w:r w:rsidRPr="00A44D58">
        <w:t xml:space="preserve">příloze č. </w:t>
      </w:r>
      <w:r w:rsidR="00306808" w:rsidRPr="00A44D58">
        <w:t>3</w:t>
      </w:r>
      <w:r w:rsidRPr="00A44D58">
        <w:t>. Dále NKÚ u</w:t>
      </w:r>
      <w:r w:rsidR="00434E24">
        <w:t xml:space="preserve"> </w:t>
      </w:r>
      <w:r w:rsidRPr="00A44D58">
        <w:t xml:space="preserve">příjemců ověřil dodržení podmínek poskytnuté podpory stanovených </w:t>
      </w:r>
      <w:r w:rsidR="00C20103" w:rsidRPr="00A44D58">
        <w:t>v právním aktu o</w:t>
      </w:r>
      <w:r w:rsidR="006F247D" w:rsidRPr="00A44D58">
        <w:t> </w:t>
      </w:r>
      <w:r w:rsidR="00C20103" w:rsidRPr="00A44D58">
        <w:t>poskytnutí dotace</w:t>
      </w:r>
      <w:r w:rsidRPr="00A44D58">
        <w:t xml:space="preserve">. </w:t>
      </w:r>
    </w:p>
    <w:p w14:paraId="76C7EAD4" w14:textId="77777777" w:rsidR="007E2B96" w:rsidRPr="00A44D58" w:rsidRDefault="007E2A6B" w:rsidP="00D16947">
      <w:pPr>
        <w:pStyle w:val="JK3"/>
      </w:pPr>
      <w:r w:rsidRPr="00A44D58">
        <w:t xml:space="preserve">Ke kontrole byl vybrán vzorek 16 projektů realizovaných </w:t>
      </w:r>
      <w:r w:rsidR="00AD2BAC" w:rsidRPr="00A44D58">
        <w:t>osmi</w:t>
      </w:r>
      <w:r w:rsidRPr="00A44D58">
        <w:t xml:space="preserve"> příjemc</w:t>
      </w:r>
      <w:r w:rsidR="00564AA2">
        <w:t>i</w:t>
      </w:r>
      <w:r w:rsidRPr="00A44D58">
        <w:t xml:space="preserve"> podpory (dále </w:t>
      </w:r>
      <w:r w:rsidR="00FC1206" w:rsidRPr="00A44D58">
        <w:t xml:space="preserve">také </w:t>
      </w:r>
      <w:r w:rsidRPr="00A44D58">
        <w:t>„vybrané projekty“). Vzorek se skládal z </w:t>
      </w:r>
      <w:r w:rsidR="00AD2BAC" w:rsidRPr="00A44D58">
        <w:t xml:space="preserve">šesti projektů z výzvy č. 5 zaměřené na podporu vysoce specializované péče </w:t>
      </w:r>
      <w:r w:rsidR="001217CE" w:rsidRPr="00A44D58">
        <w:t>(</w:t>
      </w:r>
      <w:r w:rsidR="00AD2BAC" w:rsidRPr="00A44D58">
        <w:t xml:space="preserve">z toho dva projekty byly zaměřeny na podporu </w:t>
      </w:r>
      <w:proofErr w:type="spellStart"/>
      <w:r w:rsidR="00AD2BAC" w:rsidRPr="00A44D58">
        <w:t>onkogynekologie</w:t>
      </w:r>
      <w:proofErr w:type="spellEnd"/>
      <w:r w:rsidR="00AD2BAC" w:rsidRPr="00A44D58">
        <w:t xml:space="preserve"> a čtyři projekty na podporu </w:t>
      </w:r>
      <w:proofErr w:type="spellStart"/>
      <w:r w:rsidR="00AD2BAC" w:rsidRPr="00A44D58">
        <w:t>perinatologie</w:t>
      </w:r>
      <w:proofErr w:type="spellEnd"/>
      <w:r w:rsidR="001217CE" w:rsidRPr="00A44D58">
        <w:t>)</w:t>
      </w:r>
      <w:r w:rsidR="00AD2BAC" w:rsidRPr="00A44D58">
        <w:t xml:space="preserve"> a 10 projektů z výzvy č. 31, v</w:t>
      </w:r>
      <w:r w:rsidR="004C20D7">
        <w:t xml:space="preserve"> </w:t>
      </w:r>
      <w:proofErr w:type="gramStart"/>
      <w:r w:rsidR="00AD2BAC" w:rsidRPr="00A44D58">
        <w:t>rámci</w:t>
      </w:r>
      <w:proofErr w:type="gramEnd"/>
      <w:r w:rsidR="00AD2BAC" w:rsidRPr="00A44D58">
        <w:t xml:space="preserve"> </w:t>
      </w:r>
      <w:r w:rsidR="008F05F8" w:rsidRPr="00A44D58">
        <w:t>které</w:t>
      </w:r>
      <w:r w:rsidR="00AD2BAC" w:rsidRPr="00A44D58">
        <w:t xml:space="preserve"> byla podpora smě</w:t>
      </w:r>
      <w:r w:rsidR="00564AA2">
        <w:t>r</w:t>
      </w:r>
      <w:r w:rsidR="00AD2BAC" w:rsidRPr="00A44D58">
        <w:t>ována do návazné</w:t>
      </w:r>
      <w:r w:rsidR="00462A63" w:rsidRPr="00A44D58">
        <w:t xml:space="preserve"> zdravotní</w:t>
      </w:r>
      <w:r w:rsidR="00AD2BAC" w:rsidRPr="00A44D58">
        <w:t xml:space="preserve"> péče.</w:t>
      </w:r>
      <w:r w:rsidR="00630208" w:rsidRPr="00A44D58">
        <w:t xml:space="preserve"> </w:t>
      </w:r>
      <w:r w:rsidR="002951C2" w:rsidRPr="00A44D58">
        <w:t>Přehled v</w:t>
      </w:r>
      <w:r w:rsidR="00633030" w:rsidRPr="00A44D58">
        <w:t>ybran</w:t>
      </w:r>
      <w:r w:rsidR="002951C2" w:rsidRPr="00A44D58">
        <w:t>ých</w:t>
      </w:r>
      <w:r w:rsidR="00633030" w:rsidRPr="00A44D58">
        <w:t xml:space="preserve"> projekt</w:t>
      </w:r>
      <w:r w:rsidR="002951C2" w:rsidRPr="00A44D58">
        <w:t>ů</w:t>
      </w:r>
      <w:r w:rsidR="00633030" w:rsidRPr="00A44D58">
        <w:t xml:space="preserve"> </w:t>
      </w:r>
      <w:r w:rsidR="002951C2" w:rsidRPr="00A44D58">
        <w:t xml:space="preserve">je součástí přílohy č. </w:t>
      </w:r>
      <w:r w:rsidR="00306808" w:rsidRPr="00A44D58">
        <w:t>1</w:t>
      </w:r>
      <w:r w:rsidR="002951C2" w:rsidRPr="00A44D58">
        <w:t xml:space="preserve">. </w:t>
      </w:r>
    </w:p>
    <w:p w14:paraId="6E88C6D7" w14:textId="77777777" w:rsidR="00EC5E3F" w:rsidRPr="007E2B96" w:rsidRDefault="007E2A6B" w:rsidP="00D16947">
      <w:pPr>
        <w:pStyle w:val="JK3"/>
      </w:pPr>
      <w:r w:rsidRPr="00943291">
        <w:t>Výběr projektů určených</w:t>
      </w:r>
      <w:r>
        <w:t xml:space="preserve"> </w:t>
      </w:r>
      <w:r w:rsidRPr="007E2B96">
        <w:t xml:space="preserve">ke kontrole byl proveden v zájmu reprezentativního zastoupení </w:t>
      </w:r>
      <w:r>
        <w:t xml:space="preserve">obou výzev a </w:t>
      </w:r>
      <w:r w:rsidRPr="007E2B96">
        <w:t>reflekt</w:t>
      </w:r>
      <w:r>
        <w:t>oval</w:t>
      </w:r>
      <w:r w:rsidRPr="007E2B96">
        <w:t xml:space="preserve"> strukturu příjemců</w:t>
      </w:r>
      <w:r>
        <w:t xml:space="preserve">. </w:t>
      </w:r>
      <w:r w:rsidRPr="007E2B96">
        <w:t xml:space="preserve">Do </w:t>
      </w:r>
      <w:r w:rsidR="00D841CE">
        <w:t>kontrolního</w:t>
      </w:r>
      <w:r w:rsidRPr="007E2B96">
        <w:t xml:space="preserve"> vzorku byl</w:t>
      </w:r>
      <w:r w:rsidR="00F9073E">
        <w:t>y</w:t>
      </w:r>
      <w:r w:rsidRPr="007E2B96">
        <w:t xml:space="preserve"> z důvodu pokrytí různých</w:t>
      </w:r>
      <w:r>
        <w:t xml:space="preserve"> </w:t>
      </w:r>
      <w:r w:rsidRPr="007E2B96">
        <w:t>právních forem zahrnut</w:t>
      </w:r>
      <w:r w:rsidR="00E21714">
        <w:t>y</w:t>
      </w:r>
      <w:r w:rsidRPr="007E2B96">
        <w:t xml:space="preserve"> jak </w:t>
      </w:r>
      <w:r w:rsidR="005E7615">
        <w:t xml:space="preserve">státní příspěvkové </w:t>
      </w:r>
      <w:r w:rsidRPr="007E2B96">
        <w:t xml:space="preserve">organizace </w:t>
      </w:r>
      <w:r w:rsidR="005E7615">
        <w:t>z</w:t>
      </w:r>
      <w:r w:rsidRPr="007E2B96">
        <w:t xml:space="preserve">řízené </w:t>
      </w:r>
      <w:proofErr w:type="spellStart"/>
      <w:r w:rsidRPr="007E2B96">
        <w:t>MZd</w:t>
      </w:r>
      <w:proofErr w:type="spellEnd"/>
      <w:r w:rsidRPr="007E2B96">
        <w:t xml:space="preserve"> (fakultní nemocnice) a</w:t>
      </w:r>
      <w:r w:rsidR="00564AA2">
        <w:t xml:space="preserve"> </w:t>
      </w:r>
      <w:r w:rsidRPr="007E2B96">
        <w:t xml:space="preserve">příspěvkové organizace zřízené krajem, tak i </w:t>
      </w:r>
      <w:r w:rsidR="005E7615">
        <w:t>akciové společnosti (</w:t>
      </w:r>
      <w:r w:rsidR="005E7615" w:rsidRPr="007E2B96">
        <w:t xml:space="preserve">podnikající </w:t>
      </w:r>
      <w:r w:rsidRPr="007E2B96">
        <w:t xml:space="preserve">právnické osoby) </w:t>
      </w:r>
      <w:r w:rsidRPr="005976B9">
        <w:t>zapsané</w:t>
      </w:r>
      <w:r w:rsidRPr="007E2B96">
        <w:t xml:space="preserve"> v </w:t>
      </w:r>
      <w:r w:rsidRPr="00E26E9B">
        <w:rPr>
          <w:i/>
        </w:rPr>
        <w:t>Národním registru poskytovatelů zdravotní</w:t>
      </w:r>
      <w:r w:rsidR="00021B0C">
        <w:rPr>
          <w:i/>
        </w:rPr>
        <w:t>ch</w:t>
      </w:r>
      <w:r w:rsidRPr="00E26E9B">
        <w:rPr>
          <w:i/>
        </w:rPr>
        <w:t xml:space="preserve"> </w:t>
      </w:r>
      <w:r w:rsidR="00021B0C">
        <w:rPr>
          <w:i/>
        </w:rPr>
        <w:t>služeb</w:t>
      </w:r>
      <w:r w:rsidR="00021B0C" w:rsidRPr="007E2B96">
        <w:t xml:space="preserve"> </w:t>
      </w:r>
      <w:r w:rsidRPr="007E2B96">
        <w:t>s</w:t>
      </w:r>
      <w:r w:rsidR="00457CA5">
        <w:t> </w:t>
      </w:r>
      <w:r w:rsidRPr="007E2B96">
        <w:t>předmětem podnikání mimo jiné ve zdravotnických oborech</w:t>
      </w:r>
      <w:r>
        <w:rPr>
          <w:rStyle w:val="Znakapoznpodarou"/>
        </w:rPr>
        <w:footnoteReference w:id="13"/>
      </w:r>
      <w:r w:rsidRPr="007E2B96">
        <w:t xml:space="preserve">. </w:t>
      </w:r>
      <w:r w:rsidRPr="00DA5431">
        <w:t xml:space="preserve">Dále NKÚ </w:t>
      </w:r>
      <w:r>
        <w:t>zohlednil</w:t>
      </w:r>
      <w:r w:rsidRPr="00DA5431">
        <w:t xml:space="preserve"> hledisko kvantitativní, kdy při výběru preferoval finančně významnější projekty, jejichž realizace již byla ukončena</w:t>
      </w:r>
      <w:r w:rsidR="008B237B">
        <w:t xml:space="preserve">, </w:t>
      </w:r>
      <w:r w:rsidR="004C20D7">
        <w:br/>
      </w:r>
      <w:r w:rsidR="008B237B">
        <w:t>a</w:t>
      </w:r>
      <w:r w:rsidR="004C20D7">
        <w:t xml:space="preserve"> </w:t>
      </w:r>
      <w:r w:rsidR="008B237B">
        <w:t xml:space="preserve">zároveň </w:t>
      </w:r>
      <w:r w:rsidR="00663BDB">
        <w:t>hledisko minimálního počtu dvou realizovaných projektů jedním příjemcem</w:t>
      </w:r>
      <w:r w:rsidRPr="00DA5431">
        <w:t xml:space="preserve">. </w:t>
      </w:r>
      <w:r>
        <w:t xml:space="preserve">Kontrolovaný objem prostředků ve vybraných projektech činil </w:t>
      </w:r>
      <w:r w:rsidRPr="007F0CDF">
        <w:t>994</w:t>
      </w:r>
      <w:r>
        <w:t>,4</w:t>
      </w:r>
      <w:r w:rsidR="004C20D7">
        <w:t xml:space="preserve"> </w:t>
      </w:r>
      <w:r>
        <w:t>mil.</w:t>
      </w:r>
      <w:r w:rsidR="004C20D7">
        <w:t xml:space="preserve"> </w:t>
      </w:r>
      <w:r w:rsidRPr="007F0CDF">
        <w:t xml:space="preserve">Kč, což </w:t>
      </w:r>
      <w:r>
        <w:t>představuje</w:t>
      </w:r>
      <w:r w:rsidRPr="007F0CDF">
        <w:t xml:space="preserve"> 13,</w:t>
      </w:r>
      <w:r>
        <w:t>2 </w:t>
      </w:r>
      <w:r w:rsidRPr="007F0CDF">
        <w:t>% z</w:t>
      </w:r>
      <w:r>
        <w:t xml:space="preserve"> celkového kontrolovatelného </w:t>
      </w:r>
      <w:r w:rsidRPr="007F0CDF">
        <w:t xml:space="preserve">objemu </w:t>
      </w:r>
      <w:r>
        <w:t>(</w:t>
      </w:r>
      <w:r w:rsidRPr="007F0CDF">
        <w:t>7</w:t>
      </w:r>
      <w:r>
        <w:t> </w:t>
      </w:r>
      <w:r w:rsidRPr="007F0CDF">
        <w:t>540</w:t>
      </w:r>
      <w:r>
        <w:t>,9 mil.</w:t>
      </w:r>
      <w:r w:rsidR="00407B56">
        <w:t> </w:t>
      </w:r>
      <w:r w:rsidRPr="007F0CDF">
        <w:t>Kč</w:t>
      </w:r>
      <w:r>
        <w:t>)</w:t>
      </w:r>
      <w:r>
        <w:rPr>
          <w:rStyle w:val="Znakapoznpodarou"/>
        </w:rPr>
        <w:footnoteReference w:id="14"/>
      </w:r>
      <w:r w:rsidRPr="007F0CDF">
        <w:t>.</w:t>
      </w:r>
    </w:p>
    <w:p w14:paraId="104121D1" w14:textId="77777777" w:rsidR="007C286F" w:rsidRPr="00F24FED" w:rsidRDefault="007C286F" w:rsidP="00D16947">
      <w:pPr>
        <w:pStyle w:val="JK3"/>
      </w:pPr>
      <w:r w:rsidRPr="00B82F91">
        <w:t xml:space="preserve">U příjemců podpory provedl NKÚ ve vybraných projektech kontrolu způsobilosti výdajů </w:t>
      </w:r>
      <w:r w:rsidR="004C20D7">
        <w:br/>
      </w:r>
      <w:r w:rsidRPr="00B82F91">
        <w:t>a</w:t>
      </w:r>
      <w:r w:rsidR="004C20D7">
        <w:t xml:space="preserve"> </w:t>
      </w:r>
      <w:r w:rsidRPr="00B82F91">
        <w:t xml:space="preserve">zadávání </w:t>
      </w:r>
      <w:r w:rsidR="00E57EC9" w:rsidRPr="00B82F91">
        <w:t xml:space="preserve">veřejných </w:t>
      </w:r>
      <w:r w:rsidRPr="00B82F91">
        <w:t>zakázek na vzorku výdajů vynaložených na pořízení zdravotnického vybavení a</w:t>
      </w:r>
      <w:r w:rsidR="004C20D7">
        <w:t xml:space="preserve"> </w:t>
      </w:r>
      <w:r w:rsidRPr="00B82F91">
        <w:t>v jednom případě na provedení stavebních prací v souvislosti se zaváděním nových technologií</w:t>
      </w:r>
      <w:r w:rsidRPr="00B82F91">
        <w:rPr>
          <w:rStyle w:val="Znakapoznpodarou"/>
        </w:rPr>
        <w:footnoteReference w:id="15"/>
      </w:r>
      <w:r w:rsidRPr="00B82F91">
        <w:t xml:space="preserve"> (dále také „kontrolní vzorek výdajů“). Omezení bylo provedeno v</w:t>
      </w:r>
      <w:r w:rsidR="004C20D7">
        <w:t xml:space="preserve"> </w:t>
      </w:r>
      <w:r w:rsidRPr="00B82F91">
        <w:t xml:space="preserve">souvislosti </w:t>
      </w:r>
      <w:r w:rsidR="00FE2D54">
        <w:br/>
      </w:r>
      <w:r w:rsidRPr="00B82F91">
        <w:t>s</w:t>
      </w:r>
      <w:r w:rsidR="00FE2D54">
        <w:t xml:space="preserve"> </w:t>
      </w:r>
      <w:r w:rsidRPr="00B82F91">
        <w:t>realizací velkého množství zadávacích řízení v rámci jednoho projektu. Ve</w:t>
      </w:r>
      <w:r w:rsidR="00D41857">
        <w:t xml:space="preserve"> </w:t>
      </w:r>
      <w:r w:rsidRPr="00B82F91">
        <w:t>vybraných projektech bylo uskutečněno až 20 z</w:t>
      </w:r>
      <w:r w:rsidRPr="00F24FED">
        <w:t xml:space="preserve">adávacích řízení ukončených uzavřením smlouvy, což bylo způsobeno velkou variabilitou pořizovaného zdravotnického vybavení. Některé </w:t>
      </w:r>
      <w:r w:rsidR="00E57EC9" w:rsidRPr="00F24FED">
        <w:t xml:space="preserve">veřejné </w:t>
      </w:r>
      <w:r w:rsidRPr="00F24FED">
        <w:t xml:space="preserve">zakázky byly rozděleny na další části; v jednom vybraném projektu se jednalo až o 53 dílčích zadávacích řízení. </w:t>
      </w:r>
    </w:p>
    <w:p w14:paraId="2DBAFE35" w14:textId="13360C83" w:rsidR="007C286F" w:rsidRPr="00B82F91" w:rsidRDefault="007C286F" w:rsidP="00D16947">
      <w:pPr>
        <w:pStyle w:val="JK3"/>
      </w:pPr>
      <w:r w:rsidRPr="00F24FED">
        <w:t xml:space="preserve">Základním hlediskem pro stanovení tohoto kontrolního vzorku byl výběr alespoň poloviny výdajů všech realizovaných </w:t>
      </w:r>
      <w:r w:rsidR="00E57EC9" w:rsidRPr="00F24FED">
        <w:t xml:space="preserve">veřejných </w:t>
      </w:r>
      <w:r w:rsidRPr="00F24FED">
        <w:t xml:space="preserve">zakázek v rámci jednoho projektu, respektive podpory poskytnuté na realizaci projektu. </w:t>
      </w:r>
      <w:r w:rsidR="00E57EC9" w:rsidRPr="00F24FED">
        <w:t xml:space="preserve">Veřejné </w:t>
      </w:r>
      <w:r w:rsidR="00F553EF" w:rsidRPr="00F24FED">
        <w:t>z</w:t>
      </w:r>
      <w:r w:rsidRPr="00F24FED">
        <w:t>akázky nebo jejich dílčí části NKÚ vybíral s ohledem na jejich stejný či obdobný předmět, a to zejména z</w:t>
      </w:r>
      <w:r w:rsidR="00C941F0">
        <w:t xml:space="preserve"> </w:t>
      </w:r>
      <w:r w:rsidRPr="00F24FED">
        <w:t>důvodu srovnatelného okruhu potenciálních dodavatelů a</w:t>
      </w:r>
      <w:r w:rsidR="00D41857">
        <w:t xml:space="preserve"> </w:t>
      </w:r>
      <w:r w:rsidRPr="00F24FED">
        <w:t xml:space="preserve">umožnění případného porovnání technické specifikace </w:t>
      </w:r>
      <w:r w:rsidRPr="00F24FED">
        <w:lastRenderedPageBreak/>
        <w:t>požadované příjemcem v zadávací dokumentaci. Dále NKÚ zohlednil, aby alespoň u některého zdravotnického vybavení bylo možné kvantifikovat přínosy z</w:t>
      </w:r>
      <w:r w:rsidR="00C941F0">
        <w:t> </w:t>
      </w:r>
      <w:r w:rsidRPr="00F24FED">
        <w:t>jeho</w:t>
      </w:r>
      <w:r w:rsidR="00C941F0">
        <w:t xml:space="preserve"> </w:t>
      </w:r>
      <w:r w:rsidRPr="00F24FED">
        <w:t>využívání při</w:t>
      </w:r>
      <w:r w:rsidR="00C941F0">
        <w:t xml:space="preserve"> </w:t>
      </w:r>
      <w:r w:rsidRPr="00F24FED">
        <w:t>poskytování zdravotní péče cílové skupině, neboť žádný z vybraných projektů neměl stanoven konkrétní a</w:t>
      </w:r>
      <w:r w:rsidR="00E5291F">
        <w:t> </w:t>
      </w:r>
      <w:r w:rsidRPr="00F24FED">
        <w:t xml:space="preserve">měřitelný cíl (podrobněji viz odst. </w:t>
      </w:r>
      <w:r w:rsidRPr="00B82F91">
        <w:fldChar w:fldCharType="begin"/>
      </w:r>
      <w:r w:rsidRPr="00B82F91">
        <w:instrText xml:space="preserve"> REF _Ref117611903 \r \h  \* MERGEFORMAT </w:instrText>
      </w:r>
      <w:r w:rsidRPr="00B82F91">
        <w:fldChar w:fldCharType="separate"/>
      </w:r>
      <w:r w:rsidR="001825F1">
        <w:t>4.21</w:t>
      </w:r>
      <w:r w:rsidRPr="00B82F91">
        <w:fldChar w:fldCharType="end"/>
      </w:r>
      <w:r w:rsidRPr="00B82F91">
        <w:t>). NKÚ aplikoval tato hlediska výběru zejména s ohledem na ověření účelnosti a</w:t>
      </w:r>
      <w:r w:rsidR="00C941F0">
        <w:t xml:space="preserve"> </w:t>
      </w:r>
      <w:r w:rsidRPr="00B82F91">
        <w:t>hospodárnosti použití veřejných prostředků na pořízení zdravotnického vybavení a provedení stavebních prací.</w:t>
      </w:r>
    </w:p>
    <w:p w14:paraId="79B70254" w14:textId="77777777" w:rsidR="007C286F" w:rsidRPr="00B82F91" w:rsidRDefault="007C286F" w:rsidP="00D16947">
      <w:pPr>
        <w:pStyle w:val="JK3"/>
      </w:pPr>
      <w:r w:rsidRPr="00B82F91">
        <w:t>Pro posouzení účelnosti použití veřejných prostředků byl kontrolní vzorek výdajů omezen na zdravotnické vybavení pro maximálně tři oddělení (pokud bylo určeno pro větší počet oddělení). Tento výběr NKÚ provedl s</w:t>
      </w:r>
      <w:r w:rsidR="00CA1A5C">
        <w:t xml:space="preserve"> </w:t>
      </w:r>
      <w:r w:rsidRPr="00B82F91">
        <w:t xml:space="preserve">ohledem na nejvyšší finanční objem výdajů vynaložených na pořízení zdravotnického vybavení pro jednotlivá oddělení nebo byla vybrána ta oddělení, která byla nejvíce ovlivněna pořizovaným zdravotnickým vybavením. Zároveň kontrolovaný objem mohl být ponížen maximálně o 10 % oproti kontrolnímu vzorku výdajů. </w:t>
      </w:r>
      <w:r w:rsidR="004C20D7">
        <w:br/>
      </w:r>
      <w:r w:rsidRPr="00B82F91">
        <w:t>V</w:t>
      </w:r>
      <w:r w:rsidR="004C20D7">
        <w:t xml:space="preserve"> </w:t>
      </w:r>
      <w:r w:rsidRPr="00B82F91">
        <w:t>konečném výsledku vzorek pro hodnocení účelnosti na úrovni vybraných projektů respektoval stanovený limit. NKÚ prověřil minimálně 50 % objemu dotace a</w:t>
      </w:r>
      <w:r w:rsidR="00CA1A5C">
        <w:t xml:space="preserve"> </w:t>
      </w:r>
      <w:r w:rsidRPr="00B82F91">
        <w:t>ve</w:t>
      </w:r>
      <w:r w:rsidR="00CA1A5C">
        <w:t xml:space="preserve"> </w:t>
      </w:r>
      <w:r w:rsidRPr="00B82F91">
        <w:t>třech</w:t>
      </w:r>
      <w:r w:rsidR="00CA1A5C">
        <w:t xml:space="preserve"> </w:t>
      </w:r>
      <w:r w:rsidRPr="00B82F91">
        <w:t>odůvodněných případech minimálně 40 % objemu dotace čerpané příjemcem na</w:t>
      </w:r>
      <w:r w:rsidR="00CA1A5C">
        <w:t xml:space="preserve"> </w:t>
      </w:r>
      <w:r w:rsidRPr="00B82F91">
        <w:t xml:space="preserve">realizaci projektu. </w:t>
      </w:r>
    </w:p>
    <w:p w14:paraId="7CE150DD" w14:textId="77777777" w:rsidR="007C286F" w:rsidRPr="00B82F91" w:rsidRDefault="007C286F" w:rsidP="00D16947">
      <w:pPr>
        <w:pStyle w:val="JK3"/>
      </w:pPr>
      <w:r w:rsidRPr="00B82F91">
        <w:t xml:space="preserve">Posouzení hospodárnosti </w:t>
      </w:r>
      <w:r w:rsidR="00D16947">
        <w:t xml:space="preserve">vynaložených </w:t>
      </w:r>
      <w:r w:rsidRPr="00B82F91">
        <w:t xml:space="preserve">veřejných prostředků provedl </w:t>
      </w:r>
      <w:r w:rsidR="00D16947" w:rsidRPr="00B82F91">
        <w:t xml:space="preserve">NKÚ </w:t>
      </w:r>
      <w:r w:rsidRPr="00B82F91">
        <w:t>na celém kontrolním vzorku výdajů. V konečném výsledku vzorek pro hodnocení hospodárnosti na úrovni vybraných projektů respektoval stanovený limit ověřit minimálně 50 % objemu dotace</w:t>
      </w:r>
      <w:r w:rsidR="00D16947">
        <w:t>. Výjimku tvořil</w:t>
      </w:r>
      <w:r w:rsidRPr="00B82F91">
        <w:t xml:space="preserve"> jed</w:t>
      </w:r>
      <w:r w:rsidR="00D16947">
        <w:t>en</w:t>
      </w:r>
      <w:r w:rsidRPr="00B82F91">
        <w:t xml:space="preserve"> projekt, </w:t>
      </w:r>
      <w:r w:rsidR="00D16947">
        <w:t>u nějž</w:t>
      </w:r>
      <w:r w:rsidRPr="00B82F91">
        <w:t xml:space="preserve"> kontrolní vzorek zahrnoval 40 % objemu dotace čerpané příjemcem; důvodem bylo množství druhů pořizovaného zdravotnického vybavení v</w:t>
      </w:r>
      <w:r w:rsidR="004C20D7">
        <w:t xml:space="preserve"> </w:t>
      </w:r>
      <w:r w:rsidRPr="00B82F91">
        <w:t>nižší ceně.</w:t>
      </w:r>
    </w:p>
    <w:p w14:paraId="6AE83454" w14:textId="77777777" w:rsidR="007C286F" w:rsidRPr="009839C4" w:rsidRDefault="007C286F" w:rsidP="00D16947">
      <w:pPr>
        <w:pStyle w:val="JK3"/>
      </w:pPr>
      <w:r w:rsidRPr="009839C4">
        <w:t>Kontrolovaný objem prostředků činil pro ověření účelnosti 602,2 mil. Kč, tj. 60,6 % z celkového kontrolovaného objemu (8,0 % z celkového kontrolovatelného objemu)</w:t>
      </w:r>
      <w:r w:rsidR="00D16947">
        <w:t>,</w:t>
      </w:r>
      <w:r w:rsidRPr="009839C4">
        <w:t xml:space="preserve"> a pro ověření hospodárnosti 614,6 mil. Kč, tj. 61,8 % z celkového kontrolovaného objemu (8,2 % z celkového kontrolovatelného objemu). </w:t>
      </w:r>
    </w:p>
    <w:p w14:paraId="692C7911" w14:textId="77777777" w:rsidR="005846CC" w:rsidRDefault="007E2A6B" w:rsidP="00D16947">
      <w:pPr>
        <w:pStyle w:val="JK3"/>
      </w:pPr>
      <w:r w:rsidRPr="00DA5431">
        <w:t>Kontrolovaným obdobím byly roky 201</w:t>
      </w:r>
      <w:r w:rsidR="001A3CA9">
        <w:t>4</w:t>
      </w:r>
      <w:r w:rsidRPr="00DA5431">
        <w:t xml:space="preserve"> až 202</w:t>
      </w:r>
      <w:r w:rsidR="001A3CA9">
        <w:t>2</w:t>
      </w:r>
      <w:r w:rsidRPr="00DA5431">
        <w:t>, v případě věcných souvislostí i období předcházející.</w:t>
      </w:r>
      <w:r w:rsidR="00CF6D33" w:rsidRPr="00DA5431">
        <w:t xml:space="preserve"> </w:t>
      </w:r>
    </w:p>
    <w:p w14:paraId="6A2D796F" w14:textId="77777777" w:rsidR="00305742" w:rsidRPr="005846CC" w:rsidRDefault="007E2A6B" w:rsidP="005846CC">
      <w:pPr>
        <w:spacing w:before="120" w:after="120" w:line="240" w:lineRule="auto"/>
        <w:ind w:left="567" w:hanging="567"/>
        <w:jc w:val="both"/>
        <w:rPr>
          <w:sz w:val="20"/>
        </w:rPr>
      </w:pPr>
      <w:r w:rsidRPr="00BF1670">
        <w:rPr>
          <w:b/>
          <w:sz w:val="20"/>
        </w:rPr>
        <w:t>Pozn.:</w:t>
      </w:r>
      <w:r>
        <w:rPr>
          <w:sz w:val="20"/>
        </w:rPr>
        <w:tab/>
      </w:r>
      <w:r w:rsidR="00CF6D33" w:rsidRPr="005846CC">
        <w:rPr>
          <w:sz w:val="20"/>
        </w:rPr>
        <w:t>Právní předpisy uvedené v tomto kontrolním závěru jsou aplikovány ve znění účinném pro kontrolované období.</w:t>
      </w:r>
    </w:p>
    <w:bookmarkEnd w:id="16"/>
    <w:p w14:paraId="6D98859E" w14:textId="77777777" w:rsidR="00EA05A6" w:rsidRPr="00513AE2" w:rsidRDefault="007E2A6B" w:rsidP="005E68DD">
      <w:pPr>
        <w:pStyle w:val="Nadpis1"/>
      </w:pPr>
      <w:r>
        <w:t xml:space="preserve">IV. </w:t>
      </w:r>
      <w:r w:rsidR="000E366F" w:rsidRPr="00513AE2">
        <w:t>Podrobné skutečnosti zjištěné kontrolou</w:t>
      </w:r>
    </w:p>
    <w:p w14:paraId="0F4AE6A1" w14:textId="77777777" w:rsidR="00A139DA" w:rsidRPr="004D3301" w:rsidRDefault="007E2A6B" w:rsidP="00973E41">
      <w:pPr>
        <w:pStyle w:val="PodkapitolystiIVKZ"/>
      </w:pPr>
      <w:r w:rsidRPr="004D3301">
        <w:t>Systém</w:t>
      </w:r>
      <w:r w:rsidR="006E379F">
        <w:t xml:space="preserve"> poskytování podpory na infrastruktur</w:t>
      </w:r>
      <w:r w:rsidR="00CB0FFB">
        <w:t>u</w:t>
      </w:r>
      <w:r w:rsidR="006E379F">
        <w:t xml:space="preserve"> regionální zdravotní péče</w:t>
      </w:r>
    </w:p>
    <w:p w14:paraId="477E5514" w14:textId="77777777" w:rsidR="00EA05A6" w:rsidRDefault="007E2A6B" w:rsidP="00D16947">
      <w:pPr>
        <w:pStyle w:val="JK4"/>
      </w:pPr>
      <w:r w:rsidRPr="003F7C89">
        <w:t>Jedním ze základních předpokladů</w:t>
      </w:r>
      <w:r>
        <w:t xml:space="preserve"> zajištění </w:t>
      </w:r>
      <w:r w:rsidR="006A6D67">
        <w:t>účelnosti</w:t>
      </w:r>
      <w:r w:rsidR="0080580C">
        <w:t xml:space="preserve"> </w:t>
      </w:r>
      <w:r w:rsidR="006A6D67">
        <w:t xml:space="preserve">poskytování podpory je správné nastavení cílů podpory a indikátorů stanovených pro jejich sledování. Správně nastavené cíle a indikátory </w:t>
      </w:r>
      <w:r w:rsidR="002375AF">
        <w:t xml:space="preserve">mají </w:t>
      </w:r>
      <w:r w:rsidR="006A6D67">
        <w:t xml:space="preserve">přinášet významné </w:t>
      </w:r>
      <w:r w:rsidR="0080580C">
        <w:t xml:space="preserve">průběžné </w:t>
      </w:r>
      <w:r w:rsidR="006A6D67">
        <w:t>informace o</w:t>
      </w:r>
      <w:r w:rsidR="007C6DA3">
        <w:t xml:space="preserve"> </w:t>
      </w:r>
      <w:r w:rsidR="0080580C">
        <w:t xml:space="preserve">dosahované účelnosti </w:t>
      </w:r>
      <w:r w:rsidR="006A6D67">
        <w:t>poskytované podpory</w:t>
      </w:r>
      <w:r w:rsidR="0080580C">
        <w:t xml:space="preserve"> a vést tak případně k</w:t>
      </w:r>
      <w:r w:rsidR="004C20D7">
        <w:t xml:space="preserve"> </w:t>
      </w:r>
      <w:r w:rsidR="00562E03">
        <w:t xml:space="preserve">jejímu </w:t>
      </w:r>
      <w:r w:rsidR="0080580C">
        <w:t>lepšímu zacílení</w:t>
      </w:r>
      <w:r w:rsidR="00923212">
        <w:t xml:space="preserve"> ještě v</w:t>
      </w:r>
      <w:r w:rsidR="004C20D7">
        <w:t xml:space="preserve"> </w:t>
      </w:r>
      <w:r w:rsidR="00923212">
        <w:t>probíhajícím či</w:t>
      </w:r>
      <w:r w:rsidR="007C6DA3">
        <w:t xml:space="preserve"> </w:t>
      </w:r>
      <w:r w:rsidR="00923212">
        <w:t>příštím programovém období</w:t>
      </w:r>
      <w:r w:rsidR="006A6D67">
        <w:t>.</w:t>
      </w:r>
    </w:p>
    <w:p w14:paraId="5492A8A5" w14:textId="77777777" w:rsidR="008871C1" w:rsidRDefault="007E2A6B" w:rsidP="00D16947">
      <w:pPr>
        <w:pStyle w:val="JK4"/>
      </w:pPr>
      <w:r>
        <w:t xml:space="preserve">Pro sledování intervencí v rámci výzev zaměřených na podporu infrastruktury </w:t>
      </w:r>
      <w:r w:rsidRPr="008871C1">
        <w:t>vysoce specializované a návazné zdravotní péče</w:t>
      </w:r>
      <w:r>
        <w:t xml:space="preserve"> </w:t>
      </w:r>
      <w:r w:rsidR="006F247D">
        <w:t xml:space="preserve">(dále také „regionální zdravotní péče“) </w:t>
      </w:r>
      <w:r>
        <w:t>stanovilo MMR dva indikátory, jeden pro sledování výsledků a jeden pro sledování</w:t>
      </w:r>
      <w:r w:rsidRPr="008871C1">
        <w:t xml:space="preserve"> </w:t>
      </w:r>
      <w:r>
        <w:t xml:space="preserve">výstupů. Výsledky </w:t>
      </w:r>
      <w:r>
        <w:lastRenderedPageBreak/>
        <w:t xml:space="preserve">jsou sledovány pomocí indikátoru </w:t>
      </w:r>
      <w:r w:rsidR="00D07B6A">
        <w:t>„</w:t>
      </w:r>
      <w:r w:rsidR="00D07B6A">
        <w:rPr>
          <w:i/>
        </w:rPr>
        <w:t>k</w:t>
      </w:r>
      <w:r w:rsidRPr="00657166">
        <w:rPr>
          <w:i/>
        </w:rPr>
        <w:t>apacity modernizované vysoce specializované a návazné zdravotní péče</w:t>
      </w:r>
      <w:r w:rsidR="00D07B6A">
        <w:t>“</w:t>
      </w:r>
      <w:r>
        <w:t xml:space="preserve"> a výstupy prostřednictvím indikátoru </w:t>
      </w:r>
      <w:r w:rsidR="00D07B6A">
        <w:t>„</w:t>
      </w:r>
      <w:r w:rsidR="00D07B6A">
        <w:rPr>
          <w:i/>
        </w:rPr>
        <w:t>p</w:t>
      </w:r>
      <w:r w:rsidRPr="008871C1">
        <w:rPr>
          <w:i/>
        </w:rPr>
        <w:t>odpořená pracoviště zdravotní péče</w:t>
      </w:r>
      <w:r w:rsidR="00D07B6A">
        <w:t>“</w:t>
      </w:r>
      <w:r>
        <w:t>.</w:t>
      </w:r>
    </w:p>
    <w:p w14:paraId="195CAD9E" w14:textId="77777777" w:rsidR="003B620A" w:rsidRPr="00A94199" w:rsidRDefault="007E2A6B" w:rsidP="00083B49">
      <w:pPr>
        <w:pStyle w:val="Mluvcnadpis"/>
      </w:pPr>
      <w:r w:rsidRPr="00A94199">
        <w:t>→</w:t>
      </w:r>
      <w:r w:rsidR="00CA025D">
        <w:tab/>
      </w:r>
      <w:bookmarkStart w:id="21" w:name="_Hlk118030752"/>
      <w:r w:rsidR="006011B8" w:rsidRPr="00A94199">
        <w:t>MMR</w:t>
      </w:r>
      <w:r w:rsidR="00B9765B" w:rsidRPr="00A94199">
        <w:t xml:space="preserve"> nestanovilo cíle a indikátory tak, aby přinášely dostatečné informace o přínos</w:t>
      </w:r>
      <w:r w:rsidR="00C67BD7" w:rsidRPr="00A94199">
        <w:t>ech</w:t>
      </w:r>
      <w:r w:rsidR="00B9765B" w:rsidRPr="00A94199">
        <w:t xml:space="preserve"> pro cílov</w:t>
      </w:r>
      <w:r w:rsidR="006011B8" w:rsidRPr="00A94199">
        <w:t>ou</w:t>
      </w:r>
      <w:r w:rsidR="00B9765B" w:rsidRPr="00A94199">
        <w:t xml:space="preserve"> skupin</w:t>
      </w:r>
      <w:r w:rsidR="006011B8" w:rsidRPr="00A94199">
        <w:t xml:space="preserve">u, kterou jsou pacienti </w:t>
      </w:r>
      <w:r w:rsidR="007A02BB" w:rsidRPr="00A94199">
        <w:t xml:space="preserve">vysoce specializované a </w:t>
      </w:r>
      <w:r w:rsidR="00323CA8">
        <w:t xml:space="preserve">návazné </w:t>
      </w:r>
      <w:r w:rsidR="007A02BB" w:rsidRPr="00A94199">
        <w:t>zdravotní péče</w:t>
      </w:r>
      <w:r w:rsidR="00B9765B" w:rsidRPr="00A94199">
        <w:t>.</w:t>
      </w:r>
      <w:bookmarkEnd w:id="21"/>
    </w:p>
    <w:p w14:paraId="137D3A8D" w14:textId="77777777" w:rsidR="00657166" w:rsidRDefault="007E2A6B" w:rsidP="00D16947">
      <w:pPr>
        <w:pStyle w:val="JK4"/>
      </w:pPr>
      <w:bookmarkStart w:id="22" w:name="_Ref117612213"/>
      <w:r>
        <w:t xml:space="preserve">Pro podporu infrastruktury regionální zdravotní péče MMR </w:t>
      </w:r>
      <w:r w:rsidR="00B47782" w:rsidRPr="00B47782">
        <w:t>nenastavilo cíle na úrovni SC</w:t>
      </w:r>
      <w:r>
        <w:t> </w:t>
      </w:r>
      <w:r w:rsidR="00B47782" w:rsidRPr="00B47782">
        <w:t>2.3</w:t>
      </w:r>
      <w:r>
        <w:t xml:space="preserve"> IROP</w:t>
      </w:r>
      <w:r w:rsidR="00B47782" w:rsidRPr="00B47782">
        <w:t xml:space="preserve"> </w:t>
      </w:r>
      <w:r w:rsidR="00453250">
        <w:t>prostřednictvím</w:t>
      </w:r>
      <w:r w:rsidR="00B47782" w:rsidRPr="00B47782">
        <w:t xml:space="preserve"> výzev pro vysoce specializovanou a návaznou </w:t>
      </w:r>
      <w:r w:rsidR="000D4416">
        <w:t xml:space="preserve">zdravotní </w:t>
      </w:r>
      <w:r w:rsidR="00B47782" w:rsidRPr="00B47782">
        <w:t>péči ve</w:t>
      </w:r>
      <w:r w:rsidR="00FC0287">
        <w:t> </w:t>
      </w:r>
      <w:r w:rsidR="00B47782" w:rsidRPr="00B47782">
        <w:t>vztahu k očekávaným výsledkům měřitelně</w:t>
      </w:r>
      <w:r>
        <w:t>.</w:t>
      </w:r>
      <w:bookmarkEnd w:id="22"/>
      <w:r>
        <w:t xml:space="preserve"> </w:t>
      </w:r>
    </w:p>
    <w:p w14:paraId="463BF6E2" w14:textId="77777777" w:rsidR="00960EE0" w:rsidRDefault="007E2A6B" w:rsidP="00D16947">
      <w:pPr>
        <w:pStyle w:val="JK4"/>
      </w:pPr>
      <w:bookmarkStart w:id="23" w:name="_Hlk118030769"/>
      <w:r>
        <w:t>Výjimkou</w:t>
      </w:r>
      <w:r w:rsidR="00B47782" w:rsidRPr="00B47782">
        <w:t xml:space="preserve"> </w:t>
      </w:r>
      <w:r>
        <w:t xml:space="preserve">byl </w:t>
      </w:r>
      <w:r w:rsidR="00B47782" w:rsidRPr="00B47782">
        <w:t>deklarovan</w:t>
      </w:r>
      <w:r>
        <w:t>ý</w:t>
      </w:r>
      <w:r w:rsidR="00B47782" w:rsidRPr="00B47782">
        <w:t xml:space="preserve"> přínos vztahujíc</w:t>
      </w:r>
      <w:r>
        <w:t>í</w:t>
      </w:r>
      <w:r w:rsidR="00B47782" w:rsidRPr="00B47782">
        <w:t xml:space="preserve"> se k návazné </w:t>
      </w:r>
      <w:r>
        <w:t xml:space="preserve">zdravotní </w:t>
      </w:r>
      <w:r w:rsidR="00B47782" w:rsidRPr="00B47782">
        <w:t>péči</w:t>
      </w:r>
      <w:r>
        <w:t xml:space="preserve">, </w:t>
      </w:r>
      <w:r w:rsidR="00CF0D3F">
        <w:t>jenž spočíval v</w:t>
      </w:r>
      <w:r w:rsidR="008871C1">
        <w:t> </w:t>
      </w:r>
      <w:r w:rsidRPr="001C4D85">
        <w:t xml:space="preserve">umožnění koncentrace </w:t>
      </w:r>
      <w:r w:rsidR="00FA24B9">
        <w:t>této</w:t>
      </w:r>
      <w:r w:rsidR="00FA24B9" w:rsidRPr="001C4D85">
        <w:t xml:space="preserve"> </w:t>
      </w:r>
      <w:r w:rsidRPr="001C4D85">
        <w:t xml:space="preserve">péče do </w:t>
      </w:r>
      <w:r w:rsidRPr="009F1F95">
        <w:t>vybraných zařízení</w:t>
      </w:r>
      <w:r w:rsidR="009F1F95">
        <w:t xml:space="preserve">, což mělo vést ke </w:t>
      </w:r>
      <w:r w:rsidRPr="009F1F95">
        <w:t>snížení počtu</w:t>
      </w:r>
      <w:r w:rsidRPr="001C4D85">
        <w:t xml:space="preserve"> akutních lůžek</w:t>
      </w:r>
      <w:r>
        <w:t xml:space="preserve"> ve prospěch</w:t>
      </w:r>
      <w:r w:rsidRPr="001C4D85">
        <w:t xml:space="preserve"> </w:t>
      </w:r>
      <w:r w:rsidR="00D07B6A">
        <w:t xml:space="preserve">lůžek </w:t>
      </w:r>
      <w:r w:rsidRPr="001C4D85">
        <w:t>dlouhodob</w:t>
      </w:r>
      <w:r>
        <w:t xml:space="preserve">é zdravotní </w:t>
      </w:r>
      <w:r w:rsidRPr="001C4D85">
        <w:t>péč</w:t>
      </w:r>
      <w:r>
        <w:t>e. Ani v tomto případě však nebyl</w:t>
      </w:r>
      <w:r w:rsidR="008871C1">
        <w:t>a</w:t>
      </w:r>
      <w:r>
        <w:t xml:space="preserve"> zajištěna </w:t>
      </w:r>
      <w:r w:rsidRPr="00D07B6A">
        <w:rPr>
          <w:spacing w:val="-2"/>
        </w:rPr>
        <w:t xml:space="preserve">relevantní měřitelnost, neboť </w:t>
      </w:r>
      <w:r w:rsidR="00657166" w:rsidRPr="00D07B6A">
        <w:rPr>
          <w:spacing w:val="-2"/>
        </w:rPr>
        <w:t xml:space="preserve">dotčený indikátor </w:t>
      </w:r>
      <w:r w:rsidR="00D07B6A" w:rsidRPr="00D07B6A">
        <w:rPr>
          <w:spacing w:val="-2"/>
        </w:rPr>
        <w:t>„</w:t>
      </w:r>
      <w:r w:rsidR="00D07B6A" w:rsidRPr="00D07B6A">
        <w:rPr>
          <w:i/>
          <w:spacing w:val="-2"/>
        </w:rPr>
        <w:t>k</w:t>
      </w:r>
      <w:r w:rsidR="00657166" w:rsidRPr="00D07B6A">
        <w:rPr>
          <w:i/>
          <w:spacing w:val="-2"/>
        </w:rPr>
        <w:t>apacity modernizované vysoce specializované</w:t>
      </w:r>
      <w:r w:rsidR="00657166" w:rsidRPr="00657166">
        <w:rPr>
          <w:i/>
        </w:rPr>
        <w:t xml:space="preserve"> a návazné zdravotní péče</w:t>
      </w:r>
      <w:r w:rsidR="00D07B6A">
        <w:t>“</w:t>
      </w:r>
      <w:r w:rsidR="00B47782" w:rsidRPr="00B47782">
        <w:t xml:space="preserve"> </w:t>
      </w:r>
      <w:r w:rsidR="008871C1">
        <w:t>je</w:t>
      </w:r>
      <w:r w:rsidR="00657166">
        <w:t xml:space="preserve"> ukazatelem výsledku statistického charakteru</w:t>
      </w:r>
      <w:r w:rsidR="000F344B">
        <w:t xml:space="preserve"> a</w:t>
      </w:r>
      <w:r w:rsidR="009F1F95">
        <w:t> </w:t>
      </w:r>
      <w:r w:rsidR="000F344B">
        <w:t>na</w:t>
      </w:r>
      <w:r w:rsidR="009F1F95">
        <w:t> </w:t>
      </w:r>
      <w:r w:rsidR="000F344B">
        <w:t>jeho vývoj působí řada externích vlivů nesouvisejících s realizovanými intervencemi ze SC</w:t>
      </w:r>
      <w:r w:rsidR="009F1F95">
        <w:t> </w:t>
      </w:r>
      <w:r w:rsidR="000F344B">
        <w:t>2.3 IROP</w:t>
      </w:r>
      <w:r w:rsidR="00657166">
        <w:t xml:space="preserve">. </w:t>
      </w:r>
      <w:r w:rsidRPr="00960EE0">
        <w:t xml:space="preserve">Vypovídací hodnota </w:t>
      </w:r>
      <w:r w:rsidR="00D07B6A">
        <w:t xml:space="preserve">údaje </w:t>
      </w:r>
      <w:r w:rsidRPr="00960EE0">
        <w:t xml:space="preserve">o dosažené změně je </w:t>
      </w:r>
      <w:r w:rsidR="00323CA8">
        <w:t xml:space="preserve">také </w:t>
      </w:r>
      <w:r w:rsidRPr="00960EE0">
        <w:t>snížena tím, že jsou v rámci indikátoru vykazovány počty lůžek společně za péči vysoce specializovanou (nejen v</w:t>
      </w:r>
      <w:r w:rsidR="009F1F95">
        <w:t> </w:t>
      </w:r>
      <w:r w:rsidRPr="00960EE0">
        <w:t xml:space="preserve">podporovaných oborech) a </w:t>
      </w:r>
      <w:r w:rsidR="0021523F">
        <w:t xml:space="preserve">za </w:t>
      </w:r>
      <w:r w:rsidRPr="00960EE0">
        <w:t xml:space="preserve">péči návaznou. Přínosem koncentrace vysoce specializované péče mělo být navýšení její kapacity (tj. zvýšení počtu lůžek) a koncentrací návazné zdravotní péče mělo </w:t>
      </w:r>
      <w:r>
        <w:t xml:space="preserve">naopak </w:t>
      </w:r>
      <w:r w:rsidRPr="00960EE0">
        <w:t>dojít k</w:t>
      </w:r>
      <w:r w:rsidR="0021523F">
        <w:t>e snížení kapacity (tj. k</w:t>
      </w:r>
      <w:r w:rsidRPr="00960EE0">
        <w:t xml:space="preserve"> poklesu počtu akutních lůžek</w:t>
      </w:r>
      <w:r w:rsidR="0021523F">
        <w:t>)</w:t>
      </w:r>
      <w:r w:rsidRPr="00960EE0">
        <w:t>.</w:t>
      </w:r>
    </w:p>
    <w:bookmarkEnd w:id="23"/>
    <w:p w14:paraId="057B16C5" w14:textId="77777777" w:rsidR="00CF7903" w:rsidRDefault="007E2A6B" w:rsidP="00D16947">
      <w:pPr>
        <w:pStyle w:val="JK4"/>
      </w:pPr>
      <w:r w:rsidRPr="00EE2371">
        <w:t xml:space="preserve">MMR </w:t>
      </w:r>
      <w:r w:rsidR="00FA24B9">
        <w:t xml:space="preserve">tak </w:t>
      </w:r>
      <w:r w:rsidRPr="00EE2371">
        <w:t>nemohlo sledovat a vyhodnocovat účelnost vynakládání výdajů ve své kapitole podle ustanovení § 39 odst. 3 zákona č. 218/2000 Sb</w:t>
      </w:r>
      <w:r>
        <w:t>. A</w:t>
      </w:r>
      <w:r w:rsidRPr="00B47782">
        <w:t xml:space="preserve">bsence měřitelnosti </w:t>
      </w:r>
      <w:r>
        <w:t xml:space="preserve">výsledků intervencí zaměřených na podporu infrastruktury regionální zdravotní péče </w:t>
      </w:r>
      <w:r w:rsidRPr="00B47782">
        <w:t>neumožňuje ověřit dosažení cílů</w:t>
      </w:r>
      <w:r w:rsidR="00026776">
        <w:t>, což je v rozporu se zásadou řádného finančního řízení stanovenou ve</w:t>
      </w:r>
      <w:r w:rsidR="00D07B6A">
        <w:t xml:space="preserve"> f</w:t>
      </w:r>
      <w:r w:rsidR="00026776">
        <w:t>inančním nařízení</w:t>
      </w:r>
      <w:r>
        <w:rPr>
          <w:rStyle w:val="Znakapoznpodarou"/>
        </w:rPr>
        <w:footnoteReference w:id="16"/>
      </w:r>
      <w:r w:rsidRPr="00B47782">
        <w:t xml:space="preserve">. MMR vyhodnocení cílů neprovedlo ani </w:t>
      </w:r>
      <w:r w:rsidRPr="005976B9">
        <w:t>prostřednictvím</w:t>
      </w:r>
      <w:r w:rsidRPr="00B47782">
        <w:t xml:space="preserve"> evaluace; evaluaci dopadů a přínosů ani neplánovalo, přestože na podporu vysoce specializované a</w:t>
      </w:r>
      <w:r w:rsidR="00F12432">
        <w:t> </w:t>
      </w:r>
      <w:r w:rsidRPr="00B47782">
        <w:t xml:space="preserve">návazné </w:t>
      </w:r>
      <w:r>
        <w:t xml:space="preserve">zdravotní </w:t>
      </w:r>
      <w:r w:rsidRPr="00B47782">
        <w:t>péče byla vyčleněna převážná část alokace SC 2.3</w:t>
      </w:r>
      <w:r w:rsidR="00554AC9">
        <w:t xml:space="preserve"> IROP</w:t>
      </w:r>
      <w:r>
        <w:rPr>
          <w:rFonts w:eastAsia="Times New Roman" w:cstheme="minorHAnsi"/>
          <w:szCs w:val="24"/>
          <w:vertAlign w:val="superscript"/>
        </w:rPr>
        <w:footnoteReference w:id="17"/>
      </w:r>
      <w:r w:rsidRPr="00B47782">
        <w:t>.</w:t>
      </w:r>
    </w:p>
    <w:p w14:paraId="5E252ECC" w14:textId="77777777" w:rsidR="00774BAC" w:rsidRPr="004D3301" w:rsidRDefault="007E2A6B" w:rsidP="00083B49">
      <w:pPr>
        <w:pStyle w:val="Mluvcnadpis"/>
      </w:pPr>
      <w:r w:rsidRPr="004D3301">
        <w:t>→</w:t>
      </w:r>
      <w:r w:rsidR="00CA025D">
        <w:tab/>
      </w:r>
      <w:r w:rsidR="00017E4C" w:rsidRPr="004D3301">
        <w:t>Cíl</w:t>
      </w:r>
      <w:r w:rsidR="00037AFF" w:rsidRPr="004D3301">
        <w:t xml:space="preserve"> koncentrovat návaznou zdravotní péči a tím</w:t>
      </w:r>
      <w:r w:rsidR="00017E4C" w:rsidRPr="004D3301">
        <w:t xml:space="preserve"> </w:t>
      </w:r>
      <w:r w:rsidR="00037AFF" w:rsidRPr="004D3301">
        <w:t xml:space="preserve">ve výsledku </w:t>
      </w:r>
      <w:r w:rsidR="00017E4C" w:rsidRPr="004D3301">
        <w:t xml:space="preserve">snížit </w:t>
      </w:r>
      <w:r w:rsidR="00037AFF" w:rsidRPr="004D3301">
        <w:t>počet lůžek</w:t>
      </w:r>
      <w:r w:rsidR="0021523F" w:rsidRPr="004D3301">
        <w:t xml:space="preserve"> </w:t>
      </w:r>
      <w:r w:rsidR="00037AFF" w:rsidRPr="004D3301">
        <w:t xml:space="preserve">v rámci vysoce specializované a návazné zdravotní péče </w:t>
      </w:r>
      <w:r w:rsidR="00017E4C" w:rsidRPr="004D3301">
        <w:t>se nedaří naplnit</w:t>
      </w:r>
      <w:r w:rsidRPr="004D3301">
        <w:t>.</w:t>
      </w:r>
    </w:p>
    <w:p w14:paraId="538140E5" w14:textId="77777777" w:rsidR="00C67BD7" w:rsidRDefault="007E2A6B" w:rsidP="00D16947">
      <w:pPr>
        <w:pStyle w:val="JK4"/>
      </w:pPr>
      <w:r w:rsidRPr="00CF7903">
        <w:t>Sledování a vykazování indikátoru výsledku</w:t>
      </w:r>
      <w:r>
        <w:t>, jenž se týká kapacit</w:t>
      </w:r>
      <w:r w:rsidR="0049643C">
        <w:t>y</w:t>
      </w:r>
      <w:r>
        <w:t xml:space="preserve"> </w:t>
      </w:r>
      <w:r w:rsidRPr="00CF7903">
        <w:t>vysoce specializované a návazné zdravotní péče</w:t>
      </w:r>
      <w:r>
        <w:t>,</w:t>
      </w:r>
      <w:r w:rsidRPr="00CF7903">
        <w:t xml:space="preserve"> je prováděno na základě hodnot, které poskytuje </w:t>
      </w:r>
      <w:proofErr w:type="spellStart"/>
      <w:r w:rsidRPr="00CF7903">
        <w:t>MZd</w:t>
      </w:r>
      <w:proofErr w:type="spellEnd"/>
      <w:r w:rsidRPr="00CF7903">
        <w:t xml:space="preserve"> jednou za</w:t>
      </w:r>
      <w:r w:rsidR="003A7926">
        <w:t xml:space="preserve"> </w:t>
      </w:r>
      <w:r w:rsidRPr="00CF7903">
        <w:t xml:space="preserve">dva roky. </w:t>
      </w:r>
      <w:r w:rsidR="00BF65FC">
        <w:t xml:space="preserve">MMR dosaženou hodnotu za IROP publikuje ve </w:t>
      </w:r>
      <w:r w:rsidR="00D07B6A">
        <w:rPr>
          <w:i/>
        </w:rPr>
        <w:t>v</w:t>
      </w:r>
      <w:r w:rsidR="00BF65FC" w:rsidRPr="00BF65FC">
        <w:rPr>
          <w:i/>
        </w:rPr>
        <w:t>ýroční zprávě o implementaci programu</w:t>
      </w:r>
      <w:r w:rsidR="00BF65FC">
        <w:t xml:space="preserve">. </w:t>
      </w:r>
      <w:r w:rsidRPr="00C67BD7">
        <w:t xml:space="preserve">Výchozí hodnota indikátoru </w:t>
      </w:r>
      <w:r w:rsidR="0049643C">
        <w:t xml:space="preserve">z roku 2014 </w:t>
      </w:r>
      <w:r>
        <w:t xml:space="preserve">byla </w:t>
      </w:r>
      <w:r w:rsidRPr="00A92ACA">
        <w:t>44 211 lůžek</w:t>
      </w:r>
      <w:r>
        <w:t xml:space="preserve"> </w:t>
      </w:r>
      <w:r w:rsidRPr="00C67BD7">
        <w:t xml:space="preserve">a zahrnovala </w:t>
      </w:r>
      <w:r w:rsidR="006058C2">
        <w:t xml:space="preserve">i </w:t>
      </w:r>
      <w:r w:rsidRPr="00C67BD7">
        <w:t>kapacitu</w:t>
      </w:r>
      <w:r>
        <w:t xml:space="preserve"> </w:t>
      </w:r>
      <w:r w:rsidRPr="00C67BD7">
        <w:t>vysoce specializovaných center podpořených v programovém období 2007</w:t>
      </w:r>
      <w:r w:rsidR="00E5291F">
        <w:t>–</w:t>
      </w:r>
      <w:r w:rsidRPr="00C67BD7">
        <w:t xml:space="preserve">2013 </w:t>
      </w:r>
      <w:r w:rsidRPr="00C67BD7">
        <w:lastRenderedPageBreak/>
        <w:t>z</w:t>
      </w:r>
      <w:r>
        <w:t> </w:t>
      </w:r>
      <w:r w:rsidRPr="00C67BD7">
        <w:rPr>
          <w:i/>
        </w:rPr>
        <w:t>Integrovaného operačního programu</w:t>
      </w:r>
      <w:r>
        <w:t xml:space="preserve"> a </w:t>
      </w:r>
      <w:r w:rsidRPr="00C67BD7">
        <w:t xml:space="preserve">kapacitu 71 pracovišť návazné </w:t>
      </w:r>
      <w:r w:rsidR="00DF5BD2">
        <w:t xml:space="preserve">zdravotní </w:t>
      </w:r>
      <w:r w:rsidRPr="00C67BD7">
        <w:t>péče</w:t>
      </w:r>
      <w:r>
        <w:t xml:space="preserve">. Cílová hodnota, jíž má být dosaženo do konce roku 2023, byla stanovena na </w:t>
      </w:r>
      <w:r w:rsidRPr="00A92ACA">
        <w:t>38 368 lůžek</w:t>
      </w:r>
      <w:r w:rsidR="00BF65FC">
        <w:t>, tj. snížení oproti výchozí hodnotě o 13 %</w:t>
      </w:r>
      <w:r>
        <w:t>.</w:t>
      </w:r>
    </w:p>
    <w:p w14:paraId="20A3638A" w14:textId="77777777" w:rsidR="00C67BD7" w:rsidRDefault="007E2A6B" w:rsidP="004F7FAB">
      <w:pPr>
        <w:pStyle w:val="JK4"/>
      </w:pPr>
      <w:r w:rsidRPr="00960EE0">
        <w:t xml:space="preserve">Dosažená hodnota vykazovaná ve dvouletých intervalech (naposledy </w:t>
      </w:r>
      <w:r w:rsidR="008B4116">
        <w:t xml:space="preserve">v roce 2021 </w:t>
      </w:r>
      <w:r w:rsidR="009D44D5">
        <w:t xml:space="preserve">publikován </w:t>
      </w:r>
      <w:r w:rsidR="00733CDF">
        <w:t>údaj za rok 2019</w:t>
      </w:r>
      <w:r w:rsidR="00BF65FC">
        <w:t xml:space="preserve"> ve </w:t>
      </w:r>
      <w:r w:rsidR="00BF65FC" w:rsidRPr="00BF65FC">
        <w:rPr>
          <w:i/>
        </w:rPr>
        <w:t xml:space="preserve">Výroční zprávě o implementaci </w:t>
      </w:r>
      <w:r w:rsidR="00C23637">
        <w:rPr>
          <w:i/>
        </w:rPr>
        <w:t>IROP</w:t>
      </w:r>
      <w:r w:rsidR="00BF65FC" w:rsidRPr="00960EE0">
        <w:t xml:space="preserve"> </w:t>
      </w:r>
      <w:r w:rsidR="00BF65FC" w:rsidRPr="004F7FAB">
        <w:rPr>
          <w:i/>
        </w:rPr>
        <w:t>za rok 2020</w:t>
      </w:r>
      <w:r w:rsidR="00BF65FC">
        <w:t xml:space="preserve"> </w:t>
      </w:r>
      <w:r>
        <w:t xml:space="preserve">ve výši </w:t>
      </w:r>
      <w:r w:rsidRPr="00A92ACA">
        <w:t>44</w:t>
      </w:r>
      <w:r w:rsidR="00733CDF">
        <w:t> </w:t>
      </w:r>
      <w:r w:rsidRPr="00A92ACA">
        <w:t>408 lůžek</w:t>
      </w:r>
      <w:r w:rsidRPr="00960EE0">
        <w:t xml:space="preserve">) nesvědčí o plnění cíle snížit počet akutních lůžek návazné </w:t>
      </w:r>
      <w:r w:rsidR="00DF5BD2">
        <w:t xml:space="preserve">zdravotní </w:t>
      </w:r>
      <w:r w:rsidRPr="00960EE0">
        <w:t>péče,</w:t>
      </w:r>
      <w:r w:rsidR="00E92C7E">
        <w:t xml:space="preserve"> oproti výchozí hodnotě indikátoru z roku 2014 došlo dokonce k mírnému navýšení. NKÚ tak vzhledem k dosavadnímu vývoji nepovažuje za pravděpodobné dosažení cílové hodnoty pro</w:t>
      </w:r>
      <w:r w:rsidR="00FC0287">
        <w:t> </w:t>
      </w:r>
      <w:r w:rsidR="00E92C7E">
        <w:t>rok 2023.</w:t>
      </w:r>
    </w:p>
    <w:p w14:paraId="372E7083" w14:textId="77777777" w:rsidR="00657166" w:rsidRDefault="007E2A6B" w:rsidP="00D16947">
      <w:pPr>
        <w:pStyle w:val="JK4"/>
      </w:pPr>
      <w:r w:rsidRPr="00960EE0">
        <w:t xml:space="preserve">Indikátor je taktéž sledován na </w:t>
      </w:r>
      <w:r w:rsidR="008871C1">
        <w:t xml:space="preserve">projektové </w:t>
      </w:r>
      <w:r w:rsidRPr="00960EE0">
        <w:t>úrovni</w:t>
      </w:r>
      <w:r w:rsidR="00C23637">
        <w:t>,</w:t>
      </w:r>
      <w:r w:rsidRPr="00960EE0">
        <w:t xml:space="preserve"> </w:t>
      </w:r>
      <w:r w:rsidR="00781185">
        <w:t>a</w:t>
      </w:r>
      <w:r w:rsidR="00C23637">
        <w:t>však</w:t>
      </w:r>
      <w:r w:rsidR="00781185">
        <w:t xml:space="preserve"> je vykazován pouze u p</w:t>
      </w:r>
      <w:r w:rsidR="008871C1">
        <w:t>rojektů</w:t>
      </w:r>
      <w:r w:rsidRPr="00960EE0">
        <w:t xml:space="preserve"> určených pro návaznou </w:t>
      </w:r>
      <w:r w:rsidR="00A0513B">
        <w:t xml:space="preserve">zdravotní </w:t>
      </w:r>
      <w:r w:rsidRPr="00960EE0">
        <w:t>péči</w:t>
      </w:r>
      <w:r>
        <w:t xml:space="preserve">. </w:t>
      </w:r>
      <w:r w:rsidR="00E92C7E">
        <w:t xml:space="preserve">Ačkoliv na úrovni SC 2.3 </w:t>
      </w:r>
      <w:r w:rsidR="00DF5BD2">
        <w:t xml:space="preserve">IROP </w:t>
      </w:r>
      <w:r w:rsidR="00E92C7E">
        <w:t>byl deklarován cíl snížení kapacity lůžek ná</w:t>
      </w:r>
      <w:r w:rsidR="00A92ACA">
        <w:t>vazné zdravotní</w:t>
      </w:r>
      <w:r w:rsidR="00E92C7E">
        <w:t xml:space="preserve"> péče, NKÚ zjistil, že p</w:t>
      </w:r>
      <w:r w:rsidRPr="00960EE0">
        <w:t xml:space="preserve">ouze </w:t>
      </w:r>
      <w:r w:rsidR="008871C1">
        <w:t xml:space="preserve">u </w:t>
      </w:r>
      <w:r w:rsidR="00A0513B">
        <w:t>pět</w:t>
      </w:r>
      <w:r w:rsidR="008871C1">
        <w:t>i</w:t>
      </w:r>
      <w:r w:rsidRPr="00960EE0">
        <w:t xml:space="preserve"> projekt</w:t>
      </w:r>
      <w:r w:rsidR="00A0513B">
        <w:t>ů</w:t>
      </w:r>
      <w:r>
        <w:rPr>
          <w:rStyle w:val="Znakapoznpodarou"/>
        </w:rPr>
        <w:footnoteReference w:id="18"/>
      </w:r>
      <w:r w:rsidRPr="00960EE0">
        <w:t xml:space="preserve"> z celkových 113 schválených </w:t>
      </w:r>
      <w:r w:rsidR="00E92C7E">
        <w:t xml:space="preserve">MMR k podpoře </w:t>
      </w:r>
      <w:r w:rsidR="008871C1">
        <w:t>bylo cílem</w:t>
      </w:r>
      <w:r w:rsidR="00E71314">
        <w:t xml:space="preserve"> </w:t>
      </w:r>
      <w:r w:rsidRPr="00960EE0">
        <w:t>sníž</w:t>
      </w:r>
      <w:r w:rsidR="00E71314">
        <w:t>it</w:t>
      </w:r>
      <w:r w:rsidRPr="00960EE0">
        <w:t xml:space="preserve"> </w:t>
      </w:r>
      <w:r w:rsidR="00E71314">
        <w:t>kapacitu</w:t>
      </w:r>
      <w:r w:rsidR="00C67BD7">
        <w:t xml:space="preserve">, a to </w:t>
      </w:r>
      <w:r w:rsidR="00E92C7E">
        <w:t xml:space="preserve">celkem </w:t>
      </w:r>
      <w:r w:rsidR="00C67BD7">
        <w:t xml:space="preserve">o </w:t>
      </w:r>
      <w:r w:rsidR="00A0513B">
        <w:t>57</w:t>
      </w:r>
      <w:r w:rsidR="00C23637">
        <w:t xml:space="preserve"> </w:t>
      </w:r>
      <w:r w:rsidR="00C67BD7">
        <w:t>lůžek</w:t>
      </w:r>
      <w:r w:rsidR="00E92C7E">
        <w:t>.</w:t>
      </w:r>
      <w:r w:rsidR="00A0513B">
        <w:t xml:space="preserve"> </w:t>
      </w:r>
      <w:r w:rsidR="00E92C7E">
        <w:t xml:space="preserve">A naopak </w:t>
      </w:r>
      <w:r w:rsidR="00A0513B">
        <w:t xml:space="preserve">realizací dvou projektů </w:t>
      </w:r>
      <w:r w:rsidR="00E71314">
        <w:t>se kapacita</w:t>
      </w:r>
      <w:r w:rsidR="00A0513B">
        <w:t xml:space="preserve"> </w:t>
      </w:r>
      <w:r w:rsidR="00E71314">
        <w:t>navýš</w:t>
      </w:r>
      <w:r w:rsidR="00EE2371">
        <w:t>ila</w:t>
      </w:r>
      <w:r w:rsidR="00A0513B">
        <w:t xml:space="preserve"> o</w:t>
      </w:r>
      <w:r w:rsidR="00A75431">
        <w:t xml:space="preserve"> </w:t>
      </w:r>
      <w:r w:rsidR="00A0513B">
        <w:t>53 lůžek</w:t>
      </w:r>
      <w:r w:rsidR="00E71314">
        <w:t>.</w:t>
      </w:r>
      <w:r w:rsidR="00E92C7E">
        <w:t xml:space="preserve"> To indikuje nekonzistentnost cílů stanovených MMR na programové úrovni s cíli nastavenými na úrovni projektů.</w:t>
      </w:r>
      <w:r w:rsidR="00C67BD7">
        <w:t xml:space="preserve"> </w:t>
      </w:r>
    </w:p>
    <w:p w14:paraId="0B9F2118" w14:textId="77777777" w:rsidR="005C0E7D" w:rsidRDefault="007E2A6B" w:rsidP="00083B49">
      <w:pPr>
        <w:pStyle w:val="Mluvcnadpis"/>
      </w:pPr>
      <w:r w:rsidRPr="00A94199">
        <w:t>→</w:t>
      </w:r>
      <w:r>
        <w:tab/>
      </w:r>
      <w:r w:rsidRPr="003A544A">
        <w:t xml:space="preserve">MMR </w:t>
      </w:r>
      <w:r>
        <w:t xml:space="preserve">stanovilo nevhodné podmínky </w:t>
      </w:r>
      <w:r w:rsidRPr="003A544A">
        <w:t>výzv</w:t>
      </w:r>
      <w:r>
        <w:t>y</w:t>
      </w:r>
      <w:r w:rsidRPr="003A544A">
        <w:t xml:space="preserve"> </w:t>
      </w:r>
      <w:r>
        <w:t>na podporu</w:t>
      </w:r>
      <w:r w:rsidRPr="003A544A">
        <w:t xml:space="preserve"> návazné </w:t>
      </w:r>
      <w:r>
        <w:t xml:space="preserve">zdravotní </w:t>
      </w:r>
      <w:r w:rsidRPr="003A544A">
        <w:t>péče</w:t>
      </w:r>
      <w:r>
        <w:t>; bez</w:t>
      </w:r>
      <w:r w:rsidR="00FC0287">
        <w:t> </w:t>
      </w:r>
      <w:r>
        <w:t xml:space="preserve">dodatečných zdrojů přesunutých z jiného operačního programu </w:t>
      </w:r>
      <w:r w:rsidR="00C23637">
        <w:t xml:space="preserve">by </w:t>
      </w:r>
      <w:r>
        <w:t>intervence ze SC</w:t>
      </w:r>
      <w:r w:rsidR="00C23637">
        <w:t> </w:t>
      </w:r>
      <w:r>
        <w:t>2.3 nesnižovaly regionální rozdíly v poskytování návazné zdravotní péče.</w:t>
      </w:r>
    </w:p>
    <w:p w14:paraId="72C53E7A" w14:textId="77777777" w:rsidR="009C2D09" w:rsidRPr="00704C15" w:rsidRDefault="009C2D09" w:rsidP="00D16947">
      <w:pPr>
        <w:pStyle w:val="JK4"/>
      </w:pPr>
      <w:r w:rsidRPr="00704C15">
        <w:t>Východiskem pro smě</w:t>
      </w:r>
      <w:r w:rsidR="00C23637">
        <w:t>r</w:t>
      </w:r>
      <w:r w:rsidRPr="00704C15">
        <w:t xml:space="preserve">ování podpory byla analýza rozdílů v přístupu k vysoce specializované a návazné zdravotní péči v jednotlivých krajích. Výsledky analýzy včetně seznamu zdravotnických zařízení zahrnutých do skupiny možných příjemců zpracovalo </w:t>
      </w:r>
      <w:proofErr w:type="spellStart"/>
      <w:r w:rsidRPr="00704C15">
        <w:t>MZd</w:t>
      </w:r>
      <w:proofErr w:type="spellEnd"/>
      <w:r w:rsidRPr="00704C15">
        <w:t xml:space="preserve"> v roce 2014 do</w:t>
      </w:r>
      <w:r w:rsidR="00307DA0">
        <w:t xml:space="preserve"> </w:t>
      </w:r>
      <w:r w:rsidRPr="00704C15">
        <w:t xml:space="preserve">dokumentu </w:t>
      </w:r>
      <w:r w:rsidRPr="00704C15">
        <w:rPr>
          <w:i/>
        </w:rPr>
        <w:t>Mapování územních rozdílů v přístupu k péči návazné a vysoce specializované</w:t>
      </w:r>
      <w:r w:rsidRPr="00704C15">
        <w:t xml:space="preserve">, který je přílohou </w:t>
      </w:r>
      <w:r w:rsidRPr="00704C15">
        <w:rPr>
          <w:i/>
        </w:rPr>
        <w:t>Koncepce návazné péče</w:t>
      </w:r>
      <w:r w:rsidRPr="00704C15">
        <w:t xml:space="preserve">. </w:t>
      </w:r>
    </w:p>
    <w:p w14:paraId="13FAC755" w14:textId="77777777" w:rsidR="005C0E7D" w:rsidRDefault="007E2A6B" w:rsidP="00D16947">
      <w:pPr>
        <w:pStyle w:val="JK4"/>
      </w:pPr>
      <w:r>
        <w:t>Dle provedené analýzy v roce 2015</w:t>
      </w:r>
      <w:r w:rsidRPr="003A544A">
        <w:t xml:space="preserve"> byla</w:t>
      </w:r>
      <w:r>
        <w:t xml:space="preserve"> </w:t>
      </w:r>
      <w:r w:rsidRPr="003A544A">
        <w:t>předpokládána absorpční kapacita</w:t>
      </w:r>
      <w:r>
        <w:rPr>
          <w:rStyle w:val="Znakapoznpodarou"/>
        </w:rPr>
        <w:footnoteReference w:id="19"/>
      </w:r>
      <w:r w:rsidR="004F175D">
        <w:t xml:space="preserve"> </w:t>
      </w:r>
      <w:r w:rsidR="00C976AE">
        <w:t xml:space="preserve">v oblasti </w:t>
      </w:r>
      <w:r w:rsidR="004F175D">
        <w:t>podpory infrastruktury regionálního zdravotnictví</w:t>
      </w:r>
      <w:r w:rsidR="004F175D" w:rsidRPr="003A544A">
        <w:t xml:space="preserve"> </w:t>
      </w:r>
      <w:r w:rsidRPr="003A544A">
        <w:t>ve výši 8</w:t>
      </w:r>
      <w:r w:rsidR="00C23637">
        <w:t> </w:t>
      </w:r>
      <w:r w:rsidRPr="003A544A">
        <w:t>91</w:t>
      </w:r>
      <w:r>
        <w:t>0</w:t>
      </w:r>
      <w:r w:rsidR="00C23637">
        <w:t xml:space="preserve"> </w:t>
      </w:r>
      <w:r w:rsidRPr="003A544A">
        <w:t>m</w:t>
      </w:r>
      <w:r>
        <w:t>i</w:t>
      </w:r>
      <w:r w:rsidRPr="003A544A">
        <w:t>l. Kč</w:t>
      </w:r>
      <w:r>
        <w:rPr>
          <w:rStyle w:val="Znakapoznpodarou"/>
        </w:rPr>
        <w:footnoteReference w:id="20"/>
      </w:r>
      <w:r>
        <w:t xml:space="preserve">. Alokace zdrojů z EFRR ve SC 2.3 IROP činila na počátku implementace programu částku </w:t>
      </w:r>
      <w:r w:rsidRPr="00C41C30">
        <w:t>7</w:t>
      </w:r>
      <w:r>
        <w:t> 797 mil. Kč</w:t>
      </w:r>
      <w:r>
        <w:rPr>
          <w:rStyle w:val="Znakapoznpodarou"/>
        </w:rPr>
        <w:footnoteReference w:id="21"/>
      </w:r>
      <w:r>
        <w:t>. P</w:t>
      </w:r>
      <w:r w:rsidRPr="00C41C30">
        <w:t>ro</w:t>
      </w:r>
      <w:r w:rsidR="00DF5BD2">
        <w:t> </w:t>
      </w:r>
      <w:r w:rsidRPr="00C41C30">
        <w:t>výzvu na</w:t>
      </w:r>
      <w:r>
        <w:t xml:space="preserve"> podporu</w:t>
      </w:r>
      <w:r w:rsidRPr="00C41C30">
        <w:t xml:space="preserve"> návazn</w:t>
      </w:r>
      <w:r>
        <w:t>é zdravotní</w:t>
      </w:r>
      <w:r w:rsidRPr="00C41C30">
        <w:t xml:space="preserve"> péč</w:t>
      </w:r>
      <w:r>
        <w:t>e byla v roce 2016 vyčleněna</w:t>
      </w:r>
      <w:r w:rsidRPr="00C41C30">
        <w:t xml:space="preserve"> alokace</w:t>
      </w:r>
      <w:r>
        <w:t xml:space="preserve"> zdrojů EFRR</w:t>
      </w:r>
      <w:r w:rsidRPr="00C41C30">
        <w:t xml:space="preserve"> ve výši 3</w:t>
      </w:r>
      <w:r>
        <w:t> </w:t>
      </w:r>
      <w:r w:rsidRPr="00C41C30">
        <w:t>0</w:t>
      </w:r>
      <w:r>
        <w:t>60 mil.</w:t>
      </w:r>
      <w:r w:rsidRPr="00C41C30">
        <w:t xml:space="preserve"> Kč</w:t>
      </w:r>
      <w:r>
        <w:t xml:space="preserve"> a ze zdrojů SR ve výši 540 mil. Kč</w:t>
      </w:r>
      <w:r w:rsidRPr="00C41C30">
        <w:t>.</w:t>
      </w:r>
    </w:p>
    <w:p w14:paraId="16BDC8D8" w14:textId="77777777" w:rsidR="005C0E7D" w:rsidRDefault="007E2A6B" w:rsidP="00D16947">
      <w:pPr>
        <w:pStyle w:val="JK4"/>
      </w:pPr>
      <w:r>
        <w:t xml:space="preserve">Na základě doporučení </w:t>
      </w:r>
      <w:r w:rsidR="00C23637">
        <w:t>p</w:t>
      </w:r>
      <w:r>
        <w:t xml:space="preserve">racovního týmu </w:t>
      </w:r>
      <w:r w:rsidR="00F56824">
        <w:t xml:space="preserve">IROP </w:t>
      </w:r>
      <w:r>
        <w:t xml:space="preserve">pro SC 2.3 neomezilo MMR ve výzvě počet žádostí o podporu podaných jedním oprávněným žadatelem. Důvodem byla </w:t>
      </w:r>
      <w:r w:rsidRPr="00C42A2E">
        <w:t>komplikovaná právní subjektivita krajských nemocnic, u nichž byly plánovány fúze</w:t>
      </w:r>
      <w:r>
        <w:t>. Tyto fúzované krajské nemocnice</w:t>
      </w:r>
      <w:r w:rsidRPr="00C42A2E">
        <w:t xml:space="preserve"> by </w:t>
      </w:r>
      <w:r>
        <w:t>byly nuceny dělit se společně</w:t>
      </w:r>
      <w:r w:rsidRPr="00C42A2E">
        <w:t xml:space="preserve"> o jeden limit, přestože se jedn</w:t>
      </w:r>
      <w:r>
        <w:t>alo</w:t>
      </w:r>
      <w:r w:rsidRPr="00C42A2E">
        <w:t xml:space="preserve"> o různé nemocnice (poskytovatele zdravotní péče).</w:t>
      </w:r>
      <w:r>
        <w:t xml:space="preserve"> MMR </w:t>
      </w:r>
      <w:r w:rsidR="00F24FED">
        <w:t xml:space="preserve">však </w:t>
      </w:r>
      <w:r>
        <w:t xml:space="preserve">nestanovilo další </w:t>
      </w:r>
      <w:r w:rsidRPr="00C42A2E">
        <w:t>podmínk</w:t>
      </w:r>
      <w:r>
        <w:t>y</w:t>
      </w:r>
      <w:r w:rsidRPr="00C42A2E">
        <w:t>, kter</w:t>
      </w:r>
      <w:r>
        <w:t>é</w:t>
      </w:r>
      <w:r w:rsidRPr="00C42A2E">
        <w:t xml:space="preserve"> by </w:t>
      </w:r>
      <w:r>
        <w:t xml:space="preserve">například </w:t>
      </w:r>
      <w:r w:rsidRPr="00C42A2E">
        <w:t>zohledňoval</w:t>
      </w:r>
      <w:r>
        <w:t>y</w:t>
      </w:r>
      <w:r w:rsidRPr="00C42A2E">
        <w:t xml:space="preserve"> poměrné zastoupení projektů nebo nemocnic</w:t>
      </w:r>
      <w:r>
        <w:t>, respektive</w:t>
      </w:r>
      <w:r w:rsidRPr="00C42A2E">
        <w:t xml:space="preserve"> poskytovatelů </w:t>
      </w:r>
      <w:r>
        <w:t xml:space="preserve">návazné </w:t>
      </w:r>
      <w:r w:rsidRPr="00C42A2E">
        <w:t>zdravotní péče</w:t>
      </w:r>
      <w:r w:rsidR="0049643C">
        <w:t>,</w:t>
      </w:r>
      <w:r w:rsidRPr="00C42A2E">
        <w:t xml:space="preserve"> alespoň na úrovni krajů.</w:t>
      </w:r>
    </w:p>
    <w:p w14:paraId="09CECC75" w14:textId="77777777" w:rsidR="005C0E7D" w:rsidRDefault="007E2A6B" w:rsidP="00D16947">
      <w:pPr>
        <w:pStyle w:val="JK4"/>
      </w:pPr>
      <w:r>
        <w:lastRenderedPageBreak/>
        <w:t xml:space="preserve">Původně uvažovaná maximální částka způsobilých výdajů 60 mil. Kč na realizaci jednoho projektu byla ve výzvě navýšena na 99 mil. Kč, </w:t>
      </w:r>
      <w:r w:rsidRPr="00C42A2E">
        <w:t>aby byl</w:t>
      </w:r>
      <w:r w:rsidR="0049643C">
        <w:t>o</w:t>
      </w:r>
      <w:r w:rsidRPr="00C42A2E">
        <w:t xml:space="preserve"> umožněn</w:t>
      </w:r>
      <w:r w:rsidR="0049643C">
        <w:t>o</w:t>
      </w:r>
      <w:r w:rsidRPr="00C42A2E">
        <w:t xml:space="preserve"> </w:t>
      </w:r>
      <w:r w:rsidR="0049643C">
        <w:t>provedení</w:t>
      </w:r>
      <w:r w:rsidRPr="00C42A2E">
        <w:t xml:space="preserve"> nákladově </w:t>
      </w:r>
      <w:r w:rsidR="00FA183C">
        <w:t>náročnějších</w:t>
      </w:r>
      <w:r w:rsidR="00FA183C" w:rsidRPr="00C42A2E">
        <w:t xml:space="preserve"> </w:t>
      </w:r>
      <w:r w:rsidRPr="00C42A2E">
        <w:t>projektů</w:t>
      </w:r>
      <w:r>
        <w:t>, respektive</w:t>
      </w:r>
      <w:r w:rsidRPr="00C42A2E">
        <w:t xml:space="preserve"> projektů s vyšším počtem oborů </w:t>
      </w:r>
      <w:r>
        <w:t xml:space="preserve">návazné zdravotní </w:t>
      </w:r>
      <w:r w:rsidRPr="00C42A2E">
        <w:t>péče</w:t>
      </w:r>
      <w:r>
        <w:t>.</w:t>
      </w:r>
    </w:p>
    <w:p w14:paraId="5D864AA4" w14:textId="77777777" w:rsidR="005C0E7D" w:rsidRDefault="007E2A6B" w:rsidP="00D16947">
      <w:pPr>
        <w:pStyle w:val="JK4"/>
      </w:pPr>
      <w:r>
        <w:t xml:space="preserve">Výzvu vyhlásilo MMR v květnu 2016 a po necelých dvou měsících ji ukončilo z důvodu zvýšeného zájmu, tj. z důvodu převisu poptávané podpory ve vztahu k alokovaným zdrojům. </w:t>
      </w:r>
      <w:r w:rsidRPr="000F57A0">
        <w:t>S ukončením příjmu žádostí o podporu současně navýš</w:t>
      </w:r>
      <w:r>
        <w:t>ilo</w:t>
      </w:r>
      <w:r w:rsidRPr="000F57A0">
        <w:t xml:space="preserve"> stávající alokac</w:t>
      </w:r>
      <w:r w:rsidR="00435D2D">
        <w:t>i</w:t>
      </w:r>
      <w:r w:rsidRPr="000F57A0">
        <w:t xml:space="preserve"> o 1</w:t>
      </w:r>
      <w:r>
        <w:t> </w:t>
      </w:r>
      <w:r w:rsidRPr="000F57A0">
        <w:t>2</w:t>
      </w:r>
      <w:r>
        <w:t>00 </w:t>
      </w:r>
      <w:r w:rsidRPr="000F57A0">
        <w:t>m</w:t>
      </w:r>
      <w:r>
        <w:t>i</w:t>
      </w:r>
      <w:r w:rsidRPr="000F57A0">
        <w:t>l. Kč na</w:t>
      </w:r>
      <w:r w:rsidR="00C23637">
        <w:t xml:space="preserve"> </w:t>
      </w:r>
      <w:r w:rsidRPr="000F57A0">
        <w:t>4</w:t>
      </w:r>
      <w:r>
        <w:t> </w:t>
      </w:r>
      <w:r w:rsidRPr="000F57A0">
        <w:t>26</w:t>
      </w:r>
      <w:r>
        <w:t>0</w:t>
      </w:r>
      <w:r w:rsidRPr="000F57A0">
        <w:t xml:space="preserve"> m</w:t>
      </w:r>
      <w:r>
        <w:t>i</w:t>
      </w:r>
      <w:r w:rsidRPr="000F57A0">
        <w:t xml:space="preserve">l. Kč z EFRR a ze </w:t>
      </w:r>
      <w:r w:rsidR="00DF5BD2">
        <w:t>SR</w:t>
      </w:r>
      <w:r w:rsidRPr="000F57A0">
        <w:t xml:space="preserve"> byla alokace navýšena na </w:t>
      </w:r>
      <w:r w:rsidR="00DF5BD2">
        <w:t xml:space="preserve">částku </w:t>
      </w:r>
      <w:r w:rsidRPr="000F57A0">
        <w:t>max</w:t>
      </w:r>
      <w:r>
        <w:t>imálně</w:t>
      </w:r>
      <w:r w:rsidR="00DF5BD2">
        <w:t xml:space="preserve"> ve výši</w:t>
      </w:r>
      <w:r w:rsidRPr="000F57A0">
        <w:t xml:space="preserve"> 751,8</w:t>
      </w:r>
      <w:r>
        <w:t> </w:t>
      </w:r>
      <w:r w:rsidRPr="000F57A0">
        <w:t>mil.</w:t>
      </w:r>
      <w:r>
        <w:t> </w:t>
      </w:r>
      <w:r w:rsidRPr="000F57A0">
        <w:t>Kč.</w:t>
      </w:r>
      <w:r>
        <w:t xml:space="preserve"> </w:t>
      </w:r>
    </w:p>
    <w:p w14:paraId="03EA60E1" w14:textId="77777777" w:rsidR="005C0E7D" w:rsidRDefault="007E2A6B" w:rsidP="00D16947">
      <w:pPr>
        <w:pStyle w:val="JK4"/>
      </w:pPr>
      <w:r>
        <w:t>V</w:t>
      </w:r>
      <w:r w:rsidRPr="001C28F3">
        <w:t>ýzva byla vyhlášena jako nesoutěžní, tj. nezahrnovala věcné hodnocení</w:t>
      </w:r>
      <w:r>
        <w:t>.</w:t>
      </w:r>
      <w:r w:rsidRPr="001C28F3">
        <w:t xml:space="preserve"> </w:t>
      </w:r>
      <w:r w:rsidRPr="000F57A0">
        <w:t>Pokud žádost úspěšně prošla procesem</w:t>
      </w:r>
      <w:r w:rsidR="004F175D">
        <w:t xml:space="preserve"> formálního</w:t>
      </w:r>
      <w:r w:rsidRPr="000F57A0">
        <w:t xml:space="preserve"> hodnocení</w:t>
      </w:r>
      <w:r w:rsidR="004F175D">
        <w:t xml:space="preserve"> a hodnocení přijatelnosti</w:t>
      </w:r>
      <w:r w:rsidRPr="000F57A0">
        <w:t>, byla doporučena ke schválení v</w:t>
      </w:r>
      <w:r w:rsidR="00307DA0">
        <w:t xml:space="preserve"> </w:t>
      </w:r>
      <w:r w:rsidRPr="000F57A0">
        <w:t>závislosti na čas</w:t>
      </w:r>
      <w:r>
        <w:t>e</w:t>
      </w:r>
      <w:r w:rsidRPr="000F57A0">
        <w:t xml:space="preserve"> </w:t>
      </w:r>
      <w:r w:rsidR="00C23637">
        <w:t>své</w:t>
      </w:r>
      <w:r w:rsidRPr="000F57A0">
        <w:t xml:space="preserve"> registrace v</w:t>
      </w:r>
      <w:r w:rsidR="00307DA0">
        <w:t xml:space="preserve"> </w:t>
      </w:r>
      <w:r w:rsidR="00DF5BD2">
        <w:t xml:space="preserve">monitorovacím systému </w:t>
      </w:r>
      <w:r w:rsidR="00DF5BD2" w:rsidRPr="00EE2371">
        <w:rPr>
          <w:szCs w:val="24"/>
        </w:rPr>
        <w:t>evropských strukturálních a investičních fondů</w:t>
      </w:r>
      <w:r w:rsidR="00DF5BD2">
        <w:t xml:space="preserve"> (dále také „MS2014+“)</w:t>
      </w:r>
      <w:r w:rsidRPr="000F57A0">
        <w:t>. V</w:t>
      </w:r>
      <w:r>
        <w:t> </w:t>
      </w:r>
      <w:r w:rsidRPr="000F57A0">
        <w:t>důsledku převisu poptávky nebyly pokryty ani z navýšené alokace výzvy žádosti podané teprve měsíc po zahájení jejich příjmu.</w:t>
      </w:r>
      <w:r>
        <w:t xml:space="preserve"> </w:t>
      </w:r>
      <w:r w:rsidRPr="000F57A0">
        <w:t xml:space="preserve">Mimo alokaci zůstalo 45 žádostí o podporu v celkové výši </w:t>
      </w:r>
      <w:r w:rsidR="00C23637">
        <w:t>cca</w:t>
      </w:r>
      <w:r>
        <w:t xml:space="preserve"> </w:t>
      </w:r>
      <w:r w:rsidRPr="000F57A0">
        <w:t>2</w:t>
      </w:r>
      <w:r>
        <w:t> </w:t>
      </w:r>
      <w:r w:rsidR="004609BE">
        <w:t>mld</w:t>
      </w:r>
      <w:r w:rsidRPr="000F57A0">
        <w:t>. Kč ze zdrojů EFRR, které podalo 21 oprávněných žadatelů.</w:t>
      </w:r>
      <w:r>
        <w:t xml:space="preserve"> Tyto žádosti byly zařazeny mezi tzv. náhradní projekty.</w:t>
      </w:r>
    </w:p>
    <w:p w14:paraId="51934F69" w14:textId="77777777" w:rsidR="005C0E7D" w:rsidRDefault="007E2A6B" w:rsidP="00D16947">
      <w:pPr>
        <w:pStyle w:val="JK4"/>
      </w:pPr>
      <w:r w:rsidRPr="000F57A0">
        <w:t xml:space="preserve">Součástí </w:t>
      </w:r>
      <w:r w:rsidR="004609BE">
        <w:t xml:space="preserve">těchto </w:t>
      </w:r>
      <w:r w:rsidRPr="000F57A0">
        <w:t xml:space="preserve">náhradních projektů bylo </w:t>
      </w:r>
      <w:r w:rsidR="004609BE">
        <w:t xml:space="preserve">i </w:t>
      </w:r>
      <w:r w:rsidRPr="00A92ACA">
        <w:t xml:space="preserve">31 žádostí od 12 žadatelů, kteří </w:t>
      </w:r>
      <w:r w:rsidR="00694D7B">
        <w:t>neobdrželi podporu</w:t>
      </w:r>
      <w:r w:rsidRPr="00A92ACA">
        <w:t xml:space="preserve"> ani </w:t>
      </w:r>
      <w:r w:rsidR="00C23637">
        <w:t xml:space="preserve">na </w:t>
      </w:r>
      <w:r w:rsidRPr="00A92ACA">
        <w:t>jeden projekt</w:t>
      </w:r>
      <w:r w:rsidRPr="004609BE">
        <w:t xml:space="preserve">. </w:t>
      </w:r>
      <w:r w:rsidRPr="000F57A0">
        <w:t>Mezi těmito 12 žadateli byla mimo jiné Nemocnice Pardubického kraje, a.s., která zajišťuje návaznou péči pro celé území Pardubického kraje. Naopak pokryto alokací bylo šest projektů Fakultní nemocnice Brno (schválená podpora ze zdrojů EFRR ve výši 440,4 mil. Kč) a šest projektů Nemocnice s poliklinikou Česká Lípa, a.s. (schválená podpora ze zdrojů EFRR ve výši 133,5 mil. Kč), kte</w:t>
      </w:r>
      <w:r w:rsidR="00C23637">
        <w:t>ré</w:t>
      </w:r>
      <w:r w:rsidRPr="000F57A0">
        <w:t xml:space="preserve"> ale nejsou jedinými poskytovateli návazné</w:t>
      </w:r>
      <w:r w:rsidR="00423842">
        <w:t xml:space="preserve"> zdravotní</w:t>
      </w:r>
      <w:r w:rsidRPr="000F57A0">
        <w:t xml:space="preserve"> péče v Jihomoravském, respektive Libereckém kraji.</w:t>
      </w:r>
      <w:r>
        <w:t xml:space="preserve"> </w:t>
      </w:r>
    </w:p>
    <w:p w14:paraId="1B5A476A" w14:textId="77777777" w:rsidR="005C0E7D" w:rsidRDefault="007E2A6B" w:rsidP="00D16947">
      <w:pPr>
        <w:pStyle w:val="JK4"/>
      </w:pPr>
      <w:r w:rsidRPr="001C28F3">
        <w:t xml:space="preserve">MMR nezjišťovalo, jaký vliv bude mít rozdílný počet projektů podaných jednotlivými žadateli na vyrovnávání územních rozdílů v kvalitě poskytování zdravotní péče. </w:t>
      </w:r>
      <w:r>
        <w:t>Takto nastavenými podmínkami n</w:t>
      </w:r>
      <w:r w:rsidRPr="00380BE5">
        <w:t xml:space="preserve">ebyly vytvořeny předpoklady pro </w:t>
      </w:r>
      <w:r w:rsidRPr="006E379F">
        <w:t>dosažení</w:t>
      </w:r>
      <w:r w:rsidRPr="00380BE5">
        <w:t xml:space="preserve"> přínosu stanoveného pro SC 2.3</w:t>
      </w:r>
      <w:r w:rsidR="00E568F4">
        <w:t xml:space="preserve"> IROP</w:t>
      </w:r>
      <w:r w:rsidRPr="00380BE5">
        <w:t xml:space="preserve">, </w:t>
      </w:r>
      <w:r w:rsidR="00FA7023">
        <w:t xml:space="preserve">tedy </w:t>
      </w:r>
      <w:r w:rsidRPr="00380BE5">
        <w:t xml:space="preserve">že </w:t>
      </w:r>
      <w:r>
        <w:t>bude pacientům umožněn</w:t>
      </w:r>
      <w:r w:rsidRPr="00380BE5">
        <w:t xml:space="preserve"> přístup ke kvalitním zdravotním službám, které dosud nebyly ve všech regionech dostupné.</w:t>
      </w:r>
      <w:r>
        <w:t xml:space="preserve"> </w:t>
      </w:r>
      <w:r w:rsidRPr="00380BE5">
        <w:t xml:space="preserve">MMR při </w:t>
      </w:r>
      <w:r>
        <w:t>přípravě podmínek</w:t>
      </w:r>
      <w:r w:rsidRPr="00380BE5">
        <w:t xml:space="preserve"> výzvy zcela opomenulo problém „regionální nerovnosti v kvalitě a dostupnosti zdravotní péče vysoce specializované a navazující“, </w:t>
      </w:r>
      <w:r w:rsidR="003835DE">
        <w:t>který</w:t>
      </w:r>
      <w:r w:rsidRPr="00380BE5">
        <w:t xml:space="preserve"> </w:t>
      </w:r>
      <w:r>
        <w:t>chtě</w:t>
      </w:r>
      <w:r w:rsidRPr="00380BE5">
        <w:t>l</w:t>
      </w:r>
      <w:r>
        <w:t>o</w:t>
      </w:r>
      <w:r w:rsidRPr="00380BE5">
        <w:t xml:space="preserve"> řešit</w:t>
      </w:r>
      <w:r>
        <w:t xml:space="preserve"> </w:t>
      </w:r>
      <w:r w:rsidRPr="00380BE5">
        <w:t>pomocí intervencí</w:t>
      </w:r>
      <w:r>
        <w:t xml:space="preserve"> ze SC 2.3 IROP</w:t>
      </w:r>
      <w:r w:rsidR="0049643C">
        <w:t>. N</w:t>
      </w:r>
      <w:r>
        <w:t>aopak vytvořilo předpoklady</w:t>
      </w:r>
      <w:r w:rsidRPr="00A23E08">
        <w:t>, že se rozdíly v poskytování návazné</w:t>
      </w:r>
      <w:r w:rsidR="00B136BE">
        <w:t xml:space="preserve"> zdravotní</w:t>
      </w:r>
      <w:r w:rsidRPr="00A23E08">
        <w:t xml:space="preserve"> péče v jednotlivých regionech ještě zvýší</w:t>
      </w:r>
      <w:r>
        <w:t>.</w:t>
      </w:r>
    </w:p>
    <w:p w14:paraId="71725FEF" w14:textId="77777777" w:rsidR="005C0E7D" w:rsidRPr="00F779A3" w:rsidRDefault="007E2A6B" w:rsidP="00D16947">
      <w:pPr>
        <w:pStyle w:val="JK4"/>
      </w:pPr>
      <w:r w:rsidRPr="00F779A3">
        <w:t>MMR při přípravě výzvy a jejích podmínek nerespektovalo zásadu účinnosti dle</w:t>
      </w:r>
      <w:r w:rsidR="00C23637">
        <w:t xml:space="preserve"> f</w:t>
      </w:r>
      <w:r w:rsidRPr="00F779A3">
        <w:t>inančního nařízení</w:t>
      </w:r>
      <w:r w:rsidRPr="00F779A3">
        <w:rPr>
          <w:rStyle w:val="Znakapoznpodarou"/>
        </w:rPr>
        <w:footnoteReference w:id="22"/>
      </w:r>
      <w:r w:rsidRPr="00F779A3">
        <w:t>, neboť do března 2019 nevytvořilo předpoklady pro dosažení stanovených cílů na úrovni SC 2.3</w:t>
      </w:r>
      <w:r w:rsidR="00B136BE" w:rsidRPr="00F779A3">
        <w:t xml:space="preserve"> IROP</w:t>
      </w:r>
      <w:r w:rsidRPr="00F779A3">
        <w:t xml:space="preserve">. Ačkoliv MMR mělo </w:t>
      </w:r>
      <w:r w:rsidR="00C23637">
        <w:t>informace</w:t>
      </w:r>
      <w:r w:rsidRPr="00F779A3">
        <w:t xml:space="preserve"> o absorpční kapacitě </w:t>
      </w:r>
      <w:r w:rsidR="00C976AE" w:rsidRPr="00F779A3">
        <w:t xml:space="preserve">v oblasti podpory infrastruktury regionálního zdravotnictví </w:t>
      </w:r>
      <w:r w:rsidRPr="00F779A3">
        <w:t xml:space="preserve">a předpokládalo zvýšený zájem </w:t>
      </w:r>
      <w:r w:rsidR="00C976AE" w:rsidRPr="00F779A3">
        <w:t xml:space="preserve">zejména </w:t>
      </w:r>
      <w:r w:rsidRPr="00F779A3">
        <w:t xml:space="preserve">o podporu návazné </w:t>
      </w:r>
      <w:r w:rsidR="00855A4E" w:rsidRPr="00F779A3">
        <w:t xml:space="preserve">zdravotní </w:t>
      </w:r>
      <w:r w:rsidRPr="00F779A3">
        <w:t>péč</w:t>
      </w:r>
      <w:r w:rsidR="00855A4E" w:rsidRPr="00F779A3">
        <w:t>e</w:t>
      </w:r>
      <w:r w:rsidRPr="00F779A3">
        <w:t xml:space="preserve">, nepřipravilo výzvu tak, aby realizace intervencí vedla k vyrovnání regionálních </w:t>
      </w:r>
      <w:r w:rsidR="00853701" w:rsidRPr="00F779A3">
        <w:t>rozdílů</w:t>
      </w:r>
      <w:r w:rsidRPr="00F779A3">
        <w:t xml:space="preserve"> v úrovni poskytování návazné péče</w:t>
      </w:r>
      <w:r w:rsidR="002324AA" w:rsidRPr="00F779A3">
        <w:t xml:space="preserve"> (viz odst. 4.9)</w:t>
      </w:r>
      <w:r w:rsidRPr="00F779A3">
        <w:t>. V rámci přípravy výzvy MMR nezajistilo, aby podporu obdrželi</w:t>
      </w:r>
      <w:r w:rsidR="009C2D09" w:rsidRPr="00F779A3">
        <w:t xml:space="preserve"> oprávnění žadatelé na realizaci nejpotřebnějších projektů.</w:t>
      </w:r>
    </w:p>
    <w:p w14:paraId="4BD73707" w14:textId="77777777" w:rsidR="005C0E7D" w:rsidRDefault="007E2A6B" w:rsidP="00D16947">
      <w:pPr>
        <w:pStyle w:val="JK4"/>
      </w:pPr>
      <w:r>
        <w:t xml:space="preserve">V březnu 2019 byla alokace výzvy navýšena z volných zdrojů </w:t>
      </w:r>
      <w:r w:rsidR="00C23637" w:rsidRPr="004F7FAB">
        <w:t>o</w:t>
      </w:r>
      <w:r w:rsidRPr="004F7FAB">
        <w:t>peračního programu</w:t>
      </w:r>
      <w:r w:rsidRPr="000F57A0">
        <w:rPr>
          <w:i/>
        </w:rPr>
        <w:t xml:space="preserve"> </w:t>
      </w:r>
      <w:r w:rsidR="00C23637">
        <w:rPr>
          <w:i/>
        </w:rPr>
        <w:t>P</w:t>
      </w:r>
      <w:r w:rsidRPr="000F57A0">
        <w:rPr>
          <w:i/>
        </w:rPr>
        <w:t>odnikání a inovace pro konkurenceschopnost</w:t>
      </w:r>
      <w:r>
        <w:t xml:space="preserve"> o částku 1 930 mil. Kč, což umožnilo podpořit </w:t>
      </w:r>
      <w:r w:rsidRPr="000F57A0">
        <w:t xml:space="preserve">realizaci </w:t>
      </w:r>
      <w:r>
        <w:t xml:space="preserve">zbývajících </w:t>
      </w:r>
      <w:r w:rsidRPr="000F57A0">
        <w:t>42 náhradních projektů</w:t>
      </w:r>
      <w:r>
        <w:rPr>
          <w:rStyle w:val="Znakapoznpodarou"/>
        </w:rPr>
        <w:footnoteReference w:id="23"/>
      </w:r>
      <w:r w:rsidRPr="000F57A0">
        <w:t>.</w:t>
      </w:r>
      <w:r>
        <w:t xml:space="preserve"> Rozložení poskytnuté </w:t>
      </w:r>
      <w:r w:rsidRPr="00A44D58">
        <w:t xml:space="preserve">podpory ze zdrojů EFRR </w:t>
      </w:r>
      <w:r w:rsidRPr="00A44D58">
        <w:lastRenderedPageBreak/>
        <w:t>v jednotlivých krajích před a po navýšení alokace výzvy je znázorněno v grafu č. 1,</w:t>
      </w:r>
      <w:r>
        <w:t xml:space="preserve"> z něhož je</w:t>
      </w:r>
      <w:r w:rsidRPr="008B5517">
        <w:t xml:space="preserve"> zřejmé, že před navýšením alokace v březnu 2019 nebyl</w:t>
      </w:r>
      <w:r>
        <w:t xml:space="preserve"> </w:t>
      </w:r>
      <w:r w:rsidR="00E62AD8">
        <w:t>podpořen</w:t>
      </w:r>
      <w:r w:rsidRPr="008B5517">
        <w:t xml:space="preserve"> žádn</w:t>
      </w:r>
      <w:r>
        <w:t>ý</w:t>
      </w:r>
      <w:r w:rsidRPr="008B5517">
        <w:t xml:space="preserve"> projekt, jenž by se realizoval v Pardubickém kraji; v Ústeckém kraji nebyly </w:t>
      </w:r>
      <w:r w:rsidR="00E62AD8">
        <w:t>podpořeny</w:t>
      </w:r>
      <w:r w:rsidR="00E62AD8" w:rsidRPr="008B5517">
        <w:t xml:space="preserve"> </w:t>
      </w:r>
      <w:r w:rsidRPr="008B5517">
        <w:t>projekty s</w:t>
      </w:r>
      <w:r w:rsidR="00B136BE">
        <w:t> </w:t>
      </w:r>
      <w:r w:rsidRPr="008B5517">
        <w:t xml:space="preserve">požadovanou dotací </w:t>
      </w:r>
      <w:r>
        <w:t xml:space="preserve">z EFRR </w:t>
      </w:r>
      <w:r w:rsidRPr="008B5517">
        <w:t>ve výši 83,3 %. Naopak v šesti krajích byly uspokojeny požadavky všech žadatelů. Náhradní projekty, které byly podpořeny po realokaci v březnu 2019, představovaly celkovou podporu ze zdrojů EFRR ve výši 1</w:t>
      </w:r>
      <w:r w:rsidR="00E62AD8">
        <w:t> </w:t>
      </w:r>
      <w:r w:rsidRPr="008B5517">
        <w:t>938,</w:t>
      </w:r>
      <w:r>
        <w:t>7</w:t>
      </w:r>
      <w:r w:rsidR="00E62AD8">
        <w:t> </w:t>
      </w:r>
      <w:r w:rsidRPr="008B5517">
        <w:t>mil.</w:t>
      </w:r>
      <w:r w:rsidR="00E62AD8">
        <w:t> </w:t>
      </w:r>
      <w:r w:rsidRPr="008B5517">
        <w:t xml:space="preserve">Kč, z toho největší finanční i početní zastoupení </w:t>
      </w:r>
      <w:r w:rsidR="00B136BE">
        <w:t>měl</w:t>
      </w:r>
      <w:r w:rsidRPr="008B5517">
        <w:t xml:space="preserve"> Pardubický kraj (celkem 469,9</w:t>
      </w:r>
      <w:r w:rsidR="00E62AD8">
        <w:t> </w:t>
      </w:r>
      <w:r w:rsidRPr="008B5517">
        <w:t>mil. Kč v 11 projektech).</w:t>
      </w:r>
    </w:p>
    <w:p w14:paraId="1A66F444" w14:textId="77777777" w:rsidR="005C0E7D" w:rsidRDefault="007E2A6B" w:rsidP="004F7FAB">
      <w:pPr>
        <w:pStyle w:val="Nadpistabulkynebografu"/>
        <w:spacing w:after="0"/>
        <w:ind w:left="993" w:hanging="993"/>
      </w:pPr>
      <w:r w:rsidRPr="0008503E">
        <w:t>Graf č. 1:</w:t>
      </w:r>
      <w:r w:rsidRPr="0008503E">
        <w:tab/>
        <w:t xml:space="preserve">Schválené dotace ze zdrojů EFRR </w:t>
      </w:r>
      <w:r w:rsidRPr="00050445">
        <w:t xml:space="preserve">před navýšením alokace </w:t>
      </w:r>
      <w:r w:rsidR="002250BA">
        <w:t xml:space="preserve">pro návaznou zdravotní péči </w:t>
      </w:r>
      <w:r w:rsidRPr="00050445">
        <w:t xml:space="preserve">a </w:t>
      </w:r>
      <w:r w:rsidR="00853701">
        <w:t xml:space="preserve">v </w:t>
      </w:r>
      <w:r w:rsidRPr="00050445">
        <w:t>náhradní</w:t>
      </w:r>
      <w:r w:rsidR="00853701">
        <w:t>ch</w:t>
      </w:r>
      <w:r w:rsidRPr="00050445">
        <w:t xml:space="preserve"> projekt</w:t>
      </w:r>
      <w:r w:rsidR="00853701">
        <w:t>ech</w:t>
      </w:r>
      <w:r w:rsidRPr="00050445">
        <w:t xml:space="preserve"> po</w:t>
      </w:r>
      <w:r w:rsidR="00A75431">
        <w:t xml:space="preserve"> </w:t>
      </w:r>
      <w:r w:rsidRPr="00050445">
        <w:t>navýšení alokace v březnu 2019</w:t>
      </w:r>
      <w:r>
        <w:t xml:space="preserve"> </w:t>
      </w:r>
      <w:r w:rsidRPr="0008503E">
        <w:t>v členění dle</w:t>
      </w:r>
      <w:r w:rsidR="009B2112">
        <w:t> </w:t>
      </w:r>
      <w:r w:rsidRPr="0008503E">
        <w:t>krajů</w:t>
      </w:r>
      <w:r>
        <w:tab/>
        <w:t>(v mil. Kč)</w:t>
      </w:r>
    </w:p>
    <w:p w14:paraId="7AB59DAE" w14:textId="77777777" w:rsidR="0061479B" w:rsidRDefault="0061479B" w:rsidP="0061479B">
      <w:pPr>
        <w:pStyle w:val="Zdrojnebovysvtlivkapodtabulkou"/>
        <w:keepNext w:val="0"/>
        <w:keepLines w:val="0"/>
        <w:ind w:left="567" w:hanging="567"/>
        <w:jc w:val="center"/>
        <w:rPr>
          <w:b/>
        </w:rPr>
      </w:pPr>
      <w:r>
        <w:rPr>
          <w:b/>
          <w:noProof/>
        </w:rPr>
        <w:drawing>
          <wp:inline distT="0" distB="0" distL="0" distR="0" wp14:anchorId="1F527584" wp14:editId="3972FC34">
            <wp:extent cx="5661663" cy="4088920"/>
            <wp:effectExtent l="0" t="0" r="0" b="698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0431" cy="4102475"/>
                    </a:xfrm>
                    <a:prstGeom prst="rect">
                      <a:avLst/>
                    </a:prstGeom>
                    <a:noFill/>
                  </pic:spPr>
                </pic:pic>
              </a:graphicData>
            </a:graphic>
          </wp:inline>
        </w:drawing>
      </w:r>
    </w:p>
    <w:p w14:paraId="246F1945" w14:textId="77777777" w:rsidR="00B47C81" w:rsidRDefault="007E2A6B" w:rsidP="005F004A">
      <w:pPr>
        <w:pStyle w:val="Zdrojnebovysvtlivkapodtabulkou"/>
        <w:keepNext w:val="0"/>
        <w:keepLines w:val="0"/>
        <w:ind w:left="567" w:hanging="567"/>
      </w:pPr>
      <w:r w:rsidRPr="00B938C0">
        <w:rPr>
          <w:b/>
        </w:rPr>
        <w:t>Zdroj:</w:t>
      </w:r>
      <w:r>
        <w:tab/>
        <w:t>data zveřejněná na webových stránkách IROP (dostupné z: </w:t>
      </w:r>
      <w:hyperlink r:id="rId15" w:history="1">
        <w:r w:rsidR="00D212D6" w:rsidRPr="00931246">
          <w:rPr>
            <w:rStyle w:val="Hypertextovodkaz"/>
          </w:rPr>
          <w:t>https://irop.mmr.cz/getmedia/4d5e11ed-c8bf-4835-ab2b-fdd3d43bbb09/Prehled-nahradnich-projektu-31-vyzva_08032019.pdf</w:t>
        </w:r>
      </w:hyperlink>
      <w:r w:rsidR="00D212D6">
        <w:t>);</w:t>
      </w:r>
      <w:r>
        <w:t xml:space="preserve"> MS2014+, stav k 08/2022. </w:t>
      </w:r>
    </w:p>
    <w:p w14:paraId="552925AF" w14:textId="77777777" w:rsidR="008958DB" w:rsidRDefault="007E2A6B" w:rsidP="00083B49">
      <w:pPr>
        <w:pStyle w:val="Mluvcnadpis"/>
      </w:pPr>
      <w:r w:rsidRPr="00CF7903">
        <w:t xml:space="preserve">→ </w:t>
      </w:r>
      <w:r>
        <w:t>MMR schvalovalo k podpoře projekty</w:t>
      </w:r>
      <w:r w:rsidR="00596078">
        <w:t>,</w:t>
      </w:r>
      <w:r w:rsidR="00AF7EF6">
        <w:t xml:space="preserve"> </w:t>
      </w:r>
      <w:r w:rsidR="00FB2484">
        <w:t>aniž by ověřilo</w:t>
      </w:r>
      <w:r>
        <w:t xml:space="preserve">, zda </w:t>
      </w:r>
      <w:r w:rsidR="008E27F0">
        <w:t>směřují ke konkrétnímu a</w:t>
      </w:r>
      <w:r w:rsidR="00B136BE">
        <w:t> </w:t>
      </w:r>
      <w:r w:rsidR="008E27F0">
        <w:t>měřitelnému cíli</w:t>
      </w:r>
      <w:r>
        <w:t>.</w:t>
      </w:r>
    </w:p>
    <w:p w14:paraId="26979E91" w14:textId="77777777" w:rsidR="00597533" w:rsidRDefault="007E2A6B" w:rsidP="00D16947">
      <w:pPr>
        <w:pStyle w:val="JK4"/>
      </w:pPr>
      <w:r>
        <w:t>V pravidlech závazných</w:t>
      </w:r>
      <w:r w:rsidR="008B032E">
        <w:t xml:space="preserve"> pro všechny žadatele a příjemce podpory z</w:t>
      </w:r>
      <w:r>
        <w:t> </w:t>
      </w:r>
      <w:r w:rsidR="008B032E">
        <w:t>IROP</w:t>
      </w:r>
      <w:r>
        <w:t xml:space="preserve"> definovalo MMR projekt jako </w:t>
      </w:r>
      <w:r w:rsidRPr="00AF7EF6">
        <w:t>ucelený soubor aktivit směřují</w:t>
      </w:r>
      <w:r>
        <w:t>cích</w:t>
      </w:r>
      <w:r w:rsidRPr="00AF7EF6">
        <w:t xml:space="preserve"> k</w:t>
      </w:r>
      <w:r w:rsidR="003279C1">
        <w:t> </w:t>
      </w:r>
      <w:r w:rsidRPr="00AF7EF6">
        <w:t>dosažení</w:t>
      </w:r>
      <w:r w:rsidR="003279C1">
        <w:t xml:space="preserve"> předem stanovených</w:t>
      </w:r>
      <w:r w:rsidRPr="00AF7EF6">
        <w:t xml:space="preserve"> </w:t>
      </w:r>
      <w:r>
        <w:t>konkrétních</w:t>
      </w:r>
      <w:r w:rsidR="00987B7B">
        <w:t xml:space="preserve"> (tj. jasně definovaných)</w:t>
      </w:r>
      <w:r>
        <w:t xml:space="preserve"> a </w:t>
      </w:r>
      <w:r w:rsidRPr="00AF7EF6">
        <w:t>měřitelných cílů</w:t>
      </w:r>
      <w:r>
        <w:t xml:space="preserve">. Konkrétnost a měřitelnost cílů </w:t>
      </w:r>
      <w:r w:rsidR="00A75431">
        <w:t>jsou</w:t>
      </w:r>
      <w:r>
        <w:t xml:space="preserve"> součástí </w:t>
      </w:r>
      <w:r w:rsidR="00307DA0">
        <w:br/>
      </w:r>
      <w:r>
        <w:t>tzv. principů SMART</w:t>
      </w:r>
      <w:r>
        <w:rPr>
          <w:rStyle w:val="Znakapoznpodarou"/>
        </w:rPr>
        <w:footnoteReference w:id="24"/>
      </w:r>
      <w:r>
        <w:t xml:space="preserve"> a musí být zabezpečen</w:t>
      </w:r>
      <w:r w:rsidR="00A75431">
        <w:t>y</w:t>
      </w:r>
      <w:r>
        <w:t xml:space="preserve"> pro všechny </w:t>
      </w:r>
      <w:r w:rsidR="009E0659">
        <w:t>oblasti činností podpo</w:t>
      </w:r>
      <w:r w:rsidR="003279C1">
        <w:t>rova</w:t>
      </w:r>
      <w:r w:rsidR="009E0659">
        <w:t>n</w:t>
      </w:r>
      <w:r w:rsidR="003279C1">
        <w:t>é</w:t>
      </w:r>
      <w:r w:rsidR="009E0659">
        <w:t xml:space="preserve"> </w:t>
      </w:r>
      <w:r w:rsidR="009E0659">
        <w:lastRenderedPageBreak/>
        <w:t>z prostředků EU</w:t>
      </w:r>
      <w:r>
        <w:rPr>
          <w:rStyle w:val="Znakapoznpodarou"/>
        </w:rPr>
        <w:footnoteReference w:id="25"/>
      </w:r>
      <w:r>
        <w:t>.</w:t>
      </w:r>
      <w:r w:rsidR="00D54834">
        <w:t xml:space="preserve"> </w:t>
      </w:r>
      <w:r w:rsidR="00D54834" w:rsidRPr="008B032E">
        <w:t xml:space="preserve">Cíl projektu </w:t>
      </w:r>
      <w:r w:rsidR="00D54834">
        <w:t>deklaroval</w:t>
      </w:r>
      <w:r w:rsidR="00D54834" w:rsidRPr="008B032E">
        <w:t xml:space="preserve"> </w:t>
      </w:r>
      <w:r w:rsidR="00D54834">
        <w:t xml:space="preserve">žadatel </w:t>
      </w:r>
      <w:r w:rsidR="00D54834" w:rsidRPr="008B032E">
        <w:t>v</w:t>
      </w:r>
      <w:r w:rsidR="00D54834">
        <w:t>e své</w:t>
      </w:r>
      <w:r w:rsidR="00D54834" w:rsidRPr="008B032E">
        <w:t xml:space="preserve"> žádosti o </w:t>
      </w:r>
      <w:r w:rsidR="00D54834">
        <w:t>podporu a</w:t>
      </w:r>
      <w:r w:rsidR="00D54834" w:rsidRPr="008B032E">
        <w:t xml:space="preserve"> následně </w:t>
      </w:r>
      <w:r w:rsidR="00D54834">
        <w:t>byl</w:t>
      </w:r>
      <w:r w:rsidR="00D54834" w:rsidRPr="008B032E">
        <w:t xml:space="preserve"> součástí právního aktu</w:t>
      </w:r>
      <w:r w:rsidR="00D54834">
        <w:t xml:space="preserve"> o poskytnutí dotace.</w:t>
      </w:r>
    </w:p>
    <w:p w14:paraId="21AADB0C" w14:textId="77777777" w:rsidR="00660EFB" w:rsidRPr="007D7FAC" w:rsidRDefault="007E2A6B" w:rsidP="00D16947">
      <w:pPr>
        <w:pStyle w:val="JK4"/>
      </w:pPr>
      <w:r>
        <w:t xml:space="preserve">MMR nenavrhlo </w:t>
      </w:r>
      <w:r w:rsidR="00BD6BA6">
        <w:t>MV</w:t>
      </w:r>
      <w:r>
        <w:t xml:space="preserve"> IROP ke schválení kritérium hodnotící účelnost projektu z hlediska správného nastavení cílů. </w:t>
      </w:r>
      <w:r w:rsidR="000C4F51" w:rsidRPr="007D7FAC">
        <w:t>Žádné z kritérií pro hodnocení přijatelnosti žádostí o podporu předkládaných</w:t>
      </w:r>
      <w:r>
        <w:t xml:space="preserve"> v obou kontrolovaných výzvách </w:t>
      </w:r>
      <w:r w:rsidRPr="007D7FAC">
        <w:t>nesměř</w:t>
      </w:r>
      <w:r>
        <w:t>ovalo</w:t>
      </w:r>
      <w:r w:rsidRPr="007D7FAC">
        <w:t xml:space="preserve"> k ověření, zda cíle projektů respektují principy SMART</w:t>
      </w:r>
      <w:r>
        <w:t xml:space="preserve">, respektive </w:t>
      </w:r>
      <w:r w:rsidR="00A75431">
        <w:t>zda</w:t>
      </w:r>
      <w:r>
        <w:t xml:space="preserve"> jsou konkrétní a měřitelné</w:t>
      </w:r>
      <w:r w:rsidRPr="007D7FAC">
        <w:t>.</w:t>
      </w:r>
      <w:r>
        <w:t xml:space="preserve"> </w:t>
      </w:r>
    </w:p>
    <w:p w14:paraId="32A221F1" w14:textId="77777777" w:rsidR="0024594F" w:rsidRDefault="007E2A6B" w:rsidP="00D16947">
      <w:pPr>
        <w:pStyle w:val="JK4"/>
      </w:pPr>
      <w:bookmarkStart w:id="24" w:name="_Ref117611903"/>
      <w:r w:rsidRPr="007D7FAC">
        <w:t xml:space="preserve">V důsledku </w:t>
      </w:r>
      <w:r w:rsidR="008B3D08">
        <w:t xml:space="preserve">absence kritéria </w:t>
      </w:r>
      <w:r w:rsidR="006C71BF">
        <w:t xml:space="preserve">hodnotícího </w:t>
      </w:r>
      <w:r w:rsidR="008B3D08">
        <w:t>účelnost projektu z</w:t>
      </w:r>
      <w:r w:rsidR="00FE2D54">
        <w:t xml:space="preserve"> </w:t>
      </w:r>
      <w:r w:rsidR="008B3D08">
        <w:t>hlediska správného nastavení cílů</w:t>
      </w:r>
      <w:r w:rsidR="008B3D08" w:rsidRPr="007D7FAC">
        <w:t xml:space="preserve"> </w:t>
      </w:r>
      <w:r w:rsidRPr="007D7FAC">
        <w:t xml:space="preserve">byly schváleny </w:t>
      </w:r>
      <w:r>
        <w:t>k</w:t>
      </w:r>
      <w:r w:rsidR="00FE2D54">
        <w:t xml:space="preserve"> </w:t>
      </w:r>
      <w:r>
        <w:t>podpoře projekty</w:t>
      </w:r>
      <w:r w:rsidRPr="007D7FAC">
        <w:t>, jejichž cíle byly obecné a neměřitelné</w:t>
      </w:r>
      <w:r w:rsidR="00775DE3">
        <w:t>.</w:t>
      </w:r>
      <w:r w:rsidR="00BD0AB5">
        <w:t xml:space="preserve"> </w:t>
      </w:r>
      <w:r w:rsidR="00FE2D54">
        <w:br/>
      </w:r>
      <w:r w:rsidR="00BD0AB5" w:rsidRPr="00BD0AB5">
        <w:t>U</w:t>
      </w:r>
      <w:r w:rsidR="00FE2D54">
        <w:t xml:space="preserve"> </w:t>
      </w:r>
      <w:r w:rsidR="00BD0AB5" w:rsidRPr="00BD0AB5">
        <w:t xml:space="preserve">některých projektů byly uvedeny v žádostech o podporu </w:t>
      </w:r>
      <w:r w:rsidR="007C4CC6">
        <w:t xml:space="preserve">také </w:t>
      </w:r>
      <w:r w:rsidR="00BD0AB5" w:rsidRPr="00BD0AB5">
        <w:t>cíle, které m</w:t>
      </w:r>
      <w:r w:rsidR="003B5219">
        <w:t>ěly</w:t>
      </w:r>
      <w:r w:rsidR="00BD0AB5" w:rsidRPr="00BD0AB5">
        <w:t xml:space="preserve"> pouze deklaratorní charakter</w:t>
      </w:r>
      <w:r w:rsidR="00A75431">
        <w:t>,</w:t>
      </w:r>
      <w:r w:rsidR="00BD0AB5" w:rsidRPr="00BD0AB5">
        <w:t xml:space="preserve"> a realizace projektů ani nepřispě</w:t>
      </w:r>
      <w:r w:rsidR="00C551E8">
        <w:t>la</w:t>
      </w:r>
      <w:r w:rsidR="00BD0AB5" w:rsidRPr="00BD0AB5">
        <w:t xml:space="preserve"> k jejich plnění, respektive konkrétní příspěvek nelze žádným způsobem ověřit</w:t>
      </w:r>
      <w:r w:rsidR="00BD0AB5">
        <w:t xml:space="preserve">, což ilustruje </w:t>
      </w:r>
      <w:r w:rsidR="00BD0AB5" w:rsidRPr="00A44D58">
        <w:t>příklad č. 1.</w:t>
      </w:r>
      <w:bookmarkEnd w:id="24"/>
      <w:r w:rsidR="00BD0AB5" w:rsidRPr="00BD0AB5">
        <w:t xml:space="preserve"> </w:t>
      </w:r>
    </w:p>
    <w:p w14:paraId="10FCF870" w14:textId="77777777" w:rsidR="00775DE3" w:rsidRPr="00E40B9B" w:rsidRDefault="007E2A6B" w:rsidP="00E40B9B">
      <w:pPr>
        <w:pStyle w:val="Nadpispklad"/>
      </w:pPr>
      <w:r w:rsidRPr="00E40B9B">
        <w:t>Příklad č. 1</w:t>
      </w:r>
    </w:p>
    <w:p w14:paraId="53D3AB04" w14:textId="77777777" w:rsidR="00E40B9B" w:rsidRDefault="007E2A6B" w:rsidP="00EB3619">
      <w:pPr>
        <w:pStyle w:val="Pkladyvrmeku"/>
      </w:pPr>
      <w:r w:rsidRPr="00BD0AB5">
        <w:t>Cílem projektů CZ.06.2.56/0.0/0.0/16_043/0001241 a CZ.06.2.56/0.0/0.0/16_043/0001242 bylo</w:t>
      </w:r>
      <w:r w:rsidR="003F7C89">
        <w:t xml:space="preserve"> </w:t>
      </w:r>
      <w:r w:rsidR="003C49F3">
        <w:t xml:space="preserve">mimo jiné </w:t>
      </w:r>
      <w:r w:rsidRPr="00BD0AB5">
        <w:t xml:space="preserve">posílení ekonomického a společenského rozvoje města Česká Lípa prostřednictvím rozvoje zdravotnické </w:t>
      </w:r>
      <w:r w:rsidRPr="00BD0AB5">
        <w:rPr>
          <w:rFonts w:cstheme="minorHAnsi"/>
        </w:rPr>
        <w:t>infrastruktury</w:t>
      </w:r>
      <w:r w:rsidRPr="00BD0AB5">
        <w:t xml:space="preserve"> Nemocnice s poliklinikou Česká Lípa, a.s. </w:t>
      </w:r>
    </w:p>
    <w:p w14:paraId="7A54997B" w14:textId="77777777" w:rsidR="00775DE3" w:rsidRDefault="007E2A6B" w:rsidP="00EB3619">
      <w:pPr>
        <w:pStyle w:val="Pkladyvrmeku"/>
        <w:rPr>
          <w:iCs/>
        </w:rPr>
      </w:pPr>
      <w:r w:rsidRPr="00BD0AB5">
        <w:t xml:space="preserve">Prostřednictvím projektu CZ.06.2.56/0.0/0.0/16_043/0001437 mělo dojít </w:t>
      </w:r>
      <w:r w:rsidR="003C49F3">
        <w:t xml:space="preserve">také </w:t>
      </w:r>
      <w:r w:rsidRPr="00BD0AB5">
        <w:t>ke zvýšení pozitivního vnímání rozvinuté sítě (poskytovatelů zdravotních služeb) ve všech jejích formách laickou i odbornou veřejností.</w:t>
      </w:r>
    </w:p>
    <w:p w14:paraId="1A910C81" w14:textId="77777777" w:rsidR="0096730A" w:rsidRPr="006D2E10" w:rsidRDefault="007E2A6B" w:rsidP="00083B49">
      <w:pPr>
        <w:pStyle w:val="Mluvcnadpis"/>
      </w:pPr>
      <w:r w:rsidRPr="00CF7903">
        <w:t>→</w:t>
      </w:r>
      <w:r>
        <w:tab/>
        <w:t xml:space="preserve">MMR neupřesnilo podmínku výhradního využití </w:t>
      </w:r>
      <w:r w:rsidRPr="004D264E">
        <w:t>dotace konkrétním specializovaným pracovištěm</w:t>
      </w:r>
      <w:r>
        <w:t xml:space="preserve"> a v rámci hodnocení nebyl ověřován předpoklad jejího splnění. </w:t>
      </w:r>
    </w:p>
    <w:p w14:paraId="49997E6A" w14:textId="77777777" w:rsidR="0096730A" w:rsidRPr="0045598F" w:rsidRDefault="007E2A6B" w:rsidP="00D16947">
      <w:pPr>
        <w:pStyle w:val="JK4"/>
      </w:pPr>
      <w:r>
        <w:t>V pravidlech pro žadatele a příjemce podpory určené pro vysoce specializovanou péči stanovilo</w:t>
      </w:r>
      <w:r w:rsidRPr="009F54F1">
        <w:t xml:space="preserve"> </w:t>
      </w:r>
      <w:r w:rsidR="00A75431">
        <w:t xml:space="preserve">MMR </w:t>
      </w:r>
      <w:r w:rsidRPr="009F54F1">
        <w:t>podmínku</w:t>
      </w:r>
      <w:r>
        <w:t>, že dotace je účelově vázána a určena výhradně</w:t>
      </w:r>
      <w:r w:rsidRPr="009F54F1">
        <w:t xml:space="preserve"> pro konkrétní specializované pracoviště zdravotnického zařízení</w:t>
      </w:r>
      <w:r>
        <w:t xml:space="preserve">. Z podmínky vyplývá, že zdravotnické vybavení pořízené z podpory mělo být určeno jen a pouze pro cílovou skupinu, tj. pacienty </w:t>
      </w:r>
      <w:proofErr w:type="spellStart"/>
      <w:r>
        <w:t>onkogynekologie</w:t>
      </w:r>
      <w:proofErr w:type="spellEnd"/>
      <w:r>
        <w:t xml:space="preserve"> nebo </w:t>
      </w:r>
      <w:proofErr w:type="spellStart"/>
      <w:r>
        <w:t>perinatologie</w:t>
      </w:r>
      <w:proofErr w:type="spellEnd"/>
      <w:r>
        <w:t>. MMR podmínku</w:t>
      </w:r>
      <w:r w:rsidRPr="009F54F1">
        <w:t xml:space="preserve"> blíže</w:t>
      </w:r>
      <w:r>
        <w:t xml:space="preserve"> </w:t>
      </w:r>
      <w:r w:rsidRPr="009F54F1">
        <w:t>nespecifikoval</w:t>
      </w:r>
      <w:r>
        <w:t>o</w:t>
      </w:r>
      <w:r w:rsidRPr="009F54F1">
        <w:t xml:space="preserve">, například stanovením minimální velikosti cílové skupiny. </w:t>
      </w:r>
      <w:r>
        <w:t xml:space="preserve">Od žadatele nebyly požadovány informace </w:t>
      </w:r>
      <w:r w:rsidR="00FE2D54">
        <w:br/>
      </w:r>
      <w:r>
        <w:t>o</w:t>
      </w:r>
      <w:r w:rsidR="00FE2D54">
        <w:t xml:space="preserve"> </w:t>
      </w:r>
      <w:r>
        <w:t>předpokládané míře využití zdravotnického vybavení pořízeného z</w:t>
      </w:r>
      <w:r w:rsidR="00FE2D54">
        <w:t xml:space="preserve"> </w:t>
      </w:r>
      <w:r>
        <w:t xml:space="preserve">dotace pro pacienty konkrétního specializovaného pracoviště. </w:t>
      </w:r>
    </w:p>
    <w:p w14:paraId="20938246" w14:textId="77777777" w:rsidR="0096730A" w:rsidRDefault="007E2A6B" w:rsidP="00D16947">
      <w:pPr>
        <w:pStyle w:val="JK4"/>
      </w:pPr>
      <w:r>
        <w:t xml:space="preserve">V rámci hodnocení účelnosti žádostí o podporu nebylo ověřováno, zda veškeré aktivity projektu budou skutečně určeny výhradně pro cílovou skupinu. Ani kritérium ověřující soulad projektu </w:t>
      </w:r>
      <w:r w:rsidRPr="00E24090">
        <w:t>s podmínkami výzvy</w:t>
      </w:r>
      <w:r>
        <w:t xml:space="preserve"> neobsahovalo žádnou kontrolní otázku směřující k ověření této podmínky</w:t>
      </w:r>
      <w:r w:rsidRPr="00E24090">
        <w:rPr>
          <w:i/>
        </w:rPr>
        <w:t>.</w:t>
      </w:r>
      <w:r>
        <w:t xml:space="preserve"> </w:t>
      </w:r>
      <w:r w:rsidRPr="0045598F">
        <w:t xml:space="preserve">Pokud žadatelé </w:t>
      </w:r>
      <w:r>
        <w:t>v</w:t>
      </w:r>
      <w:r w:rsidR="00307DA0">
        <w:t xml:space="preserve"> </w:t>
      </w:r>
      <w:r>
        <w:t>žádostech o podporu</w:t>
      </w:r>
      <w:r w:rsidRPr="0045598F">
        <w:t xml:space="preserve"> neuvedli žádné </w:t>
      </w:r>
      <w:r>
        <w:t>informace</w:t>
      </w:r>
      <w:r w:rsidRPr="0045598F">
        <w:t xml:space="preserve"> týkající se využívání zdravotnického vybavení </w:t>
      </w:r>
      <w:r>
        <w:t>jiným pracovištěm</w:t>
      </w:r>
      <w:r w:rsidR="00FA7D57">
        <w:t>,</w:t>
      </w:r>
      <w:r>
        <w:t xml:space="preserve"> </w:t>
      </w:r>
      <w:r w:rsidRPr="0045598F">
        <w:t>při hodnocení projektu (ani na základě expertního posudku) nebylo možné tyto skutečnosti zjistit</w:t>
      </w:r>
      <w:r>
        <w:t>,</w:t>
      </w:r>
      <w:r w:rsidRPr="0045598F">
        <w:t xml:space="preserve"> jako například</w:t>
      </w:r>
      <w:r>
        <w:t xml:space="preserve"> předpokládané</w:t>
      </w:r>
      <w:r w:rsidRPr="0045598F">
        <w:t xml:space="preserve"> využívání </w:t>
      </w:r>
      <w:r>
        <w:t>magnetick</w:t>
      </w:r>
      <w:r w:rsidR="00A75431">
        <w:t>ých</w:t>
      </w:r>
      <w:r>
        <w:t xml:space="preserve"> </w:t>
      </w:r>
      <w:r w:rsidRPr="009F1F95">
        <w:t>rezonanc</w:t>
      </w:r>
      <w:r w:rsidR="00A75431" w:rsidRPr="009F1F95">
        <w:t>í</w:t>
      </w:r>
      <w:r w:rsidRPr="009F1F95">
        <w:t xml:space="preserve"> </w:t>
      </w:r>
      <w:r w:rsidR="00A75431" w:rsidRPr="009F1F95">
        <w:t>poř</w:t>
      </w:r>
      <w:r w:rsidR="009E56B9" w:rsidRPr="003835DE">
        <w:t>izovaných</w:t>
      </w:r>
      <w:r w:rsidR="00A75431">
        <w:t xml:space="preserve"> ve dvou </w:t>
      </w:r>
      <w:r w:rsidR="00A75431" w:rsidRPr="0045598F">
        <w:t>projekt</w:t>
      </w:r>
      <w:r w:rsidR="00A75431">
        <w:t>ech</w:t>
      </w:r>
      <w:r w:rsidR="00A75431">
        <w:rPr>
          <w:rStyle w:val="Znakapoznpodarou"/>
        </w:rPr>
        <w:footnoteReference w:id="26"/>
      </w:r>
      <w:r w:rsidR="00A75431">
        <w:t xml:space="preserve"> pro </w:t>
      </w:r>
      <w:r>
        <w:t>vysoce specializovan</w:t>
      </w:r>
      <w:r w:rsidR="00A75431">
        <w:t>á</w:t>
      </w:r>
      <w:r>
        <w:t xml:space="preserve"> </w:t>
      </w:r>
      <w:proofErr w:type="spellStart"/>
      <w:r>
        <w:t>onkogynekologick</w:t>
      </w:r>
      <w:r w:rsidR="00A75431">
        <w:t>á</w:t>
      </w:r>
      <w:proofErr w:type="spellEnd"/>
      <w:r>
        <w:t xml:space="preserve"> centr</w:t>
      </w:r>
      <w:r w:rsidR="00A75431">
        <w:t>a</w:t>
      </w:r>
      <w:r>
        <w:t>.</w:t>
      </w:r>
    </w:p>
    <w:p w14:paraId="55F98222" w14:textId="77777777" w:rsidR="0096730A" w:rsidRDefault="007E2A6B" w:rsidP="00D16947">
      <w:pPr>
        <w:pStyle w:val="JK4"/>
      </w:pPr>
      <w:r w:rsidRPr="002523C9">
        <w:t xml:space="preserve">MMR </w:t>
      </w:r>
      <w:r>
        <w:t>výše uvedenou podmínku interně upřesnilo až v</w:t>
      </w:r>
      <w:r w:rsidR="000F6A15">
        <w:t xml:space="preserve"> </w:t>
      </w:r>
      <w:r>
        <w:t>únoru 2018 v</w:t>
      </w:r>
      <w:r w:rsidR="000F6A15">
        <w:t xml:space="preserve"> </w:t>
      </w:r>
      <w:r>
        <w:t>reakci na</w:t>
      </w:r>
      <w:r w:rsidR="000F6A15">
        <w:t xml:space="preserve"> </w:t>
      </w:r>
      <w:r>
        <w:t xml:space="preserve">prověřování veřejné zakázky na pořízení magnetické rezonance Fakultní nemocnicí v Motole z projektu určeného pro </w:t>
      </w:r>
      <w:r w:rsidR="000F6A15">
        <w:t xml:space="preserve">vysoce specializovanou </w:t>
      </w:r>
      <w:proofErr w:type="spellStart"/>
      <w:r>
        <w:t>onkogynekologickou</w:t>
      </w:r>
      <w:proofErr w:type="spellEnd"/>
      <w:r>
        <w:t xml:space="preserve"> péči (</w:t>
      </w:r>
      <w:r w:rsidRPr="00A44D58">
        <w:t xml:space="preserve">podrobněji viz </w:t>
      </w:r>
      <w:r w:rsidRPr="00A44D58">
        <w:lastRenderedPageBreak/>
        <w:t xml:space="preserve">příklad č. </w:t>
      </w:r>
      <w:r w:rsidR="00B74A15" w:rsidRPr="00A44D58">
        <w:t>2</w:t>
      </w:r>
      <w:r w:rsidRPr="00A44D58">
        <w:t>).</w:t>
      </w:r>
      <w:r>
        <w:t xml:space="preserve"> Dotaci na realizaci tohoto projektu MMR schválilo v prosinci 2016. Konkretizace podmínky výhradního využití magnetické rezonance Fakultní nemocnicí v Motole pro </w:t>
      </w:r>
      <w:proofErr w:type="spellStart"/>
      <w:r>
        <w:t>onkogynekologické</w:t>
      </w:r>
      <w:proofErr w:type="spellEnd"/>
      <w:r>
        <w:t xml:space="preserve"> pacientky spočívala v tom, že všechny tyto pacientky musely být vyšetřeny přednostně; teprve zbývající kapacita mohla být využita pro pacienty referované z jiných pracovišť. MMR vycházelo ze skutečnosti, že </w:t>
      </w:r>
      <w:r w:rsidRPr="00B4430E">
        <w:t xml:space="preserve">podíl takto nemocných pacientek nemůže zajistit </w:t>
      </w:r>
      <w:proofErr w:type="gramStart"/>
      <w:r w:rsidRPr="00B4430E">
        <w:t>100%</w:t>
      </w:r>
      <w:proofErr w:type="gramEnd"/>
      <w:r w:rsidRPr="00B4430E">
        <w:t xml:space="preserve"> využití kapacit</w:t>
      </w:r>
      <w:r>
        <w:t>y magnetické rezonance</w:t>
      </w:r>
      <w:r w:rsidRPr="00B4430E">
        <w:t xml:space="preserve"> a </w:t>
      </w:r>
      <w:r>
        <w:t xml:space="preserve">že </w:t>
      </w:r>
      <w:r w:rsidRPr="00B4430E">
        <w:t xml:space="preserve">každé zdravotnické zařízení musí k využití </w:t>
      </w:r>
      <w:r w:rsidR="000F6A15">
        <w:t>její</w:t>
      </w:r>
      <w:r w:rsidRPr="00B4430E">
        <w:t xml:space="preserve"> kapacity přistupovat s největší mírou efektivity a s ohledem na </w:t>
      </w:r>
      <w:proofErr w:type="spellStart"/>
      <w:r w:rsidRPr="00B4430E">
        <w:t>zasmluvnění</w:t>
      </w:r>
      <w:proofErr w:type="spellEnd"/>
      <w:r w:rsidRPr="00B4430E">
        <w:t xml:space="preserve"> </w:t>
      </w:r>
      <w:r>
        <w:t xml:space="preserve">hrazení </w:t>
      </w:r>
      <w:r w:rsidRPr="00B4430E">
        <w:t>výkonů zdravotní</w:t>
      </w:r>
      <w:r>
        <w:t>mi</w:t>
      </w:r>
      <w:r w:rsidRPr="00B4430E">
        <w:t xml:space="preserve"> pojišťov</w:t>
      </w:r>
      <w:r>
        <w:t>nami</w:t>
      </w:r>
      <w:r w:rsidRPr="00B4430E">
        <w:t xml:space="preserve">. </w:t>
      </w:r>
      <w:r>
        <w:t>Upřesnění podmínky a postup</w:t>
      </w:r>
      <w:r w:rsidR="000F6A15">
        <w:t>u</w:t>
      </w:r>
      <w:r>
        <w:t xml:space="preserve"> ověřování jejího plnění doložením</w:t>
      </w:r>
      <w:r w:rsidRPr="00D51159">
        <w:t xml:space="preserve"> relevantní</w:t>
      </w:r>
      <w:r>
        <w:t>ch</w:t>
      </w:r>
      <w:r w:rsidRPr="00D51159">
        <w:t xml:space="preserve"> dokument</w:t>
      </w:r>
      <w:r>
        <w:t>ů</w:t>
      </w:r>
      <w:r w:rsidRPr="00D51159">
        <w:t xml:space="preserve"> v rámci případných kontrol </w:t>
      </w:r>
      <w:r>
        <w:t>prováděných CRR u</w:t>
      </w:r>
      <w:r w:rsidR="003F7C89">
        <w:t xml:space="preserve"> </w:t>
      </w:r>
      <w:r>
        <w:t xml:space="preserve">příjemce se vztahovalo pouze na </w:t>
      </w:r>
      <w:r w:rsidR="00875B15">
        <w:t xml:space="preserve">tento </w:t>
      </w:r>
      <w:r>
        <w:t>jeden konkrétní projekt; p</w:t>
      </w:r>
      <w:r w:rsidRPr="00B4430E">
        <w:t>odmínka v</w:t>
      </w:r>
      <w:r>
        <w:t> pravidlech pro</w:t>
      </w:r>
      <w:r w:rsidR="000F6A15">
        <w:t xml:space="preserve"> </w:t>
      </w:r>
      <w:r>
        <w:t>žadatele a</w:t>
      </w:r>
      <w:r w:rsidR="000F6A15">
        <w:t> </w:t>
      </w:r>
      <w:r>
        <w:t>příjemce</w:t>
      </w:r>
      <w:r w:rsidRPr="00B4430E">
        <w:t xml:space="preserve"> zůstala beze změny ve všech svých verzích a nebyla ze strany </w:t>
      </w:r>
      <w:r w:rsidR="00FA7D57">
        <w:t>řídicího orgánu IROP, tj. MMR</w:t>
      </w:r>
      <w:r w:rsidR="000F6A15">
        <w:t>,</w:t>
      </w:r>
      <w:r w:rsidR="00FA7D57">
        <w:t xml:space="preserve"> (dále také „ŘO IROP“)</w:t>
      </w:r>
      <w:r w:rsidRPr="00B4430E">
        <w:t xml:space="preserve"> žádným způsobem </w:t>
      </w:r>
      <w:r>
        <w:t>modifikována</w:t>
      </w:r>
      <w:r w:rsidRPr="00B4430E">
        <w:t>.</w:t>
      </w:r>
    </w:p>
    <w:p w14:paraId="60022FDC" w14:textId="77777777" w:rsidR="0096730A" w:rsidRDefault="007E2A6B" w:rsidP="0096730A">
      <w:pPr>
        <w:pStyle w:val="Nadpispklad"/>
      </w:pPr>
      <w:r>
        <w:t xml:space="preserve">Příklad č. </w:t>
      </w:r>
      <w:r w:rsidR="00B74A15">
        <w:t>2</w:t>
      </w:r>
    </w:p>
    <w:p w14:paraId="4EF2FF23" w14:textId="77777777" w:rsidR="0096730A" w:rsidRDefault="007E2A6B" w:rsidP="0096730A">
      <w:pPr>
        <w:pStyle w:val="Pkladyvrmeku"/>
      </w:pPr>
      <w:r>
        <w:t xml:space="preserve">V rámci projektu </w:t>
      </w:r>
      <w:r w:rsidRPr="007E6B10">
        <w:t>CZ.06.2.56/0.0/0.0/15_006/0001902</w:t>
      </w:r>
      <w:r>
        <w:t xml:space="preserve"> určeného pro </w:t>
      </w:r>
      <w:proofErr w:type="spellStart"/>
      <w:r>
        <w:t>onkogynekologické</w:t>
      </w:r>
      <w:proofErr w:type="spellEnd"/>
      <w:r>
        <w:t xml:space="preserve"> specializované pracoviště </w:t>
      </w:r>
      <w:r w:rsidR="000F6A15">
        <w:t xml:space="preserve">požadovala </w:t>
      </w:r>
      <w:r>
        <w:t>Fakultní nemocnice v</w:t>
      </w:r>
      <w:r w:rsidR="00307DA0">
        <w:t xml:space="preserve"> </w:t>
      </w:r>
      <w:r>
        <w:t>Motole pořídit z</w:t>
      </w:r>
      <w:r w:rsidR="00307DA0">
        <w:t xml:space="preserve"> </w:t>
      </w:r>
      <w:r>
        <w:t xml:space="preserve">dotačních prostředků magnetickou rezonanci o síle 3T. </w:t>
      </w:r>
      <w:r w:rsidR="000F6A15">
        <w:t>Její</w:t>
      </w:r>
      <w:r>
        <w:t xml:space="preserve"> pořízení </w:t>
      </w:r>
      <w:r w:rsidR="000F6A15">
        <w:t xml:space="preserve">odůvodnila </w:t>
      </w:r>
      <w:r>
        <w:t xml:space="preserve">v žádosti mimo jiné </w:t>
      </w:r>
      <w:r w:rsidR="000F6A15">
        <w:t>tím</w:t>
      </w:r>
      <w:r>
        <w:t xml:space="preserve">, že </w:t>
      </w:r>
      <w:r w:rsidRPr="005A4A8E">
        <w:t>je důležit</w:t>
      </w:r>
      <w:r>
        <w:t>á</w:t>
      </w:r>
      <w:r w:rsidRPr="005A4A8E">
        <w:t xml:space="preserve"> při plánování chirurgických operací</w:t>
      </w:r>
      <w:r>
        <w:t xml:space="preserve"> s ohledem na</w:t>
      </w:r>
      <w:r w:rsidRPr="005A4A8E">
        <w:t xml:space="preserve"> vynikající zobrazení měkkých tkání</w:t>
      </w:r>
      <w:r>
        <w:t xml:space="preserve"> a že </w:t>
      </w:r>
      <w:r w:rsidRPr="005A4A8E">
        <w:t xml:space="preserve">vyšetření magnetickou rezonancí </w:t>
      </w:r>
      <w:r>
        <w:t xml:space="preserve">může </w:t>
      </w:r>
      <w:r w:rsidRPr="005A4A8E">
        <w:t>odhal</w:t>
      </w:r>
      <w:r>
        <w:t>it</w:t>
      </w:r>
      <w:r w:rsidRPr="005A4A8E">
        <w:t xml:space="preserve"> i drobné léze, infekce, nádory či zlomeniny, které nejsou </w:t>
      </w:r>
      <w:proofErr w:type="spellStart"/>
      <w:r w:rsidRPr="005A4A8E">
        <w:t>diagnostikovatelné</w:t>
      </w:r>
      <w:proofErr w:type="spellEnd"/>
      <w:r w:rsidRPr="005A4A8E">
        <w:t xml:space="preserve"> na jiných přístrojích</w:t>
      </w:r>
      <w:r>
        <w:t xml:space="preserve">. Žádost o podporu vyhověla všem kritériím, k magnetické rezonanci vydala Přístrojová komise </w:t>
      </w:r>
      <w:proofErr w:type="spellStart"/>
      <w:r>
        <w:t>MZd</w:t>
      </w:r>
      <w:proofErr w:type="spellEnd"/>
      <w:r>
        <w:t xml:space="preserve"> kladné stanovisko a</w:t>
      </w:r>
      <w:r w:rsidR="000F6A15">
        <w:t> </w:t>
      </w:r>
      <w:r>
        <w:t xml:space="preserve">MMR schválilo na realizaci projektu dotaci. </w:t>
      </w:r>
    </w:p>
    <w:p w14:paraId="5B32B0FD" w14:textId="77777777" w:rsidR="0096730A" w:rsidRDefault="007E2A6B" w:rsidP="0096730A">
      <w:pPr>
        <w:pStyle w:val="Pkladyvrmeku"/>
      </w:pPr>
      <w:r>
        <w:t xml:space="preserve">Při kontrole zadávací dokumentace k veřejné zakázce na pořízení magnetické rezonance se vyjádřil expert v tom smyslu, že přístroj je použitelný i v rámci dalších lékařských oborů a zcela určitě se i v rámci nich používat bude, protože </w:t>
      </w:r>
      <w:proofErr w:type="spellStart"/>
      <w:r>
        <w:t>onkogynekologických</w:t>
      </w:r>
      <w:proofErr w:type="spellEnd"/>
      <w:r>
        <w:t xml:space="preserve"> vyšetření na magnetické rezonanci o síle </w:t>
      </w:r>
      <w:proofErr w:type="gramStart"/>
      <w:r>
        <w:t>3T</w:t>
      </w:r>
      <w:proofErr w:type="gramEnd"/>
      <w:r>
        <w:t xml:space="preserve"> tolik není a přístroj by byl nevyužitý. Riziko, že magnetická rezonance není určen</w:t>
      </w:r>
      <w:r w:rsidR="000F6A15">
        <w:t>a</w:t>
      </w:r>
      <w:r>
        <w:t xml:space="preserve"> výhradně pro </w:t>
      </w:r>
      <w:proofErr w:type="spellStart"/>
      <w:r>
        <w:t>onkogynekologické</w:t>
      </w:r>
      <w:proofErr w:type="spellEnd"/>
      <w:r>
        <w:t xml:space="preserve"> pacientky, identifikovalo také CRR, a </w:t>
      </w:r>
      <w:r w:rsidR="000F6A15">
        <w:t>to na základě</w:t>
      </w:r>
      <w:r>
        <w:t xml:space="preserve"> požadované technické specifikace hlavo-krční cívky. K tomuto parametru externí expert následně sdělil, že </w:t>
      </w:r>
      <w:r w:rsidRPr="000552BA">
        <w:t>vícekanálov</w:t>
      </w:r>
      <w:r>
        <w:t>á</w:t>
      </w:r>
      <w:r w:rsidRPr="000552BA">
        <w:t xml:space="preserve"> hlavo</w:t>
      </w:r>
      <w:r>
        <w:t>-</w:t>
      </w:r>
      <w:r w:rsidRPr="000552BA">
        <w:t>krční cívk</w:t>
      </w:r>
      <w:r>
        <w:t xml:space="preserve">a s 64 kanály </w:t>
      </w:r>
      <w:r w:rsidRPr="000552BA">
        <w:t xml:space="preserve">nemá pro </w:t>
      </w:r>
      <w:proofErr w:type="spellStart"/>
      <w:r w:rsidRPr="000552BA">
        <w:t>onkogynekologii</w:t>
      </w:r>
      <w:proofErr w:type="spellEnd"/>
      <w:r w:rsidRPr="000552BA">
        <w:t xml:space="preserve"> žádné medicínské zdůvodněn</w:t>
      </w:r>
      <w:r>
        <w:t>í.</w:t>
      </w:r>
    </w:p>
    <w:p w14:paraId="42BCBA7E" w14:textId="77777777" w:rsidR="0096730A" w:rsidRDefault="007E2A6B" w:rsidP="0096730A">
      <w:pPr>
        <w:pStyle w:val="Pkladyvrmeku"/>
      </w:pPr>
      <w:r w:rsidRPr="002523C9">
        <w:t>Z</w:t>
      </w:r>
      <w:r>
        <w:t> </w:t>
      </w:r>
      <w:r w:rsidRPr="002523C9">
        <w:t xml:space="preserve">požadované výbavy </w:t>
      </w:r>
      <w:r>
        <w:t>magnetické rezonance</w:t>
      </w:r>
      <w:r w:rsidRPr="002523C9">
        <w:t xml:space="preserve"> </w:t>
      </w:r>
      <w:r>
        <w:t xml:space="preserve">tak </w:t>
      </w:r>
      <w:r w:rsidRPr="002523C9">
        <w:t>jednoznačně vyplýv</w:t>
      </w:r>
      <w:r>
        <w:t>alo</w:t>
      </w:r>
      <w:r w:rsidRPr="002523C9">
        <w:t xml:space="preserve">, že </w:t>
      </w:r>
      <w:r w:rsidR="000F6A15">
        <w:t xml:space="preserve">příjemce plánuje </w:t>
      </w:r>
      <w:r w:rsidRPr="002523C9">
        <w:t>přístroj</w:t>
      </w:r>
      <w:r>
        <w:t xml:space="preserve"> využívat</w:t>
      </w:r>
      <w:r w:rsidRPr="002523C9">
        <w:t xml:space="preserve"> i pro </w:t>
      </w:r>
      <w:r>
        <w:t xml:space="preserve">pacienty pracovišť jiných lékařských oborů, což se potvrdilo i při kontrole </w:t>
      </w:r>
      <w:r w:rsidR="000F6A15">
        <w:t xml:space="preserve">NKÚ provedené </w:t>
      </w:r>
      <w:r>
        <w:t xml:space="preserve">u příjemce. Podíl </w:t>
      </w:r>
      <w:proofErr w:type="spellStart"/>
      <w:r>
        <w:t>onkogynekologických</w:t>
      </w:r>
      <w:proofErr w:type="spellEnd"/>
      <w:r>
        <w:t xml:space="preserve"> pacientek vyšetřených ročně na magnetické rezonanci o síle </w:t>
      </w:r>
      <w:proofErr w:type="gramStart"/>
      <w:r>
        <w:t>3T</w:t>
      </w:r>
      <w:proofErr w:type="gramEnd"/>
      <w:r w:rsidRPr="001C27CF">
        <w:t xml:space="preserve"> </w:t>
      </w:r>
      <w:r>
        <w:t xml:space="preserve">ve Fakultní nemocnici v Motole v letech 2019 až 2021 činil necelých 7 </w:t>
      </w:r>
      <w:r w:rsidRPr="009944D3">
        <w:t>%</w:t>
      </w:r>
      <w:r>
        <w:t xml:space="preserve"> ze všech pacientů referovaných k</w:t>
      </w:r>
      <w:r w:rsidR="004B7906">
        <w:t xml:space="preserve"> </w:t>
      </w:r>
      <w:r>
        <w:t xml:space="preserve">tomuto </w:t>
      </w:r>
      <w:r w:rsidR="000F6A15">
        <w:t>vyšetření</w:t>
      </w:r>
      <w:r>
        <w:t>.</w:t>
      </w:r>
      <w:r w:rsidRPr="009944D3">
        <w:t xml:space="preserve"> </w:t>
      </w:r>
      <w:r w:rsidR="000F6A15">
        <w:t xml:space="preserve">Fakultní nemocnice </w:t>
      </w:r>
      <w:r w:rsidR="00FE2D54">
        <w:br/>
      </w:r>
      <w:r w:rsidR="000F6A15">
        <w:t>v</w:t>
      </w:r>
      <w:r w:rsidR="00FE2D54">
        <w:t xml:space="preserve"> </w:t>
      </w:r>
      <w:r w:rsidR="000F6A15" w:rsidRPr="009944D3">
        <w:t>Motol</w:t>
      </w:r>
      <w:r w:rsidR="000F6A15">
        <w:t>e d</w:t>
      </w:r>
      <w:r w:rsidRPr="009944D3">
        <w:t>le</w:t>
      </w:r>
      <w:r>
        <w:t xml:space="preserve"> svého </w:t>
      </w:r>
      <w:r w:rsidRPr="009944D3">
        <w:t>kvalifikovaného odhadu využila 64kanálovou hlavo-krční cívku pro pacientky s</w:t>
      </w:r>
      <w:r>
        <w:t> </w:t>
      </w:r>
      <w:proofErr w:type="spellStart"/>
      <w:r w:rsidRPr="009944D3">
        <w:t>onkogynekologickou</w:t>
      </w:r>
      <w:proofErr w:type="spellEnd"/>
      <w:r w:rsidRPr="009944D3">
        <w:t xml:space="preserve"> diagnózou v počtu nižších desítek pacientek ročně</w:t>
      </w:r>
      <w:r>
        <w:t>.</w:t>
      </w:r>
    </w:p>
    <w:p w14:paraId="5D4B52C8" w14:textId="77777777" w:rsidR="00BD0AB5" w:rsidRPr="00BD0AB5" w:rsidRDefault="007E2A6B" w:rsidP="00083B49">
      <w:pPr>
        <w:pStyle w:val="Mluvcnadpis"/>
      </w:pPr>
      <w:r w:rsidRPr="00CF7903">
        <w:t>→</w:t>
      </w:r>
      <w:r>
        <w:tab/>
        <w:t>Při výběru projektů k</w:t>
      </w:r>
      <w:r w:rsidR="008E53AF">
        <w:t> poskytnutí podpory</w:t>
      </w:r>
      <w:r>
        <w:t xml:space="preserve"> </w:t>
      </w:r>
      <w:r w:rsidR="00017E4C">
        <w:t>aplikoval</w:t>
      </w:r>
      <w:r w:rsidR="0021523F">
        <w:t>o</w:t>
      </w:r>
      <w:r>
        <w:t xml:space="preserve"> </w:t>
      </w:r>
      <w:r w:rsidR="000F6A15">
        <w:t xml:space="preserve">MMR </w:t>
      </w:r>
      <w:r>
        <w:t xml:space="preserve">některá kritéria, která nehodnotila </w:t>
      </w:r>
      <w:r w:rsidR="0021523F">
        <w:t xml:space="preserve">jejich </w:t>
      </w:r>
      <w:r>
        <w:t>potřebnost</w:t>
      </w:r>
      <w:r w:rsidR="00FC6FB1">
        <w:t xml:space="preserve">; potřebnost neověřovalo </w:t>
      </w:r>
      <w:r w:rsidR="000F6A15">
        <w:t xml:space="preserve">dostatečně </w:t>
      </w:r>
      <w:r w:rsidR="00FC6FB1">
        <w:t xml:space="preserve">ani při schvalování nákupů zdravotnického vybavení z úspor projektu. </w:t>
      </w:r>
    </w:p>
    <w:p w14:paraId="2DB3A8C9" w14:textId="77777777" w:rsidR="007B7C57" w:rsidRDefault="007E2A6B" w:rsidP="00D16947">
      <w:pPr>
        <w:pStyle w:val="JK4"/>
      </w:pPr>
      <w:bookmarkStart w:id="25" w:name="_Ref117612276"/>
      <w:r>
        <w:t>K podpoře byly vybírány projekty</w:t>
      </w:r>
      <w:r w:rsidR="003B2B4E">
        <w:t>,</w:t>
      </w:r>
      <w:r w:rsidR="00615ED1">
        <w:t xml:space="preserve"> jež v rámci hodnocení vyhověly</w:t>
      </w:r>
      <w:r>
        <w:t xml:space="preserve"> sad</w:t>
      </w:r>
      <w:r w:rsidR="00615ED1">
        <w:t>ě</w:t>
      </w:r>
      <w:r>
        <w:t xml:space="preserve"> kritérií</w:t>
      </w:r>
      <w:r w:rsidR="00933D9F">
        <w:t xml:space="preserve"> přijatelnosti</w:t>
      </w:r>
      <w:r>
        <w:t xml:space="preserve">. </w:t>
      </w:r>
      <w:r w:rsidR="0000665F">
        <w:t xml:space="preserve">Kritéria </w:t>
      </w:r>
      <w:r>
        <w:t>se členila na obecná</w:t>
      </w:r>
      <w:r w:rsidR="00615ED1">
        <w:t>, která byla</w:t>
      </w:r>
      <w:r>
        <w:t xml:space="preserve"> uplatňov</w:t>
      </w:r>
      <w:r w:rsidR="007C5B8B">
        <w:t>ána</w:t>
      </w:r>
      <w:r>
        <w:t xml:space="preserve"> ve výzvách napříč celým IROP</w:t>
      </w:r>
      <w:r w:rsidR="00615ED1">
        <w:t>,</w:t>
      </w:r>
      <w:r>
        <w:t xml:space="preserve"> a na specifická</w:t>
      </w:r>
      <w:r w:rsidR="0058562B">
        <w:t>, ta byla</w:t>
      </w:r>
      <w:r>
        <w:t xml:space="preserve"> </w:t>
      </w:r>
      <w:r w:rsidR="00615ED1">
        <w:t>určen</w:t>
      </w:r>
      <w:r w:rsidR="0058562B">
        <w:t>a</w:t>
      </w:r>
      <w:r w:rsidR="00615ED1">
        <w:t xml:space="preserve"> </w:t>
      </w:r>
      <w:r>
        <w:t>pro každou vyhlášenou výzvu.</w:t>
      </w:r>
      <w:bookmarkEnd w:id="25"/>
    </w:p>
    <w:p w14:paraId="605EF099" w14:textId="77777777" w:rsidR="00C95108" w:rsidRDefault="007E2A6B" w:rsidP="00D16947">
      <w:pPr>
        <w:pStyle w:val="JK4"/>
      </w:pPr>
      <w:r>
        <w:t xml:space="preserve">Ke každému kritériu byl přiřazen aspekt, jenž vyjadřoval, zda byla pomocí kritéria hodnocena účelnost, hospodárnost, efektivnost, potřebnost anebo proveditelnost. </w:t>
      </w:r>
      <w:r w:rsidR="0062577B">
        <w:t>Dle</w:t>
      </w:r>
      <w:r w:rsidR="0058562B">
        <w:t xml:space="preserve"> </w:t>
      </w:r>
      <w:r w:rsidR="0062577B">
        <w:lastRenderedPageBreak/>
        <w:t>závazného metodického pokynu</w:t>
      </w:r>
      <w:r>
        <w:rPr>
          <w:rStyle w:val="Znakapoznpodarou"/>
        </w:rPr>
        <w:footnoteReference w:id="27"/>
      </w:r>
      <w:r w:rsidR="0062577B">
        <w:t xml:space="preserve"> </w:t>
      </w:r>
      <w:r w:rsidR="0058562B">
        <w:t xml:space="preserve">mělo </w:t>
      </w:r>
      <w:r>
        <w:t>hodnocení zajistit prostřednictvím kritéri</w:t>
      </w:r>
      <w:r w:rsidR="00AB256E">
        <w:t>a</w:t>
      </w:r>
      <w:r>
        <w:t xml:space="preserve"> s přiřazeným aspektem</w:t>
      </w:r>
      <w:r w:rsidR="007C7C43">
        <w:t xml:space="preserve"> </w:t>
      </w:r>
      <w:r>
        <w:t xml:space="preserve">potřebnosti, aby byl k podpoře vybrán takový projekt, </w:t>
      </w:r>
      <w:r w:rsidRPr="00C95108">
        <w:t>jenž svými aktivitami nejen přispívá k naplňování cílů SC 2.3</w:t>
      </w:r>
      <w:r w:rsidR="00B136BE">
        <w:t xml:space="preserve"> IROP</w:t>
      </w:r>
      <w:r w:rsidRPr="00C95108">
        <w:t xml:space="preserve"> </w:t>
      </w:r>
      <w:r w:rsidR="0058562B">
        <w:t>(</w:t>
      </w:r>
      <w:r w:rsidRPr="00C95108">
        <w:t>tj. je účelný</w:t>
      </w:r>
      <w:r w:rsidR="0058562B">
        <w:t>)</w:t>
      </w:r>
      <w:r w:rsidRPr="00C95108">
        <w:t>, ale zároveň je potřebný v</w:t>
      </w:r>
      <w:r w:rsidR="00B136BE">
        <w:t> </w:t>
      </w:r>
      <w:r w:rsidRPr="00C95108">
        <w:t xml:space="preserve">konkrétních podmínkách, tj. má smysl realizovat </w:t>
      </w:r>
      <w:r w:rsidR="007C5B8B">
        <w:t xml:space="preserve">jeho </w:t>
      </w:r>
      <w:r w:rsidRPr="00C95108">
        <w:t>jednotlivé aktivity.</w:t>
      </w:r>
    </w:p>
    <w:p w14:paraId="354105A9" w14:textId="77777777" w:rsidR="00D30FAE" w:rsidRPr="00D30FAE" w:rsidRDefault="007E2A6B" w:rsidP="00D16947">
      <w:pPr>
        <w:pStyle w:val="JK4"/>
      </w:pPr>
      <w:bookmarkStart w:id="26" w:name="_Hlk118037025"/>
      <w:bookmarkStart w:id="27" w:name="_Ref117616327"/>
      <w:r>
        <w:t xml:space="preserve">K ověření </w:t>
      </w:r>
      <w:r w:rsidRPr="009542E6">
        <w:t>potřebnosti</w:t>
      </w:r>
      <w:r>
        <w:t xml:space="preserve"> předložilo </w:t>
      </w:r>
      <w:r w:rsidR="0058562B">
        <w:t xml:space="preserve">MMR </w:t>
      </w:r>
      <w:r>
        <w:t xml:space="preserve">ke schválení MV IROP několik kritérií. </w:t>
      </w:r>
      <w:r w:rsidR="006932C5">
        <w:t>Ž</w:t>
      </w:r>
      <w:r w:rsidR="005E5D86">
        <w:t>ádosti</w:t>
      </w:r>
      <w:r w:rsidRPr="00D30FAE">
        <w:t xml:space="preserve"> o</w:t>
      </w:r>
      <w:r>
        <w:t> </w:t>
      </w:r>
      <w:r w:rsidRPr="00D30FAE">
        <w:t xml:space="preserve">podporu návazné </w:t>
      </w:r>
      <w:r>
        <w:t xml:space="preserve">zdravotní </w:t>
      </w:r>
      <w:r w:rsidRPr="00D30FAE">
        <w:t xml:space="preserve">péče </w:t>
      </w:r>
      <w:r>
        <w:t>byl</w:t>
      </w:r>
      <w:r w:rsidR="00EE2C6A">
        <w:t>y</w:t>
      </w:r>
      <w:r>
        <w:t xml:space="preserve"> </w:t>
      </w:r>
      <w:r w:rsidR="005E5D86">
        <w:t xml:space="preserve">mimo jiné </w:t>
      </w:r>
      <w:r w:rsidRPr="00D30FAE">
        <w:t>hodnocen</w:t>
      </w:r>
      <w:r w:rsidR="00EE2C6A">
        <w:t>y</w:t>
      </w:r>
      <w:r w:rsidRPr="00D30FAE">
        <w:t xml:space="preserve"> prostřednictvím čtyř kritérií, která se vztahovala k posouzení, zda </w:t>
      </w:r>
      <w:r>
        <w:t xml:space="preserve">byl </w:t>
      </w:r>
      <w:r w:rsidRPr="00D30FAE">
        <w:t xml:space="preserve">žadatel </w:t>
      </w:r>
      <w:r>
        <w:t>oprávněn</w:t>
      </w:r>
      <w:r w:rsidR="003419BB">
        <w:t xml:space="preserve"> podat žádost o podporu</w:t>
      </w:r>
      <w:r w:rsidRPr="00D30FAE">
        <w:t>. Ověření oprávněnosti žadatele nezaručovalo, že v projektu bud</w:t>
      </w:r>
      <w:r w:rsidR="005E5D86">
        <w:t>e</w:t>
      </w:r>
      <w:r w:rsidRPr="00D30FAE">
        <w:t xml:space="preserve"> podpořen</w:t>
      </w:r>
      <w:r w:rsidR="005E5D86">
        <w:t>o</w:t>
      </w:r>
      <w:r w:rsidRPr="00D30FAE">
        <w:t xml:space="preserve"> </w:t>
      </w:r>
      <w:r w:rsidR="005E5D86">
        <w:t xml:space="preserve">pořízení </w:t>
      </w:r>
      <w:r w:rsidRPr="00D30FAE">
        <w:t>skutečně potřebné</w:t>
      </w:r>
      <w:r w:rsidR="00077890">
        <w:t>ho</w:t>
      </w:r>
      <w:r w:rsidR="005E5D86">
        <w:t xml:space="preserve"> zdravotnické</w:t>
      </w:r>
      <w:r w:rsidR="00B136BE">
        <w:t>ho</w:t>
      </w:r>
      <w:r w:rsidR="005E5D86">
        <w:t xml:space="preserve"> vybavení</w:t>
      </w:r>
      <w:r w:rsidRPr="00D30FAE">
        <w:t>.</w:t>
      </w:r>
    </w:p>
    <w:p w14:paraId="1A82E356" w14:textId="77777777" w:rsidR="00585993" w:rsidRDefault="007E2A6B" w:rsidP="00D16947">
      <w:pPr>
        <w:pStyle w:val="JK4"/>
      </w:pPr>
      <w:bookmarkStart w:id="28" w:name="_Hlk118037051"/>
      <w:bookmarkStart w:id="29" w:name="_Ref118040350"/>
      <w:bookmarkEnd w:id="26"/>
      <w:r>
        <w:t xml:space="preserve">V žádostech o podporu vysoce specializované péče byla potřebnost </w:t>
      </w:r>
      <w:r w:rsidR="00EE2C6A">
        <w:t>posuzována</w:t>
      </w:r>
      <w:r>
        <w:t xml:space="preserve"> externím expertem a zahrnovala mimo jiné ověření, zda podporovan</w:t>
      </w:r>
      <w:r w:rsidR="00587044">
        <w:t>ou</w:t>
      </w:r>
      <w:r>
        <w:t xml:space="preserve"> a</w:t>
      </w:r>
      <w:r w:rsidRPr="00582BFB">
        <w:t>ktivit</w:t>
      </w:r>
      <w:r w:rsidR="00587044">
        <w:t>u</w:t>
      </w:r>
      <w:r w:rsidR="00FD28C7">
        <w:t>, tj.</w:t>
      </w:r>
      <w:r w:rsidRPr="00582BFB">
        <w:t xml:space="preserve"> pořízení zdravotnického vybavení </w:t>
      </w:r>
      <w:r>
        <w:t xml:space="preserve">a technologií, </w:t>
      </w:r>
      <w:proofErr w:type="spellStart"/>
      <w:r>
        <w:t>MZd</w:t>
      </w:r>
      <w:proofErr w:type="spellEnd"/>
      <w:r>
        <w:t xml:space="preserve"> </w:t>
      </w:r>
      <w:r w:rsidR="00FD28C7">
        <w:t>doporučilo</w:t>
      </w:r>
      <w:r>
        <w:t xml:space="preserve"> v </w:t>
      </w:r>
      <w:r w:rsidR="0058562B">
        <w:rPr>
          <w:i/>
        </w:rPr>
        <w:t>s</w:t>
      </w:r>
      <w:r w:rsidRPr="00582BFB">
        <w:rPr>
          <w:i/>
        </w:rPr>
        <w:t>eznamech doporučeného vybavení center vysoce specializované péče</w:t>
      </w:r>
      <w:r w:rsidRPr="00582BFB">
        <w:t>. Doporučen</w:t>
      </w:r>
      <w:r>
        <w:t>í</w:t>
      </w:r>
      <w:r w:rsidRPr="00582BFB">
        <w:t xml:space="preserve"> </w:t>
      </w:r>
      <w:proofErr w:type="spellStart"/>
      <w:r w:rsidRPr="00582BFB">
        <w:t>MZd</w:t>
      </w:r>
      <w:proofErr w:type="spellEnd"/>
      <w:r w:rsidRPr="00582BFB">
        <w:t xml:space="preserve"> </w:t>
      </w:r>
      <w:r w:rsidR="00D67E1C">
        <w:t xml:space="preserve">však </w:t>
      </w:r>
      <w:r w:rsidRPr="00582BFB">
        <w:t>nezakládá automatick</w:t>
      </w:r>
      <w:r w:rsidR="0058562B">
        <w:t>y</w:t>
      </w:r>
      <w:r w:rsidRPr="00582BFB">
        <w:t xml:space="preserve"> povinnost financovat pořízení tohoto vybavení z prostředků SC 2.3 IROP. Oprávněnými žadateli byly převážně </w:t>
      </w:r>
      <w:r w:rsidR="00B95677">
        <w:t xml:space="preserve">státní příspěvkové </w:t>
      </w:r>
      <w:r w:rsidRPr="00582BFB">
        <w:t xml:space="preserve">organizace </w:t>
      </w:r>
      <w:r w:rsidR="00B95677">
        <w:t>z</w:t>
      </w:r>
      <w:r w:rsidRPr="00582BFB">
        <w:t xml:space="preserve">řízené </w:t>
      </w:r>
      <w:proofErr w:type="spellStart"/>
      <w:r w:rsidRPr="00582BFB">
        <w:t>MZd</w:t>
      </w:r>
      <w:proofErr w:type="spellEnd"/>
      <w:r>
        <w:t>, které</w:t>
      </w:r>
      <w:r w:rsidRPr="00582BFB">
        <w:t xml:space="preserve"> disponuje prostředky ve své rozpočtové kapitole a je taktéž správcem národních dotačních programů zaměřených mimo jiné na podporu infrastruktury zdravotnických zařízení</w:t>
      </w:r>
      <w:r>
        <w:t>.</w:t>
      </w:r>
    </w:p>
    <w:p w14:paraId="2A5823E6" w14:textId="77777777" w:rsidR="00676D1F" w:rsidRPr="00A44D58" w:rsidRDefault="007E2A6B" w:rsidP="00D16947">
      <w:pPr>
        <w:pStyle w:val="JK4"/>
      </w:pPr>
      <w:bookmarkStart w:id="30" w:name="_Ref118281880"/>
      <w:r>
        <w:t>Jedním z</w:t>
      </w:r>
      <w:r w:rsidR="004B7906">
        <w:t xml:space="preserve"> </w:t>
      </w:r>
      <w:r w:rsidR="00D30FAE">
        <w:t>dalších kritérií k</w:t>
      </w:r>
      <w:r w:rsidR="004B7906">
        <w:t xml:space="preserve"> </w:t>
      </w:r>
      <w:r w:rsidR="00D30FAE">
        <w:t xml:space="preserve">ověření potřebnosti </w:t>
      </w:r>
      <w:r>
        <w:t xml:space="preserve">bylo </w:t>
      </w:r>
      <w:bookmarkEnd w:id="28"/>
      <w:r>
        <w:t xml:space="preserve">kritérium </w:t>
      </w:r>
      <w:r w:rsidR="0058562B">
        <w:t>„</w:t>
      </w:r>
      <w:r w:rsidR="0058562B">
        <w:rPr>
          <w:i/>
        </w:rPr>
        <w:t>p</w:t>
      </w:r>
      <w:r w:rsidRPr="00582BFB">
        <w:rPr>
          <w:i/>
        </w:rPr>
        <w:t>otřebnost realizace projektu je odůvodněná</w:t>
      </w:r>
      <w:r w:rsidR="0058562B">
        <w:t>“</w:t>
      </w:r>
      <w:r>
        <w:t>. V rámci něho hodnotitelé</w:t>
      </w:r>
      <w:r w:rsidR="00EE2C6A">
        <w:t xml:space="preserve"> CRR, respektive externí experti ve výzvě na</w:t>
      </w:r>
      <w:r w:rsidR="0058562B">
        <w:t xml:space="preserve"> </w:t>
      </w:r>
      <w:r w:rsidR="00EE2C6A">
        <w:t>podporu vysoce specializované péče</w:t>
      </w:r>
      <w:r w:rsidR="00C07EB8">
        <w:t>,</w:t>
      </w:r>
      <w:r w:rsidR="00EE2C6A">
        <w:t xml:space="preserve"> </w:t>
      </w:r>
      <w:r>
        <w:t xml:space="preserve">zjišťovali, zda </w:t>
      </w:r>
      <w:r w:rsidRPr="005C765E">
        <w:t>žádost o podporu obsahuje popis potřebnosti projekt</w:t>
      </w:r>
      <w:r>
        <w:t xml:space="preserve">u. </w:t>
      </w:r>
      <w:r w:rsidR="00D647B5">
        <w:t>Hodnocení</w:t>
      </w:r>
      <w:r w:rsidRPr="005C765E">
        <w:t xml:space="preserve"> potřebnosti pouze formálním odsouhlasením </w:t>
      </w:r>
      <w:r w:rsidR="00D647B5">
        <w:t xml:space="preserve">existence popisu </w:t>
      </w:r>
      <w:r w:rsidRPr="005C765E">
        <w:t>bez posouzení věcného hlediska není dostatečné</w:t>
      </w:r>
      <w:r w:rsidR="00027F74">
        <w:t>.</w:t>
      </w:r>
      <w:r w:rsidR="00703F45">
        <w:t xml:space="preserve"> </w:t>
      </w:r>
      <w:r w:rsidR="00027F74">
        <w:t>Takovéto hodnocení</w:t>
      </w:r>
      <w:r w:rsidRPr="005C765E">
        <w:t xml:space="preserve"> nezaruč</w:t>
      </w:r>
      <w:r w:rsidR="00027F74">
        <w:t>ovalo</w:t>
      </w:r>
      <w:r w:rsidRPr="005C765E">
        <w:t xml:space="preserve">, že podpora </w:t>
      </w:r>
      <w:r w:rsidR="00027F74" w:rsidRPr="005C765E">
        <w:t xml:space="preserve">bude </w:t>
      </w:r>
      <w:r w:rsidRPr="005C765E">
        <w:t>poskytnuta na skutečně potřebné aktivity</w:t>
      </w:r>
      <w:r w:rsidR="001173DD">
        <w:t xml:space="preserve">, což </w:t>
      </w:r>
      <w:r w:rsidR="00195C63">
        <w:t xml:space="preserve">ilustruje </w:t>
      </w:r>
      <w:r w:rsidR="00195C63" w:rsidRPr="00A44D58">
        <w:t xml:space="preserve">příklad č. </w:t>
      </w:r>
      <w:r w:rsidR="00B74A15" w:rsidRPr="00A44D58">
        <w:t>3</w:t>
      </w:r>
      <w:r w:rsidRPr="00A44D58">
        <w:t>.</w:t>
      </w:r>
      <w:bookmarkEnd w:id="27"/>
      <w:bookmarkEnd w:id="29"/>
      <w:bookmarkEnd w:id="30"/>
      <w:r w:rsidRPr="00A44D58">
        <w:t xml:space="preserve"> </w:t>
      </w:r>
    </w:p>
    <w:p w14:paraId="1265F73D" w14:textId="77777777" w:rsidR="00195C63" w:rsidRDefault="007E2A6B" w:rsidP="000F394C">
      <w:pPr>
        <w:pStyle w:val="Nadpispklad"/>
      </w:pPr>
      <w:r>
        <w:t xml:space="preserve">Příklad č. </w:t>
      </w:r>
      <w:r w:rsidR="00B74A15">
        <w:t>3</w:t>
      </w:r>
    </w:p>
    <w:p w14:paraId="6CCA99FA" w14:textId="77777777" w:rsidR="003D4D26" w:rsidRDefault="007E2A6B" w:rsidP="00EB3619">
      <w:pPr>
        <w:pStyle w:val="Pkladyvrmeku"/>
      </w:pPr>
      <w:r w:rsidRPr="00195C63">
        <w:t>Příjemce Nemocnice Vyškov v rámci žádosti požadoval</w:t>
      </w:r>
      <w:r>
        <w:t xml:space="preserve"> podporu také na</w:t>
      </w:r>
      <w:r w:rsidRPr="00195C63">
        <w:t xml:space="preserve"> pořízení tří operačních stolů s nosností 360 kg</w:t>
      </w:r>
      <w:r w:rsidR="00241D97">
        <w:t xml:space="preserve"> v </w:t>
      </w:r>
      <w:r w:rsidR="00241D97" w:rsidRPr="00241D97">
        <w:t>projektu CZ.06.2.56/0.0/0.0/16_043/0001469</w:t>
      </w:r>
      <w:r w:rsidRPr="00195C63">
        <w:t xml:space="preserve">. Jejich potřebnost zdůvodnil </w:t>
      </w:r>
      <w:r>
        <w:t xml:space="preserve">zejména </w:t>
      </w:r>
      <w:r w:rsidRPr="00195C63">
        <w:t>nárůst</w:t>
      </w:r>
      <w:r>
        <w:t>em</w:t>
      </w:r>
      <w:r w:rsidRPr="00195C63">
        <w:t xml:space="preserve"> počtu pacientů s morbidní obezitou. </w:t>
      </w:r>
      <w:r>
        <w:t>Ž</w:t>
      </w:r>
      <w:r w:rsidRPr="00195C63">
        <w:t>adatel neuvedl žádnou informaci týkající se počtu operovaných pacientů s morbidní obezitou, zejména s</w:t>
      </w:r>
      <w:r w:rsidR="004D3301">
        <w:t> </w:t>
      </w:r>
      <w:r w:rsidRPr="00195C63">
        <w:t>hmotností nad 250 kg</w:t>
      </w:r>
      <w:r>
        <w:t>. P</w:t>
      </w:r>
      <w:r w:rsidRPr="00195C63">
        <w:t>ro péči o morbidně obézní pacienty nestačí pouze operační stoly s</w:t>
      </w:r>
      <w:r w:rsidR="004D3301">
        <w:t> </w:t>
      </w:r>
      <w:r w:rsidRPr="00195C63">
        <w:t xml:space="preserve">vyšší nosností, ale jsou zapotřebí i speciální přístroje, lůžka, výtahy, nástroje a v některých případech i stavební úpravy. Z tohoto důvodu vznikají specializovaná, tzv. </w:t>
      </w:r>
      <w:proofErr w:type="spellStart"/>
      <w:r w:rsidRPr="00195C63">
        <w:t>bariatrická</w:t>
      </w:r>
      <w:proofErr w:type="spellEnd"/>
      <w:r w:rsidRPr="00195C63">
        <w:t xml:space="preserve"> centra. Na mapě </w:t>
      </w:r>
      <w:proofErr w:type="spellStart"/>
      <w:r w:rsidRPr="00195C63">
        <w:t>bariatrických</w:t>
      </w:r>
      <w:proofErr w:type="spellEnd"/>
      <w:r w:rsidRPr="00195C63">
        <w:t xml:space="preserve"> center však Nemocnice Vyškov není uvedena.</w:t>
      </w:r>
      <w:r>
        <w:t xml:space="preserve"> </w:t>
      </w:r>
      <w:r w:rsidRPr="00195C63">
        <w:t>K hodnocení žádosti nebylo vyžádáno posouzení externího experta</w:t>
      </w:r>
      <w:r>
        <w:t xml:space="preserve"> a h</w:t>
      </w:r>
      <w:r w:rsidRPr="00195C63">
        <w:t>odnotitel od žadatele nepožadoval další</w:t>
      </w:r>
      <w:r w:rsidR="0058562B">
        <w:t>,</w:t>
      </w:r>
      <w:r w:rsidRPr="00195C63">
        <w:t xml:space="preserve"> podrobnější informace</w:t>
      </w:r>
      <w:r>
        <w:t>.</w:t>
      </w:r>
      <w:r w:rsidRPr="00195C63">
        <w:t xml:space="preserve"> </w:t>
      </w:r>
      <w:r>
        <w:t>K</w:t>
      </w:r>
      <w:r w:rsidRPr="00195C63">
        <w:t xml:space="preserve">ritérium </w:t>
      </w:r>
      <w:r>
        <w:t>„</w:t>
      </w:r>
      <w:r w:rsidR="0058562B">
        <w:t>p</w:t>
      </w:r>
      <w:r w:rsidRPr="00195C63">
        <w:t>otřebnost realizace projektu je odůvodněná</w:t>
      </w:r>
      <w:r>
        <w:t>“</w:t>
      </w:r>
      <w:r w:rsidRPr="00195C63">
        <w:t xml:space="preserve"> bylo splněno již při prvním hodnocení</w:t>
      </w:r>
      <w:r w:rsidR="001D623B">
        <w:t xml:space="preserve"> provedeném CRR</w:t>
      </w:r>
      <w:r>
        <w:t xml:space="preserve">. </w:t>
      </w:r>
      <w:r w:rsidR="00241D97">
        <w:t>K</w:t>
      </w:r>
      <w:r w:rsidR="00241D97" w:rsidRPr="00DE150F">
        <w:t xml:space="preserve"> potřebnosti pořízení </w:t>
      </w:r>
      <w:r w:rsidR="00241D97">
        <w:t xml:space="preserve">tří operačních stolů s vyšší nosností se </w:t>
      </w:r>
      <w:r w:rsidR="00241D97" w:rsidRPr="00DE150F">
        <w:t>nevyjadřovalo</w:t>
      </w:r>
      <w:r w:rsidR="00241D97">
        <w:t xml:space="preserve"> a</w:t>
      </w:r>
      <w:r>
        <w:t xml:space="preserve">ni </w:t>
      </w:r>
      <w:proofErr w:type="spellStart"/>
      <w:r>
        <w:t>MZd</w:t>
      </w:r>
      <w:proofErr w:type="spellEnd"/>
      <w:r>
        <w:t xml:space="preserve"> </w:t>
      </w:r>
      <w:r w:rsidR="00122684">
        <w:t>ve svém stanovisku</w:t>
      </w:r>
      <w:r w:rsidR="00241D97">
        <w:t xml:space="preserve"> </w:t>
      </w:r>
      <w:r w:rsidR="00241D97" w:rsidRPr="00241D97">
        <w:t>k souladu projektového záměru s Koncepcí návazné péče</w:t>
      </w:r>
      <w:r w:rsidR="00DE150F" w:rsidRPr="00DE150F">
        <w:t>.</w:t>
      </w:r>
    </w:p>
    <w:p w14:paraId="3381FC37" w14:textId="77777777" w:rsidR="00E05F4A" w:rsidRPr="004B2CB1" w:rsidRDefault="007E2A6B" w:rsidP="00D16947">
      <w:pPr>
        <w:pStyle w:val="JK4"/>
      </w:pPr>
      <w:r>
        <w:t xml:space="preserve">Hledisko potřebnosti bylo </w:t>
      </w:r>
      <w:r w:rsidR="00C7136D">
        <w:t xml:space="preserve">také </w:t>
      </w:r>
      <w:r>
        <w:t>součástí posouzení změn vyvolaných úsporou na projektu v rámci změnových řízení. Úspora na projektu, tj. nižší celkové způsobilé výdaje, než</w:t>
      </w:r>
      <w:r w:rsidR="0058562B">
        <w:t xml:space="preserve"> jaké</w:t>
      </w:r>
      <w:r>
        <w:t xml:space="preserve"> byly schváleny v právním aktu o poskytnutí dotace, vznikala zpravidla v důsledku realizace veřejné zakázky v nižší ceně, než byla její předpokládaná hodnota. V takovém případě </w:t>
      </w:r>
      <w:r w:rsidR="0058562B">
        <w:t xml:space="preserve">mohl </w:t>
      </w:r>
      <w:r>
        <w:t>příjemce požádat</w:t>
      </w:r>
      <w:r w:rsidR="00BD5DB1">
        <w:t>, aby mu bylo na základě</w:t>
      </w:r>
      <w:r>
        <w:t xml:space="preserve"> změnového řízení </w:t>
      </w:r>
      <w:r w:rsidR="00BD5DB1">
        <w:t>umožněno pořídit</w:t>
      </w:r>
      <w:r>
        <w:t xml:space="preserve"> další zdravotnické </w:t>
      </w:r>
      <w:r>
        <w:lastRenderedPageBreak/>
        <w:t>vybavení v rámci schválených aktivit až do výše stanovených celkových způsobilých výdajů</w:t>
      </w:r>
      <w:r w:rsidR="001D623B">
        <w:t>, respektive dotace</w:t>
      </w:r>
      <w:r>
        <w:t xml:space="preserve">. </w:t>
      </w:r>
      <w:r w:rsidRPr="004B2CB1">
        <w:t xml:space="preserve">Změny </w:t>
      </w:r>
      <w:r>
        <w:t xml:space="preserve">vyvolané úsporou na </w:t>
      </w:r>
      <w:r w:rsidRPr="004B2CB1">
        <w:t>projekt</w:t>
      </w:r>
      <w:r>
        <w:t>u</w:t>
      </w:r>
      <w:r w:rsidRPr="004B2CB1">
        <w:t xml:space="preserve"> </w:t>
      </w:r>
      <w:r>
        <w:t>posuzovalo CRR a schvalovalo MMR.</w:t>
      </w:r>
      <w:r w:rsidRPr="004B2CB1">
        <w:t xml:space="preserve"> Do procesu změnového řízení mohl být zapojen i externí expert, a to v případech, kdy posuzovatel změny nebyl vzhledem k odbornosti a specifičnosti požadované změny sám schopen posoudit vliv změny na projekt nebo bylo expertní posouzení stanoveno jako povinné. Předmětem posouzení bylo</w:t>
      </w:r>
      <w:r>
        <w:t xml:space="preserve"> ověření</w:t>
      </w:r>
      <w:r w:rsidRPr="004B2CB1">
        <w:t>, zda</w:t>
      </w:r>
      <w:r>
        <w:t xml:space="preserve"> </w:t>
      </w:r>
      <w:r w:rsidRPr="004B2CB1">
        <w:t>navržená změna nemá vliv na naplnění cíle a účelu projektu</w:t>
      </w:r>
      <w:r>
        <w:t xml:space="preserve"> a </w:t>
      </w:r>
      <w:r w:rsidRPr="004B2CB1">
        <w:t>je v souladu s podporovanými aktivitami výzvy</w:t>
      </w:r>
      <w:r>
        <w:t xml:space="preserve">. Dále se </w:t>
      </w:r>
      <w:r w:rsidR="00965C30">
        <w:t xml:space="preserve">CRR nebo </w:t>
      </w:r>
      <w:r>
        <w:t>expert vyjadřoval</w:t>
      </w:r>
      <w:r w:rsidR="00965C30">
        <w:t>i</w:t>
      </w:r>
      <w:r>
        <w:t xml:space="preserve"> k tomu, zda zdravotnické vybavení</w:t>
      </w:r>
      <w:r w:rsidRPr="004B2CB1">
        <w:t xml:space="preserve"> nově navrhovan</w:t>
      </w:r>
      <w:r>
        <w:t>é</w:t>
      </w:r>
      <w:r w:rsidRPr="004B2CB1">
        <w:t xml:space="preserve"> k pořízení je uveden</w:t>
      </w:r>
      <w:r>
        <w:t>o</w:t>
      </w:r>
      <w:r w:rsidRPr="004B2CB1">
        <w:t xml:space="preserve"> v aktuálním seznamu doporučeného vybavení příslušného vysoce specializovaného centra nebo slouží k poskytování zdravotních služeb v podporovaných oborech návazné zdravotní péče.</w:t>
      </w:r>
    </w:p>
    <w:p w14:paraId="1CB58F24" w14:textId="77777777" w:rsidR="00E05F4A" w:rsidRPr="00A44D58" w:rsidRDefault="007E2A6B" w:rsidP="00D16947">
      <w:pPr>
        <w:pStyle w:val="JK4"/>
      </w:pPr>
      <w:bookmarkStart w:id="31" w:name="_Hlk118036368"/>
      <w:r>
        <w:t xml:space="preserve">Součástí kontrolního listu pro kontrolu požadovaných změn byla otázka </w:t>
      </w:r>
      <w:r w:rsidRPr="004F7FAB">
        <w:t>„</w:t>
      </w:r>
      <w:r>
        <w:rPr>
          <w:i/>
        </w:rPr>
        <w:t xml:space="preserve">Je v kolonce Odůvodnění </w:t>
      </w:r>
      <w:proofErr w:type="spellStart"/>
      <w:r>
        <w:rPr>
          <w:i/>
        </w:rPr>
        <w:t>ŽoZ</w:t>
      </w:r>
      <w:proofErr w:type="spellEnd"/>
      <w:r w:rsidR="00BD5DB1" w:rsidRPr="0098585C">
        <w:rPr>
          <w:rStyle w:val="Znakapoznpodarou"/>
        </w:rPr>
        <w:footnoteReference w:id="28"/>
      </w:r>
      <w:r>
        <w:rPr>
          <w:i/>
        </w:rPr>
        <w:t xml:space="preserve"> uvedena stručná charakteristika změny včetně zdůvodnění?</w:t>
      </w:r>
      <w:r w:rsidRPr="0098585C">
        <w:t>“</w:t>
      </w:r>
      <w:r>
        <w:t xml:space="preserve"> Takto formulovaná kontrolní otázka nezaručovala dostatečné ověření potřebnosti požadované změny, resp</w:t>
      </w:r>
      <w:r w:rsidR="001D623B">
        <w:t>ektive</w:t>
      </w:r>
      <w:r>
        <w:t xml:space="preserve"> vybavení pořizovaného </w:t>
      </w:r>
      <w:r w:rsidR="00557445">
        <w:t>z</w:t>
      </w:r>
      <w:r>
        <w:t xml:space="preserve"> úspor v projektu, což se potvrdilo při kontrole projektu u příjemce a </w:t>
      </w:r>
      <w:r w:rsidR="006F4988">
        <w:t xml:space="preserve">zjištěné </w:t>
      </w:r>
      <w:r>
        <w:t xml:space="preserve">skutečnosti </w:t>
      </w:r>
      <w:r w:rsidR="001D623B" w:rsidRPr="00A44D58">
        <w:t>ilustruje</w:t>
      </w:r>
      <w:r w:rsidRPr="00A44D58">
        <w:t xml:space="preserve"> příklad č. </w:t>
      </w:r>
      <w:r w:rsidR="005F3201" w:rsidRPr="00A44D58">
        <w:t>5</w:t>
      </w:r>
      <w:r w:rsidR="002324AA">
        <w:t xml:space="preserve"> na straně </w:t>
      </w:r>
      <w:r w:rsidR="002324AA" w:rsidRPr="000332AF">
        <w:t>2</w:t>
      </w:r>
      <w:r w:rsidR="000332AF" w:rsidRPr="000332AF">
        <w:t>2</w:t>
      </w:r>
      <w:r w:rsidRPr="00A44D58">
        <w:t>.</w:t>
      </w:r>
    </w:p>
    <w:bookmarkEnd w:id="31"/>
    <w:p w14:paraId="7C4124A7" w14:textId="77777777" w:rsidR="00D30FAE" w:rsidRPr="00676D1F" w:rsidRDefault="007E2A6B" w:rsidP="00083B49">
      <w:pPr>
        <w:pStyle w:val="Mluvcnadpis"/>
      </w:pPr>
      <w:r w:rsidRPr="00CF7903">
        <w:t>→</w:t>
      </w:r>
      <w:r>
        <w:tab/>
        <w:t>MMR nastavilo</w:t>
      </w:r>
      <w:r w:rsidR="00704C15">
        <w:t xml:space="preserve"> řádně</w:t>
      </w:r>
      <w:r>
        <w:t xml:space="preserve"> systém hodnocení ve spojitosti s kontrolami veřejných zakázek; jediným rizikem </w:t>
      </w:r>
      <w:r w:rsidR="00704C15">
        <w:t xml:space="preserve">pro hospodárné </w:t>
      </w:r>
      <w:r w:rsidR="00877D70">
        <w:t>vynaložení</w:t>
      </w:r>
      <w:r w:rsidR="00704C15">
        <w:t xml:space="preserve"> podpory </w:t>
      </w:r>
      <w:r>
        <w:t>bylo schválení financování nepotřebné aktivity.</w:t>
      </w:r>
    </w:p>
    <w:p w14:paraId="6A280CEE" w14:textId="77777777" w:rsidR="00D30FAE" w:rsidRDefault="007E2A6B" w:rsidP="00D16947">
      <w:pPr>
        <w:pStyle w:val="JK4"/>
      </w:pPr>
      <w:r>
        <w:t xml:space="preserve">Hospodárnost hodnotilo </w:t>
      </w:r>
      <w:r w:rsidR="00AE2C65">
        <w:t xml:space="preserve">MMR </w:t>
      </w:r>
      <w:r>
        <w:t xml:space="preserve">na základě kritérií přijatelnosti, </w:t>
      </w:r>
      <w:r w:rsidR="00AE2C65">
        <w:t>mezi něž patřilo i</w:t>
      </w:r>
      <w:r>
        <w:t xml:space="preserve"> kritérium určené k posouzení, zda v</w:t>
      </w:r>
      <w:r w:rsidRPr="00A0619D">
        <w:t>ýdaje na hlavní aktivity v</w:t>
      </w:r>
      <w:r w:rsidR="00BD5DB1">
        <w:t> </w:t>
      </w:r>
      <w:r w:rsidRPr="00A0619D">
        <w:t>rozpočtu projektu odpovída</w:t>
      </w:r>
      <w:r>
        <w:t>ly</w:t>
      </w:r>
      <w:r w:rsidRPr="00A0619D">
        <w:t xml:space="preserve"> tržním cenám</w:t>
      </w:r>
      <w:r w:rsidRPr="003258CF">
        <w:t>.</w:t>
      </w:r>
      <w:r>
        <w:t xml:space="preserve"> Hospodárnost výdajů na pořízení zdravotnického vybavení po schválení podpory na financování projektu byla kontrolována v rámci administrativních kontrol veřejných zakázek. MMR nastavilo systém kontrol veřejných zakázek </w:t>
      </w:r>
      <w:r w:rsidR="00704C15">
        <w:t xml:space="preserve">řádným </w:t>
      </w:r>
      <w:r>
        <w:t>způsobem; kontrole podléhaly všechny druhy zadávacích řízení ve všech fázích</w:t>
      </w:r>
      <w:r w:rsidR="004B6B93">
        <w:t xml:space="preserve"> zadávání</w:t>
      </w:r>
      <w:r>
        <w:rPr>
          <w:rStyle w:val="Znakapoznpodarou"/>
        </w:rPr>
        <w:footnoteReference w:id="29"/>
      </w:r>
      <w:r w:rsidR="00962ECD">
        <w:t>.</w:t>
      </w:r>
    </w:p>
    <w:p w14:paraId="1D8506D1" w14:textId="1952D31C" w:rsidR="00D30FAE" w:rsidRPr="00A44D58" w:rsidRDefault="00704C15" w:rsidP="00D16947">
      <w:pPr>
        <w:pStyle w:val="JK4"/>
      </w:pPr>
      <w:r>
        <w:t>NKÚ nicméně zjistil</w:t>
      </w:r>
      <w:r w:rsidR="00877D70">
        <w:t xml:space="preserve"> </w:t>
      </w:r>
      <w:r w:rsidR="00877D70" w:rsidRPr="009F1F95">
        <w:t>riziko</w:t>
      </w:r>
      <w:r w:rsidRPr="009F1F95">
        <w:t xml:space="preserve"> </w:t>
      </w:r>
      <w:r w:rsidR="00877D70" w:rsidRPr="009F1F95">
        <w:t>nehospodárné</w:t>
      </w:r>
      <w:r w:rsidR="009F1F95">
        <w:t>ho</w:t>
      </w:r>
      <w:r w:rsidR="00877D70" w:rsidRPr="009F1F95">
        <w:t xml:space="preserve"> vynakládání</w:t>
      </w:r>
      <w:r w:rsidR="00877D70">
        <w:t xml:space="preserve"> </w:t>
      </w:r>
      <w:r w:rsidR="007E2A6B">
        <w:t>výdajů</w:t>
      </w:r>
      <w:r w:rsidR="00877D70">
        <w:t>, neboť</w:t>
      </w:r>
      <w:r w:rsidR="007E2A6B">
        <w:t xml:space="preserve"> </w:t>
      </w:r>
      <w:r w:rsidR="00F16844">
        <w:t>mohly být</w:t>
      </w:r>
      <w:r w:rsidR="007E2A6B">
        <w:t xml:space="preserve"> k podpoře schváleny </w:t>
      </w:r>
      <w:r>
        <w:t xml:space="preserve">také </w:t>
      </w:r>
      <w:r w:rsidR="007E2A6B">
        <w:t>nepotřebné aktivity (viz odst</w:t>
      </w:r>
      <w:r w:rsidR="007E2A6B" w:rsidRPr="00A44D58">
        <w:t xml:space="preserve">. </w:t>
      </w:r>
      <w:r w:rsidR="009542E6" w:rsidRPr="00A44D58">
        <w:fldChar w:fldCharType="begin"/>
      </w:r>
      <w:r w:rsidR="009542E6" w:rsidRPr="00A44D58">
        <w:instrText xml:space="preserve"> REF _Ref118281880 \r \h </w:instrText>
      </w:r>
      <w:r w:rsidR="00A44D58">
        <w:instrText xml:space="preserve"> \* MERGEFORMAT </w:instrText>
      </w:r>
      <w:r w:rsidR="009542E6" w:rsidRPr="00A44D58">
        <w:fldChar w:fldCharType="separate"/>
      </w:r>
      <w:r w:rsidR="001825F1">
        <w:t>4.29</w:t>
      </w:r>
      <w:r w:rsidR="009542E6" w:rsidRPr="00A44D58">
        <w:fldChar w:fldCharType="end"/>
      </w:r>
      <w:r w:rsidR="007E2A6B" w:rsidRPr="00A44D58">
        <w:t>)</w:t>
      </w:r>
      <w:r w:rsidR="000E3475" w:rsidRPr="00A44D58">
        <w:t xml:space="preserve">, což se potvrdilo při kontrole projektů u příjemců (viz příklad č. 7 </w:t>
      </w:r>
      <w:r w:rsidR="000332AF">
        <w:t xml:space="preserve">a </w:t>
      </w:r>
      <w:r w:rsidR="000E3475" w:rsidRPr="00A44D58">
        <w:t>č. 8</w:t>
      </w:r>
      <w:r w:rsidR="002324AA">
        <w:t xml:space="preserve"> na straně </w:t>
      </w:r>
      <w:r w:rsidR="002324AA" w:rsidRPr="00C372F6">
        <w:t>2</w:t>
      </w:r>
      <w:r w:rsidR="00420B0D">
        <w:t>4</w:t>
      </w:r>
      <w:r w:rsidR="00512350" w:rsidRPr="00A44D58">
        <w:t>)</w:t>
      </w:r>
      <w:r w:rsidR="007E2A6B" w:rsidRPr="00A44D58">
        <w:t>.</w:t>
      </w:r>
    </w:p>
    <w:p w14:paraId="1363392D" w14:textId="77777777" w:rsidR="00E830AF" w:rsidRDefault="007E2A6B" w:rsidP="00083B49">
      <w:pPr>
        <w:pStyle w:val="Mluvcnadpis"/>
      </w:pPr>
      <w:r w:rsidRPr="00CF7903">
        <w:t>→</w:t>
      </w:r>
      <w:r>
        <w:tab/>
        <w:t xml:space="preserve">Kontrolní systém nastavilo </w:t>
      </w:r>
      <w:r w:rsidR="00AE2C65">
        <w:t xml:space="preserve">MMR </w:t>
      </w:r>
      <w:r>
        <w:t xml:space="preserve">účinně s výjimkou ověření </w:t>
      </w:r>
      <w:r w:rsidRPr="00916C8C">
        <w:t>skutečného provozování a</w:t>
      </w:r>
      <w:r w:rsidR="00557445">
        <w:t> </w:t>
      </w:r>
      <w:r w:rsidR="00967016">
        <w:t>využívání všech funkcí, kterými</w:t>
      </w:r>
      <w:r w:rsidRPr="00916C8C">
        <w:t xml:space="preserve"> pořízené </w:t>
      </w:r>
      <w:r>
        <w:t xml:space="preserve">zdravotnické </w:t>
      </w:r>
      <w:r w:rsidRPr="00916C8C">
        <w:t>vybavení</w:t>
      </w:r>
      <w:r w:rsidR="00967016">
        <w:t xml:space="preserve"> disponovalo</w:t>
      </w:r>
      <w:r>
        <w:t>.</w:t>
      </w:r>
    </w:p>
    <w:p w14:paraId="60951E21" w14:textId="77777777" w:rsidR="001614E9" w:rsidRDefault="007E2A6B" w:rsidP="00D16947">
      <w:pPr>
        <w:pStyle w:val="JK4"/>
      </w:pPr>
      <w:bookmarkStart w:id="32" w:name="_Hlk118037583"/>
      <w:r>
        <w:t xml:space="preserve">Provádění kontrol </w:t>
      </w:r>
      <w:r w:rsidR="006F4988">
        <w:t xml:space="preserve">MMR </w:t>
      </w:r>
      <w:r>
        <w:t xml:space="preserve">delegovalo na CRR. </w:t>
      </w:r>
      <w:r w:rsidR="006F4988">
        <w:t>Administrativní a veřejnosprávní kontroly na</w:t>
      </w:r>
      <w:r w:rsidR="00AE2C65">
        <w:t xml:space="preserve"> </w:t>
      </w:r>
      <w:r w:rsidR="006F4988">
        <w:t xml:space="preserve">místě </w:t>
      </w:r>
      <w:r>
        <w:t>provádělo CRR na základě dílčích otázek stanovených v kontrolních listech pro</w:t>
      </w:r>
      <w:r w:rsidR="00AE2C65">
        <w:t xml:space="preserve"> </w:t>
      </w:r>
      <w:r>
        <w:t xml:space="preserve">každou ověřovanou oblast. </w:t>
      </w:r>
    </w:p>
    <w:p w14:paraId="53B1CD53" w14:textId="77777777" w:rsidR="00916C8C" w:rsidRDefault="007E2A6B" w:rsidP="00D16947">
      <w:pPr>
        <w:pStyle w:val="JK4"/>
      </w:pPr>
      <w:bookmarkStart w:id="33" w:name="_Hlk118037672"/>
      <w:bookmarkEnd w:id="32"/>
      <w:r>
        <w:t>Součástí administrativních kontrol žádostí o platbu a zpráv o</w:t>
      </w:r>
      <w:r w:rsidR="00F93D0B">
        <w:t xml:space="preserve"> </w:t>
      </w:r>
      <w:r>
        <w:t xml:space="preserve">realizaci (včetně závěrečných) nebylo ověření </w:t>
      </w:r>
      <w:r w:rsidRPr="00916C8C">
        <w:t xml:space="preserve">skutečného uvedení do provozu a používání </w:t>
      </w:r>
      <w:r w:rsidR="004378E2" w:rsidRPr="00916C8C">
        <w:t xml:space="preserve">pořízeného zdravotnického vybavení </w:t>
      </w:r>
      <w:r w:rsidRPr="00916C8C">
        <w:t xml:space="preserve">včetně využívání všech </w:t>
      </w:r>
      <w:r w:rsidR="000D59BC">
        <w:t>užitných vlastností (</w:t>
      </w:r>
      <w:r w:rsidRPr="00916C8C">
        <w:t>funkcí/funkcionalit</w:t>
      </w:r>
      <w:r w:rsidR="000D59BC">
        <w:t>)</w:t>
      </w:r>
      <w:r w:rsidRPr="00916C8C">
        <w:t xml:space="preserve">, které byly jako potřebné </w:t>
      </w:r>
      <w:proofErr w:type="spellStart"/>
      <w:r w:rsidRPr="00916C8C">
        <w:t>vysoutěženy</w:t>
      </w:r>
      <w:proofErr w:type="spellEnd"/>
      <w:r w:rsidRPr="00916C8C">
        <w:t xml:space="preserve"> v</w:t>
      </w:r>
      <w:r w:rsidR="004B7906">
        <w:t xml:space="preserve"> </w:t>
      </w:r>
      <w:r w:rsidRPr="00916C8C">
        <w:t>zadávacích řízeních</w:t>
      </w:r>
      <w:r w:rsidR="004378E2">
        <w:t xml:space="preserve">. Tato oblast byla předmětem </w:t>
      </w:r>
      <w:r w:rsidR="004378E2" w:rsidRPr="004378E2">
        <w:t xml:space="preserve">ověřování teprve při kontrolách </w:t>
      </w:r>
      <w:r w:rsidR="004378E2">
        <w:t>z</w:t>
      </w:r>
      <w:r w:rsidR="004378E2" w:rsidRPr="004378E2">
        <w:t>práv o</w:t>
      </w:r>
      <w:r w:rsidR="00F93D0B">
        <w:t xml:space="preserve"> </w:t>
      </w:r>
      <w:r w:rsidR="004378E2" w:rsidRPr="004378E2">
        <w:t>udržitelnosti projektu</w:t>
      </w:r>
      <w:r w:rsidR="001D172A">
        <w:t xml:space="preserve"> a </w:t>
      </w:r>
      <w:r w:rsidR="001717DA">
        <w:t>v</w:t>
      </w:r>
      <w:r w:rsidR="004B7906">
        <w:t xml:space="preserve"> </w:t>
      </w:r>
      <w:r w:rsidR="001717DA">
        <w:t xml:space="preserve">rámci veřejnosprávních </w:t>
      </w:r>
      <w:r w:rsidR="001717DA">
        <w:lastRenderedPageBreak/>
        <w:t>kontrol na místě realizace projektu</w:t>
      </w:r>
      <w:r w:rsidR="004378E2">
        <w:t>.</w:t>
      </w:r>
      <w:r w:rsidR="00DD34D6">
        <w:t xml:space="preserve"> Ani v tomto případě však nebyl nastaven mechanismus, jenž by </w:t>
      </w:r>
      <w:r w:rsidR="00426460">
        <w:t>zajišťoval ověření</w:t>
      </w:r>
      <w:r w:rsidR="00DD34D6">
        <w:t xml:space="preserve"> </w:t>
      </w:r>
      <w:r w:rsidR="00426460">
        <w:t xml:space="preserve">průkazného doložení </w:t>
      </w:r>
      <w:r w:rsidR="0000744A">
        <w:t>po</w:t>
      </w:r>
      <w:r w:rsidR="00426460">
        <w:t>užívání</w:t>
      </w:r>
      <w:r w:rsidR="00426460" w:rsidRPr="00916C8C">
        <w:t xml:space="preserve"> pořízeného zdravotnického vybavení</w:t>
      </w:r>
      <w:r w:rsidR="00426460">
        <w:t xml:space="preserve">. Za takovéto průkazné doložení </w:t>
      </w:r>
      <w:r w:rsidR="0000744A">
        <w:t>po</w:t>
      </w:r>
      <w:r w:rsidR="008C65FD">
        <w:t xml:space="preserve">užívání zdravotnického vybavení </w:t>
      </w:r>
      <w:r w:rsidR="00426460">
        <w:t xml:space="preserve">lze považovat například </w:t>
      </w:r>
      <w:r w:rsidR="00426460" w:rsidRPr="00DD34D6">
        <w:t>počt</w:t>
      </w:r>
      <w:r w:rsidR="00426460">
        <w:t>y</w:t>
      </w:r>
      <w:r w:rsidR="00426460" w:rsidRPr="00DD34D6">
        <w:t xml:space="preserve"> výkonů vykazovan</w:t>
      </w:r>
      <w:r w:rsidR="00426460">
        <w:t>é</w:t>
      </w:r>
      <w:r w:rsidR="00426460" w:rsidRPr="00DD34D6">
        <w:t xml:space="preserve"> zdravotní pojišťovně</w:t>
      </w:r>
      <w:r w:rsidR="00426460">
        <w:t>, které byly provedeny pořízeným zdravotnickým vybavením.</w:t>
      </w:r>
    </w:p>
    <w:bookmarkEnd w:id="33"/>
    <w:p w14:paraId="671ED439" w14:textId="77777777" w:rsidR="00E12453" w:rsidRDefault="007E2A6B" w:rsidP="0098585C">
      <w:pPr>
        <w:pStyle w:val="JK4"/>
      </w:pPr>
      <w:r>
        <w:t xml:space="preserve">V kontrolním listu pro kontrolu obsahové kvality zprávy o realizaci </w:t>
      </w:r>
      <w:r w:rsidR="001614E9">
        <w:t>otázky směřovaly spíše k</w:t>
      </w:r>
      <w:r>
        <w:t xml:space="preserve"> formálnímu </w:t>
      </w:r>
      <w:r w:rsidR="001614E9">
        <w:t xml:space="preserve">ověření, zda </w:t>
      </w:r>
      <w:r w:rsidR="001614E9" w:rsidRPr="001614E9">
        <w:t>příjemce vyplnil všechny předepsané kolonky</w:t>
      </w:r>
      <w:r w:rsidR="001614E9">
        <w:t xml:space="preserve">, nikoli na ověření </w:t>
      </w:r>
      <w:r w:rsidR="001614E9" w:rsidRPr="001614E9">
        <w:t>relevantnosti uváděných skutečností</w:t>
      </w:r>
      <w:r w:rsidR="001614E9">
        <w:t xml:space="preserve">. Jedná se zejména o otázky, které jsou formulovány jako </w:t>
      </w:r>
      <w:r w:rsidR="001614E9" w:rsidRPr="0098585C">
        <w:t>„</w:t>
      </w:r>
      <w:r w:rsidR="001614E9" w:rsidRPr="001614E9">
        <w:rPr>
          <w:i/>
        </w:rPr>
        <w:t>Jsou vyplněny informace...</w:t>
      </w:r>
      <w:r w:rsidR="001614E9" w:rsidRPr="0098585C">
        <w:t>“</w:t>
      </w:r>
      <w:r w:rsidR="001614E9" w:rsidRPr="00F93D0B">
        <w:t>.</w:t>
      </w:r>
      <w:r w:rsidR="001614E9">
        <w:t xml:space="preserve"> </w:t>
      </w:r>
    </w:p>
    <w:p w14:paraId="24C07E34" w14:textId="77777777" w:rsidR="00DD34D6" w:rsidRPr="00A44D58" w:rsidRDefault="006A0DB6" w:rsidP="00D16947">
      <w:pPr>
        <w:pStyle w:val="JK4"/>
      </w:pPr>
      <w:r>
        <w:t>Kontrolní list</w:t>
      </w:r>
      <w:r w:rsidR="00B01C25">
        <w:t xml:space="preserve"> pro kontrolu zpráv o realizaci (včetně závěrečných)</w:t>
      </w:r>
      <w:r>
        <w:t xml:space="preserve"> nezahrnoval </w:t>
      </w:r>
      <w:r w:rsidR="007E2A6B">
        <w:t xml:space="preserve">dílčí </w:t>
      </w:r>
      <w:r w:rsidR="0098585C">
        <w:br/>
      </w:r>
      <w:r w:rsidR="007E2A6B">
        <w:t>otázky směřující k</w:t>
      </w:r>
      <w:r w:rsidR="0098585C">
        <w:t xml:space="preserve"> </w:t>
      </w:r>
      <w:r w:rsidR="007E2A6B">
        <w:t>průkaznému doložení provozování, respektive využívání</w:t>
      </w:r>
      <w:r w:rsidR="007E2A6B" w:rsidRPr="00916C8C">
        <w:t xml:space="preserve"> pořízeného zdravotnického vybavení</w:t>
      </w:r>
      <w:r w:rsidR="00B01C25">
        <w:t>.</w:t>
      </w:r>
      <w:r w:rsidR="007E2A6B">
        <w:t xml:space="preserve"> </w:t>
      </w:r>
      <w:r w:rsidR="00B01C25">
        <w:t xml:space="preserve">Zároveň dílčí otázky nesměřovaly k </w:t>
      </w:r>
      <w:r w:rsidR="00E12453">
        <w:t>ověř</w:t>
      </w:r>
      <w:r w:rsidR="00B01C25">
        <w:t>e</w:t>
      </w:r>
      <w:r w:rsidR="00E12453">
        <w:t>ní skutečností</w:t>
      </w:r>
      <w:r w:rsidR="0003547C" w:rsidRPr="0003547C">
        <w:t xml:space="preserve"> </w:t>
      </w:r>
      <w:r w:rsidR="0003547C">
        <w:t>souvisejících s ukončením realizace projektu, které</w:t>
      </w:r>
      <w:r w:rsidR="00E12453">
        <w:t xml:space="preserve"> příjemce </w:t>
      </w:r>
      <w:r w:rsidR="0003547C">
        <w:t xml:space="preserve">uvedl </w:t>
      </w:r>
      <w:r w:rsidR="00B01C25">
        <w:t xml:space="preserve">v těchto zprávách. To </w:t>
      </w:r>
      <w:r w:rsidR="00E53A1F">
        <w:t>bylo rizikem</w:t>
      </w:r>
      <w:r w:rsidR="00E12453">
        <w:t>, že zdravotnické vybavení pořízené v rámci projektu bylo ve skutečnosti využíváno později než ke</w:t>
      </w:r>
      <w:r w:rsidR="00F93D0B">
        <w:t xml:space="preserve"> </w:t>
      </w:r>
      <w:r w:rsidR="00E12453">
        <w:t>dni dokončení realizace projektu</w:t>
      </w:r>
      <w:bookmarkStart w:id="34" w:name="_Hlk118037776"/>
      <w:r w:rsidR="00E53A1F">
        <w:t>.</w:t>
      </w:r>
      <w:r w:rsidR="000D59BC">
        <w:t xml:space="preserve"> </w:t>
      </w:r>
      <w:r w:rsidR="00E53A1F">
        <w:t>Takovýto případ NKÚ zjistil u jednoho příjemce, jak</w:t>
      </w:r>
      <w:r w:rsidR="000D59BC">
        <w:t xml:space="preserve"> </w:t>
      </w:r>
      <w:r w:rsidR="00426460" w:rsidRPr="00A44D58">
        <w:t xml:space="preserve">ilustruje </w:t>
      </w:r>
      <w:bookmarkEnd w:id="34"/>
      <w:r w:rsidR="00426460" w:rsidRPr="00A44D58">
        <w:t xml:space="preserve">příklad č. </w:t>
      </w:r>
      <w:r w:rsidR="005F3201" w:rsidRPr="00A44D58">
        <w:t>4</w:t>
      </w:r>
      <w:r w:rsidR="00426460" w:rsidRPr="00A44D58">
        <w:t>.</w:t>
      </w:r>
      <w:r w:rsidR="00E12453" w:rsidRPr="00A44D58">
        <w:t xml:space="preserve"> </w:t>
      </w:r>
    </w:p>
    <w:p w14:paraId="07B64F29" w14:textId="77777777" w:rsidR="00426460" w:rsidRDefault="007E2A6B" w:rsidP="000F394C">
      <w:pPr>
        <w:pStyle w:val="Nadpispklad"/>
      </w:pPr>
      <w:r>
        <w:t xml:space="preserve">Příklad č. </w:t>
      </w:r>
      <w:r w:rsidR="005F3201">
        <w:t>4</w:t>
      </w:r>
    </w:p>
    <w:p w14:paraId="78078932" w14:textId="77777777" w:rsidR="004378E2" w:rsidRDefault="007E2A6B" w:rsidP="000F5EF3">
      <w:pPr>
        <w:pStyle w:val="Pkladyvrmeku"/>
      </w:pPr>
      <w:r w:rsidRPr="00426460">
        <w:t xml:space="preserve">Kontrolou NKÚ bylo zjištěno, že </w:t>
      </w:r>
      <w:r>
        <w:t>magnetická rezonance</w:t>
      </w:r>
      <w:r w:rsidRPr="00426460">
        <w:t xml:space="preserve"> podpořená v rámci projektu CZ.06.2.56/0.0/0.0/16_043/0001241</w:t>
      </w:r>
      <w:r>
        <w:t xml:space="preserve"> </w:t>
      </w:r>
      <w:r w:rsidRPr="00426460">
        <w:t>byla využívána teprve od listopadu 2019.</w:t>
      </w:r>
      <w:r>
        <w:t xml:space="preserve"> Příjemce </w:t>
      </w:r>
      <w:r w:rsidR="00222E80">
        <w:t xml:space="preserve">neuvedl </w:t>
      </w:r>
      <w:r>
        <w:t>v</w:t>
      </w:r>
      <w:r w:rsidR="00222E80">
        <w:t xml:space="preserve"> </w:t>
      </w:r>
      <w:r w:rsidR="003A1BCF">
        <w:t>z</w:t>
      </w:r>
      <w:r w:rsidR="00222E80">
        <w:t>ávěrečné</w:t>
      </w:r>
      <w:r>
        <w:t xml:space="preserve"> zprávě</w:t>
      </w:r>
      <w:r w:rsidR="00222E80">
        <w:t xml:space="preserve"> o realizaci z ledna 2019 </w:t>
      </w:r>
      <w:r w:rsidR="00222E80" w:rsidRPr="00222E80">
        <w:t xml:space="preserve">ani v žádosti o platbu </w:t>
      </w:r>
      <w:r w:rsidR="003A1BCF">
        <w:t>či v jejích</w:t>
      </w:r>
      <w:r w:rsidR="00222E80" w:rsidRPr="00222E80">
        <w:t xml:space="preserve"> příloh</w:t>
      </w:r>
      <w:r w:rsidR="003A1BCF">
        <w:t>ách</w:t>
      </w:r>
      <w:r w:rsidR="00B55270">
        <w:t>, že k</w:t>
      </w:r>
      <w:r w:rsidR="004B7906">
        <w:t xml:space="preserve"> </w:t>
      </w:r>
      <w:r w:rsidR="00B55270">
        <w:t xml:space="preserve">datu ukončení realizace projektu </w:t>
      </w:r>
      <w:r w:rsidR="003332D4">
        <w:t>v</w:t>
      </w:r>
      <w:r w:rsidR="004B7906">
        <w:t xml:space="preserve"> </w:t>
      </w:r>
      <w:r w:rsidR="003332D4">
        <w:t xml:space="preserve">prosinci 2018 </w:t>
      </w:r>
      <w:r w:rsidR="00B55270">
        <w:t>magnetická rezonance ne</w:t>
      </w:r>
      <w:r w:rsidR="003A1BCF">
        <w:t>byla</w:t>
      </w:r>
      <w:r w:rsidR="00B55270">
        <w:t xml:space="preserve"> zprovozněna, tj. že se na ní neprovád</w:t>
      </w:r>
      <w:r w:rsidR="003A1BCF">
        <w:t>ěla</w:t>
      </w:r>
      <w:r w:rsidR="00B55270">
        <w:t xml:space="preserve"> vyšetření.</w:t>
      </w:r>
      <w:r>
        <w:t xml:space="preserve"> </w:t>
      </w:r>
      <w:r w:rsidR="00E12453" w:rsidRPr="00E12453">
        <w:t xml:space="preserve">CRR </w:t>
      </w:r>
      <w:r w:rsidR="00B55270">
        <w:t>p</w:t>
      </w:r>
      <w:r w:rsidR="00B55270" w:rsidRPr="00B55270">
        <w:t xml:space="preserve">ři kontrole </w:t>
      </w:r>
      <w:r w:rsidR="003A1BCF">
        <w:t>z</w:t>
      </w:r>
      <w:r w:rsidR="00B55270" w:rsidRPr="00B55270">
        <w:t>ávěrečné zprávy o</w:t>
      </w:r>
      <w:r w:rsidR="003A1BCF">
        <w:t> </w:t>
      </w:r>
      <w:r w:rsidR="00B55270" w:rsidRPr="00B55270">
        <w:t xml:space="preserve">realizaci projektu </w:t>
      </w:r>
      <w:r w:rsidR="003A1BCF" w:rsidRPr="00E12453">
        <w:t xml:space="preserve">nemohlo </w:t>
      </w:r>
      <w:r w:rsidR="00B55270">
        <w:t xml:space="preserve">dle otázek stanovených v kontrolním listu </w:t>
      </w:r>
      <w:r w:rsidR="00E12453" w:rsidRPr="00E12453">
        <w:t xml:space="preserve">zjistit, že nakoupená </w:t>
      </w:r>
      <w:r w:rsidR="00B55270">
        <w:t>magnetická rezonance</w:t>
      </w:r>
      <w:r w:rsidR="00E12453" w:rsidRPr="00E12453">
        <w:t xml:space="preserve"> po svém pořízení neplnila téměř 10 měsíců účel, pro který byla pořízena</w:t>
      </w:r>
      <w:r w:rsidR="00DD34D6">
        <w:t>.</w:t>
      </w:r>
    </w:p>
    <w:p w14:paraId="542730EF" w14:textId="77777777" w:rsidR="001410D8" w:rsidRDefault="007E2A6B" w:rsidP="00D16947">
      <w:pPr>
        <w:pStyle w:val="JK4"/>
      </w:pPr>
      <w:r>
        <w:t>Při kontrolách přímo u příjemce nebylo ze strany MMR systematicky nastaveno ověřování</w:t>
      </w:r>
      <w:r w:rsidRPr="001717DA">
        <w:t xml:space="preserve"> četnosti nebo frekvenc</w:t>
      </w:r>
      <w:r>
        <w:t>e</w:t>
      </w:r>
      <w:r w:rsidRPr="001717DA">
        <w:t xml:space="preserve"> používání</w:t>
      </w:r>
      <w:r>
        <w:t xml:space="preserve"> pořízeného zdravotnického vybavení. </w:t>
      </w:r>
      <w:r w:rsidR="00967016" w:rsidRPr="00967016">
        <w:t>Dokladová kontrola při kontrole na místě ne</w:t>
      </w:r>
      <w:r w:rsidR="00FD7D1B">
        <w:t>byla</w:t>
      </w:r>
      <w:r w:rsidR="00967016" w:rsidRPr="00967016">
        <w:t xml:space="preserve"> </w:t>
      </w:r>
      <w:r w:rsidR="0003547C">
        <w:t>dostatečným</w:t>
      </w:r>
      <w:r w:rsidR="0003547C" w:rsidRPr="00967016">
        <w:t xml:space="preserve"> </w:t>
      </w:r>
      <w:r w:rsidR="00967016" w:rsidRPr="00967016">
        <w:t xml:space="preserve">ověřením skutečného využití </w:t>
      </w:r>
      <w:r w:rsidR="00967016">
        <w:t>zdravotnického vybavení</w:t>
      </w:r>
      <w:r w:rsidR="00967016" w:rsidRPr="00967016">
        <w:t>, pokud doklady neobsah</w:t>
      </w:r>
      <w:r w:rsidR="00FD7D1B">
        <w:t>ovaly</w:t>
      </w:r>
      <w:r w:rsidR="00967016" w:rsidRPr="00967016">
        <w:t xml:space="preserve"> informace o celkových počtech </w:t>
      </w:r>
      <w:r w:rsidR="00967016">
        <w:t>provedených výkonů</w:t>
      </w:r>
      <w:r w:rsidR="00967016" w:rsidRPr="00967016">
        <w:t>.</w:t>
      </w:r>
      <w:r w:rsidR="00967016">
        <w:t xml:space="preserve"> V důsledku </w:t>
      </w:r>
      <w:r w:rsidR="009425A2">
        <w:t xml:space="preserve">toho </w:t>
      </w:r>
      <w:r w:rsidR="009425A2" w:rsidRPr="000F5EF3">
        <w:t>nemohlo</w:t>
      </w:r>
      <w:r w:rsidR="009425A2">
        <w:t xml:space="preserve"> </w:t>
      </w:r>
      <w:r w:rsidR="00967016">
        <w:t xml:space="preserve">CRR při těchto kontrolách zjistit, že v rámci projektu </w:t>
      </w:r>
      <w:r w:rsidR="003A1BCF">
        <w:t xml:space="preserve">bylo </w:t>
      </w:r>
      <w:r w:rsidR="00967016">
        <w:t xml:space="preserve">pořízeno vybavení, které příjemce </w:t>
      </w:r>
      <w:r w:rsidR="00437743">
        <w:t>po</w:t>
      </w:r>
      <w:r w:rsidR="00967016">
        <w:t>užíval sporadicky nebo ne</w:t>
      </w:r>
      <w:r w:rsidR="00437743">
        <w:t>vy</w:t>
      </w:r>
      <w:r w:rsidR="00967016">
        <w:t>užíval některé z</w:t>
      </w:r>
      <w:r w:rsidR="00FD7D1B">
        <w:t> užitných vlastností</w:t>
      </w:r>
      <w:r w:rsidR="00967016">
        <w:t>, kterými vybavení disponovalo.</w:t>
      </w:r>
    </w:p>
    <w:p w14:paraId="7E8D1EB5" w14:textId="77777777" w:rsidR="00A139DA" w:rsidRPr="009F4DD6" w:rsidRDefault="007E2A6B" w:rsidP="00973E41">
      <w:pPr>
        <w:pStyle w:val="PodkapitolystiIVKZ"/>
      </w:pPr>
      <w:r>
        <w:t>Čerpání podpory na infrastruktur</w:t>
      </w:r>
      <w:r w:rsidR="00CB0FFB">
        <w:t>u</w:t>
      </w:r>
      <w:r>
        <w:t xml:space="preserve"> regionální zdravotní péče ve vybraných projektech</w:t>
      </w:r>
    </w:p>
    <w:p w14:paraId="06DFF673" w14:textId="77777777" w:rsidR="00DE60C0" w:rsidRPr="009839C4" w:rsidRDefault="00DE60C0" w:rsidP="00D16947">
      <w:pPr>
        <w:pStyle w:val="JK4"/>
      </w:pPr>
      <w:bookmarkStart w:id="35" w:name="_Hlk99007641"/>
      <w:r w:rsidRPr="009839C4">
        <w:t xml:space="preserve">V rámci vybraných projektů bylo zkontrolováno pořízení zdravotnického vybavení v 83 </w:t>
      </w:r>
      <w:r w:rsidRPr="00F24FED">
        <w:t>případech z</w:t>
      </w:r>
      <w:r w:rsidR="00B96DAF">
        <w:t xml:space="preserve"> </w:t>
      </w:r>
      <w:r w:rsidRPr="00F24FED">
        <w:t>hlediska účelnosti, respektive v 86 případech z</w:t>
      </w:r>
      <w:r w:rsidR="00B96DAF">
        <w:t xml:space="preserve"> </w:t>
      </w:r>
      <w:r w:rsidRPr="00F24FED">
        <w:t>hlediska hospodárnosti vynaložených veřejných prostředků. Na základě skutečností zjištěných u příjemců při kontrole výdajů vynaložených na pořízení zdravotnického vybavení provedl NKÚ vyhodnocení toho, zda peněžní prostředky státního rozpočtu a Evropské unie na podporu infrastruktury regionální zdravotní péče byly čerpány účelně a hospodárně. Za tímto účelem zpracoval NKÚ čtyřstupňovou hodnoticí škálu a stanovil jednotná kritéria pro hodnocení (viz</w:t>
      </w:r>
      <w:r w:rsidR="003A1BCF">
        <w:t xml:space="preserve"> </w:t>
      </w:r>
      <w:r w:rsidRPr="00F24FED">
        <w:t>příloha č. 3). Výsledky posouzení jednotlivých případ</w:t>
      </w:r>
      <w:r w:rsidR="003A1BCF">
        <w:t>ů</w:t>
      </w:r>
      <w:r w:rsidRPr="00F24FED">
        <w:t xml:space="preserve"> pořízeného zdravotnického vybavení obsahuje příloha č. 2.</w:t>
      </w:r>
    </w:p>
    <w:p w14:paraId="58FE5472" w14:textId="77777777" w:rsidR="002833D7" w:rsidRPr="00E43F91" w:rsidRDefault="007E2A6B" w:rsidP="004F7FAB">
      <w:pPr>
        <w:pStyle w:val="JK4"/>
      </w:pPr>
      <w:r>
        <w:lastRenderedPageBreak/>
        <w:t xml:space="preserve">Ve vybraných projektech nezjistil </w:t>
      </w:r>
      <w:r w:rsidR="003A1BCF">
        <w:t xml:space="preserve">NKÚ </w:t>
      </w:r>
      <w:r>
        <w:t xml:space="preserve">neoprávněné čerpání podpory, porušení pravidel pro zadávání </w:t>
      </w:r>
      <w:r w:rsidR="00F553EF">
        <w:t xml:space="preserve">veřejných </w:t>
      </w:r>
      <w:r>
        <w:t xml:space="preserve">zakázek nebo nedodržení </w:t>
      </w:r>
      <w:r w:rsidR="00125105">
        <w:t>dalších</w:t>
      </w:r>
      <w:r>
        <w:t xml:space="preserve"> právních předpisů. Příjemci při</w:t>
      </w:r>
      <w:r w:rsidR="003A1BCF">
        <w:t xml:space="preserve"> </w:t>
      </w:r>
      <w:r>
        <w:t>realizaci vybraných projektů dodrželi pravidla stanovená MMR v právních aktech o</w:t>
      </w:r>
      <w:r w:rsidR="00FC0287">
        <w:t> </w:t>
      </w:r>
      <w:r>
        <w:t>poskytnutí dotace a příslušných výzvách.</w:t>
      </w:r>
    </w:p>
    <w:p w14:paraId="2FFA7BDF" w14:textId="77777777" w:rsidR="000043D6" w:rsidRPr="000043D6" w:rsidRDefault="007E2A6B" w:rsidP="00083B49">
      <w:pPr>
        <w:pStyle w:val="Mluvcnadpis"/>
      </w:pPr>
      <w:r w:rsidRPr="000043D6">
        <w:t>→</w:t>
      </w:r>
      <w:r w:rsidRPr="000043D6">
        <w:tab/>
      </w:r>
      <w:r w:rsidR="000203D5">
        <w:t>Zdravotnické vybavení</w:t>
      </w:r>
      <w:r w:rsidR="00530E58">
        <w:t xml:space="preserve"> pořízené z podpory SC 2.3 IROP</w:t>
      </w:r>
      <w:r w:rsidR="000203D5">
        <w:t xml:space="preserve"> bylo </w:t>
      </w:r>
      <w:r w:rsidR="00CA025D">
        <w:t xml:space="preserve">přínosné pro zlepšení </w:t>
      </w:r>
      <w:r w:rsidR="00E13846">
        <w:t xml:space="preserve">poskytování </w:t>
      </w:r>
      <w:r w:rsidR="00E13846" w:rsidRPr="00A7335D">
        <w:t>regionální</w:t>
      </w:r>
      <w:r w:rsidR="00E13846">
        <w:t xml:space="preserve"> zdravotní </w:t>
      </w:r>
      <w:r w:rsidR="00CA025D">
        <w:t>péče</w:t>
      </w:r>
      <w:r w:rsidR="00D212D6">
        <w:t>.</w:t>
      </w:r>
    </w:p>
    <w:p w14:paraId="376EE76A" w14:textId="77777777" w:rsidR="00B15E3D" w:rsidRDefault="007E2A6B" w:rsidP="004F7FAB">
      <w:pPr>
        <w:pStyle w:val="JK4"/>
      </w:pPr>
      <w:r>
        <w:t xml:space="preserve">Výdaje vynaložené na pořízení zdravotnického </w:t>
      </w:r>
      <w:r w:rsidRPr="000F5EF3">
        <w:t>vybavení</w:t>
      </w:r>
      <w:r>
        <w:t xml:space="preserve"> NKÚ posuzoval z hlediska jejich přínosu k dosažení obecně formulovaných cílů projektu</w:t>
      </w:r>
      <w:r w:rsidR="00E15CC3">
        <w:t>. Přínosy NKÚ identifikoval v žádostech o podporu nebo ve vzájemné součinnosti s </w:t>
      </w:r>
      <w:r w:rsidR="007F3A7A">
        <w:t>příjemci</w:t>
      </w:r>
      <w:r w:rsidR="00E15CC3">
        <w:t xml:space="preserve">. Přínosy uvedené v žádostech o podporu příjemci popisovali jako kvalitativní změnu; v žádném z vybraných projektů nebyla změna kvantifikována </w:t>
      </w:r>
      <w:r w:rsidR="007F3A7A">
        <w:t xml:space="preserve">jakýmkoli měřitelným </w:t>
      </w:r>
      <w:r w:rsidR="00E15CC3">
        <w:t xml:space="preserve">ukazatelem. </w:t>
      </w:r>
    </w:p>
    <w:p w14:paraId="34B09956" w14:textId="77777777" w:rsidR="00C34BEE" w:rsidRDefault="007E2A6B" w:rsidP="00D16947">
      <w:pPr>
        <w:pStyle w:val="JK4"/>
      </w:pPr>
      <w:r>
        <w:t xml:space="preserve">U některého zdravotnického vybavení NKÚ ve spolupráci </w:t>
      </w:r>
      <w:r w:rsidR="00694B5C">
        <w:t xml:space="preserve">s kontrolovanými příjemci identifikoval takové ukazatele, </w:t>
      </w:r>
      <w:r w:rsidR="00B15E3D">
        <w:t>které</w:t>
      </w:r>
      <w:r w:rsidR="00694B5C">
        <w:t xml:space="preserve"> byly kvantifikovatelné a</w:t>
      </w:r>
      <w:r w:rsidR="003A1BCF">
        <w:t xml:space="preserve"> jejichž</w:t>
      </w:r>
      <w:r w:rsidR="00694B5C">
        <w:t xml:space="preserve"> </w:t>
      </w:r>
      <w:r w:rsidR="00B15E3D">
        <w:t>prostřednictvím bylo</w:t>
      </w:r>
      <w:r w:rsidR="00694B5C">
        <w:t xml:space="preserve"> možné</w:t>
      </w:r>
      <w:r w:rsidR="0098585C">
        <w:t xml:space="preserve"> zjistit</w:t>
      </w:r>
      <w:r w:rsidR="00694B5C">
        <w:t xml:space="preserve">, zda se </w:t>
      </w:r>
      <w:r w:rsidR="009F23CA">
        <w:t xml:space="preserve">jejich </w:t>
      </w:r>
      <w:r w:rsidR="00694B5C">
        <w:t xml:space="preserve">hodnota po pořízení dotčeného zdravotnického vybavení změnila. Jednalo se zejména o </w:t>
      </w:r>
      <w:r w:rsidR="00B15E3D">
        <w:t xml:space="preserve">skupinu </w:t>
      </w:r>
      <w:r w:rsidR="00694B5C">
        <w:t>zdravotnick</w:t>
      </w:r>
      <w:r w:rsidR="00B15E3D">
        <w:t>ého</w:t>
      </w:r>
      <w:r w:rsidR="00694B5C">
        <w:t xml:space="preserve"> vybavení, u n</w:t>
      </w:r>
      <w:r w:rsidR="00B15E3D">
        <w:t>ě</w:t>
      </w:r>
      <w:r w:rsidR="003A1BCF">
        <w:t>jž</w:t>
      </w:r>
      <w:r w:rsidR="00694B5C">
        <w:t xml:space="preserve"> příjemci vykazovali výkony zdravotním pojišťovnám</w:t>
      </w:r>
      <w:r w:rsidR="00B15E3D">
        <w:t>, například magnetické rezonance, počítačové tomografy, endoskopické vybavení, ultrazvuky nebo sonografy</w:t>
      </w:r>
      <w:r w:rsidR="00694B5C">
        <w:t>.</w:t>
      </w:r>
      <w:r w:rsidR="00B15E3D">
        <w:t xml:space="preserve"> </w:t>
      </w:r>
      <w:r>
        <w:t xml:space="preserve">Kvantifikovatelné ukazatele bylo možné zjistit také u skupiny laboratorního zdravotnického vybavení, například </w:t>
      </w:r>
      <w:r w:rsidRPr="00C34BEE">
        <w:t>automat</w:t>
      </w:r>
      <w:r>
        <w:t>ů</w:t>
      </w:r>
      <w:r w:rsidRPr="00C34BEE">
        <w:t xml:space="preserve"> pro přípravu vzorků, nátěrov</w:t>
      </w:r>
      <w:r>
        <w:t>ých</w:t>
      </w:r>
      <w:r w:rsidRPr="00C34BEE">
        <w:t xml:space="preserve"> a barv</w:t>
      </w:r>
      <w:r w:rsidR="003A1BCF">
        <w:t>i</w:t>
      </w:r>
      <w:r w:rsidRPr="00C34BEE">
        <w:t>cí</w:t>
      </w:r>
      <w:r>
        <w:t>ch</w:t>
      </w:r>
      <w:r w:rsidRPr="00C34BEE">
        <w:t xml:space="preserve"> automat</w:t>
      </w:r>
      <w:r>
        <w:t>ů nebo</w:t>
      </w:r>
      <w:r w:rsidRPr="00C34BEE">
        <w:t xml:space="preserve"> </w:t>
      </w:r>
      <w:proofErr w:type="spellStart"/>
      <w:r w:rsidRPr="00C34BEE">
        <w:t>sekvenátor</w:t>
      </w:r>
      <w:r>
        <w:t>ů</w:t>
      </w:r>
      <w:proofErr w:type="spellEnd"/>
      <w:r>
        <w:t xml:space="preserve">. </w:t>
      </w:r>
      <w:r w:rsidR="00C1269B">
        <w:t>Kvantifikovatelný přínos byl také identifikován u kontrolovaných stavebních prací.</w:t>
      </w:r>
      <w:r>
        <w:t xml:space="preserve"> </w:t>
      </w:r>
    </w:p>
    <w:p w14:paraId="75F74B2F" w14:textId="77777777" w:rsidR="00656938" w:rsidRDefault="007E2A6B" w:rsidP="00D16947">
      <w:pPr>
        <w:pStyle w:val="JK4"/>
      </w:pPr>
      <w:bookmarkStart w:id="36" w:name="_Ref117866051"/>
      <w:r>
        <w:t>Další skupinu tvořilo tzv. ošetřovatelské zdravotnické vybavení</w:t>
      </w:r>
      <w:r w:rsidR="00A33BBB">
        <w:t xml:space="preserve">, </w:t>
      </w:r>
      <w:r w:rsidR="00624D4E">
        <w:t>k němuž se nevztahovaly</w:t>
      </w:r>
      <w:r w:rsidR="00A33BBB">
        <w:t xml:space="preserve"> žádné výkony</w:t>
      </w:r>
      <w:r w:rsidR="00055DBC">
        <w:t xml:space="preserve"> a</w:t>
      </w:r>
      <w:r w:rsidR="001D1140">
        <w:t xml:space="preserve"> </w:t>
      </w:r>
      <w:r w:rsidR="00624D4E">
        <w:t>zdravotním pojišťovnám</w:t>
      </w:r>
      <w:r w:rsidR="001D1140">
        <w:t xml:space="preserve"> byly vykazovány výkony spojené s pacientem využívajícím toto vybavení</w:t>
      </w:r>
      <w:r w:rsidR="00A33BBB">
        <w:t>.</w:t>
      </w:r>
      <w:r w:rsidR="00C34BEE">
        <w:t xml:space="preserve"> Jednalo se zejména o pacientská lůžka, </w:t>
      </w:r>
      <w:r w:rsidR="00C1269B">
        <w:t xml:space="preserve">operační stoly a lampy, </w:t>
      </w:r>
      <w:r w:rsidR="00C34BEE">
        <w:t>inkubátory, vyhřívaná lůžka pro kojence, vybavení k monitorování životních funkcí, ventilátory</w:t>
      </w:r>
      <w:r w:rsidR="00C1269B">
        <w:t xml:space="preserve"> </w:t>
      </w:r>
      <w:r w:rsidR="00C34BEE">
        <w:t xml:space="preserve">nebo </w:t>
      </w:r>
      <w:proofErr w:type="spellStart"/>
      <w:r w:rsidR="00C34BEE">
        <w:t>kardiotokografy</w:t>
      </w:r>
      <w:proofErr w:type="spellEnd"/>
      <w:r w:rsidR="00C34BEE">
        <w:t>.</w:t>
      </w:r>
      <w:r w:rsidR="00A33BBB">
        <w:t xml:space="preserve"> </w:t>
      </w:r>
      <w:r w:rsidR="00C1269B">
        <w:t>Změnu vedoucí ke zlepšení poskytované péče</w:t>
      </w:r>
      <w:r w:rsidR="00C34BEE">
        <w:t xml:space="preserve"> nebyl</w:t>
      </w:r>
      <w:r w:rsidR="00C1269B">
        <w:t>o</w:t>
      </w:r>
      <w:r w:rsidR="00C34BEE">
        <w:t xml:space="preserve"> možn</w:t>
      </w:r>
      <w:r w:rsidR="00C1269B">
        <w:t>é kvantifikovat</w:t>
      </w:r>
      <w:r w:rsidR="0011349D">
        <w:t>,</w:t>
      </w:r>
      <w:r w:rsidR="00C34BEE">
        <w:t xml:space="preserve"> a </w:t>
      </w:r>
      <w:r w:rsidR="0011349D">
        <w:t xml:space="preserve">proto NKÚ provedl </w:t>
      </w:r>
      <w:r w:rsidR="00C34BEE">
        <w:t xml:space="preserve">hodnocení účelnosti na základě ověření </w:t>
      </w:r>
      <w:r w:rsidR="00FD26C6">
        <w:t xml:space="preserve">pravdivosti </w:t>
      </w:r>
      <w:r w:rsidR="00C34BEE">
        <w:t>slovního popisu přínosu.</w:t>
      </w:r>
      <w:bookmarkEnd w:id="36"/>
    </w:p>
    <w:p w14:paraId="2B0C4D33" w14:textId="77777777" w:rsidR="00D45E09" w:rsidRPr="00A44D58" w:rsidRDefault="007E2A6B" w:rsidP="00D16947">
      <w:pPr>
        <w:pStyle w:val="JK4"/>
      </w:pPr>
      <w:r>
        <w:t>Celkem v 5</w:t>
      </w:r>
      <w:r w:rsidR="005C1E83">
        <w:t>1</w:t>
      </w:r>
      <w:r>
        <w:t xml:space="preserve"> případ</w:t>
      </w:r>
      <w:r w:rsidR="0011349D">
        <w:t>ech</w:t>
      </w:r>
      <w:r>
        <w:t xml:space="preserve"> kontrolovaného zdravotnického vybavení NKÚ zjistil, že </w:t>
      </w:r>
      <w:r w:rsidR="00A94E8A">
        <w:t xml:space="preserve">příjemci vynaložili veřejné prostředky ve výši </w:t>
      </w:r>
      <w:r w:rsidR="00EC5B89">
        <w:t>378,3</w:t>
      </w:r>
      <w:r w:rsidR="0098585C">
        <w:t xml:space="preserve"> </w:t>
      </w:r>
      <w:r w:rsidR="00A94E8A">
        <w:t xml:space="preserve">mil. Kč na </w:t>
      </w:r>
      <w:r w:rsidR="00E806BA">
        <w:t xml:space="preserve">jeho </w:t>
      </w:r>
      <w:r w:rsidR="00A94E8A">
        <w:t>pořízení účelně. V 3</w:t>
      </w:r>
      <w:r w:rsidR="005C1E83">
        <w:t>1</w:t>
      </w:r>
      <w:r w:rsidR="00A94E8A">
        <w:t xml:space="preserve"> případ</w:t>
      </w:r>
      <w:r w:rsidR="0011349D">
        <w:t>ech</w:t>
      </w:r>
      <w:r w:rsidR="00A94E8A">
        <w:t xml:space="preserve"> příjemci čerpali veřejné prostředky v celkové výši </w:t>
      </w:r>
      <w:r w:rsidR="005C1E83">
        <w:t>220,8</w:t>
      </w:r>
      <w:r w:rsidR="0098585C">
        <w:t xml:space="preserve"> </w:t>
      </w:r>
      <w:r w:rsidR="00A94E8A">
        <w:t xml:space="preserve">mil. Kč na pořízení zdravotnického vybavení účelně s mírnými nedostatky. </w:t>
      </w:r>
      <w:r w:rsidR="00DA3718">
        <w:t>Z</w:t>
      </w:r>
      <w:r w:rsidR="00A94E8A">
        <w:t xml:space="preserve">a mírný nedostatek </w:t>
      </w:r>
      <w:r w:rsidR="00DA3718">
        <w:t xml:space="preserve">při účelném čerpání veřejných prostředků </w:t>
      </w:r>
      <w:r w:rsidR="00A94E8A">
        <w:t xml:space="preserve">považuje </w:t>
      </w:r>
      <w:r w:rsidR="0011349D">
        <w:t xml:space="preserve">NKÚ </w:t>
      </w:r>
      <w:r w:rsidR="00A94E8A">
        <w:t xml:space="preserve">například neprovozování magnetické rezonance po dobu 10 měsíců od jejího pořízení </w:t>
      </w:r>
      <w:r w:rsidR="00DA3718">
        <w:t xml:space="preserve">příjemcem </w:t>
      </w:r>
      <w:r w:rsidR="00B74A15">
        <w:t>(</w:t>
      </w:r>
      <w:r w:rsidR="00B74A15" w:rsidRPr="00A44D58">
        <w:t xml:space="preserve">viz příklad č. </w:t>
      </w:r>
      <w:r w:rsidR="005F3201" w:rsidRPr="00A44D58">
        <w:t>4</w:t>
      </w:r>
      <w:r w:rsidR="00C23C47">
        <w:t xml:space="preserve"> na straně </w:t>
      </w:r>
      <w:r w:rsidR="00C23C47" w:rsidRPr="00C372F6">
        <w:t>20</w:t>
      </w:r>
      <w:r w:rsidR="00B74A15" w:rsidRPr="00A44D58">
        <w:t xml:space="preserve">) </w:t>
      </w:r>
      <w:r w:rsidR="00DA3718" w:rsidRPr="00A44D58">
        <w:t xml:space="preserve">nebo </w:t>
      </w:r>
      <w:r w:rsidR="0011349D">
        <w:t xml:space="preserve">to, že je </w:t>
      </w:r>
      <w:r w:rsidR="00A94E8A" w:rsidRPr="00A44D58">
        <w:t>magnetic</w:t>
      </w:r>
      <w:r w:rsidR="00EE3A7D" w:rsidRPr="00A44D58">
        <w:t>k</w:t>
      </w:r>
      <w:r w:rsidR="0011349D">
        <w:t>á</w:t>
      </w:r>
      <w:r w:rsidR="00A94E8A" w:rsidRPr="00A44D58">
        <w:t xml:space="preserve"> rezonanc</w:t>
      </w:r>
      <w:r w:rsidR="0011349D">
        <w:t>e</w:t>
      </w:r>
      <w:r w:rsidR="00EE3A7D" w:rsidRPr="00A44D58">
        <w:t xml:space="preserve"> pořízen</w:t>
      </w:r>
      <w:r w:rsidR="0011349D">
        <w:t>á</w:t>
      </w:r>
      <w:r w:rsidR="00A94E8A" w:rsidRPr="00A44D58">
        <w:t xml:space="preserve"> pro</w:t>
      </w:r>
      <w:r w:rsidR="0011349D">
        <w:t xml:space="preserve"> </w:t>
      </w:r>
      <w:r w:rsidR="0011349D" w:rsidRPr="00A44D58">
        <w:t xml:space="preserve">specializované </w:t>
      </w:r>
      <w:proofErr w:type="spellStart"/>
      <w:r w:rsidR="00DA3718" w:rsidRPr="00A44D58">
        <w:t>onkogynekologické</w:t>
      </w:r>
      <w:proofErr w:type="spellEnd"/>
      <w:r w:rsidR="00DA3718" w:rsidRPr="00A44D58">
        <w:t xml:space="preserve"> pracoviště</w:t>
      </w:r>
      <w:r w:rsidR="00A94E8A" w:rsidRPr="00A44D58">
        <w:t xml:space="preserve"> využívána </w:t>
      </w:r>
      <w:r w:rsidR="00EE3A7D" w:rsidRPr="00A44D58">
        <w:t xml:space="preserve">ve větší míře </w:t>
      </w:r>
      <w:r w:rsidR="00A94E8A" w:rsidRPr="00A44D58">
        <w:t xml:space="preserve">všemi </w:t>
      </w:r>
      <w:r w:rsidR="00EE3A7D" w:rsidRPr="00A44D58">
        <w:t xml:space="preserve">ostatními </w:t>
      </w:r>
      <w:r w:rsidR="00A94E8A" w:rsidRPr="00A44D58">
        <w:t>pacienty zdravotnického zařízení</w:t>
      </w:r>
      <w:r w:rsidR="00EE3A7D" w:rsidRPr="00A44D58">
        <w:t xml:space="preserve"> než cílovou skupinou</w:t>
      </w:r>
      <w:r w:rsidR="00A94E8A" w:rsidRPr="00A44D58">
        <w:t xml:space="preserve"> (viz příklad č. </w:t>
      </w:r>
      <w:r w:rsidR="00B74A15" w:rsidRPr="00A44D58">
        <w:t>2</w:t>
      </w:r>
      <w:r w:rsidR="00C23C47">
        <w:t xml:space="preserve"> na</w:t>
      </w:r>
      <w:r w:rsidR="00C372F6">
        <w:t> </w:t>
      </w:r>
      <w:r w:rsidR="00C23C47">
        <w:t xml:space="preserve">straně </w:t>
      </w:r>
      <w:r w:rsidR="00C23C47" w:rsidRPr="00C372F6">
        <w:t>17</w:t>
      </w:r>
      <w:r w:rsidR="00A94E8A" w:rsidRPr="00A44D58">
        <w:t>)</w:t>
      </w:r>
      <w:r w:rsidR="00DA3718" w:rsidRPr="00A44D58">
        <w:t>.</w:t>
      </w:r>
    </w:p>
    <w:p w14:paraId="11FA7293" w14:textId="77777777" w:rsidR="006B5DB6" w:rsidRPr="00A44D58" w:rsidRDefault="0011349D" w:rsidP="00D16947">
      <w:pPr>
        <w:pStyle w:val="JK4"/>
      </w:pPr>
      <w:r w:rsidRPr="00A44D58">
        <w:t xml:space="preserve">NKÚ </w:t>
      </w:r>
      <w:r>
        <w:t>p</w:t>
      </w:r>
      <w:r w:rsidR="007E2A6B" w:rsidRPr="00A44D58">
        <w:t>ouze v jednom případě</w:t>
      </w:r>
      <w:r w:rsidR="005F47CD" w:rsidRPr="00A44D58">
        <w:t xml:space="preserve"> </w:t>
      </w:r>
      <w:r w:rsidR="00DA3718" w:rsidRPr="00A44D58">
        <w:t xml:space="preserve">hodnotil veřejné prostředky na pořízení zdravotnického vybavení </w:t>
      </w:r>
      <w:r w:rsidR="004A7EA1" w:rsidRPr="00A44D58">
        <w:t xml:space="preserve">jako </w:t>
      </w:r>
      <w:r w:rsidR="00DA3718" w:rsidRPr="00A44D58">
        <w:t xml:space="preserve">omezeně </w:t>
      </w:r>
      <w:r w:rsidR="007E2A6B" w:rsidRPr="00A44D58">
        <w:t xml:space="preserve">účelné. </w:t>
      </w:r>
      <w:r w:rsidR="00026207" w:rsidRPr="00A44D58">
        <w:t xml:space="preserve">Jednalo se o anesteziologický přístroj k magnetické rezonanci, </w:t>
      </w:r>
      <w:r>
        <w:t>který</w:t>
      </w:r>
      <w:r w:rsidR="00026207" w:rsidRPr="00A44D58">
        <w:t xml:space="preserve"> příjemce </w:t>
      </w:r>
      <w:r w:rsidR="00E675DB" w:rsidRPr="00A44D58">
        <w:t xml:space="preserve">dodatečně </w:t>
      </w:r>
      <w:r w:rsidR="00026207" w:rsidRPr="00A44D58">
        <w:t>pořídil z</w:t>
      </w:r>
      <w:r w:rsidR="0098585C">
        <w:t xml:space="preserve"> </w:t>
      </w:r>
      <w:r w:rsidR="00026207" w:rsidRPr="00A44D58">
        <w:t xml:space="preserve">úspor </w:t>
      </w:r>
      <w:r w:rsidR="004A7EA1" w:rsidRPr="00A44D58">
        <w:t>projektu</w:t>
      </w:r>
      <w:r w:rsidR="00026207" w:rsidRPr="00A44D58">
        <w:t xml:space="preserve">. Na pořízení přístroje byly vynaloženy </w:t>
      </w:r>
      <w:r w:rsidR="003E74C1" w:rsidRPr="00A44D58">
        <w:t xml:space="preserve">dotační </w:t>
      </w:r>
      <w:r w:rsidR="00026207" w:rsidRPr="00A44D58">
        <w:t>prostředky v</w:t>
      </w:r>
      <w:r w:rsidR="0098585C">
        <w:t xml:space="preserve"> </w:t>
      </w:r>
      <w:r w:rsidR="00026207" w:rsidRPr="00A44D58">
        <w:t xml:space="preserve">celkové výši </w:t>
      </w:r>
      <w:r w:rsidR="009E5A02">
        <w:t>3,1</w:t>
      </w:r>
      <w:r w:rsidR="0098585C">
        <w:t xml:space="preserve"> </w:t>
      </w:r>
      <w:r w:rsidR="007E2A6B" w:rsidRPr="00A44D58">
        <w:t>mil.</w:t>
      </w:r>
      <w:r w:rsidR="00026207" w:rsidRPr="00A44D58">
        <w:t xml:space="preserve"> Kč.</w:t>
      </w:r>
      <w:r w:rsidR="007E2A6B" w:rsidRPr="00A44D58">
        <w:t xml:space="preserve"> Podrobnosti k</w:t>
      </w:r>
      <w:r w:rsidR="0098585C">
        <w:t xml:space="preserve"> </w:t>
      </w:r>
      <w:r w:rsidR="007E2A6B" w:rsidRPr="00A44D58">
        <w:t xml:space="preserve">zjištěné skutečnosti uvádí </w:t>
      </w:r>
      <w:r w:rsidR="0098585C">
        <w:br/>
      </w:r>
      <w:r w:rsidR="007E2A6B" w:rsidRPr="00A44D58">
        <w:t xml:space="preserve">příklad č. </w:t>
      </w:r>
      <w:r w:rsidR="005F3201" w:rsidRPr="00A44D58">
        <w:t>5</w:t>
      </w:r>
      <w:r w:rsidR="007E2A6B" w:rsidRPr="00A44D58">
        <w:t>.</w:t>
      </w:r>
    </w:p>
    <w:p w14:paraId="500A2B19" w14:textId="77777777" w:rsidR="00F82492" w:rsidRDefault="007E2A6B" w:rsidP="00776462">
      <w:pPr>
        <w:pStyle w:val="Nadpispklad"/>
      </w:pPr>
      <w:r>
        <w:lastRenderedPageBreak/>
        <w:t xml:space="preserve">Příklad č. </w:t>
      </w:r>
      <w:r w:rsidR="005F3201">
        <w:t>5</w:t>
      </w:r>
    </w:p>
    <w:p w14:paraId="312432AD" w14:textId="77777777" w:rsidR="00A20B7A" w:rsidRDefault="007E2A6B" w:rsidP="00EB3619">
      <w:pPr>
        <w:pStyle w:val="Pkladyvrmeku"/>
      </w:pPr>
      <w:r>
        <w:t>V</w:t>
      </w:r>
      <w:r w:rsidR="0011349D">
        <w:t xml:space="preserve"> </w:t>
      </w:r>
      <w:r>
        <w:t xml:space="preserve">žádosti o změnu </w:t>
      </w:r>
      <w:r w:rsidR="003E74C1">
        <w:t xml:space="preserve">projektu </w:t>
      </w:r>
      <w:r w:rsidR="003E74C1" w:rsidRPr="003E74C1">
        <w:t xml:space="preserve">CZ.06.2.56/0.0/0.0/16_043/0001208 Krajská nemocnice </w:t>
      </w:r>
      <w:r w:rsidR="0011349D">
        <w:br/>
      </w:r>
      <w:r w:rsidR="003E74C1" w:rsidRPr="003E74C1">
        <w:t>Liberec, a.s</w:t>
      </w:r>
      <w:r w:rsidR="003E74C1">
        <w:t>.</w:t>
      </w:r>
      <w:r w:rsidR="0011349D">
        <w:t>,</w:t>
      </w:r>
      <w:r w:rsidR="003E74C1">
        <w:t xml:space="preserve"> </w:t>
      </w:r>
      <w:r>
        <w:t>zdůvodnil</w:t>
      </w:r>
      <w:r w:rsidR="003E74C1">
        <w:t>a</w:t>
      </w:r>
      <w:r>
        <w:t xml:space="preserve"> potřebnost dodatečného pořízení anesteziologického přístroje pouze provozními důvody</w:t>
      </w:r>
      <w:r w:rsidR="003E74C1">
        <w:t xml:space="preserve">. Mimo jiné uvedla, že </w:t>
      </w:r>
      <w:r w:rsidR="00562921">
        <w:t>disponuje jedním anesteziologickým přístrojem pro</w:t>
      </w:r>
      <w:r w:rsidR="00FC0287">
        <w:t> </w:t>
      </w:r>
      <w:r w:rsidR="00562921">
        <w:t>dvě současně používané magnetické rezonance</w:t>
      </w:r>
      <w:r w:rsidR="003E74C1">
        <w:t xml:space="preserve"> a že se t</w:t>
      </w:r>
      <w:r w:rsidR="00562921">
        <w:t xml:space="preserve">ento stav </w:t>
      </w:r>
      <w:r w:rsidR="003E74C1">
        <w:t>ukazuje</w:t>
      </w:r>
      <w:r w:rsidR="00562921">
        <w:t xml:space="preserve"> z provozních důvodů jako nedostačující a omezující rychlos</w:t>
      </w:r>
      <w:r w:rsidR="003E74C1">
        <w:t>t</w:t>
      </w:r>
      <w:r w:rsidR="00562921">
        <w:t xml:space="preserve"> vyšetření pacientů s potřebou celkové anestezie. NKÚ </w:t>
      </w:r>
      <w:r w:rsidR="00AE609B">
        <w:t>při kontrole na místě ověřil, že obě magnetické rezonance jsou umístěny na</w:t>
      </w:r>
      <w:r w:rsidR="0011349D">
        <w:t xml:space="preserve"> </w:t>
      </w:r>
      <w:r w:rsidR="00AE609B">
        <w:t xml:space="preserve">jednom podlaží v malé vzdálenosti od sebe. Původní anesteziologický přístroj je tak přístupný pro obě magnetické rezonance. </w:t>
      </w:r>
      <w:r w:rsidR="003E74C1">
        <w:t xml:space="preserve">Nepotřebnost pořízení druhého anesteziologického přístroje dokládá také počet provedených vyšetření s využitím anestezie. </w:t>
      </w:r>
      <w:r w:rsidR="00AE609B">
        <w:t>Za rok 2021 příjemce vykázal 6 857 vyšetření na</w:t>
      </w:r>
      <w:r w:rsidR="00222E80">
        <w:t xml:space="preserve"> obou</w:t>
      </w:r>
      <w:r w:rsidR="00AE609B">
        <w:t xml:space="preserve"> magnetick</w:t>
      </w:r>
      <w:r w:rsidR="00222E80">
        <w:t>ých</w:t>
      </w:r>
      <w:r w:rsidR="00AE609B">
        <w:t xml:space="preserve"> rezonanc</w:t>
      </w:r>
      <w:r w:rsidR="00222E80">
        <w:t>ích</w:t>
      </w:r>
      <w:r w:rsidR="00AE609B">
        <w:t xml:space="preserve">, </w:t>
      </w:r>
      <w:r w:rsidR="0011349D">
        <w:t xml:space="preserve">z toho </w:t>
      </w:r>
      <w:r w:rsidR="00AE609B">
        <w:t xml:space="preserve">pouze 99 </w:t>
      </w:r>
      <w:r w:rsidR="0011349D">
        <w:t>vyšetření</w:t>
      </w:r>
      <w:r w:rsidR="00AE609B">
        <w:t xml:space="preserve"> bylo provedeno při použití anesteziologického přístroje. NKÚ proto vyhodnotil vynaložené prostředky jako účelné</w:t>
      </w:r>
      <w:r w:rsidR="002B480D">
        <w:t xml:space="preserve"> (i</w:t>
      </w:r>
      <w:r w:rsidR="00FC0287">
        <w:t> </w:t>
      </w:r>
      <w:r w:rsidR="002B480D">
        <w:t>hospodárné)</w:t>
      </w:r>
      <w:r w:rsidR="00AE609B">
        <w:t xml:space="preserve"> pouze omezeně.</w:t>
      </w:r>
      <w:r w:rsidR="00562921">
        <w:t xml:space="preserve"> </w:t>
      </w:r>
    </w:p>
    <w:p w14:paraId="54B8F375" w14:textId="77777777" w:rsidR="00EA78B7" w:rsidRDefault="007E2A6B" w:rsidP="00D16947">
      <w:pPr>
        <w:pStyle w:val="JK4"/>
      </w:pPr>
      <w:r>
        <w:t xml:space="preserve">U vybraných projektů </w:t>
      </w:r>
      <w:r w:rsidR="006B5DB6">
        <w:t>neidentifikoval</w:t>
      </w:r>
      <w:r>
        <w:t xml:space="preserve"> </w:t>
      </w:r>
      <w:r w:rsidR="0011349D">
        <w:t>NKÚ v</w:t>
      </w:r>
      <w:r w:rsidR="00344FDE">
        <w:t xml:space="preserve"> </w:t>
      </w:r>
      <w:r w:rsidR="00E70A80">
        <w:t>kontrolní</w:t>
      </w:r>
      <w:r w:rsidR="0011349D">
        <w:t>m</w:t>
      </w:r>
      <w:r w:rsidR="00E70A80">
        <w:t xml:space="preserve"> vzorku výdajů</w:t>
      </w:r>
      <w:r w:rsidR="0011349D" w:rsidRPr="0011349D">
        <w:t xml:space="preserve"> </w:t>
      </w:r>
      <w:r w:rsidR="0011349D">
        <w:t>žádné peněžní prostředky</w:t>
      </w:r>
      <w:r>
        <w:t xml:space="preserve">, které by </w:t>
      </w:r>
      <w:r w:rsidR="006B5DB6">
        <w:t xml:space="preserve">příjemci </w:t>
      </w:r>
      <w:r w:rsidR="00E70A80">
        <w:t>vynaložili</w:t>
      </w:r>
      <w:r w:rsidR="006B5DB6">
        <w:t xml:space="preserve"> na pořízení </w:t>
      </w:r>
      <w:r w:rsidR="00E70A80">
        <w:t xml:space="preserve">zdravotnického </w:t>
      </w:r>
      <w:r w:rsidR="00E70A80" w:rsidRPr="00A44D58">
        <w:t>vybavení</w:t>
      </w:r>
      <w:r w:rsidRPr="00A44D58">
        <w:t xml:space="preserve"> neúčelně.</w:t>
      </w:r>
      <w:r w:rsidR="00E70A80" w:rsidRPr="00A44D58">
        <w:t xml:space="preserve"> Souhrnný výsledek hodnocení účelnosti posuzovaných výdajů ukazuje názorně graf č. 2.</w:t>
      </w:r>
    </w:p>
    <w:p w14:paraId="5660BCD3" w14:textId="77777777" w:rsidR="00CA025D" w:rsidRDefault="007E2A6B" w:rsidP="0098585C">
      <w:pPr>
        <w:pStyle w:val="Nadpistabulkynebografu"/>
        <w:spacing w:after="0"/>
        <w:ind w:left="993" w:hanging="993"/>
      </w:pPr>
      <w:r w:rsidRPr="0008503E">
        <w:t xml:space="preserve">Graf č. </w:t>
      </w:r>
      <w:r>
        <w:t>2</w:t>
      </w:r>
      <w:r w:rsidRPr="0008503E">
        <w:t>:</w:t>
      </w:r>
      <w:r w:rsidRPr="0008503E">
        <w:tab/>
      </w:r>
      <w:r w:rsidRPr="00CA025D">
        <w:t xml:space="preserve">Souhrnný výsledek hodnocení účelnosti posuzovaných </w:t>
      </w:r>
      <w:r>
        <w:t>výdajů vynaložených na pořízení zdravotnického vybavení</w:t>
      </w:r>
    </w:p>
    <w:p w14:paraId="5838C504" w14:textId="77777777" w:rsidR="00CA025D" w:rsidRDefault="00DA0824" w:rsidP="001D1140">
      <w:pPr>
        <w:pStyle w:val="KPnormalni"/>
        <w:keepNext/>
        <w:jc w:val="center"/>
      </w:pPr>
      <w:r>
        <w:rPr>
          <w:noProof/>
        </w:rPr>
        <w:drawing>
          <wp:inline distT="0" distB="0" distL="0" distR="0" wp14:anchorId="0B423A06" wp14:editId="06B8B793">
            <wp:extent cx="5759450" cy="2585720"/>
            <wp:effectExtent l="0" t="0" r="0" b="5080"/>
            <wp:docPr id="25" name="Graf 25">
              <a:extLst xmlns:a="http://schemas.openxmlformats.org/drawingml/2006/main">
                <a:ext uri="{FF2B5EF4-FFF2-40B4-BE49-F238E27FC236}">
                  <a16:creationId xmlns:a16="http://schemas.microsoft.com/office/drawing/2014/main" id="{EAFD4980-A09D-4FA4-ABCA-4B97030180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EB068B" w14:textId="77777777" w:rsidR="00CA025D" w:rsidRPr="00CA025D" w:rsidRDefault="007E2A6B" w:rsidP="001D1140">
      <w:pPr>
        <w:pStyle w:val="Zdrojnebovysvtlivkapodtabulkou"/>
        <w:keepNext w:val="0"/>
        <w:keepLines w:val="0"/>
      </w:pPr>
      <w:r w:rsidRPr="00CA025D">
        <w:rPr>
          <w:b/>
        </w:rPr>
        <w:t>Zdroj:</w:t>
      </w:r>
      <w:r w:rsidRPr="00CA025D">
        <w:tab/>
        <w:t xml:space="preserve">vypracoval </w:t>
      </w:r>
      <w:r w:rsidRPr="00CA025D">
        <w:rPr>
          <w:noProof/>
          <w:lang w:eastAsia="cs-CZ"/>
        </w:rPr>
        <w:t>NKÚ z kontrolních protokolů týkajících se příjemců podpory.</w:t>
      </w:r>
    </w:p>
    <w:p w14:paraId="1766BF0A" w14:textId="77777777" w:rsidR="00A20B7A" w:rsidRPr="00A20B7A" w:rsidRDefault="007E2A6B" w:rsidP="00083B49">
      <w:pPr>
        <w:pStyle w:val="Mluvcnadpis"/>
        <w:spacing w:before="160"/>
      </w:pPr>
      <w:r w:rsidRPr="00A20B7A">
        <w:t>→</w:t>
      </w:r>
      <w:r w:rsidRPr="00A20B7A">
        <w:tab/>
      </w:r>
      <w:r w:rsidR="00EC59AB">
        <w:t xml:space="preserve">Pouze </w:t>
      </w:r>
      <w:r w:rsidR="002F593D">
        <w:t xml:space="preserve">ve třech projektech </w:t>
      </w:r>
      <w:r w:rsidR="002F593D" w:rsidRPr="00A7335D">
        <w:t>příjemci</w:t>
      </w:r>
      <w:r w:rsidR="00EC59AB">
        <w:t xml:space="preserve"> </w:t>
      </w:r>
      <w:r w:rsidR="002F593D">
        <w:t xml:space="preserve">čerpali dotaci </w:t>
      </w:r>
      <w:r w:rsidR="00EC59AB">
        <w:t>na pořízení hodnoceného zdravotnického vybavení</w:t>
      </w:r>
      <w:r w:rsidR="00973921">
        <w:t xml:space="preserve"> </w:t>
      </w:r>
      <w:r w:rsidR="00973921" w:rsidRPr="00083B49">
        <w:t>omezeně</w:t>
      </w:r>
      <w:r w:rsidR="00973921">
        <w:t xml:space="preserve"> hospodárně</w:t>
      </w:r>
      <w:r w:rsidR="00D212D6">
        <w:t>.</w:t>
      </w:r>
    </w:p>
    <w:p w14:paraId="5BBBB37B" w14:textId="77777777" w:rsidR="000F66A9" w:rsidRDefault="007E2A6B" w:rsidP="004F7FAB">
      <w:pPr>
        <w:pStyle w:val="JK4"/>
      </w:pPr>
      <w:r>
        <w:t xml:space="preserve">Hospodárnost prostředků vynaložených na pořízení zdravotnického vybavení hodnotil </w:t>
      </w:r>
      <w:r w:rsidR="000D475F">
        <w:t xml:space="preserve">NKÚ </w:t>
      </w:r>
      <w:r>
        <w:t>ze tří hledisek:</w:t>
      </w:r>
    </w:p>
    <w:p w14:paraId="4AE14F26" w14:textId="77777777" w:rsidR="006277F4" w:rsidRDefault="007E2A6B" w:rsidP="00C3436A">
      <w:pPr>
        <w:pStyle w:val="KP-normlnbezodsazen"/>
        <w:numPr>
          <w:ilvl w:val="0"/>
          <w:numId w:val="25"/>
        </w:numPr>
      </w:pPr>
      <w:r>
        <w:t xml:space="preserve">dodržení pravidel pro zadávací řízení, </w:t>
      </w:r>
    </w:p>
    <w:p w14:paraId="40A63A00" w14:textId="77777777" w:rsidR="006277F4" w:rsidRDefault="007E2A6B" w:rsidP="00C3436A">
      <w:pPr>
        <w:pStyle w:val="KP-normlnbezodsazen"/>
        <w:numPr>
          <w:ilvl w:val="0"/>
          <w:numId w:val="25"/>
        </w:numPr>
      </w:pPr>
      <w:r>
        <w:t>aktivní řízení dodavatelských vztahů příjemcem</w:t>
      </w:r>
      <w:r w:rsidR="00015744">
        <w:t xml:space="preserve">, </w:t>
      </w:r>
      <w:r w:rsidR="00371716">
        <w:t xml:space="preserve">tj. sjednání smluvních podmínek, </w:t>
      </w:r>
      <w:r w:rsidR="00015744" w:rsidRPr="00FF4770">
        <w:t>které preventivně zamez</w:t>
      </w:r>
      <w:r w:rsidR="00371716">
        <w:t>ují</w:t>
      </w:r>
      <w:r w:rsidR="00015744" w:rsidRPr="00FF4770">
        <w:t xml:space="preserve"> vzniku dodatečných nákladů</w:t>
      </w:r>
      <w:r w:rsidR="00371716">
        <w:t>,</w:t>
      </w:r>
      <w:r>
        <w:t xml:space="preserve"> </w:t>
      </w:r>
    </w:p>
    <w:p w14:paraId="440BD9A2" w14:textId="77777777" w:rsidR="000F66A9" w:rsidRPr="00A44D58" w:rsidRDefault="007E2A6B" w:rsidP="004F7FAB">
      <w:pPr>
        <w:pStyle w:val="KP-normlnbezodsazen"/>
        <w:numPr>
          <w:ilvl w:val="0"/>
          <w:numId w:val="25"/>
        </w:numPr>
        <w:spacing w:after="120"/>
      </w:pPr>
      <w:r>
        <w:t xml:space="preserve">přiměřené množství a kvalita pořizovaného zdravotnického vybavení, přičemž kvalita byla posuzována na základě </w:t>
      </w:r>
      <w:bookmarkStart w:id="37" w:name="_Hlk118030829"/>
      <w:r>
        <w:t xml:space="preserve">využívání všech </w:t>
      </w:r>
      <w:r w:rsidR="006A2E81">
        <w:t>užitných vlastností</w:t>
      </w:r>
      <w:bookmarkEnd w:id="37"/>
      <w:r>
        <w:t>, kterými zdravotnické vybavení disponovalo</w:t>
      </w:r>
      <w:r w:rsidR="00530E58">
        <w:t>, ve prospěch cílové skupiny</w:t>
      </w:r>
      <w:r>
        <w:t xml:space="preserve"> (</w:t>
      </w:r>
      <w:r w:rsidRPr="00A44D58">
        <w:t xml:space="preserve">podrobněji viz příloha č. </w:t>
      </w:r>
      <w:r w:rsidR="00306808" w:rsidRPr="00A44D58">
        <w:t>3</w:t>
      </w:r>
      <w:r w:rsidRPr="00A44D58">
        <w:t xml:space="preserve">). </w:t>
      </w:r>
    </w:p>
    <w:p w14:paraId="15A8E835" w14:textId="6993B144" w:rsidR="000F66A9" w:rsidRDefault="007E2A6B" w:rsidP="006277F4">
      <w:pPr>
        <w:pStyle w:val="KP-normlnbezodsazen"/>
      </w:pPr>
      <w:bookmarkStart w:id="38" w:name="_Hlk118030850"/>
      <w:r w:rsidRPr="00A44D58">
        <w:t xml:space="preserve">V případech, kdy nebylo možné ověřit u kontrolovaného zdravotnického vybavení využívání všech jeho </w:t>
      </w:r>
      <w:r w:rsidR="006A2E81" w:rsidRPr="00A44D58">
        <w:t xml:space="preserve">užitných vlastností (tj. </w:t>
      </w:r>
      <w:r w:rsidRPr="00A44D58">
        <w:t>dostupných funkcí, respektive funkcionalit</w:t>
      </w:r>
      <w:r w:rsidR="006A2E81" w:rsidRPr="00A44D58">
        <w:t>)</w:t>
      </w:r>
      <w:r w:rsidRPr="00A44D58">
        <w:t xml:space="preserve">, </w:t>
      </w:r>
      <w:bookmarkEnd w:id="38"/>
      <w:r w:rsidRPr="00A44D58">
        <w:t xml:space="preserve">bylo </w:t>
      </w:r>
      <w:r w:rsidR="00344FDE">
        <w:br/>
      </w:r>
      <w:r w:rsidRPr="00A44D58">
        <w:lastRenderedPageBreak/>
        <w:t xml:space="preserve">hodnocení založeno na </w:t>
      </w:r>
      <w:r w:rsidR="006277F4" w:rsidRPr="00A44D58">
        <w:t>prvních</w:t>
      </w:r>
      <w:r w:rsidRPr="00A44D58">
        <w:t xml:space="preserve"> dvou kritériích.</w:t>
      </w:r>
      <w:r w:rsidR="006277F4" w:rsidRPr="00A44D58">
        <w:t xml:space="preserve"> K</w:t>
      </w:r>
      <w:r w:rsidR="00344FDE">
        <w:t xml:space="preserve"> </w:t>
      </w:r>
      <w:r w:rsidR="006277F4" w:rsidRPr="00A44D58">
        <w:t xml:space="preserve">těmto případům patřila zejména skupina </w:t>
      </w:r>
      <w:r w:rsidR="00344FDE">
        <w:br/>
      </w:r>
      <w:r w:rsidR="006277F4" w:rsidRPr="00A44D58">
        <w:t xml:space="preserve">tzv. ošetřovatelského zdravotnického vybavení (viz odst. </w:t>
      </w:r>
      <w:r w:rsidR="006277F4" w:rsidRPr="00A44D58">
        <w:fldChar w:fldCharType="begin"/>
      </w:r>
      <w:r w:rsidR="006277F4" w:rsidRPr="00A44D58">
        <w:instrText xml:space="preserve"> REF _Ref117866051 \r \h  \* MERGEFORMAT </w:instrText>
      </w:r>
      <w:r w:rsidR="006277F4" w:rsidRPr="00A44D58">
        <w:fldChar w:fldCharType="separate"/>
      </w:r>
      <w:r w:rsidR="001825F1">
        <w:t>4.43</w:t>
      </w:r>
      <w:r w:rsidR="006277F4" w:rsidRPr="00A44D58">
        <w:fldChar w:fldCharType="end"/>
      </w:r>
      <w:r w:rsidR="006277F4" w:rsidRPr="00A44D58">
        <w:t>) a provedené</w:t>
      </w:r>
      <w:r w:rsidR="006277F4">
        <w:t xml:space="preserve"> stavební práce. </w:t>
      </w:r>
    </w:p>
    <w:p w14:paraId="0BE0F041" w14:textId="77777777" w:rsidR="00EA78B7" w:rsidRDefault="007E2A6B" w:rsidP="00D16947">
      <w:pPr>
        <w:pStyle w:val="JK4"/>
      </w:pPr>
      <w:r>
        <w:t>Celkem v</w:t>
      </w:r>
      <w:r w:rsidR="008B67CF">
        <w:t xml:space="preserve"> </w:t>
      </w:r>
      <w:r w:rsidR="009066F9">
        <w:t>8</w:t>
      </w:r>
      <w:r w:rsidR="005C1E83">
        <w:t>0</w:t>
      </w:r>
      <w:r w:rsidR="009066F9">
        <w:t xml:space="preserve"> </w:t>
      </w:r>
      <w:r>
        <w:t xml:space="preserve">případech příjemci vynaložili veřejné prostředky ve výši </w:t>
      </w:r>
      <w:r w:rsidR="00EC5B89">
        <w:t>475,6</w:t>
      </w:r>
      <w:r w:rsidR="0098585C">
        <w:t xml:space="preserve"> </w:t>
      </w:r>
      <w:r>
        <w:t>mil.</w:t>
      </w:r>
      <w:r w:rsidR="0098585C">
        <w:t xml:space="preserve"> </w:t>
      </w:r>
      <w:r>
        <w:t>Kč na</w:t>
      </w:r>
      <w:r w:rsidR="000D475F">
        <w:t xml:space="preserve"> </w:t>
      </w:r>
      <w:r>
        <w:t xml:space="preserve">pořízení </w:t>
      </w:r>
      <w:r w:rsidR="00552671">
        <w:t>zdravotnického vybavení hospodárn</w:t>
      </w:r>
      <w:r w:rsidR="00776462">
        <w:t>ě</w:t>
      </w:r>
      <w:r w:rsidR="00552671">
        <w:t xml:space="preserve">. </w:t>
      </w:r>
      <w:r w:rsidR="002B480D">
        <w:t xml:space="preserve">Jednalo se </w:t>
      </w:r>
      <w:r w:rsidR="003254F8">
        <w:t xml:space="preserve">zejména </w:t>
      </w:r>
      <w:r w:rsidR="002B480D">
        <w:t>o přístroje</w:t>
      </w:r>
      <w:r>
        <w:t xml:space="preserve"> nebo </w:t>
      </w:r>
      <w:r w:rsidR="002B480D">
        <w:t>zařízení, u kterých příjemci využíva</w:t>
      </w:r>
      <w:r>
        <w:t>li</w:t>
      </w:r>
      <w:r w:rsidR="002B480D">
        <w:t xml:space="preserve"> všechny </w:t>
      </w:r>
      <w:r>
        <w:t xml:space="preserve">jejich </w:t>
      </w:r>
      <w:r w:rsidR="002B480D">
        <w:t>funkce, které požadovali v rámci zadávacích řízení</w:t>
      </w:r>
      <w:r w:rsidR="000D475F">
        <w:t>,</w:t>
      </w:r>
      <w:r w:rsidR="002B480D">
        <w:t xml:space="preserve"> a</w:t>
      </w:r>
      <w:r w:rsidR="000D475F">
        <w:t xml:space="preserve"> </w:t>
      </w:r>
      <w:r>
        <w:t>byli</w:t>
      </w:r>
      <w:r w:rsidR="002B480D">
        <w:t xml:space="preserve"> schopni jejich využívání kvantifikovat a přiřadit ke konkrétním zdravotním výkonům</w:t>
      </w:r>
      <w:r w:rsidR="003254F8">
        <w:t xml:space="preserve">. Hospodárné čerpání dotace </w:t>
      </w:r>
      <w:r w:rsidR="000D475F">
        <w:t xml:space="preserve">zjistil </w:t>
      </w:r>
      <w:r w:rsidR="003254F8">
        <w:t xml:space="preserve">NKÚ </w:t>
      </w:r>
      <w:r w:rsidR="000D475F">
        <w:t>také</w:t>
      </w:r>
      <w:r w:rsidR="003254F8">
        <w:t xml:space="preserve"> u výdajů na pořízení </w:t>
      </w:r>
      <w:r w:rsidR="002B480D">
        <w:t xml:space="preserve">tzv. </w:t>
      </w:r>
      <w:r w:rsidR="003254F8">
        <w:t>ošetřovatelské</w:t>
      </w:r>
      <w:r w:rsidR="00371716">
        <w:t>ho</w:t>
      </w:r>
      <w:r w:rsidR="003254F8">
        <w:t xml:space="preserve"> zdravotnické</w:t>
      </w:r>
      <w:r w:rsidR="00371716">
        <w:t>ho</w:t>
      </w:r>
      <w:r w:rsidR="003254F8">
        <w:t xml:space="preserve"> vybavení</w:t>
      </w:r>
      <w:r w:rsidR="00B8406B">
        <w:t xml:space="preserve"> a stavební</w:t>
      </w:r>
      <w:r w:rsidR="00371716">
        <w:t>ch</w:t>
      </w:r>
      <w:r w:rsidR="00B8406B">
        <w:t xml:space="preserve"> pr</w:t>
      </w:r>
      <w:r w:rsidR="00CC3CCF">
        <w:t>a</w:t>
      </w:r>
      <w:r w:rsidR="00B8406B">
        <w:t>c</w:t>
      </w:r>
      <w:r w:rsidR="00371716">
        <w:t>í</w:t>
      </w:r>
      <w:r w:rsidR="00B8406B">
        <w:t>.</w:t>
      </w:r>
    </w:p>
    <w:p w14:paraId="4F6DAD87" w14:textId="77777777" w:rsidR="00026207" w:rsidRPr="00A44D58" w:rsidRDefault="007E2A6B" w:rsidP="00D16947">
      <w:pPr>
        <w:pStyle w:val="JK4"/>
      </w:pPr>
      <w:r>
        <w:t>Ve</w:t>
      </w:r>
      <w:r w:rsidR="00552671">
        <w:t xml:space="preserve"> </w:t>
      </w:r>
      <w:r w:rsidR="005C1E83">
        <w:t xml:space="preserve">třech </w:t>
      </w:r>
      <w:r>
        <w:t>případech NKÚ hodnotil</w:t>
      </w:r>
      <w:r w:rsidR="00552671">
        <w:t xml:space="preserve"> prostředk</w:t>
      </w:r>
      <w:r>
        <w:t xml:space="preserve">y ve výši </w:t>
      </w:r>
      <w:r w:rsidR="005C1E83">
        <w:t>111,9</w:t>
      </w:r>
      <w:r>
        <w:t> mil. Kč vynaložené</w:t>
      </w:r>
      <w:r w:rsidR="00552671">
        <w:t xml:space="preserve"> </w:t>
      </w:r>
      <w:r>
        <w:t xml:space="preserve">na pořízení dvou magnetických rezonancí </w:t>
      </w:r>
      <w:r w:rsidR="007B4B24">
        <w:t xml:space="preserve">a jednoho počítačového tomografu </w:t>
      </w:r>
      <w:r>
        <w:t>jako</w:t>
      </w:r>
      <w:r w:rsidR="00552671">
        <w:t xml:space="preserve"> hospodárné s mírnými nedostatky</w:t>
      </w:r>
      <w:r>
        <w:t xml:space="preserve">. </w:t>
      </w:r>
      <w:proofErr w:type="spellStart"/>
      <w:r w:rsidR="00274AE5">
        <w:t>Onkogynekologické</w:t>
      </w:r>
      <w:proofErr w:type="spellEnd"/>
      <w:r w:rsidR="00274AE5">
        <w:t xml:space="preserve"> specializované pracoviště </w:t>
      </w:r>
      <w:r>
        <w:t>Fakultní nemocnice v</w:t>
      </w:r>
      <w:r w:rsidR="00344FDE">
        <w:t xml:space="preserve"> </w:t>
      </w:r>
      <w:r>
        <w:t>Motole využíval</w:t>
      </w:r>
      <w:r w:rsidR="00274AE5">
        <w:t>o</w:t>
      </w:r>
      <w:r>
        <w:t xml:space="preserve"> vícekanálovou hlavo-krční cívku, kterou disponovala </w:t>
      </w:r>
      <w:r w:rsidR="00274AE5">
        <w:t xml:space="preserve">jím </w:t>
      </w:r>
      <w:r>
        <w:t>zakoupená magnetická rezonance, k</w:t>
      </w:r>
      <w:r w:rsidR="00344FDE">
        <w:t xml:space="preserve"> </w:t>
      </w:r>
      <w:r>
        <w:t xml:space="preserve">vyšetření </w:t>
      </w:r>
      <w:proofErr w:type="spellStart"/>
      <w:r>
        <w:t>onkogynekologických</w:t>
      </w:r>
      <w:proofErr w:type="spellEnd"/>
      <w:r>
        <w:t xml:space="preserve"> pacientek </w:t>
      </w:r>
      <w:r w:rsidR="00274AE5">
        <w:t>v</w:t>
      </w:r>
      <w:r w:rsidR="00344FDE">
        <w:t xml:space="preserve"> </w:t>
      </w:r>
      <w:r w:rsidR="00274AE5">
        <w:t>počtu nižších desítek ročně (</w:t>
      </w:r>
      <w:r w:rsidR="00274AE5" w:rsidRPr="00E806BA">
        <w:t xml:space="preserve">podrobněji viz </w:t>
      </w:r>
      <w:r w:rsidR="00274AE5" w:rsidRPr="00A44D58">
        <w:t xml:space="preserve">příklad č. </w:t>
      </w:r>
      <w:r w:rsidR="00B74A15" w:rsidRPr="00A44D58">
        <w:t>2</w:t>
      </w:r>
      <w:r w:rsidR="00274AE5" w:rsidRPr="00A44D58">
        <w:t>). V případě magnetické rezonance</w:t>
      </w:r>
      <w:r w:rsidR="00F81B5D" w:rsidRPr="00A44D58">
        <w:t>, kterou Nemocnice s poliklinikou Česká Lípa, a.s.</w:t>
      </w:r>
      <w:r w:rsidR="000D475F">
        <w:t>,</w:t>
      </w:r>
      <w:r w:rsidR="00F81B5D" w:rsidRPr="00A44D58">
        <w:t xml:space="preserve"> pořídila</w:t>
      </w:r>
      <w:r w:rsidR="00274AE5" w:rsidRPr="00A44D58">
        <w:t xml:space="preserve"> </w:t>
      </w:r>
      <w:r w:rsidR="00F81B5D" w:rsidRPr="00A44D58">
        <w:t>v prosinci 2018,</w:t>
      </w:r>
      <w:r w:rsidR="00274AE5" w:rsidRPr="00A44D58">
        <w:t xml:space="preserve"> zjistil NKÚ</w:t>
      </w:r>
      <w:r w:rsidR="0037478B" w:rsidRPr="00A44D58">
        <w:t xml:space="preserve">, že </w:t>
      </w:r>
      <w:r w:rsidR="00F81B5D" w:rsidRPr="00A44D58">
        <w:t>jednu přídavnou cívku využívala</w:t>
      </w:r>
      <w:r w:rsidR="0037478B" w:rsidRPr="00A44D58">
        <w:t xml:space="preserve"> až od října 2021</w:t>
      </w:r>
      <w:r w:rsidR="00F81B5D" w:rsidRPr="00A44D58">
        <w:t>. Zároveň do</w:t>
      </w:r>
      <w:r w:rsidR="000D475F">
        <w:t xml:space="preserve"> </w:t>
      </w:r>
      <w:r w:rsidR="00F81B5D" w:rsidRPr="00A44D58">
        <w:t>srpna 2022 nepoužívala</w:t>
      </w:r>
      <w:r w:rsidR="0037478B" w:rsidRPr="00A44D58">
        <w:t xml:space="preserve"> některé softwarové vybavení,</w:t>
      </w:r>
      <w:r w:rsidR="00F81B5D" w:rsidRPr="00A44D58">
        <w:t xml:space="preserve"> které požadovala</w:t>
      </w:r>
      <w:r w:rsidR="0037478B" w:rsidRPr="00A44D58">
        <w:t xml:space="preserve"> </w:t>
      </w:r>
      <w:r w:rsidR="00F81B5D" w:rsidRPr="00A44D58">
        <w:t>v rámci zadávacího řízení. Podrobnosti uvádí</w:t>
      </w:r>
      <w:r w:rsidR="0037478B" w:rsidRPr="00A44D58">
        <w:t xml:space="preserve"> příklad č. </w:t>
      </w:r>
      <w:r w:rsidR="005F3201" w:rsidRPr="00A44D58">
        <w:t>6</w:t>
      </w:r>
      <w:r w:rsidR="0037478B" w:rsidRPr="00A44D58">
        <w:t>.</w:t>
      </w:r>
      <w:r w:rsidR="007B4B24">
        <w:t xml:space="preserve"> </w:t>
      </w:r>
      <w:bookmarkStart w:id="39" w:name="_Hlk120700658"/>
      <w:r w:rsidR="00274ABE">
        <w:t>Fakultní nemocnice Ostrava pořídila počítačový tomograf s užitnými vlastnostmi</w:t>
      </w:r>
      <w:r w:rsidR="00732043">
        <w:t xml:space="preserve"> (například možnost </w:t>
      </w:r>
      <w:r w:rsidR="00732043" w:rsidRPr="00732043">
        <w:t>vyšetření pacienta s</w:t>
      </w:r>
      <w:r w:rsidR="00732043">
        <w:t> </w:t>
      </w:r>
      <w:r w:rsidR="00732043" w:rsidRPr="00732043">
        <w:t xml:space="preserve">hmotností nad 200 </w:t>
      </w:r>
      <w:r w:rsidR="00732043">
        <w:t>k</w:t>
      </w:r>
      <w:r w:rsidR="00732043" w:rsidRPr="00732043">
        <w:t>g</w:t>
      </w:r>
      <w:r w:rsidR="00732043">
        <w:t>)</w:t>
      </w:r>
      <w:r w:rsidR="007B4B24">
        <w:t xml:space="preserve">, </w:t>
      </w:r>
      <w:r w:rsidR="00274ABE">
        <w:t>jejichž využívání</w:t>
      </w:r>
      <w:r w:rsidR="007B4B24">
        <w:t xml:space="preserve"> </w:t>
      </w:r>
      <w:r w:rsidR="00274ABE">
        <w:t xml:space="preserve">nebylo možné kontrolou </w:t>
      </w:r>
      <w:r w:rsidR="007B4B24">
        <w:t>NKÚ ověřit</w:t>
      </w:r>
      <w:r w:rsidR="009E30AD">
        <w:t xml:space="preserve">, protože nemocnice </w:t>
      </w:r>
      <w:r w:rsidR="0030744C">
        <w:t>tyto údaje</w:t>
      </w:r>
      <w:r w:rsidR="002A7B93">
        <w:t xml:space="preserve"> </w:t>
      </w:r>
      <w:r w:rsidR="0044302C">
        <w:t>nesleduje</w:t>
      </w:r>
      <w:r w:rsidR="00274ABE">
        <w:t>.</w:t>
      </w:r>
      <w:bookmarkEnd w:id="39"/>
    </w:p>
    <w:p w14:paraId="3DA6EB8F" w14:textId="77777777" w:rsidR="0037478B" w:rsidRDefault="007E2A6B" w:rsidP="00776462">
      <w:pPr>
        <w:pStyle w:val="Nadpispklad"/>
      </w:pPr>
      <w:r>
        <w:t xml:space="preserve">Příklad č. </w:t>
      </w:r>
      <w:r w:rsidR="005F3201">
        <w:t>6</w:t>
      </w:r>
    </w:p>
    <w:p w14:paraId="47A7ACC8" w14:textId="77777777" w:rsidR="0037478B" w:rsidRDefault="007E2A6B" w:rsidP="00EB3619">
      <w:pPr>
        <w:pStyle w:val="Pkladyvrmeku"/>
      </w:pPr>
      <w:r>
        <w:t>V prosinci 2018 Nemocnice s poliklinikou Česká Lípa, a.s.</w:t>
      </w:r>
      <w:r w:rsidR="000D475F">
        <w:t>,</w:t>
      </w:r>
      <w:r>
        <w:t xml:space="preserve"> pořídil</w:t>
      </w:r>
      <w:r w:rsidR="000D7D97">
        <w:t>a</w:t>
      </w:r>
      <w:r>
        <w:t xml:space="preserve"> magnetickou rezonanci </w:t>
      </w:r>
      <w:r w:rsidR="00E46955" w:rsidRPr="00426460">
        <w:t>v rámci projektu CZ.06.2.56/0.0/0.0/16_043/0001241</w:t>
      </w:r>
      <w:r w:rsidR="00E46955">
        <w:t xml:space="preserve">. Přístroj </w:t>
      </w:r>
      <w:r w:rsidR="00E46955" w:rsidRPr="00426460">
        <w:t xml:space="preserve">byl využíván </w:t>
      </w:r>
      <w:r w:rsidR="00F9133F">
        <w:t>až</w:t>
      </w:r>
      <w:r w:rsidR="00E46955" w:rsidRPr="00426460">
        <w:t xml:space="preserve"> od listopadu 2019</w:t>
      </w:r>
      <w:r w:rsidR="00E46955">
        <w:t xml:space="preserve">. </w:t>
      </w:r>
      <w:r w:rsidR="000D7D97">
        <w:t>Nemocnice</w:t>
      </w:r>
      <w:r w:rsidR="00E46955">
        <w:t xml:space="preserve"> </w:t>
      </w:r>
      <w:r>
        <w:t>poskytl</w:t>
      </w:r>
      <w:r w:rsidR="000D7D97">
        <w:t>a</w:t>
      </w:r>
      <w:r>
        <w:t xml:space="preserve"> NKÚ</w:t>
      </w:r>
      <w:r w:rsidRPr="0037478B">
        <w:t xml:space="preserve"> informace o využití jednotlivých přídavných cívek a</w:t>
      </w:r>
      <w:r w:rsidR="004B35E1">
        <w:t> </w:t>
      </w:r>
      <w:r w:rsidRPr="0037478B">
        <w:t xml:space="preserve">přehled výkonů </w:t>
      </w:r>
      <w:r>
        <w:t xml:space="preserve">provedených na magnetické rezonanci a </w:t>
      </w:r>
      <w:r w:rsidRPr="0037478B">
        <w:t>vykazovaných zdravotním pojišťovnám.</w:t>
      </w:r>
      <w:r>
        <w:t xml:space="preserve"> Z</w:t>
      </w:r>
      <w:r w:rsidR="00E46955">
        <w:t> </w:t>
      </w:r>
      <w:r>
        <w:t>přehledu</w:t>
      </w:r>
      <w:r w:rsidR="00E46955">
        <w:t xml:space="preserve"> za rok 2021</w:t>
      </w:r>
      <w:r>
        <w:t xml:space="preserve"> vyplynulo, že </w:t>
      </w:r>
      <w:r w:rsidR="00E46955" w:rsidRPr="00E46955">
        <w:t>cívk</w:t>
      </w:r>
      <w:r w:rsidR="00E46955">
        <w:t>a</w:t>
      </w:r>
      <w:r w:rsidR="00E46955" w:rsidRPr="00E46955">
        <w:t xml:space="preserve"> pro vyšetření a biopsii prsu </w:t>
      </w:r>
      <w:r w:rsidR="00E46955">
        <w:t xml:space="preserve">byla </w:t>
      </w:r>
      <w:r w:rsidR="00F9133F">
        <w:t>používána</w:t>
      </w:r>
      <w:r w:rsidR="00F9133F" w:rsidRPr="00E46955">
        <w:t xml:space="preserve"> </w:t>
      </w:r>
      <w:r w:rsidR="00E46955" w:rsidRPr="00E46955">
        <w:t>k</w:t>
      </w:r>
      <w:r w:rsidR="00CC69E0">
        <w:t> </w:t>
      </w:r>
      <w:r w:rsidR="00E46955" w:rsidRPr="00E46955">
        <w:t>vyšetření pacient</w:t>
      </w:r>
      <w:r w:rsidR="00E46955">
        <w:t>ek</w:t>
      </w:r>
      <w:r w:rsidR="00E46955" w:rsidRPr="00E46955">
        <w:t xml:space="preserve"> až od října 2021.</w:t>
      </w:r>
    </w:p>
    <w:p w14:paraId="069C5AB6" w14:textId="77777777" w:rsidR="00E46955" w:rsidRPr="00AE609B" w:rsidRDefault="007E2A6B" w:rsidP="00EB3619">
      <w:pPr>
        <w:pStyle w:val="Pkladyvrmeku"/>
      </w:pPr>
      <w:r>
        <w:t>Nemocnice s poliklinikou Česká Lípa, a.s.</w:t>
      </w:r>
      <w:r w:rsidR="000D475F">
        <w:t>,</w:t>
      </w:r>
      <w:r>
        <w:t xml:space="preserve"> </w:t>
      </w:r>
      <w:r w:rsidRPr="00E46955">
        <w:t>vykaz</w:t>
      </w:r>
      <w:r>
        <w:t>ovala</w:t>
      </w:r>
      <w:r w:rsidRPr="00E46955">
        <w:t xml:space="preserve"> zdravotním pojišťovnám na magnetické rezonanci čtyři druhy výkonů. K vyšetření pacientů v</w:t>
      </w:r>
      <w:r>
        <w:t> době provedení kontroly NKÚ</w:t>
      </w:r>
      <w:r w:rsidRPr="00E46955">
        <w:t xml:space="preserve"> nepoužív</w:t>
      </w:r>
      <w:r>
        <w:t>ala celkem</w:t>
      </w:r>
      <w:r w:rsidRPr="00E46955">
        <w:t xml:space="preserve"> </w:t>
      </w:r>
      <w:r>
        <w:t>pět</w:t>
      </w:r>
      <w:r w:rsidRPr="00E46955">
        <w:t xml:space="preserve"> softwarových paketů na spektrometrii a specializovaná vyšetření srdce, přestože </w:t>
      </w:r>
      <w:r>
        <w:t>je</w:t>
      </w:r>
      <w:r w:rsidRPr="00E46955">
        <w:t xml:space="preserve"> na tyto druhy vyšetření požadovala v zadávacím řízení</w:t>
      </w:r>
      <w:r>
        <w:t>.</w:t>
      </w:r>
      <w:r w:rsidRPr="00E46955">
        <w:t xml:space="preserve"> </w:t>
      </w:r>
      <w:r>
        <w:t xml:space="preserve">Důvodem byl </w:t>
      </w:r>
      <w:r w:rsidR="00371716">
        <w:t>nedostatek</w:t>
      </w:r>
      <w:r w:rsidR="001615AF">
        <w:t xml:space="preserve"> speciálně zaškoleného </w:t>
      </w:r>
      <w:r w:rsidRPr="00E46955">
        <w:t>personál</w:t>
      </w:r>
      <w:r w:rsidR="001615AF">
        <w:t>u</w:t>
      </w:r>
      <w:r w:rsidRPr="00E46955">
        <w:t xml:space="preserve"> radiodiagnostického</w:t>
      </w:r>
      <w:r w:rsidR="001615AF">
        <w:t xml:space="preserve"> </w:t>
      </w:r>
      <w:r w:rsidRPr="00E46955">
        <w:t>oddělení.</w:t>
      </w:r>
    </w:p>
    <w:p w14:paraId="3750BABB" w14:textId="77777777" w:rsidR="002B480D" w:rsidRDefault="007E2A6B" w:rsidP="00A00C4D">
      <w:pPr>
        <w:pStyle w:val="JK4"/>
      </w:pPr>
      <w:r>
        <w:t xml:space="preserve">Ve třech případech </w:t>
      </w:r>
      <w:r w:rsidR="00ED6661">
        <w:t>hodnotil NKÚ veřejné prostředky v</w:t>
      </w:r>
      <w:r w:rsidR="00862A97">
        <w:t xml:space="preserve"> celkové</w:t>
      </w:r>
      <w:r w:rsidR="00ED6661">
        <w:t xml:space="preserve"> výši </w:t>
      </w:r>
      <w:r w:rsidR="00EC5B89">
        <w:t>27,1</w:t>
      </w:r>
      <w:r w:rsidR="00877224">
        <w:t xml:space="preserve"> </w:t>
      </w:r>
      <w:r w:rsidR="00862A97">
        <w:t>mil.</w:t>
      </w:r>
      <w:r w:rsidR="00877224">
        <w:t xml:space="preserve"> </w:t>
      </w:r>
      <w:r w:rsidR="00862A97">
        <w:t xml:space="preserve">Kč </w:t>
      </w:r>
      <w:r w:rsidR="00ED6661">
        <w:t>na</w:t>
      </w:r>
      <w:r w:rsidR="00877224">
        <w:t xml:space="preserve"> </w:t>
      </w:r>
      <w:r w:rsidR="00ED6661">
        <w:t xml:space="preserve">pořízení zdravotnického vybavení </w:t>
      </w:r>
      <w:r w:rsidR="00556BBE">
        <w:t xml:space="preserve">jako </w:t>
      </w:r>
      <w:r w:rsidR="00ED6661">
        <w:t xml:space="preserve">omezeně </w:t>
      </w:r>
      <w:r>
        <w:t>hospodárné.</w:t>
      </w:r>
      <w:r w:rsidR="00502F2B">
        <w:t xml:space="preserve"> </w:t>
      </w:r>
      <w:r w:rsidR="00AE609B">
        <w:t>Jednalo se o</w:t>
      </w:r>
      <w:r w:rsidR="00862A97">
        <w:t xml:space="preserve"> výdaje vynaložené na </w:t>
      </w:r>
      <w:r w:rsidR="000D7D97">
        <w:t>nákup</w:t>
      </w:r>
      <w:r w:rsidR="00AE609B">
        <w:t>:</w:t>
      </w:r>
    </w:p>
    <w:p w14:paraId="2F185DC5" w14:textId="77777777" w:rsidR="00862A97" w:rsidRPr="00A44D58" w:rsidRDefault="007E2A6B" w:rsidP="00C3436A">
      <w:pPr>
        <w:pStyle w:val="KP-normlnbezodsazen"/>
        <w:numPr>
          <w:ilvl w:val="0"/>
          <w:numId w:val="24"/>
        </w:numPr>
        <w:ind w:left="714" w:hanging="357"/>
      </w:pPr>
      <w:r>
        <w:t>anesteziologického přístroje k magnetické rezonanci</w:t>
      </w:r>
      <w:r w:rsidR="00183F3F">
        <w:t xml:space="preserve">, </w:t>
      </w:r>
      <w:r w:rsidR="00A00C4D">
        <w:t>který</w:t>
      </w:r>
      <w:r w:rsidR="00183F3F">
        <w:t xml:space="preserve"> příjemce pořídil </w:t>
      </w:r>
      <w:r w:rsidR="00556BBE">
        <w:t xml:space="preserve">omezeně </w:t>
      </w:r>
      <w:r w:rsidR="00183F3F">
        <w:t>účelně</w:t>
      </w:r>
      <w:r>
        <w:t xml:space="preserve"> (</w:t>
      </w:r>
      <w:r w:rsidRPr="00A44D58">
        <w:t xml:space="preserve">viz příklad č. </w:t>
      </w:r>
      <w:r w:rsidR="005F3201" w:rsidRPr="00A44D58">
        <w:t>5</w:t>
      </w:r>
      <w:r w:rsidRPr="00A44D58">
        <w:t>);</w:t>
      </w:r>
    </w:p>
    <w:p w14:paraId="54D20D21" w14:textId="77777777" w:rsidR="003D4D26" w:rsidRPr="00A44D58" w:rsidRDefault="007E2A6B" w:rsidP="00C3436A">
      <w:pPr>
        <w:pStyle w:val="KP-normlnbezodsazen"/>
        <w:numPr>
          <w:ilvl w:val="0"/>
          <w:numId w:val="24"/>
        </w:numPr>
        <w:ind w:left="714" w:hanging="357"/>
      </w:pPr>
      <w:r w:rsidRPr="00A44D58">
        <w:t>operačních stolů</w:t>
      </w:r>
      <w:r w:rsidR="00836345" w:rsidRPr="00A44D58">
        <w:t xml:space="preserve"> pořízených</w:t>
      </w:r>
      <w:r w:rsidRPr="00A44D58">
        <w:t xml:space="preserve"> </w:t>
      </w:r>
      <w:r w:rsidR="00836345" w:rsidRPr="00A44D58">
        <w:t xml:space="preserve">v rámci dvou projektů </w:t>
      </w:r>
      <w:r w:rsidRPr="00A44D58">
        <w:t>v</w:t>
      </w:r>
      <w:r w:rsidR="00371716" w:rsidRPr="00A44D58">
        <w:t> </w:t>
      </w:r>
      <w:r w:rsidRPr="00A44D58">
        <w:t>nepřiměřené</w:t>
      </w:r>
      <w:r w:rsidR="00371716" w:rsidRPr="00A44D58">
        <w:t>m množství a</w:t>
      </w:r>
      <w:r w:rsidRPr="00A44D58">
        <w:t xml:space="preserve"> kvalitě, respektive </w:t>
      </w:r>
      <w:r w:rsidR="00836345" w:rsidRPr="00A44D58">
        <w:t xml:space="preserve">s předimenzovanými </w:t>
      </w:r>
      <w:r w:rsidRPr="00A44D58">
        <w:t>technick</w:t>
      </w:r>
      <w:r w:rsidR="00836345" w:rsidRPr="00A44D58">
        <w:t>ými</w:t>
      </w:r>
      <w:r w:rsidRPr="00A44D58">
        <w:t xml:space="preserve"> parametry</w:t>
      </w:r>
      <w:r w:rsidR="00836345" w:rsidRPr="00A44D58">
        <w:t xml:space="preserve">, které se týkaly </w:t>
      </w:r>
      <w:r w:rsidR="00EB3619" w:rsidRPr="00A44D58">
        <w:t xml:space="preserve">jejich </w:t>
      </w:r>
      <w:r w:rsidR="00836345" w:rsidRPr="00A44D58">
        <w:t xml:space="preserve">nosnosti </w:t>
      </w:r>
      <w:r w:rsidRPr="00A44D58">
        <w:t>(viz příklad</w:t>
      </w:r>
      <w:r w:rsidR="000D7D97">
        <w:t>y</w:t>
      </w:r>
      <w:r w:rsidRPr="00A44D58">
        <w:t xml:space="preserve"> č. </w:t>
      </w:r>
      <w:r w:rsidR="005F3201" w:rsidRPr="00A44D58">
        <w:t>7</w:t>
      </w:r>
      <w:r w:rsidRPr="00A44D58">
        <w:t xml:space="preserve"> </w:t>
      </w:r>
      <w:r w:rsidR="00836345" w:rsidRPr="00A44D58">
        <w:t xml:space="preserve">a č. </w:t>
      </w:r>
      <w:r w:rsidR="005F3201" w:rsidRPr="00A44D58">
        <w:t>8</w:t>
      </w:r>
      <w:r w:rsidRPr="00A44D58">
        <w:t>)</w:t>
      </w:r>
      <w:r w:rsidR="00836345" w:rsidRPr="00A44D58">
        <w:t>.</w:t>
      </w:r>
    </w:p>
    <w:p w14:paraId="194E9E88" w14:textId="77777777" w:rsidR="003D4D26" w:rsidRPr="003D4D26" w:rsidRDefault="007E2A6B" w:rsidP="00776462">
      <w:pPr>
        <w:pStyle w:val="Nadpispklad"/>
        <w:rPr>
          <w:color w:val="000000"/>
          <w14:textFill>
            <w14:solidFill>
              <w14:srgbClr w14:val="000000">
                <w14:lumMod w14:val="50000"/>
              </w14:srgbClr>
            </w14:solidFill>
          </w14:textFill>
        </w:rPr>
      </w:pPr>
      <w:r>
        <w:lastRenderedPageBreak/>
        <w:t xml:space="preserve">Příklad č. </w:t>
      </w:r>
      <w:r w:rsidR="005F3201">
        <w:t>7</w:t>
      </w:r>
    </w:p>
    <w:p w14:paraId="78247E53" w14:textId="77777777" w:rsidR="003D4D26" w:rsidRPr="00AE609B" w:rsidRDefault="007E2A6B" w:rsidP="00EB3619">
      <w:pPr>
        <w:pStyle w:val="Pkladyvrmeku"/>
      </w:pPr>
      <w:r w:rsidRPr="003D4D26">
        <w:t>Nemocnice Vyškov</w:t>
      </w:r>
      <w:r>
        <w:t>, příspěvková organizace</w:t>
      </w:r>
      <w:r w:rsidR="000D7D97">
        <w:t>,</w:t>
      </w:r>
      <w:r w:rsidRPr="003D4D26">
        <w:t xml:space="preserve"> </w:t>
      </w:r>
      <w:r>
        <w:t xml:space="preserve">zakoupila v roce 2018 v rámci projektu </w:t>
      </w:r>
      <w:r w:rsidRPr="003D4D26">
        <w:t>CZ.06.2.56/0.0/0.0/16_043/0001469</w:t>
      </w:r>
      <w:r>
        <w:t xml:space="preserve"> tři</w:t>
      </w:r>
      <w:r w:rsidRPr="003D4D26">
        <w:t xml:space="preserve"> operační stol</w:t>
      </w:r>
      <w:r>
        <w:t>y s vyšší nosností, aby mohla</w:t>
      </w:r>
      <w:r w:rsidRPr="003D4D26">
        <w:t xml:space="preserve"> provádět operace pacientů s morbidní obezitou a </w:t>
      </w:r>
      <w:r>
        <w:t>v budoucnu</w:t>
      </w:r>
      <w:r w:rsidRPr="003D4D26">
        <w:t xml:space="preserve"> tzv. </w:t>
      </w:r>
      <w:proofErr w:type="spellStart"/>
      <w:r w:rsidRPr="003D4D26">
        <w:t>bariatrick</w:t>
      </w:r>
      <w:r>
        <w:t>ou</w:t>
      </w:r>
      <w:proofErr w:type="spellEnd"/>
      <w:r w:rsidRPr="003D4D26">
        <w:t xml:space="preserve"> operativu. Všechny tři stoly </w:t>
      </w:r>
      <w:r>
        <w:t>měly</w:t>
      </w:r>
      <w:r w:rsidRPr="003D4D26">
        <w:t xml:space="preserve"> nosnost v nulové poloze 360 kg</w:t>
      </w:r>
      <w:r w:rsidR="00836345" w:rsidRPr="003D4D26">
        <w:t>, při</w:t>
      </w:r>
      <w:r w:rsidRPr="003D4D26">
        <w:t xml:space="preserve"> polohování, které vyžadují některé druhy operací</w:t>
      </w:r>
      <w:r>
        <w:t>,</w:t>
      </w:r>
      <w:r w:rsidRPr="003D4D26">
        <w:t xml:space="preserve"> se nosnost stolu snižuje na 245 kg.</w:t>
      </w:r>
      <w:r>
        <w:t xml:space="preserve"> </w:t>
      </w:r>
      <w:r w:rsidR="00836345" w:rsidRPr="00836345">
        <w:t>P</w:t>
      </w:r>
      <w:r w:rsidR="000D7D97">
        <w:t>odíl</w:t>
      </w:r>
      <w:r w:rsidR="00836345" w:rsidRPr="00836345">
        <w:t xml:space="preserve"> operací pacientů </w:t>
      </w:r>
      <w:r w:rsidR="00836345" w:rsidRPr="003D4D26">
        <w:t>s</w:t>
      </w:r>
      <w:r w:rsidR="00FC0287">
        <w:t> </w:t>
      </w:r>
      <w:r w:rsidR="00836345" w:rsidRPr="003D4D26">
        <w:t xml:space="preserve">obezitou III. stupně </w:t>
      </w:r>
      <w:r w:rsidR="00836345" w:rsidRPr="00836345">
        <w:t xml:space="preserve">na celkové operativě činil v letech 2016–2021 cca 2 %. V </w:t>
      </w:r>
      <w:r w:rsidR="001D1140">
        <w:t>tomto</w:t>
      </w:r>
      <w:r w:rsidR="00836345" w:rsidRPr="00836345">
        <w:t xml:space="preserve"> období nebyl operován žádný pacient s váhou 250 kg a více.</w:t>
      </w:r>
      <w:r w:rsidR="00836345">
        <w:t xml:space="preserve"> </w:t>
      </w:r>
      <w:r w:rsidR="0064308D">
        <w:t>K datu ukončení kontroly NKÚ</w:t>
      </w:r>
      <w:r w:rsidR="00836345" w:rsidRPr="00836345">
        <w:t xml:space="preserve"> nebyla </w:t>
      </w:r>
      <w:r w:rsidR="00836345">
        <w:t>n</w:t>
      </w:r>
      <w:r w:rsidR="00836345" w:rsidRPr="00836345">
        <w:t xml:space="preserve">emocnice </w:t>
      </w:r>
      <w:proofErr w:type="spellStart"/>
      <w:r w:rsidR="00836345" w:rsidRPr="00836345">
        <w:t>bariatrickým</w:t>
      </w:r>
      <w:proofErr w:type="spellEnd"/>
      <w:r w:rsidR="00836345" w:rsidRPr="00836345">
        <w:t xml:space="preserve"> centrem a rovněž neměla uzavřené smlouvy se zdravotními pojišťovnami ohledně provádění této operativy. Nemocnice nepořídila žádné další vybavení</w:t>
      </w:r>
      <w:r w:rsidR="00836345">
        <w:t xml:space="preserve"> nebo </w:t>
      </w:r>
      <w:r w:rsidR="00836345" w:rsidRPr="00836345">
        <w:t xml:space="preserve">zařízení ani neprovedla stavební úpravy v souvislosti s </w:t>
      </w:r>
      <w:proofErr w:type="spellStart"/>
      <w:r w:rsidR="00836345" w:rsidRPr="00836345">
        <w:t>bariatrickou</w:t>
      </w:r>
      <w:proofErr w:type="spellEnd"/>
      <w:r w:rsidR="00836345" w:rsidRPr="00836345">
        <w:t xml:space="preserve"> operativou, případně hospitalizací morbidně obézních pacientů.</w:t>
      </w:r>
      <w:r w:rsidR="00371716">
        <w:t xml:space="preserve"> Pro výkon operací </w:t>
      </w:r>
      <w:r w:rsidR="00CC3CCF">
        <w:t xml:space="preserve">pacientů s obezitou </w:t>
      </w:r>
      <w:r w:rsidR="00371716">
        <w:t xml:space="preserve">postačovaly </w:t>
      </w:r>
      <w:r w:rsidR="000D7D97">
        <w:t xml:space="preserve">nemocnici </w:t>
      </w:r>
      <w:r w:rsidR="00371716">
        <w:t xml:space="preserve">operační stoly s nižší nosností, respektive </w:t>
      </w:r>
      <w:r w:rsidR="00875330">
        <w:t>by</w:t>
      </w:r>
      <w:r w:rsidR="000D7D97">
        <w:t xml:space="preserve"> stačil</w:t>
      </w:r>
      <w:r w:rsidR="00875330">
        <w:t xml:space="preserve"> </w:t>
      </w:r>
      <w:r w:rsidR="00371716">
        <w:t>jeden operační stůl s vyšší nosností.</w:t>
      </w:r>
    </w:p>
    <w:p w14:paraId="2B0F3BD3" w14:textId="77777777" w:rsidR="00862A97" w:rsidRPr="004F7FAB" w:rsidRDefault="007E2A6B" w:rsidP="00776462">
      <w:pPr>
        <w:pStyle w:val="Nadpispklad"/>
        <w:rPr>
          <w:color w:val="auto"/>
        </w:rPr>
      </w:pPr>
      <w:r>
        <w:t xml:space="preserve">Příklad č. </w:t>
      </w:r>
      <w:r w:rsidR="005F3201">
        <w:t>8</w:t>
      </w:r>
    </w:p>
    <w:p w14:paraId="0276E94B" w14:textId="77777777" w:rsidR="00C75491" w:rsidRDefault="007E2A6B" w:rsidP="00055DBC">
      <w:pPr>
        <w:pStyle w:val="Pkladyvrmeku"/>
      </w:pPr>
      <w:r>
        <w:t>V</w:t>
      </w:r>
      <w:r w:rsidR="00330340">
        <w:t xml:space="preserve"> rámci projektu </w:t>
      </w:r>
      <w:r w:rsidR="00330340" w:rsidRPr="00330340">
        <w:t>CZ.06.2.56/0.0/0.0/16_043/0001406</w:t>
      </w:r>
      <w:r w:rsidR="00330340">
        <w:t xml:space="preserve"> pořídila </w:t>
      </w:r>
      <w:r w:rsidR="003E74C1">
        <w:t xml:space="preserve">Nemocnice Jihlava, příspěvková </w:t>
      </w:r>
      <w:r w:rsidR="003E74C1" w:rsidRPr="00EB3619">
        <w:t>organizace</w:t>
      </w:r>
      <w:r w:rsidR="00875330">
        <w:t>,</w:t>
      </w:r>
      <w:r w:rsidR="00C82114">
        <w:t xml:space="preserve"> </w:t>
      </w:r>
      <w:r w:rsidR="00330340">
        <w:t xml:space="preserve">tři pevné </w:t>
      </w:r>
      <w:r w:rsidR="00330340" w:rsidRPr="00C82114">
        <w:t>operační stol</w:t>
      </w:r>
      <w:r w:rsidR="00330340">
        <w:t>y</w:t>
      </w:r>
      <w:r w:rsidR="00330340" w:rsidRPr="00C82114">
        <w:t xml:space="preserve"> </w:t>
      </w:r>
      <w:r w:rsidR="00330340">
        <w:t>s</w:t>
      </w:r>
      <w:r w:rsidR="00330340" w:rsidRPr="00C82114">
        <w:t xml:space="preserve"> nosnost</w:t>
      </w:r>
      <w:r w:rsidR="00330340">
        <w:t>í</w:t>
      </w:r>
      <w:r w:rsidR="00330340" w:rsidRPr="00C82114">
        <w:t xml:space="preserve"> 360 kg</w:t>
      </w:r>
      <w:r w:rsidR="00330340">
        <w:t xml:space="preserve"> a jeden</w:t>
      </w:r>
      <w:r w:rsidR="00330340" w:rsidRPr="00C82114">
        <w:t xml:space="preserve"> mobiln</w:t>
      </w:r>
      <w:r w:rsidR="00330340">
        <w:t>í</w:t>
      </w:r>
      <w:r w:rsidR="00330340" w:rsidRPr="00C82114">
        <w:t xml:space="preserve"> operační </w:t>
      </w:r>
      <w:r w:rsidR="00242488">
        <w:t xml:space="preserve">stůl </w:t>
      </w:r>
      <w:r w:rsidR="00330340">
        <w:t>s nosností 450 kg</w:t>
      </w:r>
      <w:r w:rsidR="00C82114" w:rsidRPr="00C82114">
        <w:t>.</w:t>
      </w:r>
      <w:r w:rsidR="00330340">
        <w:t xml:space="preserve"> </w:t>
      </w:r>
      <w:r>
        <w:t xml:space="preserve">Na </w:t>
      </w:r>
      <w:r w:rsidR="0084684B">
        <w:t xml:space="preserve">pořízených </w:t>
      </w:r>
      <w:r>
        <w:t xml:space="preserve">operačních stolech nemocnice v roce 2019 </w:t>
      </w:r>
      <w:r w:rsidR="00330340">
        <w:t xml:space="preserve">z celkových </w:t>
      </w:r>
      <w:r w:rsidR="00EB3619">
        <w:t>téměř 14</w:t>
      </w:r>
      <w:r w:rsidR="00330340">
        <w:t xml:space="preserve"> tis. provedených operací </w:t>
      </w:r>
      <w:r>
        <w:t xml:space="preserve">provedla 126 operací pacientů s hmotností v kategorii 150–300 kg. Počet operovaných pacientů v kategorii nad 250 kg </w:t>
      </w:r>
      <w:r w:rsidR="00330340">
        <w:t xml:space="preserve">nemocnice </w:t>
      </w:r>
      <w:r>
        <w:t xml:space="preserve">nedoložila. </w:t>
      </w:r>
      <w:r w:rsidR="00330340">
        <w:t>Nemocnice neprovedla žádné stavební úpravy, které by souvisely s péč</w:t>
      </w:r>
      <w:r w:rsidR="000D7D97">
        <w:t>í</w:t>
      </w:r>
      <w:r w:rsidR="00330340">
        <w:t xml:space="preserve"> o morbidně obézní pacienty, ani nepořídila další vybavení a přístroje, které by byly potřebné pro operační zákroky </w:t>
      </w:r>
      <w:r w:rsidR="00475592">
        <w:t xml:space="preserve">u </w:t>
      </w:r>
      <w:r w:rsidR="00330340">
        <w:t>morbidně obézních pacientů.</w:t>
      </w:r>
      <w:r w:rsidR="003304E9">
        <w:t xml:space="preserve"> </w:t>
      </w:r>
      <w:r w:rsidR="000D7D97">
        <w:t xml:space="preserve">Nemocnice Jihlava </w:t>
      </w:r>
      <w:r w:rsidR="003304E9">
        <w:t xml:space="preserve">nakoupila tři stejné operační stoly s vyšší nosností, </w:t>
      </w:r>
      <w:r w:rsidR="000D7D97">
        <w:t>přestože</w:t>
      </w:r>
      <w:r w:rsidR="003304E9">
        <w:t xml:space="preserve"> by vzhledem k</w:t>
      </w:r>
      <w:r w:rsidR="00D84BA0">
        <w:t xml:space="preserve"> </w:t>
      </w:r>
      <w:r w:rsidR="003304E9">
        <w:t xml:space="preserve">ročnímu počtu prováděných operací postačoval pouze jeden. </w:t>
      </w:r>
    </w:p>
    <w:p w14:paraId="26E09B58" w14:textId="77777777" w:rsidR="00552671" w:rsidRPr="00A44D58" w:rsidRDefault="007E2A6B" w:rsidP="00D16947">
      <w:pPr>
        <w:pStyle w:val="JK4"/>
      </w:pPr>
      <w:r>
        <w:t xml:space="preserve">U vybraných projektů nebyly </w:t>
      </w:r>
      <w:r w:rsidR="000D7D97">
        <w:t xml:space="preserve">v kontrolním vzorku výdajů </w:t>
      </w:r>
      <w:r>
        <w:t xml:space="preserve">identifikovány žádné </w:t>
      </w:r>
      <w:r w:rsidR="003E74C1">
        <w:t xml:space="preserve">peněžní prostředky, které by příjemci vynaložili na pořízení zdravotnického vybavení </w:t>
      </w:r>
      <w:r w:rsidR="00875330">
        <w:t xml:space="preserve">zcela </w:t>
      </w:r>
      <w:r>
        <w:t>nehospodárně.</w:t>
      </w:r>
      <w:r w:rsidR="003E74C1">
        <w:t xml:space="preserve"> Souhrnný výsledek hodnocení hospodárnosti posuzovaných výdajů znázorňuje </w:t>
      </w:r>
      <w:r w:rsidR="003E74C1" w:rsidRPr="00A44D58">
        <w:t>graf č. 3.</w:t>
      </w:r>
    </w:p>
    <w:p w14:paraId="11B4422F" w14:textId="77777777" w:rsidR="00CA025D" w:rsidRDefault="007E2A6B" w:rsidP="004F7FAB">
      <w:pPr>
        <w:pStyle w:val="Nadpistabulkynebografu"/>
        <w:ind w:left="993" w:hanging="993"/>
      </w:pPr>
      <w:r w:rsidRPr="00CA025D">
        <w:t xml:space="preserve">Graf č. </w:t>
      </w:r>
      <w:r w:rsidR="00580D41">
        <w:t>3</w:t>
      </w:r>
      <w:r w:rsidRPr="00CA025D">
        <w:t>:</w:t>
      </w:r>
      <w:r w:rsidRPr="00CA025D">
        <w:tab/>
        <w:t xml:space="preserve">Souhrnný výsledek hodnocení </w:t>
      </w:r>
      <w:r>
        <w:t>hospodárnosti</w:t>
      </w:r>
      <w:r w:rsidRPr="00CA025D">
        <w:t xml:space="preserve"> posuzovaných výdajů vynaložených</w:t>
      </w:r>
      <w:r>
        <w:t xml:space="preserve"> na pořízení zdravotnického vybavení</w:t>
      </w:r>
    </w:p>
    <w:p w14:paraId="4B5BCCEE" w14:textId="77777777" w:rsidR="00CA025D" w:rsidRDefault="00465720" w:rsidP="001D1140">
      <w:pPr>
        <w:pStyle w:val="KP-normlnbezodsazen"/>
        <w:keepNext/>
        <w:jc w:val="center"/>
      </w:pPr>
      <w:r>
        <w:rPr>
          <w:noProof/>
        </w:rPr>
        <w:drawing>
          <wp:inline distT="0" distB="0" distL="0" distR="0" wp14:anchorId="77672923" wp14:editId="4BA22065">
            <wp:extent cx="5759450" cy="2586990"/>
            <wp:effectExtent l="0" t="0" r="0" b="3810"/>
            <wp:docPr id="26" name="Graf 26">
              <a:extLst xmlns:a="http://schemas.openxmlformats.org/drawingml/2006/main">
                <a:ext uri="{FF2B5EF4-FFF2-40B4-BE49-F238E27FC236}">
                  <a16:creationId xmlns:a16="http://schemas.microsoft.com/office/drawing/2014/main" id="{16D2E7F0-103D-4B7E-8735-4F7F67B8C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D1A7B8" w14:textId="77777777" w:rsidR="00CC69E0" w:rsidRDefault="007E2A6B" w:rsidP="00CC69E0">
      <w:pPr>
        <w:pStyle w:val="Zdrojnebovysvtlivkapodtabulkou"/>
        <w:keepNext w:val="0"/>
        <w:keepLines w:val="0"/>
        <w:rPr>
          <w:noProof/>
          <w:lang w:eastAsia="cs-CZ"/>
        </w:rPr>
      </w:pPr>
      <w:r w:rsidRPr="00CA025D">
        <w:rPr>
          <w:b/>
        </w:rPr>
        <w:t>Zdroj:</w:t>
      </w:r>
      <w:r w:rsidRPr="00CA025D">
        <w:tab/>
        <w:t xml:space="preserve">vypracoval </w:t>
      </w:r>
      <w:r w:rsidRPr="00CA025D">
        <w:rPr>
          <w:noProof/>
          <w:lang w:eastAsia="cs-CZ"/>
        </w:rPr>
        <w:t>NKÚ z kontrolních protokolů týkajících se příjemců podpory.</w:t>
      </w:r>
      <w:r w:rsidR="00CC69E0">
        <w:rPr>
          <w:noProof/>
          <w:lang w:eastAsia="cs-CZ"/>
        </w:rPr>
        <w:br w:type="page"/>
      </w:r>
    </w:p>
    <w:bookmarkEnd w:id="35"/>
    <w:p w14:paraId="551C0ED7" w14:textId="77777777" w:rsidR="00A723E5" w:rsidRPr="00F56517" w:rsidRDefault="007E2A6B" w:rsidP="00683337">
      <w:pPr>
        <w:spacing w:after="120" w:line="240" w:lineRule="auto"/>
        <w:jc w:val="both"/>
        <w:rPr>
          <w:b/>
          <w:sz w:val="24"/>
          <w:szCs w:val="24"/>
        </w:rPr>
      </w:pPr>
      <w:r w:rsidRPr="00F56517">
        <w:rPr>
          <w:b/>
          <w:sz w:val="24"/>
          <w:szCs w:val="24"/>
        </w:rPr>
        <w:lastRenderedPageBreak/>
        <w:t>Seznam</w:t>
      </w:r>
      <w:r w:rsidR="00A66570" w:rsidRPr="00F56517">
        <w:rPr>
          <w:b/>
          <w:sz w:val="24"/>
          <w:szCs w:val="24"/>
        </w:rPr>
        <w:t xml:space="preserve"> </w:t>
      </w:r>
      <w:r w:rsidRPr="00F56517">
        <w:rPr>
          <w:b/>
          <w:sz w:val="24"/>
          <w:szCs w:val="24"/>
        </w:rPr>
        <w:t>zkratek</w:t>
      </w:r>
    </w:p>
    <w:p w14:paraId="30723582" w14:textId="77777777" w:rsidR="00046F3E" w:rsidRPr="00344FDE" w:rsidRDefault="007E2A6B" w:rsidP="00344FDE">
      <w:pPr>
        <w:tabs>
          <w:tab w:val="left" w:pos="2977"/>
        </w:tabs>
        <w:spacing w:after="120" w:line="240" w:lineRule="auto"/>
        <w:ind w:left="2977" w:hanging="2977"/>
        <w:rPr>
          <w:rFonts w:cs="Calibri"/>
          <w:color w:val="000000" w:themeColor="text1"/>
        </w:rPr>
      </w:pPr>
      <w:r w:rsidRPr="00344FDE">
        <w:rPr>
          <w:rFonts w:cs="Calibri"/>
          <w:color w:val="000000" w:themeColor="text1"/>
        </w:rPr>
        <w:t>CRR</w:t>
      </w:r>
      <w:r w:rsidRPr="00344FDE">
        <w:rPr>
          <w:rFonts w:cs="Calibri"/>
          <w:color w:val="000000" w:themeColor="text1"/>
        </w:rPr>
        <w:tab/>
        <w:t>Centrum pro regionální rozvoj České republiky</w:t>
      </w:r>
    </w:p>
    <w:p w14:paraId="287B892E" w14:textId="77777777" w:rsidR="00046F3E" w:rsidRPr="00344FDE" w:rsidRDefault="007E2A6B" w:rsidP="00344FDE">
      <w:pPr>
        <w:tabs>
          <w:tab w:val="left" w:pos="2977"/>
        </w:tabs>
        <w:spacing w:after="120" w:line="240" w:lineRule="auto"/>
        <w:ind w:left="2977" w:hanging="2977"/>
        <w:rPr>
          <w:rFonts w:cs="Calibri"/>
          <w:color w:val="000000" w:themeColor="text1"/>
        </w:rPr>
      </w:pPr>
      <w:r w:rsidRPr="00344FDE">
        <w:rPr>
          <w:rFonts w:cs="Calibri"/>
          <w:color w:val="000000" w:themeColor="text1"/>
        </w:rPr>
        <w:t>ČR</w:t>
      </w:r>
      <w:r w:rsidRPr="00344FDE">
        <w:rPr>
          <w:rFonts w:cs="Calibri"/>
          <w:color w:val="000000" w:themeColor="text1"/>
        </w:rPr>
        <w:tab/>
        <w:t>Česká republika</w:t>
      </w:r>
    </w:p>
    <w:p w14:paraId="264A7218" w14:textId="77777777" w:rsidR="00046F3E" w:rsidRPr="00344FDE" w:rsidRDefault="007E2A6B" w:rsidP="00344FDE">
      <w:pPr>
        <w:tabs>
          <w:tab w:val="left" w:pos="2977"/>
        </w:tabs>
        <w:spacing w:after="120" w:line="240" w:lineRule="auto"/>
        <w:ind w:left="2977" w:hanging="2977"/>
      </w:pPr>
      <w:r w:rsidRPr="00344FDE">
        <w:t>DPH</w:t>
      </w:r>
      <w:r w:rsidRPr="00344FDE">
        <w:tab/>
      </w:r>
      <w:r w:rsidR="004F3158" w:rsidRPr="00344FDE">
        <w:t>d</w:t>
      </w:r>
      <w:r w:rsidRPr="00344FDE">
        <w:t>aň z přidané hodnoty</w:t>
      </w:r>
    </w:p>
    <w:p w14:paraId="1107C808" w14:textId="77777777" w:rsidR="00046F3E" w:rsidRPr="00344FDE" w:rsidRDefault="007E2A6B" w:rsidP="00344FDE">
      <w:pPr>
        <w:tabs>
          <w:tab w:val="left" w:pos="2977"/>
        </w:tabs>
        <w:spacing w:after="120" w:line="240" w:lineRule="auto"/>
        <w:ind w:left="2977" w:hanging="2977"/>
      </w:pPr>
      <w:r w:rsidRPr="00344FDE">
        <w:t>EFRR</w:t>
      </w:r>
      <w:r w:rsidRPr="00344FDE">
        <w:tab/>
      </w:r>
      <w:r w:rsidRPr="00344FDE">
        <w:rPr>
          <w:i/>
        </w:rPr>
        <w:t>Evropský fond pro regionální rozvoj</w:t>
      </w:r>
    </w:p>
    <w:p w14:paraId="72918F0E" w14:textId="77777777" w:rsidR="00046F3E" w:rsidRPr="00344FDE" w:rsidRDefault="007E2A6B" w:rsidP="00344FDE">
      <w:pPr>
        <w:tabs>
          <w:tab w:val="left" w:pos="2977"/>
        </w:tabs>
        <w:spacing w:after="120" w:line="240" w:lineRule="auto"/>
        <w:ind w:left="2977" w:hanging="2977"/>
      </w:pPr>
      <w:r w:rsidRPr="00344FDE">
        <w:t>EU</w:t>
      </w:r>
      <w:r w:rsidRPr="00344FDE">
        <w:tab/>
        <w:t>Evropská unie</w:t>
      </w:r>
    </w:p>
    <w:p w14:paraId="5529F61C" w14:textId="77777777" w:rsidR="00CC69E0" w:rsidRPr="00344FDE" w:rsidRDefault="00CC69E0" w:rsidP="00344FDE">
      <w:pPr>
        <w:tabs>
          <w:tab w:val="left" w:pos="2977"/>
        </w:tabs>
        <w:spacing w:after="0" w:line="240" w:lineRule="auto"/>
        <w:ind w:left="2977" w:hanging="2977"/>
      </w:pPr>
      <w:r w:rsidRPr="00344FDE">
        <w:t>f</w:t>
      </w:r>
      <w:r w:rsidR="007E2A6B" w:rsidRPr="00344FDE">
        <w:t>inanční nařízení</w:t>
      </w:r>
      <w:r w:rsidR="006E7A60" w:rsidRPr="00344FDE">
        <w:t>,</w:t>
      </w:r>
      <w:r w:rsidR="006E7A60" w:rsidRPr="00344FDE">
        <w:tab/>
      </w:r>
      <w:r w:rsidRPr="00344FDE">
        <w:t>n</w:t>
      </w:r>
      <w:r w:rsidR="006E7A60" w:rsidRPr="00344FDE">
        <w:t xml:space="preserve">ařízení (EU, EURATOM) č. 966/2012 Evropského </w:t>
      </w:r>
    </w:p>
    <w:p w14:paraId="45D36AE9" w14:textId="77777777" w:rsidR="006E7A60" w:rsidRPr="00344FDE" w:rsidRDefault="00CC69E0" w:rsidP="00344FDE">
      <w:pPr>
        <w:tabs>
          <w:tab w:val="left" w:pos="2977"/>
        </w:tabs>
        <w:spacing w:after="120" w:line="240" w:lineRule="auto"/>
        <w:ind w:left="2977" w:hanging="2977"/>
      </w:pPr>
      <w:r w:rsidRPr="00344FDE">
        <w:t>nařízení č. 966/2012</w:t>
      </w:r>
      <w:r w:rsidRPr="00344FDE">
        <w:tab/>
      </w:r>
      <w:r w:rsidR="006E7A60" w:rsidRPr="00344FDE">
        <w:t>parlamentu</w:t>
      </w:r>
      <w:r w:rsidRPr="00344FDE">
        <w:t xml:space="preserve"> </w:t>
      </w:r>
      <w:r w:rsidR="007E2A6B" w:rsidRPr="00344FDE">
        <w:t>a Rady, kterým se stanoví finanční pravidla o</w:t>
      </w:r>
      <w:r w:rsidRPr="00344FDE">
        <w:t> </w:t>
      </w:r>
      <w:r w:rsidR="007E2A6B" w:rsidRPr="00344FDE">
        <w:t>souhrnném rozpočtu Unie a o zrušení nařízení Rady (ES,</w:t>
      </w:r>
      <w:r w:rsidRPr="00344FDE">
        <w:t> </w:t>
      </w:r>
      <w:r w:rsidR="007E2A6B" w:rsidRPr="00344FDE">
        <w:t>Euratom) č.</w:t>
      </w:r>
      <w:r w:rsidR="00C372F6" w:rsidRPr="00344FDE">
        <w:t> </w:t>
      </w:r>
      <w:r w:rsidR="007E2A6B" w:rsidRPr="00344FDE">
        <w:t>1605/2002</w:t>
      </w:r>
    </w:p>
    <w:p w14:paraId="5AB94535" w14:textId="77777777" w:rsidR="00046F3E" w:rsidRPr="00344FDE" w:rsidRDefault="007E2A6B" w:rsidP="00344FDE">
      <w:pPr>
        <w:tabs>
          <w:tab w:val="left" w:pos="2977"/>
        </w:tabs>
        <w:spacing w:after="120" w:line="240" w:lineRule="auto"/>
        <w:ind w:left="2977" w:hanging="2977"/>
        <w:rPr>
          <w:rFonts w:cs="Calibri"/>
          <w:color w:val="000000" w:themeColor="text1"/>
        </w:rPr>
      </w:pPr>
      <w:r w:rsidRPr="00344FDE">
        <w:rPr>
          <w:rFonts w:cs="Calibri"/>
          <w:color w:val="000000" w:themeColor="text1"/>
        </w:rPr>
        <w:t>IROP</w:t>
      </w:r>
      <w:r w:rsidRPr="00344FDE">
        <w:rPr>
          <w:rFonts w:cs="Calibri"/>
          <w:color w:val="000000" w:themeColor="text1"/>
        </w:rPr>
        <w:tab/>
      </w:r>
      <w:r w:rsidRPr="00344FDE">
        <w:rPr>
          <w:rFonts w:cs="Calibri"/>
          <w:i/>
          <w:color w:val="000000" w:themeColor="text1"/>
        </w:rPr>
        <w:t>Integrovaný regionální operační program</w:t>
      </w:r>
    </w:p>
    <w:p w14:paraId="10A0F6EC" w14:textId="77777777" w:rsidR="00DC03C1" w:rsidRPr="00344FDE" w:rsidRDefault="00CC69E0" w:rsidP="00344FDE">
      <w:pPr>
        <w:tabs>
          <w:tab w:val="left" w:pos="2977"/>
        </w:tabs>
        <w:spacing w:after="120" w:line="240" w:lineRule="auto"/>
        <w:ind w:left="2977" w:hanging="2977"/>
      </w:pPr>
      <w:r w:rsidRPr="00344FDE">
        <w:t>k</w:t>
      </w:r>
      <w:r w:rsidR="007E2A6B" w:rsidRPr="00344FDE">
        <w:t>ontrolní vzorek výdajů</w:t>
      </w:r>
      <w:r w:rsidR="007E2A6B" w:rsidRPr="00344FDE">
        <w:tab/>
        <w:t>výdaje vybrané ke kontrole NKÚ vynaložené na</w:t>
      </w:r>
      <w:r w:rsidRPr="00344FDE">
        <w:t xml:space="preserve"> </w:t>
      </w:r>
      <w:r w:rsidR="007E2A6B" w:rsidRPr="00344FDE">
        <w:t xml:space="preserve">pořízení zdravotnického vybavení </w:t>
      </w:r>
      <w:r w:rsidR="00615BFF" w:rsidRPr="00344FDE">
        <w:t xml:space="preserve">ve vybraných projektech, </w:t>
      </w:r>
      <w:r w:rsidRPr="00344FDE">
        <w:br/>
      </w:r>
      <w:r w:rsidR="00615BFF" w:rsidRPr="00344FDE">
        <w:t xml:space="preserve">včetně provedení </w:t>
      </w:r>
      <w:r w:rsidR="007E2A6B" w:rsidRPr="00344FDE">
        <w:t>stavební</w:t>
      </w:r>
      <w:r w:rsidR="00615BFF" w:rsidRPr="00344FDE">
        <w:t>ch</w:t>
      </w:r>
      <w:r w:rsidR="007E2A6B" w:rsidRPr="00344FDE">
        <w:t xml:space="preserve"> pr</w:t>
      </w:r>
      <w:r w:rsidR="00EE3A7D" w:rsidRPr="00344FDE">
        <w:t>a</w:t>
      </w:r>
      <w:r w:rsidR="007E2A6B" w:rsidRPr="00344FDE">
        <w:t>c</w:t>
      </w:r>
      <w:r w:rsidR="00615BFF" w:rsidRPr="00344FDE">
        <w:t>í</w:t>
      </w:r>
      <w:r w:rsidR="007E2A6B" w:rsidRPr="00344FDE">
        <w:t xml:space="preserve"> u</w:t>
      </w:r>
      <w:r w:rsidR="00615BFF" w:rsidRPr="00344FDE">
        <w:t> </w:t>
      </w:r>
      <w:r w:rsidR="007E2A6B" w:rsidRPr="00344FDE">
        <w:t>projektu CZ.06.2.56/0.0/0.0/15_006/</w:t>
      </w:r>
      <w:r w:rsidR="00E53A1F" w:rsidRPr="00344FDE">
        <w:t xml:space="preserve">0001175 </w:t>
      </w:r>
    </w:p>
    <w:p w14:paraId="0A2D6818" w14:textId="77777777" w:rsidR="00046F3E" w:rsidRPr="00344FDE" w:rsidRDefault="007E2A6B" w:rsidP="00344FDE">
      <w:pPr>
        <w:tabs>
          <w:tab w:val="left" w:pos="2977"/>
        </w:tabs>
        <w:spacing w:after="120" w:line="240" w:lineRule="auto"/>
        <w:ind w:left="2977" w:hanging="2977"/>
      </w:pPr>
      <w:r w:rsidRPr="00344FDE">
        <w:t>MMR</w:t>
      </w:r>
      <w:r w:rsidRPr="00344FDE">
        <w:tab/>
        <w:t>Ministerstvo pro místní rozvoj</w:t>
      </w:r>
    </w:p>
    <w:p w14:paraId="0AFF2894" w14:textId="77777777" w:rsidR="00EE2371" w:rsidRPr="00344FDE" w:rsidRDefault="007E2A6B" w:rsidP="00344FDE">
      <w:pPr>
        <w:tabs>
          <w:tab w:val="left" w:pos="2977"/>
        </w:tabs>
        <w:spacing w:after="120" w:line="240" w:lineRule="auto"/>
        <w:ind w:left="2977" w:hanging="2977"/>
      </w:pPr>
      <w:r w:rsidRPr="00344FDE">
        <w:t>MS2014+</w:t>
      </w:r>
      <w:r w:rsidRPr="00344FDE">
        <w:tab/>
        <w:t>monitorovací systém evropských strukturálních a investičních fondů</w:t>
      </w:r>
      <w:r w:rsidR="00CC69E0" w:rsidRPr="00344FDE">
        <w:t xml:space="preserve"> pro období let 2014–2020</w:t>
      </w:r>
    </w:p>
    <w:p w14:paraId="79C470A8" w14:textId="77777777" w:rsidR="006A581D" w:rsidRPr="00344FDE" w:rsidRDefault="007E2A6B" w:rsidP="00344FDE">
      <w:pPr>
        <w:tabs>
          <w:tab w:val="left" w:pos="2977"/>
        </w:tabs>
        <w:spacing w:after="120" w:line="240" w:lineRule="auto"/>
        <w:ind w:left="2977" w:hanging="2977"/>
      </w:pPr>
      <w:r w:rsidRPr="00344FDE">
        <w:t>MV IROP</w:t>
      </w:r>
      <w:r w:rsidRPr="00344FDE">
        <w:tab/>
        <w:t xml:space="preserve">Monitorovací výbor </w:t>
      </w:r>
      <w:r w:rsidRPr="00344FDE">
        <w:rPr>
          <w:rFonts w:cs="Calibri"/>
          <w:i/>
          <w:color w:val="000000" w:themeColor="text1"/>
        </w:rPr>
        <w:t>Integrovaného regionálního operačního programu</w:t>
      </w:r>
    </w:p>
    <w:p w14:paraId="0022D465" w14:textId="77777777" w:rsidR="00046F3E" w:rsidRPr="00344FDE" w:rsidRDefault="007E2A6B" w:rsidP="00344FDE">
      <w:pPr>
        <w:tabs>
          <w:tab w:val="left" w:pos="2977"/>
        </w:tabs>
        <w:spacing w:after="120" w:line="240" w:lineRule="auto"/>
        <w:ind w:left="2977" w:hanging="2977"/>
      </w:pPr>
      <w:proofErr w:type="spellStart"/>
      <w:r w:rsidRPr="00344FDE">
        <w:t>M</w:t>
      </w:r>
      <w:r w:rsidR="007A02BB" w:rsidRPr="00344FDE">
        <w:t>Zd</w:t>
      </w:r>
      <w:proofErr w:type="spellEnd"/>
      <w:r w:rsidRPr="00344FDE">
        <w:tab/>
        <w:t xml:space="preserve">Ministerstvo </w:t>
      </w:r>
      <w:r w:rsidR="007A02BB" w:rsidRPr="00344FDE">
        <w:t>zdravotnictví</w:t>
      </w:r>
    </w:p>
    <w:p w14:paraId="533AE7CE" w14:textId="77777777" w:rsidR="00046F3E" w:rsidRPr="00344FDE" w:rsidRDefault="007E2A6B" w:rsidP="00344FDE">
      <w:pPr>
        <w:tabs>
          <w:tab w:val="left" w:pos="2977"/>
        </w:tabs>
        <w:spacing w:after="120" w:line="240" w:lineRule="auto"/>
        <w:ind w:left="2977" w:hanging="2977"/>
      </w:pPr>
      <w:r w:rsidRPr="00344FDE">
        <w:t>NKÚ</w:t>
      </w:r>
      <w:r w:rsidRPr="00344FDE">
        <w:tab/>
        <w:t>Nejvyšší kontrolní úřad</w:t>
      </w:r>
    </w:p>
    <w:p w14:paraId="15DB9DC3" w14:textId="77777777" w:rsidR="007A02BB" w:rsidRPr="00344FDE" w:rsidRDefault="007E2A6B" w:rsidP="00344FDE">
      <w:pPr>
        <w:tabs>
          <w:tab w:val="left" w:pos="2977"/>
        </w:tabs>
        <w:spacing w:after="120" w:line="240" w:lineRule="auto"/>
        <w:ind w:left="2977" w:hanging="2977"/>
      </w:pPr>
      <w:r w:rsidRPr="00344FDE">
        <w:t>Přístrojová komise</w:t>
      </w:r>
      <w:r w:rsidR="00F87812" w:rsidRPr="00344FDE">
        <w:t xml:space="preserve"> </w:t>
      </w:r>
      <w:proofErr w:type="spellStart"/>
      <w:r w:rsidR="00F87812" w:rsidRPr="00344FDE">
        <w:t>MZd</w:t>
      </w:r>
      <w:proofErr w:type="spellEnd"/>
      <w:r w:rsidRPr="00344FDE">
        <w:tab/>
      </w:r>
      <w:r w:rsidR="00CC69E0" w:rsidRPr="00344FDE">
        <w:t>k</w:t>
      </w:r>
      <w:r w:rsidR="00E9081E" w:rsidRPr="00344FDE">
        <w:t>omise pro posuzování rozmístění přístrojových zdravotnických prostředků zřízená Ministerstvem zdravotnictví</w:t>
      </w:r>
    </w:p>
    <w:p w14:paraId="253FEE20" w14:textId="77777777" w:rsidR="006F247D" w:rsidRPr="00344FDE" w:rsidRDefault="00CC69E0" w:rsidP="00344FDE">
      <w:pPr>
        <w:tabs>
          <w:tab w:val="left" w:pos="2977"/>
        </w:tabs>
        <w:spacing w:after="120" w:line="240" w:lineRule="auto"/>
        <w:ind w:left="2977" w:hanging="2977"/>
      </w:pPr>
      <w:r w:rsidRPr="00344FDE">
        <w:t>r</w:t>
      </w:r>
      <w:r w:rsidR="007E2A6B" w:rsidRPr="00344FDE">
        <w:t>egionální zdravotní péče</w:t>
      </w:r>
      <w:r w:rsidR="007E2A6B" w:rsidRPr="00344FDE">
        <w:tab/>
        <w:t>vysoce specializovaná a návazná zdravotní péče podpořená ze SC 2.3 IROP v rámci výz</w:t>
      </w:r>
      <w:r w:rsidRPr="00344FDE">
        <w:t>e</w:t>
      </w:r>
      <w:r w:rsidR="007E2A6B" w:rsidRPr="00344FDE">
        <w:t>v č. 5 a č. 31</w:t>
      </w:r>
    </w:p>
    <w:p w14:paraId="209F0284" w14:textId="77777777" w:rsidR="006A581D" w:rsidRPr="00344FDE" w:rsidRDefault="007E2A6B" w:rsidP="00344FDE">
      <w:pPr>
        <w:tabs>
          <w:tab w:val="left" w:pos="2977"/>
        </w:tabs>
        <w:spacing w:after="120" w:line="240" w:lineRule="auto"/>
        <w:ind w:left="2977" w:hanging="2977"/>
      </w:pPr>
      <w:r w:rsidRPr="00344FDE">
        <w:t>ŘO IROP</w:t>
      </w:r>
      <w:r w:rsidRPr="00344FDE">
        <w:tab/>
        <w:t xml:space="preserve">řídicí orgán </w:t>
      </w:r>
      <w:r w:rsidRPr="00344FDE">
        <w:rPr>
          <w:rFonts w:cs="Calibri"/>
          <w:i/>
          <w:color w:val="000000" w:themeColor="text1"/>
        </w:rPr>
        <w:t>Integrovaného regionálního operačního programu</w:t>
      </w:r>
    </w:p>
    <w:p w14:paraId="0F3040F9" w14:textId="77777777" w:rsidR="00046F3E" w:rsidRPr="00344FDE" w:rsidRDefault="007E2A6B" w:rsidP="00344FDE">
      <w:pPr>
        <w:tabs>
          <w:tab w:val="left" w:pos="2977"/>
        </w:tabs>
        <w:spacing w:after="120" w:line="240" w:lineRule="auto"/>
        <w:ind w:left="2977" w:hanging="2977"/>
        <w:rPr>
          <w:rFonts w:cstheme="minorHAnsi"/>
          <w:bCs/>
          <w:i/>
        </w:rPr>
      </w:pPr>
      <w:r w:rsidRPr="00344FDE">
        <w:rPr>
          <w:rFonts w:cstheme="minorHAnsi"/>
          <w:bCs/>
        </w:rPr>
        <w:t>SC 2.</w:t>
      </w:r>
      <w:r w:rsidR="007A02BB" w:rsidRPr="00344FDE">
        <w:rPr>
          <w:rFonts w:cstheme="minorHAnsi"/>
          <w:bCs/>
        </w:rPr>
        <w:t>3</w:t>
      </w:r>
      <w:r w:rsidRPr="00344FDE">
        <w:tab/>
      </w:r>
      <w:r w:rsidR="004F3158" w:rsidRPr="00344FDE">
        <w:rPr>
          <w:rFonts w:cstheme="minorHAnsi"/>
          <w:bCs/>
        </w:rPr>
        <w:t>s</w:t>
      </w:r>
      <w:r w:rsidRPr="00344FDE">
        <w:rPr>
          <w:rFonts w:cstheme="minorHAnsi"/>
          <w:bCs/>
        </w:rPr>
        <w:t>pecifický cíl 2.</w:t>
      </w:r>
      <w:r w:rsidR="007A02BB" w:rsidRPr="00344FDE">
        <w:rPr>
          <w:rFonts w:cstheme="minorHAnsi"/>
          <w:bCs/>
        </w:rPr>
        <w:t>3</w:t>
      </w:r>
      <w:r w:rsidRPr="00344FDE">
        <w:rPr>
          <w:rFonts w:cstheme="minorHAnsi"/>
          <w:bCs/>
        </w:rPr>
        <w:t xml:space="preserve"> IROP </w:t>
      </w:r>
      <w:r w:rsidR="007A02BB" w:rsidRPr="00344FDE">
        <w:rPr>
          <w:rFonts w:cstheme="minorHAnsi"/>
          <w:bCs/>
          <w:i/>
        </w:rPr>
        <w:t>Rozvoj infrastruktury pro poskytování zdravotních služeb a péče o zdraví</w:t>
      </w:r>
    </w:p>
    <w:p w14:paraId="49393AB7" w14:textId="77777777" w:rsidR="00FA5E23" w:rsidRPr="00344FDE" w:rsidRDefault="007E2A6B" w:rsidP="00344FDE">
      <w:pPr>
        <w:tabs>
          <w:tab w:val="left" w:pos="2977"/>
        </w:tabs>
        <w:spacing w:after="120" w:line="240" w:lineRule="auto"/>
        <w:ind w:left="2977" w:hanging="2977"/>
        <w:rPr>
          <w:rFonts w:cstheme="minorHAnsi"/>
          <w:bCs/>
        </w:rPr>
      </w:pPr>
      <w:r w:rsidRPr="00344FDE">
        <w:rPr>
          <w:rFonts w:cstheme="minorHAnsi"/>
          <w:bCs/>
        </w:rPr>
        <w:t>SR</w:t>
      </w:r>
      <w:r w:rsidRPr="00344FDE">
        <w:rPr>
          <w:rFonts w:cstheme="minorHAnsi"/>
          <w:bCs/>
        </w:rPr>
        <w:tab/>
        <w:t>státní rozpočet</w:t>
      </w:r>
    </w:p>
    <w:p w14:paraId="338E6967" w14:textId="77777777" w:rsidR="004F3158" w:rsidRPr="00344FDE" w:rsidRDefault="007E2A6B" w:rsidP="00344FDE">
      <w:pPr>
        <w:tabs>
          <w:tab w:val="left" w:pos="2977"/>
        </w:tabs>
        <w:spacing w:after="120" w:line="240" w:lineRule="auto"/>
        <w:ind w:left="2977" w:hanging="2977"/>
        <w:rPr>
          <w:rFonts w:cstheme="minorHAnsi"/>
          <w:bCs/>
        </w:rPr>
      </w:pPr>
      <w:r w:rsidRPr="00344FDE">
        <w:rPr>
          <w:rFonts w:cstheme="minorHAnsi"/>
          <w:bCs/>
        </w:rPr>
        <w:t>vybrané projekty</w:t>
      </w:r>
      <w:r w:rsidRPr="00344FDE">
        <w:rPr>
          <w:rFonts w:cstheme="minorHAnsi"/>
          <w:bCs/>
        </w:rPr>
        <w:tab/>
        <w:t>kontrolovaný vzorek</w:t>
      </w:r>
      <w:r w:rsidR="00A61A67" w:rsidRPr="00344FDE">
        <w:rPr>
          <w:rFonts w:cstheme="minorHAnsi"/>
          <w:bCs/>
        </w:rPr>
        <w:t xml:space="preserve"> </w:t>
      </w:r>
      <w:r w:rsidRPr="00344FDE">
        <w:rPr>
          <w:rFonts w:cstheme="minorHAnsi"/>
          <w:bCs/>
        </w:rPr>
        <w:t xml:space="preserve">16 projektů realizovaných </w:t>
      </w:r>
      <w:r w:rsidR="007A02BB" w:rsidRPr="00344FDE">
        <w:rPr>
          <w:rFonts w:cstheme="minorHAnsi"/>
          <w:bCs/>
        </w:rPr>
        <w:t>osmi</w:t>
      </w:r>
      <w:r w:rsidRPr="00344FDE">
        <w:rPr>
          <w:rFonts w:cstheme="minorHAnsi"/>
          <w:bCs/>
        </w:rPr>
        <w:t xml:space="preserve"> příjemc</w:t>
      </w:r>
      <w:r w:rsidR="00F87812" w:rsidRPr="00344FDE">
        <w:rPr>
          <w:rFonts w:cstheme="minorHAnsi"/>
          <w:bCs/>
        </w:rPr>
        <w:t>i</w:t>
      </w:r>
      <w:r w:rsidRPr="00344FDE">
        <w:rPr>
          <w:rFonts w:cstheme="minorHAnsi"/>
          <w:bCs/>
        </w:rPr>
        <w:t xml:space="preserve"> podpory</w:t>
      </w:r>
      <w:r w:rsidR="00CC69E0" w:rsidRPr="00344FDE">
        <w:rPr>
          <w:rFonts w:cstheme="minorHAnsi"/>
          <w:bCs/>
        </w:rPr>
        <w:t xml:space="preserve"> (viz příloha č. 1)</w:t>
      </w:r>
    </w:p>
    <w:p w14:paraId="796E75F9" w14:textId="77777777" w:rsidR="000D704F" w:rsidRPr="00344FDE" w:rsidRDefault="00CC69E0" w:rsidP="00344FDE">
      <w:pPr>
        <w:tabs>
          <w:tab w:val="left" w:pos="2977"/>
        </w:tabs>
        <w:spacing w:after="120" w:line="240" w:lineRule="auto"/>
        <w:ind w:left="2977" w:hanging="2977"/>
      </w:pPr>
      <w:r w:rsidRPr="00344FDE">
        <w:t>z</w:t>
      </w:r>
      <w:r w:rsidR="000D704F" w:rsidRPr="00344FDE">
        <w:t>ákon č. 218/2000 Sb.</w:t>
      </w:r>
      <w:r w:rsidR="000D704F" w:rsidRPr="00344FDE">
        <w:tab/>
        <w:t>zákon č. 218/2000 Sb., o rozpočtových pravidlech a o změně některých souvisejících zákonů (rozpočtová pravidla)</w:t>
      </w:r>
    </w:p>
    <w:p w14:paraId="1DB0BE55" w14:textId="77777777" w:rsidR="008C79D1" w:rsidRPr="00344FDE" w:rsidRDefault="00CC69E0" w:rsidP="00344FDE">
      <w:pPr>
        <w:tabs>
          <w:tab w:val="left" w:pos="2977"/>
        </w:tabs>
        <w:spacing w:after="120" w:line="240" w:lineRule="auto"/>
        <w:ind w:left="2977" w:hanging="2977"/>
      </w:pPr>
      <w:r w:rsidRPr="00344FDE">
        <w:t>z</w:t>
      </w:r>
      <w:r w:rsidR="007E2A6B" w:rsidRPr="00344FDE">
        <w:t>ákon o zdravotních</w:t>
      </w:r>
      <w:r w:rsidR="00344FDE" w:rsidRPr="00344FDE">
        <w:t xml:space="preserve"> službách</w:t>
      </w:r>
      <w:r w:rsidR="007E2A6B" w:rsidRPr="00344FDE">
        <w:tab/>
        <w:t>z</w:t>
      </w:r>
      <w:r w:rsidR="00957E43" w:rsidRPr="00344FDE">
        <w:t xml:space="preserve">ákon </w:t>
      </w:r>
      <w:r w:rsidR="007E2A6B" w:rsidRPr="00344FDE">
        <w:t>č. 372/2011 Sb.</w:t>
      </w:r>
      <w:r w:rsidR="004D3301" w:rsidRPr="00344FDE">
        <w:t xml:space="preserve">, </w:t>
      </w:r>
      <w:r w:rsidR="00957E43" w:rsidRPr="00344FDE">
        <w:t>o zdravotních službách</w:t>
      </w:r>
      <w:r w:rsidR="004D3301" w:rsidRPr="00344FDE">
        <w:t xml:space="preserve"> a</w:t>
      </w:r>
      <w:r w:rsidRPr="00344FDE">
        <w:t xml:space="preserve"> </w:t>
      </w:r>
      <w:r w:rsidR="004D3301" w:rsidRPr="00344FDE">
        <w:t>podmínkách jejich poskytování (zákon o zdravotních službách)</w:t>
      </w:r>
    </w:p>
    <w:p w14:paraId="20827382" w14:textId="77777777" w:rsidR="00E43F91" w:rsidRPr="00344FDE" w:rsidRDefault="00CC69E0" w:rsidP="00344FDE">
      <w:pPr>
        <w:tabs>
          <w:tab w:val="left" w:pos="2977"/>
        </w:tabs>
        <w:spacing w:after="120" w:line="240" w:lineRule="auto"/>
        <w:ind w:left="2977" w:hanging="2977"/>
      </w:pPr>
      <w:r w:rsidRPr="00344FDE">
        <w:t>z</w:t>
      </w:r>
      <w:r w:rsidR="007E2A6B" w:rsidRPr="00344FDE">
        <w:t>dravotnické vybavení</w:t>
      </w:r>
      <w:r w:rsidR="007E2A6B" w:rsidRPr="00344FDE">
        <w:tab/>
      </w:r>
      <w:r w:rsidR="00243D35" w:rsidRPr="00344FDE">
        <w:t>Přístrojové vybavení, zdravotnické prostředky, technologie a</w:t>
      </w:r>
      <w:r w:rsidR="00C64FD3" w:rsidRPr="00344FDE">
        <w:t> </w:t>
      </w:r>
      <w:r w:rsidR="00243D35" w:rsidRPr="00344FDE">
        <w:t>další vybavení, včetně nezbytných stavebních úprav, které byly podporovány v rámci hlavních aktivit projektů</w:t>
      </w:r>
    </w:p>
    <w:p w14:paraId="479617A5" w14:textId="77777777" w:rsidR="00F31777" w:rsidRPr="00F31777" w:rsidRDefault="007E2A6B" w:rsidP="00344FDE">
      <w:pPr>
        <w:tabs>
          <w:tab w:val="left" w:pos="2977"/>
        </w:tabs>
        <w:spacing w:after="120" w:line="240" w:lineRule="auto"/>
        <w:ind w:left="2977" w:hanging="2977"/>
        <w:rPr>
          <w:rFonts w:asciiTheme="majorHAnsi" w:hAnsiTheme="majorHAnsi" w:cstheme="majorHAnsi"/>
          <w:sz w:val="24"/>
          <w:szCs w:val="24"/>
        </w:rPr>
      </w:pPr>
      <w:r w:rsidRPr="00344FDE">
        <w:rPr>
          <w:rFonts w:cstheme="minorHAnsi"/>
          <w:bCs/>
        </w:rPr>
        <w:t>ZZVZ</w:t>
      </w:r>
      <w:r w:rsidRPr="00344FDE">
        <w:rPr>
          <w:rFonts w:cstheme="minorHAnsi"/>
          <w:bCs/>
        </w:rPr>
        <w:tab/>
      </w:r>
      <w:r w:rsidR="00CC69E0" w:rsidRPr="00344FDE">
        <w:rPr>
          <w:rFonts w:cstheme="minorHAnsi"/>
          <w:bCs/>
        </w:rPr>
        <w:t>z</w:t>
      </w:r>
      <w:r w:rsidRPr="00344FDE">
        <w:rPr>
          <w:rFonts w:cstheme="minorHAnsi"/>
          <w:bCs/>
        </w:rPr>
        <w:t>ákon č. 134/2016 Sb., o zadávání veřejných zakázek</w:t>
      </w:r>
      <w:r w:rsidR="00774346">
        <w:rPr>
          <w:rFonts w:cstheme="minorHAnsi"/>
          <w:bCs/>
          <w:sz w:val="24"/>
          <w:szCs w:val="24"/>
        </w:rPr>
        <w:br w:type="page"/>
      </w:r>
    </w:p>
    <w:p w14:paraId="6415F17A" w14:textId="77777777" w:rsidR="00F31777" w:rsidRPr="004F01AD" w:rsidRDefault="007E2A6B" w:rsidP="004F01AD">
      <w:pPr>
        <w:pStyle w:val="Nadpis1"/>
        <w:spacing w:before="0" w:after="120"/>
        <w:jc w:val="right"/>
        <w:rPr>
          <w:sz w:val="24"/>
          <w:szCs w:val="24"/>
        </w:rPr>
      </w:pPr>
      <w:r w:rsidRPr="004F01AD">
        <w:rPr>
          <w:sz w:val="24"/>
          <w:szCs w:val="24"/>
        </w:rPr>
        <w:lastRenderedPageBreak/>
        <w:t xml:space="preserve">Příloha č. </w:t>
      </w:r>
      <w:r w:rsidR="00306808">
        <w:rPr>
          <w:sz w:val="24"/>
          <w:szCs w:val="24"/>
        </w:rPr>
        <w:t>1</w:t>
      </w:r>
    </w:p>
    <w:p w14:paraId="38DDBBAC" w14:textId="77777777" w:rsidR="00F31777" w:rsidRDefault="007E2A6B" w:rsidP="003B3F03">
      <w:pPr>
        <w:spacing w:after="120" w:line="240" w:lineRule="auto"/>
        <w:jc w:val="center"/>
        <w:rPr>
          <w:rFonts w:cstheme="minorHAnsi"/>
          <w:b/>
          <w:sz w:val="24"/>
        </w:rPr>
      </w:pPr>
      <w:r>
        <w:rPr>
          <w:rFonts w:cstheme="minorHAnsi"/>
          <w:b/>
          <w:sz w:val="24"/>
        </w:rPr>
        <w:t>Přehled projektů vybraných ke kontrole</w:t>
      </w:r>
    </w:p>
    <w:tbl>
      <w:tblPr>
        <w:tblW w:w="8926" w:type="dxa"/>
        <w:tblCellMar>
          <w:left w:w="70" w:type="dxa"/>
          <w:right w:w="70" w:type="dxa"/>
        </w:tblCellMar>
        <w:tblLook w:val="04A0" w:firstRow="1" w:lastRow="0" w:firstColumn="1" w:lastColumn="0" w:noHBand="0" w:noVBand="1"/>
      </w:tblPr>
      <w:tblGrid>
        <w:gridCol w:w="3681"/>
        <w:gridCol w:w="1265"/>
        <w:gridCol w:w="578"/>
        <w:gridCol w:w="1134"/>
        <w:gridCol w:w="1134"/>
        <w:gridCol w:w="1134"/>
      </w:tblGrid>
      <w:tr w:rsidR="00D44C38" w14:paraId="00CCDF57" w14:textId="77777777" w:rsidTr="004F01AD">
        <w:trPr>
          <w:trHeight w:val="166"/>
        </w:trPr>
        <w:tc>
          <w:tcPr>
            <w:tcW w:w="3681"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2D7593F8"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Registrační číslo a název projektu</w:t>
            </w:r>
          </w:p>
        </w:tc>
        <w:tc>
          <w:tcPr>
            <w:tcW w:w="1265"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2BA6CCF"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Příjemce podpory</w:t>
            </w:r>
          </w:p>
        </w:tc>
        <w:tc>
          <w:tcPr>
            <w:tcW w:w="578"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4ED0144"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Výzva č.</w:t>
            </w:r>
          </w:p>
        </w:tc>
        <w:tc>
          <w:tcPr>
            <w:tcW w:w="3402" w:type="dxa"/>
            <w:gridSpan w:val="3"/>
            <w:tcBorders>
              <w:top w:val="single" w:sz="4" w:space="0" w:color="auto"/>
              <w:left w:val="nil"/>
              <w:bottom w:val="single" w:sz="4" w:space="0" w:color="auto"/>
              <w:right w:val="single" w:sz="4" w:space="0" w:color="auto"/>
            </w:tcBorders>
            <w:shd w:val="clear" w:color="000000" w:fill="E5F1FF"/>
            <w:vAlign w:val="center"/>
            <w:hideMark/>
          </w:tcPr>
          <w:p w14:paraId="63564CCA"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Podpora poskytnutá příjemcům ze zdrojů (v Kč)</w:t>
            </w:r>
          </w:p>
        </w:tc>
      </w:tr>
      <w:tr w:rsidR="00D44C38" w14:paraId="7C36201F" w14:textId="77777777" w:rsidTr="004F01AD">
        <w:trPr>
          <w:trHeight w:val="128"/>
        </w:trPr>
        <w:tc>
          <w:tcPr>
            <w:tcW w:w="3681" w:type="dxa"/>
            <w:vMerge/>
            <w:tcBorders>
              <w:top w:val="single" w:sz="4" w:space="0" w:color="auto"/>
              <w:left w:val="single" w:sz="4" w:space="0" w:color="auto"/>
              <w:bottom w:val="single" w:sz="4" w:space="0" w:color="auto"/>
              <w:right w:val="single" w:sz="4" w:space="0" w:color="auto"/>
            </w:tcBorders>
            <w:hideMark/>
          </w:tcPr>
          <w:p w14:paraId="4EA0CD0B" w14:textId="77777777" w:rsidR="002951C2" w:rsidRPr="004F01AD" w:rsidRDefault="002951C2" w:rsidP="002951C2">
            <w:pPr>
              <w:spacing w:after="0" w:line="240" w:lineRule="auto"/>
              <w:jc w:val="center"/>
              <w:rPr>
                <w:rFonts w:eastAsia="Times New Roman" w:cstheme="minorHAnsi"/>
                <w:b/>
                <w:bCs/>
                <w:sz w:val="18"/>
                <w:szCs w:val="18"/>
                <w:lang w:eastAsia="cs-CZ"/>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E700EF" w14:textId="77777777" w:rsidR="002951C2" w:rsidRPr="004F01AD" w:rsidRDefault="002951C2" w:rsidP="002951C2">
            <w:pPr>
              <w:spacing w:after="0" w:line="240" w:lineRule="auto"/>
              <w:rPr>
                <w:rFonts w:eastAsia="Times New Roman" w:cstheme="minorHAnsi"/>
                <w:b/>
                <w:bCs/>
                <w:sz w:val="18"/>
                <w:szCs w:val="18"/>
                <w:lang w:eastAsia="cs-CZ"/>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7E1B78E8" w14:textId="77777777" w:rsidR="002951C2" w:rsidRPr="004F01AD" w:rsidRDefault="002951C2" w:rsidP="002951C2">
            <w:pPr>
              <w:spacing w:after="0" w:line="240" w:lineRule="auto"/>
              <w:rPr>
                <w:rFonts w:eastAsia="Times New Roman" w:cstheme="minorHAnsi"/>
                <w:b/>
                <w:bCs/>
                <w:sz w:val="18"/>
                <w:szCs w:val="18"/>
                <w:lang w:eastAsia="cs-CZ"/>
              </w:rPr>
            </w:pPr>
          </w:p>
        </w:tc>
        <w:tc>
          <w:tcPr>
            <w:tcW w:w="1134" w:type="dxa"/>
            <w:tcBorders>
              <w:top w:val="nil"/>
              <w:left w:val="nil"/>
              <w:bottom w:val="single" w:sz="4" w:space="0" w:color="auto"/>
              <w:right w:val="single" w:sz="4" w:space="0" w:color="auto"/>
            </w:tcBorders>
            <w:shd w:val="clear" w:color="000000" w:fill="E5F1FF"/>
            <w:vAlign w:val="center"/>
            <w:hideMark/>
          </w:tcPr>
          <w:p w14:paraId="7EFA634C"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EFRR</w:t>
            </w:r>
          </w:p>
        </w:tc>
        <w:tc>
          <w:tcPr>
            <w:tcW w:w="1134" w:type="dxa"/>
            <w:tcBorders>
              <w:top w:val="nil"/>
              <w:left w:val="nil"/>
              <w:bottom w:val="single" w:sz="4" w:space="0" w:color="auto"/>
              <w:right w:val="single" w:sz="4" w:space="0" w:color="auto"/>
            </w:tcBorders>
            <w:shd w:val="clear" w:color="000000" w:fill="E5F1FF"/>
            <w:vAlign w:val="center"/>
            <w:hideMark/>
          </w:tcPr>
          <w:p w14:paraId="66C06719"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SR</w:t>
            </w:r>
          </w:p>
        </w:tc>
        <w:tc>
          <w:tcPr>
            <w:tcW w:w="1134" w:type="dxa"/>
            <w:tcBorders>
              <w:top w:val="nil"/>
              <w:left w:val="nil"/>
              <w:bottom w:val="single" w:sz="4" w:space="0" w:color="auto"/>
              <w:right w:val="single" w:sz="4" w:space="0" w:color="auto"/>
            </w:tcBorders>
            <w:shd w:val="clear" w:color="000000" w:fill="E5F1FF"/>
            <w:vAlign w:val="center"/>
            <w:hideMark/>
          </w:tcPr>
          <w:p w14:paraId="7E401A19" w14:textId="77777777" w:rsidR="002951C2" w:rsidRPr="004F01AD" w:rsidRDefault="007E2A6B" w:rsidP="002951C2">
            <w:pPr>
              <w:spacing w:after="0" w:line="240" w:lineRule="auto"/>
              <w:jc w:val="center"/>
              <w:rPr>
                <w:rFonts w:eastAsia="Times New Roman" w:cstheme="minorHAnsi"/>
                <w:b/>
                <w:bCs/>
                <w:sz w:val="18"/>
                <w:szCs w:val="18"/>
                <w:lang w:eastAsia="cs-CZ"/>
              </w:rPr>
            </w:pPr>
            <w:r w:rsidRPr="004F01AD">
              <w:rPr>
                <w:rFonts w:eastAsia="Times New Roman" w:cstheme="minorHAnsi"/>
                <w:b/>
                <w:bCs/>
                <w:sz w:val="18"/>
                <w:szCs w:val="18"/>
                <w:lang w:eastAsia="cs-CZ"/>
              </w:rPr>
              <w:t>Celkem</w:t>
            </w:r>
          </w:p>
        </w:tc>
      </w:tr>
      <w:tr w:rsidR="00D44C38" w14:paraId="393A8AA1" w14:textId="77777777" w:rsidTr="004F01AD">
        <w:trPr>
          <w:trHeight w:val="671"/>
        </w:trPr>
        <w:tc>
          <w:tcPr>
            <w:tcW w:w="3681" w:type="dxa"/>
            <w:tcBorders>
              <w:top w:val="nil"/>
              <w:left w:val="single" w:sz="4" w:space="0" w:color="auto"/>
              <w:bottom w:val="single" w:sz="4" w:space="0" w:color="auto"/>
              <w:right w:val="single" w:sz="4" w:space="0" w:color="auto"/>
            </w:tcBorders>
            <w:shd w:val="clear" w:color="auto" w:fill="auto"/>
            <w:hideMark/>
          </w:tcPr>
          <w:p w14:paraId="437B4CF5"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CZ.06.2.56/0.0/0.0/15_006/0001902</w:t>
            </w:r>
            <w:r w:rsidRPr="004F01AD">
              <w:rPr>
                <w:rFonts w:eastAsia="Times New Roman" w:cstheme="minorHAnsi"/>
                <w:sz w:val="18"/>
                <w:szCs w:val="18"/>
                <w:lang w:eastAsia="cs-CZ"/>
              </w:rPr>
              <w:br/>
              <w:t xml:space="preserve">Podpora vysoce specializované péče v oblasti </w:t>
            </w:r>
            <w:proofErr w:type="spellStart"/>
            <w:r w:rsidRPr="004F01AD">
              <w:rPr>
                <w:rFonts w:eastAsia="Times New Roman" w:cstheme="minorHAnsi"/>
                <w:sz w:val="18"/>
                <w:szCs w:val="18"/>
                <w:lang w:eastAsia="cs-CZ"/>
              </w:rPr>
              <w:t>onkogynekologie</w:t>
            </w:r>
            <w:proofErr w:type="spellEnd"/>
            <w:r w:rsidRPr="004F01AD">
              <w:rPr>
                <w:rFonts w:eastAsia="Times New Roman" w:cstheme="minorHAnsi"/>
                <w:sz w:val="18"/>
                <w:szCs w:val="18"/>
                <w:lang w:eastAsia="cs-CZ"/>
              </w:rPr>
              <w:t xml:space="preserve"> Fakultní nemocnice v Motole</w:t>
            </w:r>
          </w:p>
        </w:tc>
        <w:tc>
          <w:tcPr>
            <w:tcW w:w="1265" w:type="dxa"/>
            <w:tcBorders>
              <w:top w:val="nil"/>
              <w:left w:val="nil"/>
              <w:bottom w:val="single" w:sz="4" w:space="0" w:color="auto"/>
              <w:right w:val="single" w:sz="4" w:space="0" w:color="auto"/>
            </w:tcBorders>
            <w:shd w:val="clear" w:color="auto" w:fill="auto"/>
            <w:hideMark/>
          </w:tcPr>
          <w:p w14:paraId="6C442B0B"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v Motole</w:t>
            </w:r>
          </w:p>
        </w:tc>
        <w:tc>
          <w:tcPr>
            <w:tcW w:w="578" w:type="dxa"/>
            <w:tcBorders>
              <w:top w:val="nil"/>
              <w:left w:val="nil"/>
              <w:bottom w:val="single" w:sz="4" w:space="0" w:color="auto"/>
              <w:right w:val="single" w:sz="4" w:space="0" w:color="auto"/>
            </w:tcBorders>
            <w:shd w:val="clear" w:color="auto" w:fill="auto"/>
            <w:noWrap/>
            <w:hideMark/>
          </w:tcPr>
          <w:p w14:paraId="0E342F3F"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5</w:t>
            </w:r>
          </w:p>
        </w:tc>
        <w:tc>
          <w:tcPr>
            <w:tcW w:w="1134" w:type="dxa"/>
            <w:tcBorders>
              <w:top w:val="nil"/>
              <w:left w:val="nil"/>
              <w:bottom w:val="single" w:sz="4" w:space="0" w:color="auto"/>
              <w:right w:val="single" w:sz="4" w:space="0" w:color="auto"/>
            </w:tcBorders>
            <w:shd w:val="clear" w:color="auto" w:fill="auto"/>
            <w:noWrap/>
            <w:hideMark/>
          </w:tcPr>
          <w:p w14:paraId="03054D3F"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44 970 000</w:t>
            </w:r>
          </w:p>
        </w:tc>
        <w:tc>
          <w:tcPr>
            <w:tcW w:w="1134" w:type="dxa"/>
            <w:tcBorders>
              <w:top w:val="nil"/>
              <w:left w:val="nil"/>
              <w:bottom w:val="single" w:sz="4" w:space="0" w:color="auto"/>
              <w:right w:val="single" w:sz="4" w:space="0" w:color="auto"/>
            </w:tcBorders>
            <w:shd w:val="clear" w:color="auto" w:fill="auto"/>
            <w:noWrap/>
            <w:hideMark/>
          </w:tcPr>
          <w:p w14:paraId="7D7116B1"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7 938 000</w:t>
            </w:r>
          </w:p>
        </w:tc>
        <w:tc>
          <w:tcPr>
            <w:tcW w:w="1134" w:type="dxa"/>
            <w:tcBorders>
              <w:top w:val="nil"/>
              <w:left w:val="nil"/>
              <w:bottom w:val="single" w:sz="4" w:space="0" w:color="auto"/>
              <w:right w:val="single" w:sz="4" w:space="0" w:color="auto"/>
            </w:tcBorders>
            <w:shd w:val="clear" w:color="auto" w:fill="auto"/>
            <w:noWrap/>
            <w:hideMark/>
          </w:tcPr>
          <w:p w14:paraId="768075F7"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52 908 000</w:t>
            </w:r>
          </w:p>
        </w:tc>
      </w:tr>
      <w:tr w:rsidR="00D44C38" w14:paraId="1CFEEC53" w14:textId="77777777" w:rsidTr="004F01AD">
        <w:trPr>
          <w:trHeight w:val="568"/>
        </w:trPr>
        <w:tc>
          <w:tcPr>
            <w:tcW w:w="3681" w:type="dxa"/>
            <w:tcBorders>
              <w:top w:val="nil"/>
              <w:left w:val="single" w:sz="4" w:space="0" w:color="auto"/>
              <w:bottom w:val="single" w:sz="4" w:space="0" w:color="auto"/>
              <w:right w:val="single" w:sz="4" w:space="0" w:color="auto"/>
            </w:tcBorders>
            <w:shd w:val="clear" w:color="auto" w:fill="auto"/>
            <w:hideMark/>
          </w:tcPr>
          <w:p w14:paraId="15E50CBF"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CZ.06.2.56/0.0/0.0/15_006/0002804</w:t>
            </w:r>
            <w:r w:rsidRPr="004F01AD">
              <w:rPr>
                <w:rFonts w:eastAsia="Times New Roman" w:cstheme="minorHAnsi"/>
                <w:sz w:val="18"/>
                <w:szCs w:val="18"/>
                <w:lang w:eastAsia="cs-CZ"/>
              </w:rPr>
              <w:br/>
              <w:t xml:space="preserve">Podpora vysoce specializované péče v oblasti </w:t>
            </w:r>
            <w:proofErr w:type="spellStart"/>
            <w:r w:rsidRPr="004F01AD">
              <w:rPr>
                <w:rFonts w:eastAsia="Times New Roman" w:cstheme="minorHAnsi"/>
                <w:sz w:val="18"/>
                <w:szCs w:val="18"/>
                <w:lang w:eastAsia="cs-CZ"/>
              </w:rPr>
              <w:t>perinatologie</w:t>
            </w:r>
            <w:proofErr w:type="spellEnd"/>
            <w:r w:rsidRPr="004F01AD">
              <w:rPr>
                <w:rFonts w:eastAsia="Times New Roman" w:cstheme="minorHAnsi"/>
                <w:sz w:val="18"/>
                <w:szCs w:val="18"/>
                <w:lang w:eastAsia="cs-CZ"/>
              </w:rPr>
              <w:t xml:space="preserve"> Fakultní nemocnice v Motole</w:t>
            </w:r>
          </w:p>
        </w:tc>
        <w:tc>
          <w:tcPr>
            <w:tcW w:w="1265" w:type="dxa"/>
            <w:tcBorders>
              <w:top w:val="nil"/>
              <w:left w:val="nil"/>
              <w:bottom w:val="single" w:sz="4" w:space="0" w:color="auto"/>
              <w:right w:val="single" w:sz="4" w:space="0" w:color="auto"/>
            </w:tcBorders>
            <w:shd w:val="clear" w:color="auto" w:fill="auto"/>
            <w:hideMark/>
          </w:tcPr>
          <w:p w14:paraId="0F26AF17"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v Motole</w:t>
            </w:r>
          </w:p>
        </w:tc>
        <w:tc>
          <w:tcPr>
            <w:tcW w:w="578" w:type="dxa"/>
            <w:tcBorders>
              <w:top w:val="nil"/>
              <w:left w:val="nil"/>
              <w:bottom w:val="single" w:sz="4" w:space="0" w:color="auto"/>
              <w:right w:val="single" w:sz="4" w:space="0" w:color="auto"/>
            </w:tcBorders>
            <w:shd w:val="clear" w:color="auto" w:fill="auto"/>
            <w:noWrap/>
            <w:hideMark/>
          </w:tcPr>
          <w:p w14:paraId="5A17C59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5D033F10"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52 464 999</w:t>
            </w:r>
          </w:p>
        </w:tc>
        <w:tc>
          <w:tcPr>
            <w:tcW w:w="1134" w:type="dxa"/>
            <w:tcBorders>
              <w:top w:val="nil"/>
              <w:left w:val="nil"/>
              <w:bottom w:val="single" w:sz="4" w:space="0" w:color="auto"/>
              <w:right w:val="single" w:sz="4" w:space="0" w:color="auto"/>
            </w:tcBorders>
            <w:shd w:val="clear" w:color="auto" w:fill="auto"/>
            <w:noWrap/>
            <w:hideMark/>
          </w:tcPr>
          <w:p w14:paraId="60973E86"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9 261 000</w:t>
            </w:r>
          </w:p>
        </w:tc>
        <w:tc>
          <w:tcPr>
            <w:tcW w:w="1134" w:type="dxa"/>
            <w:tcBorders>
              <w:top w:val="nil"/>
              <w:left w:val="nil"/>
              <w:bottom w:val="single" w:sz="4" w:space="0" w:color="auto"/>
              <w:right w:val="single" w:sz="4" w:space="0" w:color="auto"/>
            </w:tcBorders>
            <w:shd w:val="clear" w:color="auto" w:fill="auto"/>
            <w:noWrap/>
            <w:hideMark/>
          </w:tcPr>
          <w:p w14:paraId="2546823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61 725 999</w:t>
            </w:r>
          </w:p>
        </w:tc>
      </w:tr>
      <w:tr w:rsidR="00D44C38" w14:paraId="3C7D345F" w14:textId="77777777" w:rsidTr="004F01AD">
        <w:trPr>
          <w:trHeight w:val="452"/>
        </w:trPr>
        <w:tc>
          <w:tcPr>
            <w:tcW w:w="3681" w:type="dxa"/>
            <w:tcBorders>
              <w:top w:val="nil"/>
              <w:left w:val="single" w:sz="4" w:space="0" w:color="auto"/>
              <w:bottom w:val="single" w:sz="4" w:space="0" w:color="auto"/>
              <w:right w:val="single" w:sz="4" w:space="0" w:color="auto"/>
            </w:tcBorders>
            <w:shd w:val="clear" w:color="auto" w:fill="auto"/>
            <w:hideMark/>
          </w:tcPr>
          <w:p w14:paraId="7ABCEC4A"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CZ.06.2.56/0.0/0.0/16_043/0001208</w:t>
            </w:r>
            <w:r w:rsidRPr="004F01AD">
              <w:rPr>
                <w:rFonts w:eastAsia="Times New Roman" w:cstheme="minorHAnsi"/>
                <w:sz w:val="18"/>
                <w:szCs w:val="18"/>
                <w:lang w:eastAsia="cs-CZ"/>
              </w:rPr>
              <w:br/>
              <w:t xml:space="preserve">Zvýšení kvality návazné péče v KNL, a.s. </w:t>
            </w:r>
            <w:r w:rsidR="00877224">
              <w:rPr>
                <w:rFonts w:eastAsia="Times New Roman" w:cstheme="minorHAnsi"/>
                <w:sz w:val="18"/>
                <w:szCs w:val="18"/>
                <w:lang w:eastAsia="cs-CZ"/>
              </w:rPr>
              <w:t>–</w:t>
            </w:r>
            <w:r w:rsidRPr="004F01AD">
              <w:rPr>
                <w:rFonts w:eastAsia="Times New Roman" w:cstheme="minorHAnsi"/>
                <w:sz w:val="18"/>
                <w:szCs w:val="18"/>
                <w:lang w:eastAsia="cs-CZ"/>
              </w:rPr>
              <w:t xml:space="preserve"> I.</w:t>
            </w:r>
          </w:p>
        </w:tc>
        <w:tc>
          <w:tcPr>
            <w:tcW w:w="1265" w:type="dxa"/>
            <w:tcBorders>
              <w:top w:val="nil"/>
              <w:left w:val="nil"/>
              <w:bottom w:val="single" w:sz="4" w:space="0" w:color="auto"/>
              <w:right w:val="single" w:sz="4" w:space="0" w:color="auto"/>
            </w:tcBorders>
            <w:shd w:val="clear" w:color="auto" w:fill="auto"/>
            <w:hideMark/>
          </w:tcPr>
          <w:p w14:paraId="3CC1BF4E"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Krajská nemocnice Liberec, a.s.</w:t>
            </w:r>
          </w:p>
        </w:tc>
        <w:tc>
          <w:tcPr>
            <w:tcW w:w="578" w:type="dxa"/>
            <w:tcBorders>
              <w:top w:val="nil"/>
              <w:left w:val="nil"/>
              <w:bottom w:val="single" w:sz="4" w:space="0" w:color="auto"/>
              <w:right w:val="single" w:sz="4" w:space="0" w:color="auto"/>
            </w:tcBorders>
            <w:shd w:val="clear" w:color="auto" w:fill="auto"/>
            <w:noWrap/>
            <w:hideMark/>
          </w:tcPr>
          <w:p w14:paraId="6FD4E6E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55AA33E2"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81 841 396</w:t>
            </w:r>
          </w:p>
        </w:tc>
        <w:tc>
          <w:tcPr>
            <w:tcW w:w="1134" w:type="dxa"/>
            <w:tcBorders>
              <w:top w:val="nil"/>
              <w:left w:val="nil"/>
              <w:bottom w:val="single" w:sz="4" w:space="0" w:color="auto"/>
              <w:right w:val="single" w:sz="4" w:space="0" w:color="auto"/>
            </w:tcBorders>
            <w:shd w:val="clear" w:color="auto" w:fill="auto"/>
            <w:noWrap/>
            <w:hideMark/>
          </w:tcPr>
          <w:p w14:paraId="7D953F89"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61B37430"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81 841 396</w:t>
            </w:r>
          </w:p>
        </w:tc>
      </w:tr>
      <w:tr w:rsidR="00D44C38" w14:paraId="52BC4FE4" w14:textId="77777777" w:rsidTr="004F01AD">
        <w:trPr>
          <w:trHeight w:val="449"/>
        </w:trPr>
        <w:tc>
          <w:tcPr>
            <w:tcW w:w="3681" w:type="dxa"/>
            <w:tcBorders>
              <w:top w:val="nil"/>
              <w:left w:val="single" w:sz="4" w:space="0" w:color="auto"/>
              <w:bottom w:val="single" w:sz="4" w:space="0" w:color="auto"/>
              <w:right w:val="single" w:sz="4" w:space="0" w:color="auto"/>
            </w:tcBorders>
            <w:shd w:val="clear" w:color="auto" w:fill="auto"/>
            <w:hideMark/>
          </w:tcPr>
          <w:p w14:paraId="2A4EFFAC"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CZ.06.2.56/0.0/0.0/16_043/0001224</w:t>
            </w:r>
            <w:r w:rsidRPr="004F01AD">
              <w:rPr>
                <w:rFonts w:eastAsia="Times New Roman" w:cstheme="minorHAnsi"/>
                <w:sz w:val="18"/>
                <w:szCs w:val="18"/>
                <w:lang w:eastAsia="cs-CZ"/>
              </w:rPr>
              <w:br/>
              <w:t xml:space="preserve">Zvýšení kvality návazné péče v KNL, a.s. </w:t>
            </w:r>
            <w:r w:rsidR="00877224">
              <w:rPr>
                <w:rFonts w:eastAsia="Times New Roman" w:cstheme="minorHAnsi"/>
                <w:sz w:val="18"/>
                <w:szCs w:val="18"/>
                <w:lang w:eastAsia="cs-CZ"/>
              </w:rPr>
              <w:t>–</w:t>
            </w:r>
            <w:r w:rsidRPr="004F01AD">
              <w:rPr>
                <w:rFonts w:eastAsia="Times New Roman" w:cstheme="minorHAnsi"/>
                <w:sz w:val="18"/>
                <w:szCs w:val="18"/>
                <w:lang w:eastAsia="cs-CZ"/>
              </w:rPr>
              <w:t xml:space="preserve"> II.</w:t>
            </w:r>
          </w:p>
        </w:tc>
        <w:tc>
          <w:tcPr>
            <w:tcW w:w="1265" w:type="dxa"/>
            <w:tcBorders>
              <w:top w:val="nil"/>
              <w:left w:val="nil"/>
              <w:bottom w:val="single" w:sz="4" w:space="0" w:color="auto"/>
              <w:right w:val="single" w:sz="4" w:space="0" w:color="auto"/>
            </w:tcBorders>
            <w:shd w:val="clear" w:color="auto" w:fill="auto"/>
            <w:hideMark/>
          </w:tcPr>
          <w:p w14:paraId="33B33730"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Krajská nemocnice Liberec, a.s.</w:t>
            </w:r>
          </w:p>
        </w:tc>
        <w:tc>
          <w:tcPr>
            <w:tcW w:w="578" w:type="dxa"/>
            <w:tcBorders>
              <w:top w:val="nil"/>
              <w:left w:val="nil"/>
              <w:bottom w:val="single" w:sz="4" w:space="0" w:color="auto"/>
              <w:right w:val="single" w:sz="4" w:space="0" w:color="auto"/>
            </w:tcBorders>
            <w:shd w:val="clear" w:color="auto" w:fill="auto"/>
            <w:noWrap/>
            <w:hideMark/>
          </w:tcPr>
          <w:p w14:paraId="7D58EDC6"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57A6ADC1"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49 503 150</w:t>
            </w:r>
          </w:p>
        </w:tc>
        <w:tc>
          <w:tcPr>
            <w:tcW w:w="1134" w:type="dxa"/>
            <w:tcBorders>
              <w:top w:val="nil"/>
              <w:left w:val="nil"/>
              <w:bottom w:val="single" w:sz="4" w:space="0" w:color="auto"/>
              <w:right w:val="single" w:sz="4" w:space="0" w:color="auto"/>
            </w:tcBorders>
            <w:shd w:val="clear" w:color="auto" w:fill="auto"/>
            <w:noWrap/>
            <w:hideMark/>
          </w:tcPr>
          <w:p w14:paraId="3064A373"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1FDF408E"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49 503 150</w:t>
            </w:r>
          </w:p>
        </w:tc>
      </w:tr>
      <w:tr w:rsidR="00D44C38" w14:paraId="54A0BE57" w14:textId="77777777" w:rsidTr="004F01AD">
        <w:trPr>
          <w:trHeight w:val="680"/>
        </w:trPr>
        <w:tc>
          <w:tcPr>
            <w:tcW w:w="3681" w:type="dxa"/>
            <w:tcBorders>
              <w:top w:val="nil"/>
              <w:left w:val="single" w:sz="4" w:space="0" w:color="auto"/>
              <w:bottom w:val="single" w:sz="4" w:space="0" w:color="auto"/>
              <w:right w:val="single" w:sz="4" w:space="0" w:color="auto"/>
            </w:tcBorders>
            <w:shd w:val="clear" w:color="auto" w:fill="auto"/>
            <w:hideMark/>
          </w:tcPr>
          <w:p w14:paraId="1D51C289"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CZ.06.2.56/0.0/0.0/16_043/0001241</w:t>
            </w:r>
            <w:r w:rsidRPr="004F01AD">
              <w:rPr>
                <w:rFonts w:eastAsia="Times New Roman" w:cstheme="minorHAnsi"/>
                <w:sz w:val="18"/>
                <w:szCs w:val="18"/>
                <w:lang w:eastAsia="cs-CZ"/>
              </w:rPr>
              <w:br/>
              <w:t>Magnetická rezonance v Nemocnici s</w:t>
            </w:r>
            <w:r w:rsidR="0072620D">
              <w:rPr>
                <w:rFonts w:eastAsia="Times New Roman" w:cstheme="minorHAnsi"/>
                <w:sz w:val="18"/>
                <w:szCs w:val="18"/>
                <w:lang w:eastAsia="cs-CZ"/>
              </w:rPr>
              <w:t> </w:t>
            </w:r>
            <w:r w:rsidRPr="004F01AD">
              <w:rPr>
                <w:rFonts w:eastAsia="Times New Roman" w:cstheme="minorHAnsi"/>
                <w:sz w:val="18"/>
                <w:szCs w:val="18"/>
                <w:lang w:eastAsia="cs-CZ"/>
              </w:rPr>
              <w:t>poliklinikou Česká Lípa, a.s.</w:t>
            </w:r>
          </w:p>
        </w:tc>
        <w:tc>
          <w:tcPr>
            <w:tcW w:w="1265" w:type="dxa"/>
            <w:tcBorders>
              <w:top w:val="nil"/>
              <w:left w:val="nil"/>
              <w:bottom w:val="single" w:sz="4" w:space="0" w:color="auto"/>
              <w:right w:val="single" w:sz="4" w:space="0" w:color="auto"/>
            </w:tcBorders>
            <w:shd w:val="clear" w:color="auto" w:fill="auto"/>
            <w:hideMark/>
          </w:tcPr>
          <w:p w14:paraId="64A0BA0A"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s</w:t>
            </w:r>
            <w:r w:rsidR="0072620D">
              <w:rPr>
                <w:rFonts w:eastAsia="Times New Roman" w:cstheme="minorHAnsi"/>
                <w:sz w:val="18"/>
                <w:szCs w:val="18"/>
                <w:lang w:eastAsia="cs-CZ"/>
              </w:rPr>
              <w:t> </w:t>
            </w:r>
            <w:r w:rsidRPr="004F01AD">
              <w:rPr>
                <w:rFonts w:eastAsia="Times New Roman" w:cstheme="minorHAnsi"/>
                <w:sz w:val="18"/>
                <w:szCs w:val="18"/>
                <w:lang w:eastAsia="cs-CZ"/>
              </w:rPr>
              <w:t>poliklinikou Česká Lípa, a.s.</w:t>
            </w:r>
          </w:p>
        </w:tc>
        <w:tc>
          <w:tcPr>
            <w:tcW w:w="578" w:type="dxa"/>
            <w:tcBorders>
              <w:top w:val="nil"/>
              <w:left w:val="nil"/>
              <w:bottom w:val="single" w:sz="4" w:space="0" w:color="auto"/>
              <w:right w:val="single" w:sz="4" w:space="0" w:color="auto"/>
            </w:tcBorders>
            <w:shd w:val="clear" w:color="auto" w:fill="auto"/>
            <w:noWrap/>
            <w:hideMark/>
          </w:tcPr>
          <w:p w14:paraId="050DFB49"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046DD758"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26 596 407</w:t>
            </w:r>
          </w:p>
        </w:tc>
        <w:tc>
          <w:tcPr>
            <w:tcW w:w="1134" w:type="dxa"/>
            <w:tcBorders>
              <w:top w:val="nil"/>
              <w:left w:val="nil"/>
              <w:bottom w:val="single" w:sz="4" w:space="0" w:color="auto"/>
              <w:right w:val="single" w:sz="4" w:space="0" w:color="auto"/>
            </w:tcBorders>
            <w:shd w:val="clear" w:color="auto" w:fill="auto"/>
            <w:noWrap/>
            <w:hideMark/>
          </w:tcPr>
          <w:p w14:paraId="04EB0AD0"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480A77BF"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26 596 407</w:t>
            </w:r>
          </w:p>
        </w:tc>
      </w:tr>
      <w:tr w:rsidR="00D44C38" w14:paraId="5F03ECA7" w14:textId="77777777" w:rsidTr="004F01AD">
        <w:trPr>
          <w:trHeight w:val="568"/>
        </w:trPr>
        <w:tc>
          <w:tcPr>
            <w:tcW w:w="3681" w:type="dxa"/>
            <w:tcBorders>
              <w:top w:val="nil"/>
              <w:left w:val="single" w:sz="4" w:space="0" w:color="auto"/>
              <w:bottom w:val="single" w:sz="4" w:space="0" w:color="auto"/>
              <w:right w:val="single" w:sz="4" w:space="0" w:color="auto"/>
            </w:tcBorders>
            <w:shd w:val="clear" w:color="auto" w:fill="auto"/>
            <w:hideMark/>
          </w:tcPr>
          <w:p w14:paraId="35B2F549"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CZ.06.2.56/0.0/0.0/16_043/0001242</w:t>
            </w:r>
            <w:r w:rsidRPr="004F01AD">
              <w:rPr>
                <w:rFonts w:eastAsia="Times New Roman" w:cstheme="minorHAnsi"/>
                <w:sz w:val="18"/>
                <w:szCs w:val="18"/>
                <w:lang w:eastAsia="cs-CZ"/>
              </w:rPr>
              <w:br/>
              <w:t>Obnova lůžkového vybavení v Nemocnici s</w:t>
            </w:r>
            <w:r w:rsidR="0072620D">
              <w:rPr>
                <w:rFonts w:eastAsia="Times New Roman" w:cstheme="minorHAnsi"/>
                <w:sz w:val="18"/>
                <w:szCs w:val="18"/>
                <w:lang w:eastAsia="cs-CZ"/>
              </w:rPr>
              <w:t> </w:t>
            </w:r>
            <w:r w:rsidRPr="004F01AD">
              <w:rPr>
                <w:rFonts w:eastAsia="Times New Roman" w:cstheme="minorHAnsi"/>
                <w:sz w:val="18"/>
                <w:szCs w:val="18"/>
                <w:lang w:eastAsia="cs-CZ"/>
              </w:rPr>
              <w:t>poliklinikou Česká Lípa, a.s.</w:t>
            </w:r>
          </w:p>
        </w:tc>
        <w:tc>
          <w:tcPr>
            <w:tcW w:w="1265" w:type="dxa"/>
            <w:tcBorders>
              <w:top w:val="nil"/>
              <w:left w:val="nil"/>
              <w:bottom w:val="single" w:sz="4" w:space="0" w:color="auto"/>
              <w:right w:val="single" w:sz="4" w:space="0" w:color="auto"/>
            </w:tcBorders>
            <w:shd w:val="clear" w:color="auto" w:fill="auto"/>
            <w:hideMark/>
          </w:tcPr>
          <w:p w14:paraId="2D78B7A7"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s</w:t>
            </w:r>
            <w:r w:rsidR="0072620D">
              <w:rPr>
                <w:rFonts w:eastAsia="Times New Roman" w:cstheme="minorHAnsi"/>
                <w:sz w:val="18"/>
                <w:szCs w:val="18"/>
                <w:lang w:eastAsia="cs-CZ"/>
              </w:rPr>
              <w:t> </w:t>
            </w:r>
            <w:r w:rsidRPr="004F01AD">
              <w:rPr>
                <w:rFonts w:eastAsia="Times New Roman" w:cstheme="minorHAnsi"/>
                <w:sz w:val="18"/>
                <w:szCs w:val="18"/>
                <w:lang w:eastAsia="cs-CZ"/>
              </w:rPr>
              <w:t>poliklinikou Česká Lípa, a.s.</w:t>
            </w:r>
          </w:p>
        </w:tc>
        <w:tc>
          <w:tcPr>
            <w:tcW w:w="578" w:type="dxa"/>
            <w:tcBorders>
              <w:top w:val="nil"/>
              <w:left w:val="nil"/>
              <w:bottom w:val="single" w:sz="4" w:space="0" w:color="auto"/>
              <w:right w:val="single" w:sz="4" w:space="0" w:color="auto"/>
            </w:tcBorders>
            <w:shd w:val="clear" w:color="auto" w:fill="auto"/>
            <w:noWrap/>
            <w:hideMark/>
          </w:tcPr>
          <w:p w14:paraId="0B2A5C1C"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731C5AD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14 415 055</w:t>
            </w:r>
          </w:p>
        </w:tc>
        <w:tc>
          <w:tcPr>
            <w:tcW w:w="1134" w:type="dxa"/>
            <w:tcBorders>
              <w:top w:val="nil"/>
              <w:left w:val="nil"/>
              <w:bottom w:val="single" w:sz="4" w:space="0" w:color="auto"/>
              <w:right w:val="single" w:sz="4" w:space="0" w:color="auto"/>
            </w:tcBorders>
            <w:shd w:val="clear" w:color="auto" w:fill="auto"/>
            <w:noWrap/>
            <w:hideMark/>
          </w:tcPr>
          <w:p w14:paraId="21D6AF12"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440716D6"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14 415 055</w:t>
            </w:r>
          </w:p>
        </w:tc>
      </w:tr>
      <w:tr w:rsidR="00D44C38" w14:paraId="075A037B" w14:textId="77777777" w:rsidTr="004F01AD">
        <w:trPr>
          <w:trHeight w:val="828"/>
        </w:trPr>
        <w:tc>
          <w:tcPr>
            <w:tcW w:w="3681" w:type="dxa"/>
            <w:tcBorders>
              <w:top w:val="nil"/>
              <w:left w:val="single" w:sz="4" w:space="0" w:color="auto"/>
              <w:bottom w:val="single" w:sz="4" w:space="0" w:color="auto"/>
              <w:right w:val="single" w:sz="4" w:space="0" w:color="auto"/>
            </w:tcBorders>
            <w:shd w:val="clear" w:color="auto" w:fill="auto"/>
            <w:hideMark/>
          </w:tcPr>
          <w:p w14:paraId="349AA580"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CZ.06.2.56/0.0/0.0/15_006/0005356</w:t>
            </w:r>
            <w:r w:rsidRPr="004F01AD">
              <w:rPr>
                <w:rFonts w:eastAsia="Times New Roman" w:cstheme="minorHAnsi"/>
                <w:sz w:val="18"/>
                <w:szCs w:val="18"/>
                <w:lang w:eastAsia="cs-CZ"/>
              </w:rPr>
              <w:br/>
              <w:t>Zvýšení kvality vysoce specializované péče v</w:t>
            </w:r>
            <w:r w:rsidR="0072620D">
              <w:rPr>
                <w:rFonts w:eastAsia="Times New Roman" w:cstheme="minorHAnsi"/>
                <w:sz w:val="18"/>
                <w:szCs w:val="18"/>
                <w:lang w:eastAsia="cs-CZ"/>
              </w:rPr>
              <w:t> </w:t>
            </w:r>
            <w:proofErr w:type="spellStart"/>
            <w:r w:rsidRPr="004F01AD">
              <w:rPr>
                <w:rFonts w:eastAsia="Times New Roman" w:cstheme="minorHAnsi"/>
                <w:sz w:val="18"/>
                <w:szCs w:val="18"/>
                <w:lang w:eastAsia="cs-CZ"/>
              </w:rPr>
              <w:t>perinatologii</w:t>
            </w:r>
            <w:proofErr w:type="spellEnd"/>
            <w:r w:rsidRPr="004F01AD">
              <w:rPr>
                <w:rFonts w:eastAsia="Times New Roman" w:cstheme="minorHAnsi"/>
                <w:sz w:val="18"/>
                <w:szCs w:val="18"/>
                <w:lang w:eastAsia="cs-CZ"/>
              </w:rPr>
              <w:t xml:space="preserve"> </w:t>
            </w:r>
            <w:r w:rsidR="0072620D" w:rsidRPr="004F7FAB">
              <w:rPr>
                <w:sz w:val="18"/>
                <w:szCs w:val="18"/>
              </w:rPr>
              <w:t>–</w:t>
            </w:r>
            <w:r w:rsidRPr="004F01AD">
              <w:rPr>
                <w:rFonts w:eastAsia="Times New Roman" w:cstheme="minorHAnsi"/>
                <w:sz w:val="18"/>
                <w:szCs w:val="18"/>
                <w:lang w:eastAsia="cs-CZ"/>
              </w:rPr>
              <w:t xml:space="preserve"> Masarykova nemocnice Ústí nad Labem, </w:t>
            </w:r>
            <w:proofErr w:type="spellStart"/>
            <w:r w:rsidRPr="004F01AD">
              <w:rPr>
                <w:rFonts w:eastAsia="Times New Roman" w:cstheme="minorHAnsi"/>
                <w:sz w:val="18"/>
                <w:szCs w:val="18"/>
                <w:lang w:eastAsia="cs-CZ"/>
              </w:rPr>
              <w:t>o.z</w:t>
            </w:r>
            <w:proofErr w:type="spellEnd"/>
            <w:r w:rsidRPr="004F01AD">
              <w:rPr>
                <w:rFonts w:eastAsia="Times New Roman" w:cstheme="minorHAnsi"/>
                <w:sz w:val="18"/>
                <w:szCs w:val="18"/>
                <w:lang w:eastAsia="cs-CZ"/>
              </w:rPr>
              <w:t>.</w:t>
            </w:r>
          </w:p>
        </w:tc>
        <w:tc>
          <w:tcPr>
            <w:tcW w:w="1265" w:type="dxa"/>
            <w:tcBorders>
              <w:top w:val="nil"/>
              <w:left w:val="nil"/>
              <w:bottom w:val="single" w:sz="4" w:space="0" w:color="auto"/>
              <w:right w:val="single" w:sz="4" w:space="0" w:color="auto"/>
            </w:tcBorders>
            <w:shd w:val="clear" w:color="auto" w:fill="auto"/>
            <w:hideMark/>
          </w:tcPr>
          <w:p w14:paraId="2BCBE961"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Krajská zdravotní, a.s.</w:t>
            </w:r>
          </w:p>
        </w:tc>
        <w:tc>
          <w:tcPr>
            <w:tcW w:w="578" w:type="dxa"/>
            <w:tcBorders>
              <w:top w:val="nil"/>
              <w:left w:val="nil"/>
              <w:bottom w:val="single" w:sz="4" w:space="0" w:color="auto"/>
              <w:right w:val="single" w:sz="4" w:space="0" w:color="auto"/>
            </w:tcBorders>
            <w:shd w:val="clear" w:color="auto" w:fill="auto"/>
            <w:noWrap/>
            <w:hideMark/>
          </w:tcPr>
          <w:p w14:paraId="48C50BD3"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5</w:t>
            </w:r>
          </w:p>
        </w:tc>
        <w:tc>
          <w:tcPr>
            <w:tcW w:w="1134" w:type="dxa"/>
            <w:tcBorders>
              <w:top w:val="nil"/>
              <w:left w:val="nil"/>
              <w:bottom w:val="single" w:sz="4" w:space="0" w:color="auto"/>
              <w:right w:val="single" w:sz="4" w:space="0" w:color="auto"/>
            </w:tcBorders>
            <w:shd w:val="clear" w:color="auto" w:fill="auto"/>
            <w:noWrap/>
            <w:hideMark/>
          </w:tcPr>
          <w:p w14:paraId="4A637279"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59 465 219</w:t>
            </w:r>
          </w:p>
        </w:tc>
        <w:tc>
          <w:tcPr>
            <w:tcW w:w="1134" w:type="dxa"/>
            <w:tcBorders>
              <w:top w:val="nil"/>
              <w:left w:val="nil"/>
              <w:bottom w:val="single" w:sz="4" w:space="0" w:color="auto"/>
              <w:right w:val="single" w:sz="4" w:space="0" w:color="auto"/>
            </w:tcBorders>
            <w:shd w:val="clear" w:color="auto" w:fill="auto"/>
            <w:noWrap/>
            <w:hideMark/>
          </w:tcPr>
          <w:p w14:paraId="642B571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6DB9AE20"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59 465 219</w:t>
            </w:r>
          </w:p>
        </w:tc>
      </w:tr>
      <w:tr w:rsidR="00D44C38" w14:paraId="63E00FE9" w14:textId="77777777" w:rsidTr="004F01AD">
        <w:trPr>
          <w:trHeight w:val="562"/>
        </w:trPr>
        <w:tc>
          <w:tcPr>
            <w:tcW w:w="3681" w:type="dxa"/>
            <w:tcBorders>
              <w:top w:val="nil"/>
              <w:left w:val="single" w:sz="4" w:space="0" w:color="auto"/>
              <w:bottom w:val="single" w:sz="4" w:space="0" w:color="auto"/>
              <w:right w:val="single" w:sz="4" w:space="0" w:color="auto"/>
            </w:tcBorders>
            <w:shd w:val="clear" w:color="auto" w:fill="auto"/>
            <w:hideMark/>
          </w:tcPr>
          <w:p w14:paraId="234430EB"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CZ.06.2.56/0.0/0.0/16_043/0001437</w:t>
            </w:r>
            <w:r w:rsidRPr="004F01AD">
              <w:rPr>
                <w:rFonts w:eastAsia="Times New Roman" w:cstheme="minorHAnsi"/>
                <w:sz w:val="18"/>
                <w:szCs w:val="18"/>
                <w:lang w:eastAsia="cs-CZ"/>
              </w:rPr>
              <w:br/>
              <w:t xml:space="preserve">Zvýšení kvality návazné péče </w:t>
            </w:r>
            <w:r w:rsidR="0072620D" w:rsidRPr="004F7FAB">
              <w:rPr>
                <w:sz w:val="18"/>
                <w:szCs w:val="18"/>
              </w:rPr>
              <w:t>–</w:t>
            </w:r>
            <w:r w:rsidRPr="004F01AD">
              <w:rPr>
                <w:rFonts w:eastAsia="Times New Roman" w:cstheme="minorHAnsi"/>
                <w:sz w:val="18"/>
                <w:szCs w:val="18"/>
                <w:lang w:eastAsia="cs-CZ"/>
              </w:rPr>
              <w:t xml:space="preserve"> Masarykova nemocnice Ústí nad Labem, </w:t>
            </w:r>
            <w:proofErr w:type="spellStart"/>
            <w:r w:rsidRPr="004F01AD">
              <w:rPr>
                <w:rFonts w:eastAsia="Times New Roman" w:cstheme="minorHAnsi"/>
                <w:sz w:val="18"/>
                <w:szCs w:val="18"/>
                <w:lang w:eastAsia="cs-CZ"/>
              </w:rPr>
              <w:t>o.z</w:t>
            </w:r>
            <w:proofErr w:type="spellEnd"/>
            <w:r w:rsidRPr="004F01AD">
              <w:rPr>
                <w:rFonts w:eastAsia="Times New Roman" w:cstheme="minorHAnsi"/>
                <w:sz w:val="18"/>
                <w:szCs w:val="18"/>
                <w:lang w:eastAsia="cs-CZ"/>
              </w:rPr>
              <w:t>.</w:t>
            </w:r>
          </w:p>
        </w:tc>
        <w:tc>
          <w:tcPr>
            <w:tcW w:w="1265" w:type="dxa"/>
            <w:tcBorders>
              <w:top w:val="nil"/>
              <w:left w:val="nil"/>
              <w:bottom w:val="single" w:sz="4" w:space="0" w:color="auto"/>
              <w:right w:val="single" w:sz="4" w:space="0" w:color="auto"/>
            </w:tcBorders>
            <w:shd w:val="clear" w:color="auto" w:fill="auto"/>
            <w:hideMark/>
          </w:tcPr>
          <w:p w14:paraId="0A1579CC"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Krajská zdravotní, a.s.</w:t>
            </w:r>
          </w:p>
        </w:tc>
        <w:tc>
          <w:tcPr>
            <w:tcW w:w="578" w:type="dxa"/>
            <w:tcBorders>
              <w:top w:val="nil"/>
              <w:left w:val="nil"/>
              <w:bottom w:val="single" w:sz="4" w:space="0" w:color="auto"/>
              <w:right w:val="single" w:sz="4" w:space="0" w:color="auto"/>
            </w:tcBorders>
            <w:shd w:val="clear" w:color="auto" w:fill="auto"/>
            <w:noWrap/>
            <w:hideMark/>
          </w:tcPr>
          <w:p w14:paraId="74EE3317"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712AEB18"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81 915 062</w:t>
            </w:r>
          </w:p>
        </w:tc>
        <w:tc>
          <w:tcPr>
            <w:tcW w:w="1134" w:type="dxa"/>
            <w:tcBorders>
              <w:top w:val="nil"/>
              <w:left w:val="nil"/>
              <w:bottom w:val="single" w:sz="4" w:space="0" w:color="auto"/>
              <w:right w:val="single" w:sz="4" w:space="0" w:color="auto"/>
            </w:tcBorders>
            <w:shd w:val="clear" w:color="auto" w:fill="auto"/>
            <w:noWrap/>
            <w:hideMark/>
          </w:tcPr>
          <w:p w14:paraId="1689EDB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0</w:t>
            </w:r>
          </w:p>
        </w:tc>
        <w:tc>
          <w:tcPr>
            <w:tcW w:w="1134" w:type="dxa"/>
            <w:tcBorders>
              <w:top w:val="nil"/>
              <w:left w:val="nil"/>
              <w:bottom w:val="single" w:sz="4" w:space="0" w:color="auto"/>
              <w:right w:val="single" w:sz="4" w:space="0" w:color="auto"/>
            </w:tcBorders>
            <w:shd w:val="clear" w:color="auto" w:fill="auto"/>
            <w:noWrap/>
            <w:hideMark/>
          </w:tcPr>
          <w:p w14:paraId="4471FC12"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81 915 062</w:t>
            </w:r>
          </w:p>
        </w:tc>
      </w:tr>
      <w:tr w:rsidR="00D44C38" w14:paraId="4A6CC80D" w14:textId="77777777" w:rsidTr="004F01AD">
        <w:trPr>
          <w:trHeight w:val="684"/>
        </w:trPr>
        <w:tc>
          <w:tcPr>
            <w:tcW w:w="3681" w:type="dxa"/>
            <w:tcBorders>
              <w:top w:val="nil"/>
              <w:left w:val="single" w:sz="4" w:space="0" w:color="auto"/>
              <w:bottom w:val="single" w:sz="4" w:space="0" w:color="auto"/>
              <w:right w:val="single" w:sz="4" w:space="0" w:color="auto"/>
            </w:tcBorders>
            <w:shd w:val="clear" w:color="auto" w:fill="auto"/>
            <w:hideMark/>
          </w:tcPr>
          <w:p w14:paraId="25CF4187"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CZ.06.2.56/0.0/0.0/15_006/0005514</w:t>
            </w:r>
            <w:r w:rsidRPr="004F01AD">
              <w:rPr>
                <w:rFonts w:eastAsia="Times New Roman" w:cstheme="minorHAnsi"/>
                <w:sz w:val="18"/>
                <w:szCs w:val="18"/>
                <w:lang w:eastAsia="cs-CZ"/>
              </w:rPr>
              <w:br/>
              <w:t xml:space="preserve">Modernizace a obnova přístrojového vybavení </w:t>
            </w:r>
            <w:proofErr w:type="spellStart"/>
            <w:r w:rsidRPr="004F01AD">
              <w:rPr>
                <w:rFonts w:eastAsia="Times New Roman" w:cstheme="minorHAnsi"/>
                <w:sz w:val="18"/>
                <w:szCs w:val="18"/>
                <w:lang w:eastAsia="cs-CZ"/>
              </w:rPr>
              <w:t>onkogynekologické</w:t>
            </w:r>
            <w:proofErr w:type="spellEnd"/>
            <w:r w:rsidRPr="004F01AD">
              <w:rPr>
                <w:rFonts w:eastAsia="Times New Roman" w:cstheme="minorHAnsi"/>
                <w:sz w:val="18"/>
                <w:szCs w:val="18"/>
                <w:lang w:eastAsia="cs-CZ"/>
              </w:rPr>
              <w:t xml:space="preserve"> péče Nemocnice Jihlava</w:t>
            </w:r>
          </w:p>
        </w:tc>
        <w:tc>
          <w:tcPr>
            <w:tcW w:w="1265" w:type="dxa"/>
            <w:tcBorders>
              <w:top w:val="nil"/>
              <w:left w:val="nil"/>
              <w:bottom w:val="single" w:sz="4" w:space="0" w:color="auto"/>
              <w:right w:val="single" w:sz="4" w:space="0" w:color="auto"/>
            </w:tcBorders>
            <w:shd w:val="clear" w:color="auto" w:fill="auto"/>
            <w:hideMark/>
          </w:tcPr>
          <w:p w14:paraId="1B119064"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Jihlava, příspěvková organizace</w:t>
            </w:r>
          </w:p>
        </w:tc>
        <w:tc>
          <w:tcPr>
            <w:tcW w:w="578" w:type="dxa"/>
            <w:tcBorders>
              <w:top w:val="nil"/>
              <w:left w:val="nil"/>
              <w:bottom w:val="single" w:sz="4" w:space="0" w:color="auto"/>
              <w:right w:val="single" w:sz="4" w:space="0" w:color="auto"/>
            </w:tcBorders>
            <w:shd w:val="clear" w:color="auto" w:fill="auto"/>
            <w:noWrap/>
            <w:hideMark/>
          </w:tcPr>
          <w:p w14:paraId="0BDD1696"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5</w:t>
            </w:r>
          </w:p>
        </w:tc>
        <w:tc>
          <w:tcPr>
            <w:tcW w:w="1134" w:type="dxa"/>
            <w:tcBorders>
              <w:top w:val="nil"/>
              <w:left w:val="nil"/>
              <w:bottom w:val="single" w:sz="4" w:space="0" w:color="auto"/>
              <w:right w:val="single" w:sz="4" w:space="0" w:color="auto"/>
            </w:tcBorders>
            <w:shd w:val="clear" w:color="auto" w:fill="auto"/>
            <w:noWrap/>
            <w:hideMark/>
          </w:tcPr>
          <w:p w14:paraId="3BB82C31"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46 326 770</w:t>
            </w:r>
          </w:p>
        </w:tc>
        <w:tc>
          <w:tcPr>
            <w:tcW w:w="1134" w:type="dxa"/>
            <w:tcBorders>
              <w:top w:val="nil"/>
              <w:left w:val="nil"/>
              <w:bottom w:val="single" w:sz="4" w:space="0" w:color="auto"/>
              <w:right w:val="single" w:sz="4" w:space="0" w:color="auto"/>
            </w:tcBorders>
            <w:shd w:val="clear" w:color="auto" w:fill="auto"/>
            <w:noWrap/>
            <w:hideMark/>
          </w:tcPr>
          <w:p w14:paraId="23843A61"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2 725 104</w:t>
            </w:r>
          </w:p>
        </w:tc>
        <w:tc>
          <w:tcPr>
            <w:tcW w:w="1134" w:type="dxa"/>
            <w:tcBorders>
              <w:top w:val="nil"/>
              <w:left w:val="nil"/>
              <w:bottom w:val="single" w:sz="4" w:space="0" w:color="auto"/>
              <w:right w:val="single" w:sz="4" w:space="0" w:color="auto"/>
            </w:tcBorders>
            <w:shd w:val="clear" w:color="auto" w:fill="auto"/>
            <w:noWrap/>
            <w:hideMark/>
          </w:tcPr>
          <w:p w14:paraId="22C06844"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49 051 874</w:t>
            </w:r>
          </w:p>
        </w:tc>
      </w:tr>
      <w:tr w:rsidR="00D44C38" w14:paraId="05C3C6A7" w14:textId="77777777" w:rsidTr="004F01AD">
        <w:trPr>
          <w:trHeight w:val="552"/>
        </w:trPr>
        <w:tc>
          <w:tcPr>
            <w:tcW w:w="3681" w:type="dxa"/>
            <w:tcBorders>
              <w:top w:val="nil"/>
              <w:left w:val="single" w:sz="4" w:space="0" w:color="auto"/>
              <w:bottom w:val="single" w:sz="4" w:space="0" w:color="auto"/>
              <w:right w:val="single" w:sz="4" w:space="0" w:color="auto"/>
            </w:tcBorders>
            <w:shd w:val="clear" w:color="auto" w:fill="auto"/>
            <w:hideMark/>
          </w:tcPr>
          <w:p w14:paraId="4A438246"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CZ.06.2.56/0.0/0.0/16_043/0001406</w:t>
            </w:r>
            <w:r w:rsidRPr="004F01AD">
              <w:rPr>
                <w:rFonts w:eastAsia="Times New Roman" w:cstheme="minorHAnsi"/>
                <w:sz w:val="18"/>
                <w:szCs w:val="18"/>
                <w:lang w:eastAsia="cs-CZ"/>
              </w:rPr>
              <w:br/>
              <w:t>Zvýšení kvality návazné péče Nemocnice Jihlava</w:t>
            </w:r>
          </w:p>
        </w:tc>
        <w:tc>
          <w:tcPr>
            <w:tcW w:w="1265" w:type="dxa"/>
            <w:tcBorders>
              <w:top w:val="nil"/>
              <w:left w:val="nil"/>
              <w:bottom w:val="single" w:sz="4" w:space="0" w:color="auto"/>
              <w:right w:val="single" w:sz="4" w:space="0" w:color="auto"/>
            </w:tcBorders>
            <w:shd w:val="clear" w:color="auto" w:fill="auto"/>
            <w:hideMark/>
          </w:tcPr>
          <w:p w14:paraId="1AE99252"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Jihlava, příspěvková organizace</w:t>
            </w:r>
          </w:p>
        </w:tc>
        <w:tc>
          <w:tcPr>
            <w:tcW w:w="578" w:type="dxa"/>
            <w:tcBorders>
              <w:top w:val="nil"/>
              <w:left w:val="nil"/>
              <w:bottom w:val="single" w:sz="4" w:space="0" w:color="auto"/>
              <w:right w:val="single" w:sz="4" w:space="0" w:color="auto"/>
            </w:tcBorders>
            <w:shd w:val="clear" w:color="auto" w:fill="auto"/>
            <w:noWrap/>
            <w:hideMark/>
          </w:tcPr>
          <w:p w14:paraId="0D9F13EE"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2ACC5785"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79 766 395</w:t>
            </w:r>
          </w:p>
        </w:tc>
        <w:tc>
          <w:tcPr>
            <w:tcW w:w="1134" w:type="dxa"/>
            <w:tcBorders>
              <w:top w:val="nil"/>
              <w:left w:val="nil"/>
              <w:bottom w:val="single" w:sz="4" w:space="0" w:color="auto"/>
              <w:right w:val="single" w:sz="4" w:space="0" w:color="auto"/>
            </w:tcBorders>
            <w:shd w:val="clear" w:color="auto" w:fill="auto"/>
            <w:noWrap/>
            <w:hideMark/>
          </w:tcPr>
          <w:p w14:paraId="7C465CC8"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4 692 141</w:t>
            </w:r>
          </w:p>
        </w:tc>
        <w:tc>
          <w:tcPr>
            <w:tcW w:w="1134" w:type="dxa"/>
            <w:tcBorders>
              <w:top w:val="nil"/>
              <w:left w:val="nil"/>
              <w:bottom w:val="single" w:sz="4" w:space="0" w:color="auto"/>
              <w:right w:val="single" w:sz="4" w:space="0" w:color="auto"/>
            </w:tcBorders>
            <w:shd w:val="clear" w:color="auto" w:fill="auto"/>
            <w:noWrap/>
            <w:hideMark/>
          </w:tcPr>
          <w:p w14:paraId="32627232"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84 458 536</w:t>
            </w:r>
          </w:p>
        </w:tc>
      </w:tr>
      <w:tr w:rsidR="00D44C38" w14:paraId="132947B9" w14:textId="77777777" w:rsidTr="004F01AD">
        <w:trPr>
          <w:trHeight w:val="493"/>
        </w:trPr>
        <w:tc>
          <w:tcPr>
            <w:tcW w:w="3681" w:type="dxa"/>
            <w:tcBorders>
              <w:top w:val="nil"/>
              <w:left w:val="single" w:sz="4" w:space="0" w:color="auto"/>
              <w:bottom w:val="single" w:sz="4" w:space="0" w:color="auto"/>
              <w:right w:val="single" w:sz="4" w:space="0" w:color="auto"/>
            </w:tcBorders>
            <w:shd w:val="clear" w:color="auto" w:fill="auto"/>
            <w:hideMark/>
          </w:tcPr>
          <w:p w14:paraId="42A8AA04"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CZ.06.2.56/0.0/0.0/15_006/0001805</w:t>
            </w:r>
            <w:r w:rsidRPr="004F01AD">
              <w:rPr>
                <w:rFonts w:eastAsia="Times New Roman" w:cstheme="minorHAnsi"/>
                <w:sz w:val="18"/>
                <w:szCs w:val="18"/>
                <w:lang w:eastAsia="cs-CZ"/>
              </w:rPr>
              <w:br/>
              <w:t>FN Brno modernizace perinatologického centra</w:t>
            </w:r>
          </w:p>
        </w:tc>
        <w:tc>
          <w:tcPr>
            <w:tcW w:w="1265" w:type="dxa"/>
            <w:tcBorders>
              <w:top w:val="nil"/>
              <w:left w:val="nil"/>
              <w:bottom w:val="single" w:sz="4" w:space="0" w:color="auto"/>
              <w:right w:val="single" w:sz="4" w:space="0" w:color="auto"/>
            </w:tcBorders>
            <w:shd w:val="clear" w:color="auto" w:fill="auto"/>
            <w:hideMark/>
          </w:tcPr>
          <w:p w14:paraId="5B8F41E1"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Brno</w:t>
            </w:r>
          </w:p>
        </w:tc>
        <w:tc>
          <w:tcPr>
            <w:tcW w:w="578" w:type="dxa"/>
            <w:tcBorders>
              <w:top w:val="nil"/>
              <w:left w:val="nil"/>
              <w:bottom w:val="single" w:sz="4" w:space="0" w:color="auto"/>
              <w:right w:val="single" w:sz="4" w:space="0" w:color="auto"/>
            </w:tcBorders>
            <w:shd w:val="clear" w:color="auto" w:fill="auto"/>
            <w:noWrap/>
            <w:hideMark/>
          </w:tcPr>
          <w:p w14:paraId="21DF3A3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5</w:t>
            </w:r>
          </w:p>
        </w:tc>
        <w:tc>
          <w:tcPr>
            <w:tcW w:w="1134" w:type="dxa"/>
            <w:tcBorders>
              <w:top w:val="nil"/>
              <w:left w:val="nil"/>
              <w:bottom w:val="single" w:sz="4" w:space="0" w:color="auto"/>
              <w:right w:val="single" w:sz="4" w:space="0" w:color="auto"/>
            </w:tcBorders>
            <w:shd w:val="clear" w:color="auto" w:fill="auto"/>
            <w:noWrap/>
            <w:hideMark/>
          </w:tcPr>
          <w:p w14:paraId="0BC84165"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59 500 000</w:t>
            </w:r>
          </w:p>
        </w:tc>
        <w:tc>
          <w:tcPr>
            <w:tcW w:w="1134" w:type="dxa"/>
            <w:tcBorders>
              <w:top w:val="nil"/>
              <w:left w:val="nil"/>
              <w:bottom w:val="single" w:sz="4" w:space="0" w:color="auto"/>
              <w:right w:val="single" w:sz="4" w:space="0" w:color="auto"/>
            </w:tcBorders>
            <w:shd w:val="clear" w:color="auto" w:fill="auto"/>
            <w:noWrap/>
            <w:hideMark/>
          </w:tcPr>
          <w:p w14:paraId="1C818022"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7 000 000</w:t>
            </w:r>
          </w:p>
        </w:tc>
        <w:tc>
          <w:tcPr>
            <w:tcW w:w="1134" w:type="dxa"/>
            <w:tcBorders>
              <w:top w:val="nil"/>
              <w:left w:val="nil"/>
              <w:bottom w:val="single" w:sz="4" w:space="0" w:color="auto"/>
              <w:right w:val="single" w:sz="4" w:space="0" w:color="auto"/>
            </w:tcBorders>
            <w:shd w:val="clear" w:color="auto" w:fill="auto"/>
            <w:noWrap/>
            <w:hideMark/>
          </w:tcPr>
          <w:p w14:paraId="2F1D53E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66 500 000</w:t>
            </w:r>
          </w:p>
        </w:tc>
      </w:tr>
      <w:tr w:rsidR="00D44C38" w14:paraId="08EA0104" w14:textId="77777777" w:rsidTr="004F01AD">
        <w:trPr>
          <w:trHeight w:val="690"/>
        </w:trPr>
        <w:tc>
          <w:tcPr>
            <w:tcW w:w="3681" w:type="dxa"/>
            <w:tcBorders>
              <w:top w:val="nil"/>
              <w:left w:val="single" w:sz="4" w:space="0" w:color="auto"/>
              <w:bottom w:val="single" w:sz="4" w:space="0" w:color="auto"/>
              <w:right w:val="single" w:sz="4" w:space="0" w:color="auto"/>
            </w:tcBorders>
            <w:shd w:val="clear" w:color="auto" w:fill="auto"/>
            <w:hideMark/>
          </w:tcPr>
          <w:p w14:paraId="31B14685"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CZ.06.2.56/0.0/0.0/16_043/0001175</w:t>
            </w:r>
            <w:r w:rsidRPr="004F01AD">
              <w:rPr>
                <w:rFonts w:eastAsia="Times New Roman" w:cstheme="minorHAnsi"/>
                <w:sz w:val="18"/>
                <w:szCs w:val="18"/>
                <w:lang w:eastAsia="cs-CZ"/>
              </w:rPr>
              <w:br/>
              <w:t xml:space="preserve">Technologická obnova operačních sálů </w:t>
            </w:r>
            <w:r w:rsidR="00877224">
              <w:rPr>
                <w:rFonts w:eastAsia="Times New Roman" w:cstheme="minorHAnsi"/>
                <w:sz w:val="18"/>
                <w:szCs w:val="18"/>
                <w:lang w:eastAsia="cs-CZ"/>
              </w:rPr>
              <w:br/>
            </w:r>
            <w:r w:rsidRPr="004F01AD">
              <w:rPr>
                <w:rFonts w:eastAsia="Times New Roman" w:cstheme="minorHAnsi"/>
                <w:sz w:val="18"/>
                <w:szCs w:val="18"/>
                <w:lang w:eastAsia="cs-CZ"/>
              </w:rPr>
              <w:t>ve FN Brno pro ortopedii</w:t>
            </w:r>
          </w:p>
        </w:tc>
        <w:tc>
          <w:tcPr>
            <w:tcW w:w="1265" w:type="dxa"/>
            <w:tcBorders>
              <w:top w:val="nil"/>
              <w:left w:val="nil"/>
              <w:bottom w:val="single" w:sz="4" w:space="0" w:color="auto"/>
              <w:right w:val="single" w:sz="4" w:space="0" w:color="auto"/>
            </w:tcBorders>
            <w:shd w:val="clear" w:color="auto" w:fill="auto"/>
            <w:hideMark/>
          </w:tcPr>
          <w:p w14:paraId="78EB2CA3"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Brno</w:t>
            </w:r>
          </w:p>
        </w:tc>
        <w:tc>
          <w:tcPr>
            <w:tcW w:w="578" w:type="dxa"/>
            <w:tcBorders>
              <w:top w:val="nil"/>
              <w:left w:val="nil"/>
              <w:bottom w:val="single" w:sz="4" w:space="0" w:color="auto"/>
              <w:right w:val="single" w:sz="4" w:space="0" w:color="auto"/>
            </w:tcBorders>
            <w:shd w:val="clear" w:color="auto" w:fill="auto"/>
            <w:noWrap/>
            <w:hideMark/>
          </w:tcPr>
          <w:p w14:paraId="711C5EA0"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6867123D"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82 932 105</w:t>
            </w:r>
          </w:p>
        </w:tc>
        <w:tc>
          <w:tcPr>
            <w:tcW w:w="1134" w:type="dxa"/>
            <w:tcBorders>
              <w:top w:val="nil"/>
              <w:left w:val="nil"/>
              <w:bottom w:val="single" w:sz="4" w:space="0" w:color="auto"/>
              <w:right w:val="single" w:sz="4" w:space="0" w:color="auto"/>
            </w:tcBorders>
            <w:shd w:val="clear" w:color="auto" w:fill="auto"/>
            <w:noWrap/>
            <w:hideMark/>
          </w:tcPr>
          <w:p w14:paraId="5533A093"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14 635 077</w:t>
            </w:r>
          </w:p>
        </w:tc>
        <w:tc>
          <w:tcPr>
            <w:tcW w:w="1134" w:type="dxa"/>
            <w:tcBorders>
              <w:top w:val="nil"/>
              <w:left w:val="nil"/>
              <w:bottom w:val="single" w:sz="4" w:space="0" w:color="auto"/>
              <w:right w:val="single" w:sz="4" w:space="0" w:color="auto"/>
            </w:tcBorders>
            <w:shd w:val="clear" w:color="auto" w:fill="auto"/>
            <w:noWrap/>
            <w:hideMark/>
          </w:tcPr>
          <w:p w14:paraId="38A40F41"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97 567 182</w:t>
            </w:r>
          </w:p>
        </w:tc>
      </w:tr>
      <w:tr w:rsidR="00D44C38" w14:paraId="2AA5B89D" w14:textId="77777777" w:rsidTr="004F01AD">
        <w:trPr>
          <w:trHeight w:val="860"/>
        </w:trPr>
        <w:tc>
          <w:tcPr>
            <w:tcW w:w="3681" w:type="dxa"/>
            <w:tcBorders>
              <w:top w:val="nil"/>
              <w:left w:val="single" w:sz="4" w:space="0" w:color="auto"/>
              <w:bottom w:val="single" w:sz="4" w:space="0" w:color="auto"/>
              <w:right w:val="single" w:sz="4" w:space="0" w:color="auto"/>
            </w:tcBorders>
            <w:shd w:val="clear" w:color="auto" w:fill="auto"/>
            <w:hideMark/>
          </w:tcPr>
          <w:p w14:paraId="1435A61C"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CZ.06.2.56/0.0/0.0/16_043/0001469</w:t>
            </w:r>
            <w:r w:rsidRPr="004F01AD">
              <w:rPr>
                <w:rFonts w:eastAsia="Times New Roman" w:cstheme="minorHAnsi"/>
                <w:sz w:val="18"/>
                <w:szCs w:val="18"/>
                <w:lang w:eastAsia="cs-CZ"/>
              </w:rPr>
              <w:br/>
              <w:t>Zvýšení kvality návazné péče v Nemocnici Vyškov</w:t>
            </w:r>
            <w:r w:rsidR="0072620D">
              <w:rPr>
                <w:rFonts w:eastAsia="Times New Roman" w:cstheme="minorHAnsi"/>
                <w:sz w:val="18"/>
                <w:szCs w:val="18"/>
                <w:lang w:eastAsia="cs-CZ"/>
              </w:rPr>
              <w:t>,</w:t>
            </w:r>
            <w:r w:rsidRPr="004F01AD">
              <w:rPr>
                <w:rFonts w:eastAsia="Times New Roman" w:cstheme="minorHAnsi"/>
                <w:sz w:val="18"/>
                <w:szCs w:val="18"/>
                <w:lang w:eastAsia="cs-CZ"/>
              </w:rPr>
              <w:t xml:space="preserve"> příspěvkové organizaci</w:t>
            </w:r>
          </w:p>
        </w:tc>
        <w:tc>
          <w:tcPr>
            <w:tcW w:w="1265" w:type="dxa"/>
            <w:tcBorders>
              <w:top w:val="nil"/>
              <w:left w:val="nil"/>
              <w:bottom w:val="single" w:sz="4" w:space="0" w:color="auto"/>
              <w:right w:val="single" w:sz="4" w:space="0" w:color="auto"/>
            </w:tcBorders>
            <w:shd w:val="clear" w:color="auto" w:fill="auto"/>
            <w:hideMark/>
          </w:tcPr>
          <w:p w14:paraId="693247BA"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Vyškov, příspěvková organizace</w:t>
            </w:r>
          </w:p>
        </w:tc>
        <w:tc>
          <w:tcPr>
            <w:tcW w:w="578" w:type="dxa"/>
            <w:tcBorders>
              <w:top w:val="nil"/>
              <w:left w:val="nil"/>
              <w:bottom w:val="single" w:sz="4" w:space="0" w:color="auto"/>
              <w:right w:val="single" w:sz="4" w:space="0" w:color="auto"/>
            </w:tcBorders>
            <w:shd w:val="clear" w:color="auto" w:fill="auto"/>
            <w:noWrap/>
            <w:hideMark/>
          </w:tcPr>
          <w:p w14:paraId="48F6965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36F182E9"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81 595 274</w:t>
            </w:r>
          </w:p>
        </w:tc>
        <w:tc>
          <w:tcPr>
            <w:tcW w:w="1134" w:type="dxa"/>
            <w:tcBorders>
              <w:top w:val="nil"/>
              <w:left w:val="nil"/>
              <w:bottom w:val="single" w:sz="4" w:space="0" w:color="auto"/>
              <w:right w:val="single" w:sz="4" w:space="0" w:color="auto"/>
            </w:tcBorders>
            <w:shd w:val="clear" w:color="auto" w:fill="auto"/>
            <w:noWrap/>
            <w:hideMark/>
          </w:tcPr>
          <w:p w14:paraId="6A37E42E"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4 799 722</w:t>
            </w:r>
          </w:p>
        </w:tc>
        <w:tc>
          <w:tcPr>
            <w:tcW w:w="1134" w:type="dxa"/>
            <w:tcBorders>
              <w:top w:val="nil"/>
              <w:left w:val="nil"/>
              <w:bottom w:val="single" w:sz="4" w:space="0" w:color="auto"/>
              <w:right w:val="single" w:sz="4" w:space="0" w:color="auto"/>
            </w:tcBorders>
            <w:shd w:val="clear" w:color="auto" w:fill="auto"/>
            <w:noWrap/>
            <w:hideMark/>
          </w:tcPr>
          <w:p w14:paraId="7D39BA1C"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86 394 996</w:t>
            </w:r>
          </w:p>
        </w:tc>
      </w:tr>
      <w:tr w:rsidR="00D44C38" w14:paraId="01FBACDF" w14:textId="77777777" w:rsidTr="004F01AD">
        <w:trPr>
          <w:trHeight w:val="849"/>
        </w:trPr>
        <w:tc>
          <w:tcPr>
            <w:tcW w:w="3681" w:type="dxa"/>
            <w:tcBorders>
              <w:top w:val="nil"/>
              <w:left w:val="single" w:sz="4" w:space="0" w:color="auto"/>
              <w:bottom w:val="single" w:sz="4" w:space="0" w:color="auto"/>
              <w:right w:val="single" w:sz="4" w:space="0" w:color="auto"/>
            </w:tcBorders>
            <w:shd w:val="clear" w:color="auto" w:fill="auto"/>
            <w:hideMark/>
          </w:tcPr>
          <w:p w14:paraId="32A81D0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CZ.06.2.56/0.0/0.0/16_043/0001571</w:t>
            </w:r>
            <w:r w:rsidRPr="004F01AD">
              <w:rPr>
                <w:rFonts w:eastAsia="Times New Roman" w:cstheme="minorHAnsi"/>
                <w:sz w:val="18"/>
                <w:szCs w:val="18"/>
                <w:lang w:eastAsia="cs-CZ"/>
              </w:rPr>
              <w:br/>
              <w:t>Zvýšení kvality návazné péče v Nemocnici Vyškov</w:t>
            </w:r>
            <w:r w:rsidR="0072620D">
              <w:rPr>
                <w:rFonts w:eastAsia="Times New Roman" w:cstheme="minorHAnsi"/>
                <w:sz w:val="18"/>
                <w:szCs w:val="18"/>
                <w:lang w:eastAsia="cs-CZ"/>
              </w:rPr>
              <w:t>,</w:t>
            </w:r>
            <w:r w:rsidRPr="004F01AD">
              <w:rPr>
                <w:rFonts w:eastAsia="Times New Roman" w:cstheme="minorHAnsi"/>
                <w:sz w:val="18"/>
                <w:szCs w:val="18"/>
                <w:lang w:eastAsia="cs-CZ"/>
              </w:rPr>
              <w:t xml:space="preserve"> příspěvkové organizaci </w:t>
            </w:r>
            <w:r w:rsidR="0072620D" w:rsidRPr="007B6038">
              <w:rPr>
                <w:sz w:val="18"/>
                <w:szCs w:val="18"/>
              </w:rPr>
              <w:t>–</w:t>
            </w:r>
            <w:r w:rsidRPr="004F01AD">
              <w:rPr>
                <w:rFonts w:eastAsia="Times New Roman" w:cstheme="minorHAnsi"/>
                <w:sz w:val="18"/>
                <w:szCs w:val="18"/>
                <w:lang w:eastAsia="cs-CZ"/>
              </w:rPr>
              <w:t xml:space="preserve"> část 2</w:t>
            </w:r>
          </w:p>
        </w:tc>
        <w:tc>
          <w:tcPr>
            <w:tcW w:w="1265" w:type="dxa"/>
            <w:tcBorders>
              <w:top w:val="nil"/>
              <w:left w:val="nil"/>
              <w:bottom w:val="single" w:sz="4" w:space="0" w:color="auto"/>
              <w:right w:val="single" w:sz="4" w:space="0" w:color="auto"/>
            </w:tcBorders>
            <w:shd w:val="clear" w:color="auto" w:fill="auto"/>
            <w:hideMark/>
          </w:tcPr>
          <w:p w14:paraId="766D6B27"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Nemocnice Vyškov, příspěvková organizace</w:t>
            </w:r>
          </w:p>
        </w:tc>
        <w:tc>
          <w:tcPr>
            <w:tcW w:w="578" w:type="dxa"/>
            <w:tcBorders>
              <w:top w:val="nil"/>
              <w:left w:val="nil"/>
              <w:bottom w:val="single" w:sz="4" w:space="0" w:color="auto"/>
              <w:right w:val="single" w:sz="4" w:space="0" w:color="auto"/>
            </w:tcBorders>
            <w:shd w:val="clear" w:color="auto" w:fill="auto"/>
            <w:noWrap/>
            <w:hideMark/>
          </w:tcPr>
          <w:p w14:paraId="5EB4B56C"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55A0CC9F"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15 650 623</w:t>
            </w:r>
          </w:p>
        </w:tc>
        <w:tc>
          <w:tcPr>
            <w:tcW w:w="1134" w:type="dxa"/>
            <w:tcBorders>
              <w:top w:val="nil"/>
              <w:left w:val="nil"/>
              <w:bottom w:val="single" w:sz="4" w:space="0" w:color="auto"/>
              <w:right w:val="single" w:sz="4" w:space="0" w:color="auto"/>
            </w:tcBorders>
            <w:shd w:val="clear" w:color="auto" w:fill="auto"/>
            <w:noWrap/>
            <w:hideMark/>
          </w:tcPr>
          <w:p w14:paraId="14D6C82E"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920 625</w:t>
            </w:r>
          </w:p>
        </w:tc>
        <w:tc>
          <w:tcPr>
            <w:tcW w:w="1134" w:type="dxa"/>
            <w:tcBorders>
              <w:top w:val="nil"/>
              <w:left w:val="nil"/>
              <w:bottom w:val="single" w:sz="4" w:space="0" w:color="auto"/>
              <w:right w:val="single" w:sz="4" w:space="0" w:color="auto"/>
            </w:tcBorders>
            <w:shd w:val="clear" w:color="auto" w:fill="auto"/>
            <w:noWrap/>
            <w:hideMark/>
          </w:tcPr>
          <w:p w14:paraId="0ECA4D14"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16 571 248</w:t>
            </w:r>
          </w:p>
        </w:tc>
      </w:tr>
      <w:tr w:rsidR="00D44C38" w14:paraId="729ACC72" w14:textId="77777777" w:rsidTr="004F01AD">
        <w:trPr>
          <w:trHeight w:val="564"/>
        </w:trPr>
        <w:tc>
          <w:tcPr>
            <w:tcW w:w="3681" w:type="dxa"/>
            <w:tcBorders>
              <w:top w:val="nil"/>
              <w:left w:val="single" w:sz="4" w:space="0" w:color="auto"/>
              <w:bottom w:val="single" w:sz="4" w:space="0" w:color="auto"/>
              <w:right w:val="single" w:sz="4" w:space="0" w:color="auto"/>
            </w:tcBorders>
            <w:shd w:val="clear" w:color="auto" w:fill="auto"/>
            <w:hideMark/>
          </w:tcPr>
          <w:p w14:paraId="2F2387C2"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CZ.06.2.56/0.0/0.0/15_006/0005080</w:t>
            </w:r>
            <w:r w:rsidRPr="004F01AD">
              <w:rPr>
                <w:rFonts w:eastAsia="Times New Roman" w:cstheme="minorHAnsi"/>
                <w:sz w:val="18"/>
                <w:szCs w:val="18"/>
                <w:lang w:eastAsia="cs-CZ"/>
              </w:rPr>
              <w:br/>
              <w:t xml:space="preserve">FN Ostrava </w:t>
            </w:r>
            <w:r w:rsidR="0072620D" w:rsidRPr="007B6038">
              <w:rPr>
                <w:sz w:val="18"/>
                <w:szCs w:val="18"/>
              </w:rPr>
              <w:t>–</w:t>
            </w:r>
            <w:r w:rsidRPr="004F01AD">
              <w:rPr>
                <w:rFonts w:eastAsia="Times New Roman" w:cstheme="minorHAnsi"/>
                <w:sz w:val="18"/>
                <w:szCs w:val="18"/>
                <w:lang w:eastAsia="cs-CZ"/>
              </w:rPr>
              <w:t xml:space="preserve"> Modernizace a obnova přístrojového vybavení v oblasti </w:t>
            </w:r>
            <w:proofErr w:type="spellStart"/>
            <w:r w:rsidRPr="004F01AD">
              <w:rPr>
                <w:rFonts w:eastAsia="Times New Roman" w:cstheme="minorHAnsi"/>
                <w:sz w:val="18"/>
                <w:szCs w:val="18"/>
                <w:lang w:eastAsia="cs-CZ"/>
              </w:rPr>
              <w:t>perinatologie</w:t>
            </w:r>
            <w:proofErr w:type="spellEnd"/>
          </w:p>
        </w:tc>
        <w:tc>
          <w:tcPr>
            <w:tcW w:w="1265" w:type="dxa"/>
            <w:tcBorders>
              <w:top w:val="nil"/>
              <w:left w:val="nil"/>
              <w:bottom w:val="single" w:sz="4" w:space="0" w:color="auto"/>
              <w:right w:val="single" w:sz="4" w:space="0" w:color="auto"/>
            </w:tcBorders>
            <w:shd w:val="clear" w:color="auto" w:fill="auto"/>
            <w:hideMark/>
          </w:tcPr>
          <w:p w14:paraId="011BDF6C"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Ostrava</w:t>
            </w:r>
          </w:p>
        </w:tc>
        <w:tc>
          <w:tcPr>
            <w:tcW w:w="578" w:type="dxa"/>
            <w:tcBorders>
              <w:top w:val="nil"/>
              <w:left w:val="nil"/>
              <w:bottom w:val="single" w:sz="4" w:space="0" w:color="auto"/>
              <w:right w:val="single" w:sz="4" w:space="0" w:color="auto"/>
            </w:tcBorders>
            <w:shd w:val="clear" w:color="auto" w:fill="auto"/>
            <w:noWrap/>
            <w:hideMark/>
          </w:tcPr>
          <w:p w14:paraId="2556D05C"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5</w:t>
            </w:r>
          </w:p>
        </w:tc>
        <w:tc>
          <w:tcPr>
            <w:tcW w:w="1134" w:type="dxa"/>
            <w:tcBorders>
              <w:top w:val="nil"/>
              <w:left w:val="nil"/>
              <w:bottom w:val="single" w:sz="4" w:space="0" w:color="auto"/>
              <w:right w:val="single" w:sz="4" w:space="0" w:color="auto"/>
            </w:tcBorders>
            <w:shd w:val="clear" w:color="auto" w:fill="auto"/>
            <w:noWrap/>
            <w:hideMark/>
          </w:tcPr>
          <w:p w14:paraId="0E840DA7"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59 491 500</w:t>
            </w:r>
          </w:p>
        </w:tc>
        <w:tc>
          <w:tcPr>
            <w:tcW w:w="1134" w:type="dxa"/>
            <w:tcBorders>
              <w:top w:val="nil"/>
              <w:left w:val="nil"/>
              <w:bottom w:val="single" w:sz="4" w:space="0" w:color="auto"/>
              <w:right w:val="single" w:sz="4" w:space="0" w:color="auto"/>
            </w:tcBorders>
            <w:shd w:val="clear" w:color="auto" w:fill="auto"/>
            <w:noWrap/>
            <w:hideMark/>
          </w:tcPr>
          <w:p w14:paraId="7B0C6F6E"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6 999 000</w:t>
            </w:r>
          </w:p>
        </w:tc>
        <w:tc>
          <w:tcPr>
            <w:tcW w:w="1134" w:type="dxa"/>
            <w:tcBorders>
              <w:top w:val="nil"/>
              <w:left w:val="nil"/>
              <w:bottom w:val="single" w:sz="4" w:space="0" w:color="auto"/>
              <w:right w:val="single" w:sz="4" w:space="0" w:color="auto"/>
            </w:tcBorders>
            <w:shd w:val="clear" w:color="auto" w:fill="auto"/>
            <w:noWrap/>
            <w:hideMark/>
          </w:tcPr>
          <w:p w14:paraId="271BDA84"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66 490 500</w:t>
            </w:r>
          </w:p>
        </w:tc>
      </w:tr>
      <w:tr w:rsidR="00D44C38" w14:paraId="347EFFAC" w14:textId="77777777" w:rsidTr="004F01AD">
        <w:trPr>
          <w:trHeight w:val="418"/>
        </w:trPr>
        <w:tc>
          <w:tcPr>
            <w:tcW w:w="3681" w:type="dxa"/>
            <w:tcBorders>
              <w:top w:val="nil"/>
              <w:left w:val="single" w:sz="4" w:space="0" w:color="auto"/>
              <w:bottom w:val="single" w:sz="4" w:space="0" w:color="auto"/>
              <w:right w:val="single" w:sz="4" w:space="0" w:color="auto"/>
            </w:tcBorders>
            <w:shd w:val="clear" w:color="auto" w:fill="auto"/>
            <w:hideMark/>
          </w:tcPr>
          <w:p w14:paraId="37A23118"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CZ.06.2.56/0.0/0.0/16_043/0001176</w:t>
            </w:r>
            <w:r w:rsidRPr="004F01AD">
              <w:rPr>
                <w:rFonts w:eastAsia="Times New Roman" w:cstheme="minorHAnsi"/>
                <w:sz w:val="18"/>
                <w:szCs w:val="18"/>
                <w:lang w:eastAsia="cs-CZ"/>
              </w:rPr>
              <w:br/>
              <w:t xml:space="preserve">Zvýšení kvality návazné péče </w:t>
            </w:r>
            <w:r w:rsidR="0072620D" w:rsidRPr="007B6038">
              <w:rPr>
                <w:sz w:val="18"/>
                <w:szCs w:val="18"/>
              </w:rPr>
              <w:t>–</w:t>
            </w:r>
            <w:r w:rsidRPr="004F01AD">
              <w:rPr>
                <w:rFonts w:eastAsia="Times New Roman" w:cstheme="minorHAnsi"/>
                <w:sz w:val="18"/>
                <w:szCs w:val="18"/>
                <w:lang w:eastAsia="cs-CZ"/>
              </w:rPr>
              <w:t xml:space="preserve"> FN Ostrava B</w:t>
            </w:r>
          </w:p>
        </w:tc>
        <w:tc>
          <w:tcPr>
            <w:tcW w:w="1265" w:type="dxa"/>
            <w:tcBorders>
              <w:top w:val="nil"/>
              <w:left w:val="nil"/>
              <w:bottom w:val="single" w:sz="4" w:space="0" w:color="auto"/>
              <w:right w:val="single" w:sz="4" w:space="0" w:color="auto"/>
            </w:tcBorders>
            <w:shd w:val="clear" w:color="auto" w:fill="auto"/>
            <w:hideMark/>
          </w:tcPr>
          <w:p w14:paraId="64422CF9" w14:textId="77777777" w:rsidR="00676828" w:rsidRPr="004F01AD" w:rsidRDefault="007E2A6B" w:rsidP="00676828">
            <w:pPr>
              <w:spacing w:after="0" w:line="240" w:lineRule="auto"/>
              <w:rPr>
                <w:rFonts w:eastAsia="Times New Roman" w:cstheme="minorHAnsi"/>
                <w:sz w:val="18"/>
                <w:szCs w:val="18"/>
                <w:lang w:eastAsia="cs-CZ"/>
              </w:rPr>
            </w:pPr>
            <w:r w:rsidRPr="004F01AD">
              <w:rPr>
                <w:rFonts w:eastAsia="Times New Roman" w:cstheme="minorHAnsi"/>
                <w:sz w:val="18"/>
                <w:szCs w:val="18"/>
                <w:lang w:eastAsia="cs-CZ"/>
              </w:rPr>
              <w:t>Fakultní nemocnice Ostrava</w:t>
            </w:r>
          </w:p>
        </w:tc>
        <w:tc>
          <w:tcPr>
            <w:tcW w:w="578" w:type="dxa"/>
            <w:tcBorders>
              <w:top w:val="nil"/>
              <w:left w:val="nil"/>
              <w:bottom w:val="single" w:sz="4" w:space="0" w:color="auto"/>
              <w:right w:val="single" w:sz="4" w:space="0" w:color="auto"/>
            </w:tcBorders>
            <w:shd w:val="clear" w:color="auto" w:fill="auto"/>
            <w:noWrap/>
            <w:hideMark/>
          </w:tcPr>
          <w:p w14:paraId="59C442B1" w14:textId="77777777" w:rsidR="00676828" w:rsidRPr="004F01AD" w:rsidRDefault="007E2A6B" w:rsidP="00676828">
            <w:pPr>
              <w:spacing w:after="0" w:line="240" w:lineRule="auto"/>
              <w:jc w:val="center"/>
              <w:rPr>
                <w:rFonts w:eastAsia="Times New Roman" w:cstheme="minorHAnsi"/>
                <w:sz w:val="18"/>
                <w:szCs w:val="18"/>
                <w:lang w:eastAsia="cs-CZ"/>
              </w:rPr>
            </w:pPr>
            <w:r w:rsidRPr="004F01AD">
              <w:rPr>
                <w:rFonts w:eastAsia="Times New Roman" w:cstheme="minorHAnsi"/>
                <w:sz w:val="18"/>
                <w:szCs w:val="18"/>
                <w:lang w:eastAsia="cs-CZ"/>
              </w:rPr>
              <w:t>31</w:t>
            </w:r>
          </w:p>
        </w:tc>
        <w:tc>
          <w:tcPr>
            <w:tcW w:w="1134" w:type="dxa"/>
            <w:tcBorders>
              <w:top w:val="nil"/>
              <w:left w:val="nil"/>
              <w:bottom w:val="single" w:sz="4" w:space="0" w:color="auto"/>
              <w:right w:val="single" w:sz="4" w:space="0" w:color="auto"/>
            </w:tcBorders>
            <w:shd w:val="clear" w:color="auto" w:fill="auto"/>
            <w:noWrap/>
            <w:hideMark/>
          </w:tcPr>
          <w:p w14:paraId="593F7244"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84 128 753</w:t>
            </w:r>
          </w:p>
        </w:tc>
        <w:tc>
          <w:tcPr>
            <w:tcW w:w="1134" w:type="dxa"/>
            <w:tcBorders>
              <w:top w:val="nil"/>
              <w:left w:val="nil"/>
              <w:bottom w:val="single" w:sz="4" w:space="0" w:color="auto"/>
              <w:right w:val="single" w:sz="4" w:space="0" w:color="auto"/>
            </w:tcBorders>
            <w:shd w:val="clear" w:color="auto" w:fill="auto"/>
            <w:noWrap/>
            <w:hideMark/>
          </w:tcPr>
          <w:p w14:paraId="720F7F1B"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14 846 251</w:t>
            </w:r>
          </w:p>
        </w:tc>
        <w:tc>
          <w:tcPr>
            <w:tcW w:w="1134" w:type="dxa"/>
            <w:tcBorders>
              <w:top w:val="nil"/>
              <w:left w:val="nil"/>
              <w:bottom w:val="single" w:sz="4" w:space="0" w:color="auto"/>
              <w:right w:val="single" w:sz="4" w:space="0" w:color="auto"/>
            </w:tcBorders>
            <w:shd w:val="clear" w:color="auto" w:fill="auto"/>
            <w:noWrap/>
            <w:hideMark/>
          </w:tcPr>
          <w:p w14:paraId="578C17EF" w14:textId="77777777" w:rsidR="00676828" w:rsidRPr="004F01AD" w:rsidRDefault="007E2A6B" w:rsidP="00676828">
            <w:pPr>
              <w:spacing w:after="0" w:line="240" w:lineRule="auto"/>
              <w:jc w:val="right"/>
              <w:rPr>
                <w:rFonts w:eastAsia="Times New Roman" w:cstheme="minorHAnsi"/>
                <w:sz w:val="18"/>
                <w:szCs w:val="18"/>
                <w:lang w:eastAsia="cs-CZ"/>
              </w:rPr>
            </w:pPr>
            <w:r w:rsidRPr="004F01AD">
              <w:rPr>
                <w:rFonts w:cstheme="minorHAnsi"/>
                <w:sz w:val="18"/>
                <w:szCs w:val="18"/>
              </w:rPr>
              <w:t>98 975 004</w:t>
            </w:r>
          </w:p>
        </w:tc>
      </w:tr>
      <w:tr w:rsidR="00D44C38" w14:paraId="73AAA9A3" w14:textId="77777777" w:rsidTr="004F7FAB">
        <w:trPr>
          <w:trHeight w:val="397"/>
        </w:trPr>
        <w:tc>
          <w:tcPr>
            <w:tcW w:w="3681" w:type="dxa"/>
            <w:tcBorders>
              <w:top w:val="nil"/>
              <w:left w:val="single" w:sz="4" w:space="0" w:color="auto"/>
              <w:bottom w:val="single" w:sz="4" w:space="0" w:color="auto"/>
              <w:right w:val="single" w:sz="4" w:space="0" w:color="auto"/>
            </w:tcBorders>
            <w:shd w:val="clear" w:color="000000" w:fill="F2C6C9"/>
            <w:noWrap/>
            <w:vAlign w:val="center"/>
            <w:hideMark/>
          </w:tcPr>
          <w:p w14:paraId="072326C8" w14:textId="77777777" w:rsidR="004F01AD" w:rsidRPr="004F01AD" w:rsidRDefault="007E2A6B" w:rsidP="004F01AD">
            <w:pPr>
              <w:spacing w:after="0" w:line="240" w:lineRule="auto"/>
              <w:rPr>
                <w:rFonts w:eastAsia="Times New Roman" w:cstheme="minorHAnsi"/>
                <w:b/>
                <w:bCs/>
                <w:sz w:val="18"/>
                <w:szCs w:val="18"/>
                <w:lang w:eastAsia="cs-CZ"/>
              </w:rPr>
            </w:pPr>
            <w:r w:rsidRPr="004F01AD">
              <w:rPr>
                <w:rFonts w:eastAsia="Times New Roman" w:cstheme="minorHAnsi"/>
                <w:b/>
                <w:bCs/>
                <w:sz w:val="18"/>
                <w:szCs w:val="18"/>
                <w:lang w:eastAsia="cs-CZ"/>
              </w:rPr>
              <w:t>Celkem 16 projektů</w:t>
            </w:r>
          </w:p>
        </w:tc>
        <w:tc>
          <w:tcPr>
            <w:tcW w:w="1843" w:type="dxa"/>
            <w:gridSpan w:val="2"/>
            <w:tcBorders>
              <w:top w:val="nil"/>
              <w:left w:val="nil"/>
              <w:bottom w:val="single" w:sz="4" w:space="0" w:color="auto"/>
              <w:right w:val="single" w:sz="4" w:space="0" w:color="auto"/>
            </w:tcBorders>
            <w:shd w:val="clear" w:color="000000" w:fill="F2C6C9"/>
            <w:noWrap/>
            <w:vAlign w:val="center"/>
            <w:hideMark/>
          </w:tcPr>
          <w:p w14:paraId="6A936A18" w14:textId="77777777" w:rsidR="004F01AD" w:rsidRPr="004F01AD" w:rsidRDefault="007E2A6B" w:rsidP="0072620D">
            <w:pPr>
              <w:spacing w:after="0" w:line="240" w:lineRule="auto"/>
              <w:rPr>
                <w:rFonts w:eastAsia="Times New Roman" w:cstheme="minorHAnsi"/>
                <w:b/>
                <w:bCs/>
                <w:sz w:val="18"/>
                <w:szCs w:val="18"/>
                <w:lang w:eastAsia="cs-CZ"/>
              </w:rPr>
            </w:pPr>
            <w:r w:rsidRPr="004F01AD">
              <w:rPr>
                <w:rFonts w:eastAsia="Times New Roman" w:cstheme="minorHAnsi"/>
                <w:b/>
                <w:bCs/>
                <w:sz w:val="18"/>
                <w:szCs w:val="18"/>
                <w:lang w:eastAsia="cs-CZ"/>
              </w:rPr>
              <w:t>8 příjemců podpory</w:t>
            </w:r>
          </w:p>
        </w:tc>
        <w:tc>
          <w:tcPr>
            <w:tcW w:w="1134" w:type="dxa"/>
            <w:tcBorders>
              <w:top w:val="nil"/>
              <w:left w:val="nil"/>
              <w:bottom w:val="single" w:sz="4" w:space="0" w:color="auto"/>
              <w:right w:val="single" w:sz="4" w:space="0" w:color="auto"/>
            </w:tcBorders>
            <w:shd w:val="clear" w:color="000000" w:fill="F2C6C9"/>
            <w:noWrap/>
            <w:vAlign w:val="center"/>
            <w:hideMark/>
          </w:tcPr>
          <w:p w14:paraId="345A17B3" w14:textId="77777777" w:rsidR="004F01AD" w:rsidRPr="004F01AD" w:rsidRDefault="007E2A6B" w:rsidP="004F01AD">
            <w:pPr>
              <w:spacing w:after="0" w:line="240" w:lineRule="auto"/>
              <w:jc w:val="right"/>
              <w:rPr>
                <w:rFonts w:eastAsia="Times New Roman" w:cstheme="minorHAnsi"/>
                <w:b/>
                <w:bCs/>
                <w:sz w:val="18"/>
                <w:szCs w:val="18"/>
                <w:lang w:eastAsia="cs-CZ"/>
              </w:rPr>
            </w:pPr>
            <w:r w:rsidRPr="004F01AD">
              <w:rPr>
                <w:b/>
                <w:sz w:val="18"/>
                <w:szCs w:val="18"/>
              </w:rPr>
              <w:t>920 562 708</w:t>
            </w:r>
          </w:p>
        </w:tc>
        <w:tc>
          <w:tcPr>
            <w:tcW w:w="1134" w:type="dxa"/>
            <w:tcBorders>
              <w:top w:val="nil"/>
              <w:left w:val="nil"/>
              <w:bottom w:val="single" w:sz="4" w:space="0" w:color="auto"/>
              <w:right w:val="single" w:sz="4" w:space="0" w:color="auto"/>
            </w:tcBorders>
            <w:shd w:val="clear" w:color="000000" w:fill="F2C6C9"/>
            <w:noWrap/>
            <w:vAlign w:val="center"/>
            <w:hideMark/>
          </w:tcPr>
          <w:p w14:paraId="7F4C06F7" w14:textId="77777777" w:rsidR="004F01AD" w:rsidRPr="004F01AD" w:rsidRDefault="007E2A6B" w:rsidP="004F01AD">
            <w:pPr>
              <w:spacing w:after="0" w:line="240" w:lineRule="auto"/>
              <w:jc w:val="right"/>
              <w:rPr>
                <w:rFonts w:eastAsia="Times New Roman" w:cstheme="minorHAnsi"/>
                <w:b/>
                <w:bCs/>
                <w:sz w:val="18"/>
                <w:szCs w:val="18"/>
                <w:lang w:eastAsia="cs-CZ"/>
              </w:rPr>
            </w:pPr>
            <w:r w:rsidRPr="004F01AD">
              <w:rPr>
                <w:b/>
                <w:sz w:val="18"/>
                <w:szCs w:val="18"/>
              </w:rPr>
              <w:t>73 816 920</w:t>
            </w:r>
          </w:p>
        </w:tc>
        <w:tc>
          <w:tcPr>
            <w:tcW w:w="1134" w:type="dxa"/>
            <w:tcBorders>
              <w:top w:val="nil"/>
              <w:left w:val="nil"/>
              <w:bottom w:val="single" w:sz="4" w:space="0" w:color="auto"/>
              <w:right w:val="single" w:sz="4" w:space="0" w:color="auto"/>
            </w:tcBorders>
            <w:shd w:val="clear" w:color="000000" w:fill="F2C6C9"/>
            <w:noWrap/>
            <w:vAlign w:val="center"/>
            <w:hideMark/>
          </w:tcPr>
          <w:p w14:paraId="22B422E0" w14:textId="77777777" w:rsidR="004F01AD" w:rsidRPr="004F01AD" w:rsidRDefault="007E2A6B" w:rsidP="004F01AD">
            <w:pPr>
              <w:spacing w:after="0" w:line="240" w:lineRule="auto"/>
              <w:jc w:val="right"/>
              <w:rPr>
                <w:rFonts w:eastAsia="Times New Roman" w:cstheme="minorHAnsi"/>
                <w:b/>
                <w:bCs/>
                <w:sz w:val="18"/>
                <w:szCs w:val="18"/>
                <w:lang w:eastAsia="cs-CZ"/>
              </w:rPr>
            </w:pPr>
            <w:r w:rsidRPr="004F01AD">
              <w:rPr>
                <w:b/>
                <w:sz w:val="18"/>
                <w:szCs w:val="18"/>
              </w:rPr>
              <w:t>994 379 628</w:t>
            </w:r>
          </w:p>
        </w:tc>
      </w:tr>
    </w:tbl>
    <w:p w14:paraId="753AD03E" w14:textId="77777777" w:rsidR="005130B3" w:rsidRDefault="005130B3" w:rsidP="00C472CF">
      <w:pPr>
        <w:pStyle w:val="KP-normlnbezodsazen"/>
        <w:sectPr w:rsidR="005130B3" w:rsidSect="005130B3">
          <w:footerReference w:type="default" r:id="rId18"/>
          <w:footerReference w:type="first" r:id="rId19"/>
          <w:pgSz w:w="11906" w:h="16838" w:code="9"/>
          <w:pgMar w:top="1418" w:right="1418" w:bottom="1418" w:left="1418" w:header="709" w:footer="709" w:gutter="0"/>
          <w:cols w:space="708"/>
          <w:titlePg/>
          <w:docGrid w:linePitch="360"/>
        </w:sectPr>
      </w:pPr>
    </w:p>
    <w:p w14:paraId="6C53C871" w14:textId="77777777" w:rsidR="005130B3" w:rsidRPr="004F01AD" w:rsidRDefault="007E2A6B" w:rsidP="005130B3">
      <w:pPr>
        <w:pStyle w:val="Nadpis1"/>
        <w:spacing w:before="0" w:after="120"/>
        <w:jc w:val="right"/>
        <w:rPr>
          <w:sz w:val="24"/>
          <w:szCs w:val="24"/>
        </w:rPr>
      </w:pPr>
      <w:r w:rsidRPr="004F01AD">
        <w:rPr>
          <w:sz w:val="24"/>
          <w:szCs w:val="24"/>
        </w:rPr>
        <w:lastRenderedPageBreak/>
        <w:t xml:space="preserve">Příloha č. </w:t>
      </w:r>
      <w:r w:rsidR="00306808">
        <w:rPr>
          <w:sz w:val="24"/>
          <w:szCs w:val="24"/>
        </w:rPr>
        <w:t>2</w:t>
      </w:r>
    </w:p>
    <w:p w14:paraId="653D82DF" w14:textId="77777777" w:rsidR="005130B3" w:rsidRDefault="007E2A6B" w:rsidP="005130B3">
      <w:pPr>
        <w:spacing w:after="120" w:line="280" w:lineRule="atLeast"/>
        <w:jc w:val="center"/>
        <w:rPr>
          <w:rFonts w:cstheme="minorHAnsi"/>
          <w:b/>
          <w:sz w:val="24"/>
        </w:rPr>
      </w:pPr>
      <w:r w:rsidRPr="004F01AD">
        <w:rPr>
          <w:rFonts w:cstheme="minorHAnsi"/>
          <w:b/>
          <w:sz w:val="24"/>
        </w:rPr>
        <w:t>Přehled kontrolovan</w:t>
      </w:r>
      <w:r>
        <w:rPr>
          <w:rFonts w:cstheme="minorHAnsi"/>
          <w:b/>
          <w:sz w:val="24"/>
        </w:rPr>
        <w:t xml:space="preserve">ého zdravotnického vybavení </w:t>
      </w:r>
      <w:r w:rsidRPr="004F01AD">
        <w:rPr>
          <w:rFonts w:cstheme="minorHAnsi"/>
          <w:b/>
          <w:sz w:val="24"/>
        </w:rPr>
        <w:t>a výsledek hodnocení účelnosti a </w:t>
      </w:r>
      <w:r>
        <w:rPr>
          <w:rFonts w:cstheme="minorHAnsi"/>
          <w:b/>
          <w:sz w:val="24"/>
        </w:rPr>
        <w:t>hospodárnosti</w:t>
      </w:r>
      <w:r w:rsidRPr="004F01AD">
        <w:rPr>
          <w:rFonts w:cstheme="minorHAnsi"/>
          <w:b/>
          <w:sz w:val="24"/>
        </w:rPr>
        <w:t xml:space="preserve"> vynaložených prostředků</w:t>
      </w:r>
    </w:p>
    <w:tbl>
      <w:tblPr>
        <w:tblW w:w="5000" w:type="pct"/>
        <w:tblCellMar>
          <w:left w:w="70" w:type="dxa"/>
          <w:right w:w="70" w:type="dxa"/>
        </w:tblCellMar>
        <w:tblLook w:val="04A0" w:firstRow="1" w:lastRow="0" w:firstColumn="1" w:lastColumn="0" w:noHBand="0" w:noVBand="1"/>
      </w:tblPr>
      <w:tblGrid>
        <w:gridCol w:w="2727"/>
        <w:gridCol w:w="1224"/>
        <w:gridCol w:w="6207"/>
        <w:gridCol w:w="1206"/>
        <w:gridCol w:w="778"/>
        <w:gridCol w:w="1209"/>
        <w:gridCol w:w="641"/>
      </w:tblGrid>
      <w:tr w:rsidR="00D44C38" w14:paraId="7CDAB67C" w14:textId="77777777" w:rsidTr="00DB327A">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3D28D8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Projekt</w:t>
            </w:r>
          </w:p>
        </w:tc>
        <w:tc>
          <w:tcPr>
            <w:tcW w:w="437"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3F8CA98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Příjemce</w:t>
            </w:r>
          </w:p>
        </w:tc>
        <w:tc>
          <w:tcPr>
            <w:tcW w:w="2218"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2502A9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Název zdravotnického vybavení</w:t>
            </w:r>
          </w:p>
        </w:tc>
        <w:tc>
          <w:tcPr>
            <w:tcW w:w="709" w:type="pct"/>
            <w:gridSpan w:val="2"/>
            <w:tcBorders>
              <w:top w:val="single" w:sz="4" w:space="0" w:color="auto"/>
              <w:left w:val="nil"/>
              <w:bottom w:val="single" w:sz="4" w:space="0" w:color="auto"/>
              <w:right w:val="single" w:sz="4" w:space="0" w:color="auto"/>
            </w:tcBorders>
            <w:shd w:val="clear" w:color="000000" w:fill="E5F1FF"/>
            <w:vAlign w:val="center"/>
            <w:hideMark/>
          </w:tcPr>
          <w:p w14:paraId="287F6D9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Hodnocení účelnosti</w:t>
            </w:r>
          </w:p>
        </w:tc>
        <w:tc>
          <w:tcPr>
            <w:tcW w:w="661" w:type="pct"/>
            <w:gridSpan w:val="2"/>
            <w:tcBorders>
              <w:top w:val="single" w:sz="4" w:space="0" w:color="auto"/>
              <w:left w:val="single" w:sz="4" w:space="0" w:color="auto"/>
              <w:bottom w:val="single" w:sz="4" w:space="0" w:color="auto"/>
              <w:right w:val="single" w:sz="4" w:space="0" w:color="000000"/>
            </w:tcBorders>
            <w:shd w:val="clear" w:color="000000" w:fill="E5F1FF"/>
            <w:vAlign w:val="center"/>
            <w:hideMark/>
          </w:tcPr>
          <w:p w14:paraId="3B9C790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Hodnocení hospodárnosti</w:t>
            </w:r>
          </w:p>
        </w:tc>
      </w:tr>
      <w:tr w:rsidR="00D44C38" w14:paraId="60175FC6" w14:textId="77777777" w:rsidTr="00DB327A">
        <w:trPr>
          <w:cantSplit/>
          <w:trHeight w:val="20"/>
        </w:trPr>
        <w:tc>
          <w:tcPr>
            <w:tcW w:w="974" w:type="pct"/>
            <w:vMerge/>
            <w:tcBorders>
              <w:top w:val="single" w:sz="4" w:space="0" w:color="auto"/>
              <w:left w:val="single" w:sz="4" w:space="0" w:color="auto"/>
              <w:bottom w:val="single" w:sz="4" w:space="0" w:color="auto"/>
              <w:right w:val="single" w:sz="4" w:space="0" w:color="auto"/>
            </w:tcBorders>
            <w:vAlign w:val="center"/>
            <w:hideMark/>
          </w:tcPr>
          <w:p w14:paraId="6D97A9CE"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6E5A404A"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vMerge/>
            <w:tcBorders>
              <w:top w:val="single" w:sz="4" w:space="0" w:color="auto"/>
              <w:left w:val="single" w:sz="4" w:space="0" w:color="auto"/>
              <w:bottom w:val="single" w:sz="4" w:space="0" w:color="auto"/>
              <w:right w:val="single" w:sz="4" w:space="0" w:color="auto"/>
            </w:tcBorders>
            <w:vAlign w:val="center"/>
            <w:hideMark/>
          </w:tcPr>
          <w:p w14:paraId="17614BD9"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1" w:type="pct"/>
            <w:tcBorders>
              <w:top w:val="nil"/>
              <w:left w:val="nil"/>
              <w:bottom w:val="single" w:sz="4" w:space="0" w:color="auto"/>
              <w:right w:val="single" w:sz="4" w:space="0" w:color="auto"/>
            </w:tcBorders>
            <w:shd w:val="clear" w:color="000000" w:fill="E5F1FF"/>
            <w:vAlign w:val="center"/>
            <w:hideMark/>
          </w:tcPr>
          <w:p w14:paraId="0AA78C24" w14:textId="77777777" w:rsidR="00FB487D" w:rsidRPr="003D04DF" w:rsidRDefault="002C68B1" w:rsidP="005130B3">
            <w:pPr>
              <w:spacing w:after="0" w:line="240" w:lineRule="auto"/>
              <w:jc w:val="center"/>
              <w:rPr>
                <w:rFonts w:ascii="Calibri" w:eastAsia="Times New Roman" w:hAnsi="Calibri" w:cs="Calibri"/>
                <w:b/>
                <w:bCs/>
                <w:color w:val="000000"/>
                <w:sz w:val="17"/>
                <w:szCs w:val="17"/>
                <w:lang w:eastAsia="cs-CZ"/>
              </w:rPr>
            </w:pPr>
            <w:r>
              <w:rPr>
                <w:rFonts w:ascii="Calibri" w:eastAsia="Times New Roman" w:hAnsi="Calibri" w:cs="Calibri"/>
                <w:b/>
                <w:bCs/>
                <w:color w:val="000000"/>
                <w:sz w:val="17"/>
                <w:szCs w:val="17"/>
                <w:lang w:eastAsia="cs-CZ"/>
              </w:rPr>
              <w:t>P</w:t>
            </w:r>
            <w:r w:rsidRPr="003D04DF">
              <w:rPr>
                <w:rFonts w:ascii="Calibri" w:eastAsia="Times New Roman" w:hAnsi="Calibri" w:cs="Calibri"/>
                <w:b/>
                <w:bCs/>
                <w:color w:val="000000"/>
                <w:sz w:val="17"/>
                <w:szCs w:val="17"/>
                <w:lang w:eastAsia="cs-CZ"/>
              </w:rPr>
              <w:t xml:space="preserve">odpora </w:t>
            </w:r>
            <w:r>
              <w:rPr>
                <w:rFonts w:ascii="Calibri" w:eastAsia="Times New Roman" w:hAnsi="Calibri" w:cs="Calibri"/>
                <w:b/>
                <w:bCs/>
                <w:color w:val="000000"/>
                <w:sz w:val="17"/>
                <w:szCs w:val="17"/>
                <w:lang w:eastAsia="cs-CZ"/>
              </w:rPr>
              <w:t>p</w:t>
            </w:r>
            <w:r w:rsidR="007E2A6B" w:rsidRPr="003D04DF">
              <w:rPr>
                <w:rFonts w:ascii="Calibri" w:eastAsia="Times New Roman" w:hAnsi="Calibri" w:cs="Calibri"/>
                <w:b/>
                <w:bCs/>
                <w:color w:val="000000"/>
                <w:sz w:val="17"/>
                <w:szCs w:val="17"/>
                <w:lang w:eastAsia="cs-CZ"/>
              </w:rPr>
              <w:t>oskytnutá z EFRR a SR (v Kč)</w:t>
            </w:r>
          </w:p>
        </w:tc>
        <w:tc>
          <w:tcPr>
            <w:tcW w:w="278" w:type="pct"/>
            <w:tcBorders>
              <w:top w:val="nil"/>
              <w:left w:val="nil"/>
              <w:bottom w:val="single" w:sz="4" w:space="0" w:color="auto"/>
              <w:right w:val="single" w:sz="4" w:space="0" w:color="auto"/>
            </w:tcBorders>
            <w:shd w:val="clear" w:color="000000" w:fill="E5F1FF"/>
            <w:vAlign w:val="center"/>
            <w:hideMark/>
          </w:tcPr>
          <w:p w14:paraId="58B7FF6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Stupeň</w:t>
            </w:r>
            <w:r>
              <w:rPr>
                <w:rFonts w:ascii="Calibri" w:eastAsia="Times New Roman" w:hAnsi="Calibri" w:cs="Calibri"/>
                <w:b/>
                <w:bCs/>
                <w:color w:val="000000"/>
                <w:sz w:val="17"/>
                <w:szCs w:val="17"/>
                <w:lang w:eastAsia="cs-CZ"/>
              </w:rPr>
              <w:t>*)</w:t>
            </w:r>
          </w:p>
        </w:tc>
        <w:tc>
          <w:tcPr>
            <w:tcW w:w="432" w:type="pct"/>
            <w:tcBorders>
              <w:top w:val="nil"/>
              <w:left w:val="nil"/>
              <w:bottom w:val="single" w:sz="4" w:space="0" w:color="auto"/>
              <w:right w:val="single" w:sz="4" w:space="0" w:color="auto"/>
            </w:tcBorders>
            <w:shd w:val="clear" w:color="000000" w:fill="E5F1FF"/>
            <w:vAlign w:val="center"/>
            <w:hideMark/>
          </w:tcPr>
          <w:p w14:paraId="25CE8A82" w14:textId="77777777" w:rsidR="00FB487D" w:rsidRPr="003D04DF" w:rsidRDefault="002C68B1" w:rsidP="005130B3">
            <w:pPr>
              <w:spacing w:after="0" w:line="240" w:lineRule="auto"/>
              <w:jc w:val="center"/>
              <w:rPr>
                <w:rFonts w:ascii="Calibri" w:eastAsia="Times New Roman" w:hAnsi="Calibri" w:cs="Calibri"/>
                <w:b/>
                <w:bCs/>
                <w:color w:val="000000"/>
                <w:sz w:val="17"/>
                <w:szCs w:val="17"/>
                <w:lang w:eastAsia="cs-CZ"/>
              </w:rPr>
            </w:pPr>
            <w:r>
              <w:rPr>
                <w:rFonts w:ascii="Calibri" w:eastAsia="Times New Roman" w:hAnsi="Calibri" w:cs="Calibri"/>
                <w:b/>
                <w:bCs/>
                <w:color w:val="000000"/>
                <w:sz w:val="17"/>
                <w:szCs w:val="17"/>
                <w:lang w:eastAsia="cs-CZ"/>
              </w:rPr>
              <w:t>P</w:t>
            </w:r>
            <w:r w:rsidRPr="003D04DF">
              <w:rPr>
                <w:rFonts w:ascii="Calibri" w:eastAsia="Times New Roman" w:hAnsi="Calibri" w:cs="Calibri"/>
                <w:b/>
                <w:bCs/>
                <w:color w:val="000000"/>
                <w:sz w:val="17"/>
                <w:szCs w:val="17"/>
                <w:lang w:eastAsia="cs-CZ"/>
              </w:rPr>
              <w:t xml:space="preserve">odpora </w:t>
            </w:r>
            <w:r>
              <w:rPr>
                <w:rFonts w:ascii="Calibri" w:eastAsia="Times New Roman" w:hAnsi="Calibri" w:cs="Calibri"/>
                <w:b/>
                <w:bCs/>
                <w:color w:val="000000"/>
                <w:sz w:val="17"/>
                <w:szCs w:val="17"/>
                <w:lang w:eastAsia="cs-CZ"/>
              </w:rPr>
              <w:t>p</w:t>
            </w:r>
            <w:r w:rsidR="007E2A6B" w:rsidRPr="003D04DF">
              <w:rPr>
                <w:rFonts w:ascii="Calibri" w:eastAsia="Times New Roman" w:hAnsi="Calibri" w:cs="Calibri"/>
                <w:b/>
                <w:bCs/>
                <w:color w:val="000000"/>
                <w:sz w:val="17"/>
                <w:szCs w:val="17"/>
                <w:lang w:eastAsia="cs-CZ"/>
              </w:rPr>
              <w:t>oskytnutá z EFRR a SR (v Kč)</w:t>
            </w:r>
          </w:p>
        </w:tc>
        <w:tc>
          <w:tcPr>
            <w:tcW w:w="229" w:type="pct"/>
            <w:tcBorders>
              <w:top w:val="nil"/>
              <w:left w:val="nil"/>
              <w:bottom w:val="single" w:sz="4" w:space="0" w:color="auto"/>
              <w:right w:val="single" w:sz="4" w:space="0" w:color="auto"/>
            </w:tcBorders>
            <w:shd w:val="clear" w:color="000000" w:fill="E5F1FF"/>
            <w:vAlign w:val="center"/>
            <w:hideMark/>
          </w:tcPr>
          <w:p w14:paraId="7FA4608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Stupeň</w:t>
            </w:r>
          </w:p>
        </w:tc>
      </w:tr>
      <w:tr w:rsidR="00D44C38" w14:paraId="6B831B8F" w14:textId="77777777" w:rsidTr="00DB327A">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7BC21534"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CZ.06.2.56/0.0/0.0/15_006/0001902</w:t>
            </w:r>
            <w:r w:rsidRPr="003D04DF">
              <w:rPr>
                <w:rFonts w:ascii="Calibri" w:eastAsia="Times New Roman" w:hAnsi="Calibri" w:cs="Calibri"/>
                <w:b/>
                <w:bCs/>
                <w:color w:val="000000"/>
                <w:sz w:val="17"/>
                <w:szCs w:val="17"/>
                <w:lang w:eastAsia="cs-CZ"/>
              </w:rPr>
              <w:br/>
              <w:t xml:space="preserve">Podpora vysoce specializované péče v oblasti </w:t>
            </w:r>
            <w:proofErr w:type="spellStart"/>
            <w:r w:rsidRPr="003D04DF">
              <w:rPr>
                <w:rFonts w:ascii="Calibri" w:eastAsia="Times New Roman" w:hAnsi="Calibri" w:cs="Calibri"/>
                <w:b/>
                <w:bCs/>
                <w:color w:val="000000"/>
                <w:sz w:val="17"/>
                <w:szCs w:val="17"/>
                <w:lang w:eastAsia="cs-CZ"/>
              </w:rPr>
              <w:t>onkogynekologie</w:t>
            </w:r>
            <w:proofErr w:type="spellEnd"/>
            <w:r w:rsidRPr="003D04DF">
              <w:rPr>
                <w:rFonts w:ascii="Calibri" w:eastAsia="Times New Roman" w:hAnsi="Calibri" w:cs="Calibri"/>
                <w:b/>
                <w:bCs/>
                <w:color w:val="000000"/>
                <w:sz w:val="17"/>
                <w:szCs w:val="17"/>
                <w:lang w:eastAsia="cs-CZ"/>
              </w:rPr>
              <w:t xml:space="preserve"> Fakultní nemocnice</w:t>
            </w:r>
            <w:r w:rsidR="002C68B1">
              <w:rPr>
                <w:rFonts w:ascii="Calibri" w:eastAsia="Times New Roman" w:hAnsi="Calibri" w:cs="Calibri"/>
                <w:b/>
                <w:bCs/>
                <w:color w:val="000000"/>
                <w:sz w:val="17"/>
                <w:szCs w:val="17"/>
                <w:lang w:eastAsia="cs-CZ"/>
              </w:rPr>
              <w:t xml:space="preserve"> v</w:t>
            </w:r>
            <w:r w:rsidRPr="003D04DF">
              <w:rPr>
                <w:rFonts w:ascii="Calibri" w:eastAsia="Times New Roman" w:hAnsi="Calibri" w:cs="Calibri"/>
                <w:b/>
                <w:bCs/>
                <w:color w:val="000000"/>
                <w:sz w:val="17"/>
                <w:szCs w:val="17"/>
                <w:lang w:eastAsia="cs-CZ"/>
              </w:rPr>
              <w:t xml:space="preserve"> Motol</w:t>
            </w:r>
            <w:r w:rsidR="002C68B1">
              <w:rPr>
                <w:rFonts w:ascii="Calibri" w:eastAsia="Times New Roman" w:hAnsi="Calibri" w:cs="Calibri"/>
                <w:b/>
                <w:bCs/>
                <w:color w:val="000000"/>
                <w:sz w:val="17"/>
                <w:szCs w:val="17"/>
                <w:lang w:eastAsia="cs-CZ"/>
              </w:rPr>
              <w:t>e</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5FB469C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Fakultní nemocnice v Motole</w:t>
            </w:r>
          </w:p>
        </w:tc>
        <w:tc>
          <w:tcPr>
            <w:tcW w:w="2218" w:type="pct"/>
            <w:tcBorders>
              <w:top w:val="nil"/>
              <w:left w:val="nil"/>
              <w:bottom w:val="single" w:sz="4" w:space="0" w:color="auto"/>
              <w:right w:val="single" w:sz="4" w:space="0" w:color="auto"/>
            </w:tcBorders>
            <w:shd w:val="clear" w:color="auto" w:fill="auto"/>
            <w:vAlign w:val="center"/>
            <w:hideMark/>
          </w:tcPr>
          <w:p w14:paraId="274A8A67"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Operační lampa s LED technologií, 2 rameny, s full HD kamerou v těle satelitního svítidla</w:t>
            </w:r>
          </w:p>
        </w:tc>
        <w:tc>
          <w:tcPr>
            <w:tcW w:w="431" w:type="pct"/>
            <w:tcBorders>
              <w:top w:val="nil"/>
              <w:left w:val="nil"/>
              <w:bottom w:val="single" w:sz="4" w:space="0" w:color="auto"/>
              <w:right w:val="single" w:sz="4" w:space="0" w:color="auto"/>
            </w:tcBorders>
            <w:shd w:val="clear" w:color="auto" w:fill="auto"/>
            <w:noWrap/>
            <w:vAlign w:val="center"/>
            <w:hideMark/>
          </w:tcPr>
          <w:p w14:paraId="71AC511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506 814,55</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AB061C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BA421E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506 814,55</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2B66D1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194F5CF"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1FC53CDB"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6CBC536E"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0FD993CE"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12 ks pacientských lůžek </w:t>
            </w:r>
            <w:r w:rsidR="002C68B1" w:rsidRPr="003D04DF">
              <w:rPr>
                <w:rFonts w:ascii="Calibri" w:eastAsia="Times New Roman" w:hAnsi="Calibri" w:cs="Calibri"/>
                <w:color w:val="000000"/>
                <w:sz w:val="17"/>
                <w:szCs w:val="17"/>
                <w:lang w:eastAsia="cs-CZ"/>
              </w:rPr>
              <w:t xml:space="preserve">JIP </w:t>
            </w:r>
            <w:r w:rsidRPr="003D04DF">
              <w:rPr>
                <w:rFonts w:ascii="Calibri" w:eastAsia="Times New Roman" w:hAnsi="Calibri" w:cs="Calibri"/>
                <w:color w:val="000000"/>
                <w:sz w:val="17"/>
                <w:szCs w:val="17"/>
                <w:lang w:eastAsia="cs-CZ"/>
              </w:rPr>
              <w:t>vč. 12 ks matrací</w:t>
            </w:r>
          </w:p>
        </w:tc>
        <w:tc>
          <w:tcPr>
            <w:tcW w:w="431" w:type="pct"/>
            <w:tcBorders>
              <w:top w:val="nil"/>
              <w:left w:val="nil"/>
              <w:bottom w:val="single" w:sz="4" w:space="0" w:color="auto"/>
              <w:right w:val="single" w:sz="4" w:space="0" w:color="auto"/>
            </w:tcBorders>
            <w:shd w:val="clear" w:color="auto" w:fill="auto"/>
            <w:noWrap/>
            <w:vAlign w:val="center"/>
            <w:hideMark/>
          </w:tcPr>
          <w:p w14:paraId="29080E98"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691 218,10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5249F0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8F4D5A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691 218,10</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3B493C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B9462EF"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AA6BD7F"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9C08CEC"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6AEB3297"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Magnetická rezonance 3T</w:t>
            </w:r>
          </w:p>
        </w:tc>
        <w:tc>
          <w:tcPr>
            <w:tcW w:w="431" w:type="pct"/>
            <w:tcBorders>
              <w:top w:val="nil"/>
              <w:left w:val="nil"/>
              <w:bottom w:val="single" w:sz="4" w:space="0" w:color="auto"/>
              <w:right w:val="single" w:sz="4" w:space="0" w:color="auto"/>
            </w:tcBorders>
            <w:shd w:val="clear" w:color="auto" w:fill="auto"/>
            <w:noWrap/>
            <w:vAlign w:val="center"/>
            <w:hideMark/>
          </w:tcPr>
          <w:p w14:paraId="5C00CA9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40 904 735,59</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56990F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5DEB732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40 904 735,59</w:t>
            </w:r>
          </w:p>
        </w:tc>
        <w:tc>
          <w:tcPr>
            <w:tcW w:w="22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CAE739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r>
      <w:tr w:rsidR="00D44C38" w14:paraId="4C60906D"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6A43BD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2597CEB1"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4BE12940"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proofErr w:type="spellStart"/>
            <w:r w:rsidRPr="003D04DF">
              <w:rPr>
                <w:rFonts w:ascii="Calibri" w:eastAsia="Times New Roman" w:hAnsi="Calibri" w:cs="Calibri"/>
                <w:color w:val="000000"/>
                <w:sz w:val="17"/>
                <w:szCs w:val="17"/>
                <w:lang w:eastAsia="cs-CZ"/>
              </w:rPr>
              <w:t>High</w:t>
            </w:r>
            <w:proofErr w:type="spellEnd"/>
            <w:r w:rsidRPr="003D04DF">
              <w:rPr>
                <w:rFonts w:ascii="Calibri" w:eastAsia="Times New Roman" w:hAnsi="Calibri" w:cs="Calibri"/>
                <w:color w:val="000000"/>
                <w:sz w:val="17"/>
                <w:szCs w:val="17"/>
                <w:lang w:eastAsia="cs-CZ"/>
              </w:rPr>
              <w:t xml:space="preserve">-end ultrazvukový přístroj s 3D/4D technologií s konvexní, lineární a </w:t>
            </w:r>
            <w:proofErr w:type="spellStart"/>
            <w:r w:rsidRPr="003D04DF">
              <w:rPr>
                <w:rFonts w:ascii="Calibri" w:eastAsia="Times New Roman" w:hAnsi="Calibri" w:cs="Calibri"/>
                <w:color w:val="000000"/>
                <w:sz w:val="17"/>
                <w:szCs w:val="17"/>
                <w:lang w:eastAsia="cs-CZ"/>
              </w:rPr>
              <w:t>intrakavitální</w:t>
            </w:r>
            <w:proofErr w:type="spellEnd"/>
            <w:r w:rsidRPr="003D04DF">
              <w:rPr>
                <w:rFonts w:ascii="Calibri" w:eastAsia="Times New Roman" w:hAnsi="Calibri" w:cs="Calibri"/>
                <w:color w:val="000000"/>
                <w:sz w:val="17"/>
                <w:szCs w:val="17"/>
                <w:lang w:eastAsia="cs-CZ"/>
              </w:rPr>
              <w:t xml:space="preserve"> sondou</w:t>
            </w:r>
          </w:p>
        </w:tc>
        <w:tc>
          <w:tcPr>
            <w:tcW w:w="431" w:type="pct"/>
            <w:tcBorders>
              <w:top w:val="nil"/>
              <w:left w:val="nil"/>
              <w:bottom w:val="nil"/>
              <w:right w:val="single" w:sz="4" w:space="0" w:color="auto"/>
            </w:tcBorders>
            <w:shd w:val="clear" w:color="auto" w:fill="auto"/>
            <w:noWrap/>
            <w:vAlign w:val="center"/>
            <w:hideMark/>
          </w:tcPr>
          <w:p w14:paraId="17F86AF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4 033 176,84</w:t>
            </w:r>
          </w:p>
        </w:tc>
        <w:tc>
          <w:tcPr>
            <w:tcW w:w="278" w:type="pct"/>
            <w:tcBorders>
              <w:top w:val="single" w:sz="4" w:space="0" w:color="auto"/>
              <w:left w:val="single" w:sz="4" w:space="0" w:color="auto"/>
              <w:bottom w:val="nil"/>
              <w:right w:val="single" w:sz="4" w:space="0" w:color="auto"/>
            </w:tcBorders>
            <w:shd w:val="clear" w:color="000000" w:fill="A9D08E"/>
            <w:noWrap/>
            <w:vAlign w:val="center"/>
            <w:hideMark/>
          </w:tcPr>
          <w:p w14:paraId="302D7DF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nil"/>
              <w:right w:val="single" w:sz="4" w:space="0" w:color="auto"/>
            </w:tcBorders>
            <w:shd w:val="clear" w:color="auto" w:fill="auto"/>
            <w:noWrap/>
            <w:vAlign w:val="center"/>
            <w:hideMark/>
          </w:tcPr>
          <w:p w14:paraId="5C45876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4 033 176,84</w:t>
            </w:r>
          </w:p>
        </w:tc>
        <w:tc>
          <w:tcPr>
            <w:tcW w:w="229" w:type="pct"/>
            <w:tcBorders>
              <w:top w:val="single" w:sz="4" w:space="0" w:color="auto"/>
              <w:left w:val="single" w:sz="4" w:space="0" w:color="auto"/>
              <w:bottom w:val="nil"/>
              <w:right w:val="single" w:sz="4" w:space="0" w:color="auto"/>
            </w:tcBorders>
            <w:shd w:val="clear" w:color="000000" w:fill="548235"/>
            <w:noWrap/>
            <w:vAlign w:val="center"/>
            <w:hideMark/>
          </w:tcPr>
          <w:p w14:paraId="72694A9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44EB9B5"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F917759"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5" w:type="pct"/>
            <w:gridSpan w:val="2"/>
            <w:tcBorders>
              <w:top w:val="single" w:sz="4" w:space="0" w:color="auto"/>
              <w:left w:val="nil"/>
              <w:bottom w:val="single" w:sz="4" w:space="0" w:color="auto"/>
              <w:right w:val="nil"/>
            </w:tcBorders>
            <w:shd w:val="clear" w:color="000000" w:fill="E5F1FF"/>
            <w:vAlign w:val="center"/>
            <w:hideMark/>
          </w:tcPr>
          <w:p w14:paraId="7A9C4B53"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1" w:type="pct"/>
            <w:tcBorders>
              <w:top w:val="single" w:sz="4" w:space="0" w:color="auto"/>
              <w:left w:val="single" w:sz="4" w:space="0" w:color="auto"/>
              <w:bottom w:val="single" w:sz="4" w:space="0" w:color="auto"/>
              <w:right w:val="nil"/>
            </w:tcBorders>
            <w:shd w:val="clear" w:color="000000" w:fill="E5F1FF"/>
            <w:noWrap/>
            <w:vAlign w:val="center"/>
            <w:hideMark/>
          </w:tcPr>
          <w:p w14:paraId="59029F9E"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46 135 945,08</w:t>
            </w:r>
          </w:p>
        </w:tc>
        <w:tc>
          <w:tcPr>
            <w:tcW w:w="278" w:type="pct"/>
            <w:tcBorders>
              <w:top w:val="single" w:sz="4" w:space="0" w:color="auto"/>
              <w:left w:val="nil"/>
              <w:bottom w:val="single" w:sz="4" w:space="0" w:color="auto"/>
              <w:right w:val="nil"/>
            </w:tcBorders>
            <w:shd w:val="clear" w:color="000000" w:fill="E5F1FF"/>
            <w:noWrap/>
            <w:vAlign w:val="center"/>
            <w:hideMark/>
          </w:tcPr>
          <w:p w14:paraId="54B262F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5A8B6D27" w14:textId="77777777" w:rsidR="00FB487D" w:rsidRPr="003D04DF" w:rsidRDefault="007E2A6B" w:rsidP="005130B3">
            <w:pPr>
              <w:spacing w:after="0" w:line="240" w:lineRule="auto"/>
              <w:jc w:val="center"/>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46 135 945,08</w:t>
            </w:r>
          </w:p>
        </w:tc>
        <w:tc>
          <w:tcPr>
            <w:tcW w:w="229" w:type="pct"/>
            <w:tcBorders>
              <w:top w:val="single" w:sz="4" w:space="0" w:color="auto"/>
              <w:left w:val="nil"/>
              <w:bottom w:val="single" w:sz="4" w:space="0" w:color="auto"/>
              <w:right w:val="single" w:sz="4" w:space="0" w:color="auto"/>
            </w:tcBorders>
            <w:shd w:val="clear" w:color="000000" w:fill="E5F1FF"/>
            <w:noWrap/>
            <w:vAlign w:val="center"/>
            <w:hideMark/>
          </w:tcPr>
          <w:p w14:paraId="31E75FB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59534304" w14:textId="77777777" w:rsidTr="00DB327A">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2B371545"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CZ.06.2.56/0.0/0.0/15_006/0002804</w:t>
            </w:r>
            <w:r w:rsidRPr="003D04DF">
              <w:rPr>
                <w:rFonts w:ascii="Calibri" w:eastAsia="Times New Roman" w:hAnsi="Calibri" w:cs="Calibri"/>
                <w:b/>
                <w:bCs/>
                <w:color w:val="000000"/>
                <w:sz w:val="17"/>
                <w:szCs w:val="17"/>
                <w:lang w:eastAsia="cs-CZ"/>
              </w:rPr>
              <w:br/>
              <w:t xml:space="preserve">Podpora vysoce specializované péče v oblasti </w:t>
            </w:r>
            <w:proofErr w:type="spellStart"/>
            <w:r w:rsidRPr="003D04DF">
              <w:rPr>
                <w:rFonts w:ascii="Calibri" w:eastAsia="Times New Roman" w:hAnsi="Calibri" w:cs="Calibri"/>
                <w:b/>
                <w:bCs/>
                <w:color w:val="000000"/>
                <w:sz w:val="17"/>
                <w:szCs w:val="17"/>
                <w:lang w:eastAsia="cs-CZ"/>
              </w:rPr>
              <w:t>perinatologie</w:t>
            </w:r>
            <w:proofErr w:type="spellEnd"/>
            <w:r w:rsidRPr="003D04DF">
              <w:rPr>
                <w:rFonts w:ascii="Calibri" w:eastAsia="Times New Roman" w:hAnsi="Calibri" w:cs="Calibri"/>
                <w:b/>
                <w:bCs/>
                <w:color w:val="000000"/>
                <w:sz w:val="17"/>
                <w:szCs w:val="17"/>
                <w:lang w:eastAsia="cs-CZ"/>
              </w:rPr>
              <w:t xml:space="preserve"> Fakultní nemocnice </w:t>
            </w:r>
            <w:r w:rsidR="002C68B1">
              <w:rPr>
                <w:rFonts w:ascii="Calibri" w:eastAsia="Times New Roman" w:hAnsi="Calibri" w:cs="Calibri"/>
                <w:b/>
                <w:bCs/>
                <w:color w:val="000000"/>
                <w:sz w:val="17"/>
                <w:szCs w:val="17"/>
                <w:lang w:eastAsia="cs-CZ"/>
              </w:rPr>
              <w:t xml:space="preserve">v </w:t>
            </w:r>
            <w:r w:rsidRPr="003D04DF">
              <w:rPr>
                <w:rFonts w:ascii="Calibri" w:eastAsia="Times New Roman" w:hAnsi="Calibri" w:cs="Calibri"/>
                <w:b/>
                <w:bCs/>
                <w:color w:val="000000"/>
                <w:sz w:val="17"/>
                <w:szCs w:val="17"/>
                <w:lang w:eastAsia="cs-CZ"/>
              </w:rPr>
              <w:t>Motol</w:t>
            </w:r>
            <w:r w:rsidR="002C68B1">
              <w:rPr>
                <w:rFonts w:ascii="Calibri" w:eastAsia="Times New Roman" w:hAnsi="Calibri" w:cs="Calibri"/>
                <w:b/>
                <w:bCs/>
                <w:color w:val="000000"/>
                <w:sz w:val="17"/>
                <w:szCs w:val="17"/>
                <w:lang w:eastAsia="cs-CZ"/>
              </w:rPr>
              <w:t>e</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7B37BA9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Fakultní nemocnice v Motole</w:t>
            </w:r>
          </w:p>
        </w:tc>
        <w:tc>
          <w:tcPr>
            <w:tcW w:w="2218" w:type="pct"/>
            <w:tcBorders>
              <w:top w:val="nil"/>
              <w:left w:val="nil"/>
              <w:bottom w:val="single" w:sz="4" w:space="0" w:color="auto"/>
              <w:right w:val="single" w:sz="4" w:space="0" w:color="auto"/>
            </w:tcBorders>
            <w:shd w:val="clear" w:color="auto" w:fill="auto"/>
            <w:vAlign w:val="center"/>
            <w:hideMark/>
          </w:tcPr>
          <w:p w14:paraId="23FE8B2D"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Diagnostický ultrazvukový přístroj prémiové třídy vč. sond</w:t>
            </w:r>
          </w:p>
        </w:tc>
        <w:tc>
          <w:tcPr>
            <w:tcW w:w="431" w:type="pct"/>
            <w:tcBorders>
              <w:top w:val="nil"/>
              <w:left w:val="nil"/>
              <w:bottom w:val="single" w:sz="4" w:space="0" w:color="auto"/>
              <w:right w:val="single" w:sz="4" w:space="0" w:color="auto"/>
            </w:tcBorders>
            <w:shd w:val="clear" w:color="auto" w:fill="auto"/>
            <w:noWrap/>
            <w:vAlign w:val="center"/>
            <w:hideMark/>
          </w:tcPr>
          <w:p w14:paraId="772E001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2 633 301,70</w:t>
            </w:r>
          </w:p>
        </w:tc>
        <w:tc>
          <w:tcPr>
            <w:tcW w:w="278" w:type="pct"/>
            <w:tcBorders>
              <w:top w:val="nil"/>
              <w:left w:val="single" w:sz="4" w:space="0" w:color="auto"/>
              <w:bottom w:val="single" w:sz="4" w:space="0" w:color="auto"/>
              <w:right w:val="single" w:sz="4" w:space="0" w:color="auto"/>
            </w:tcBorders>
            <w:shd w:val="clear" w:color="000000" w:fill="A9D08E"/>
            <w:noWrap/>
            <w:vAlign w:val="center"/>
            <w:hideMark/>
          </w:tcPr>
          <w:p w14:paraId="3AC705F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003BCB64"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2 633 301,70</w:t>
            </w:r>
          </w:p>
        </w:tc>
        <w:tc>
          <w:tcPr>
            <w:tcW w:w="229" w:type="pct"/>
            <w:tcBorders>
              <w:top w:val="nil"/>
              <w:left w:val="single" w:sz="4" w:space="0" w:color="auto"/>
              <w:bottom w:val="single" w:sz="4" w:space="0" w:color="auto"/>
              <w:right w:val="single" w:sz="4" w:space="0" w:color="auto"/>
            </w:tcBorders>
            <w:shd w:val="clear" w:color="000000" w:fill="548235"/>
            <w:noWrap/>
            <w:vAlign w:val="center"/>
            <w:hideMark/>
          </w:tcPr>
          <w:p w14:paraId="10F670D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A20E68C"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A3EDC07"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088BFA53"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7D0EE657"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Inkubátor kombinovaný s vyhřívaným lůžkem, </w:t>
            </w:r>
            <w:r w:rsidR="002C68B1">
              <w:rPr>
                <w:rFonts w:ascii="Calibri" w:eastAsia="Times New Roman" w:hAnsi="Calibri" w:cs="Calibri"/>
                <w:color w:val="000000"/>
                <w:sz w:val="17"/>
                <w:szCs w:val="17"/>
                <w:lang w:eastAsia="cs-CZ"/>
              </w:rPr>
              <w:t>f</w:t>
            </w:r>
            <w:r w:rsidRPr="003D04DF">
              <w:rPr>
                <w:rFonts w:ascii="Calibri" w:eastAsia="Times New Roman" w:hAnsi="Calibri" w:cs="Calibri"/>
                <w:color w:val="000000"/>
                <w:sz w:val="17"/>
                <w:szCs w:val="17"/>
                <w:lang w:eastAsia="cs-CZ"/>
              </w:rPr>
              <w:t xml:space="preserve">ototerapeutická LED jednotka, </w:t>
            </w:r>
            <w:r w:rsidR="002C68B1">
              <w:rPr>
                <w:rFonts w:ascii="Calibri" w:eastAsia="Times New Roman" w:hAnsi="Calibri" w:cs="Calibri"/>
                <w:color w:val="000000"/>
                <w:sz w:val="17"/>
                <w:szCs w:val="17"/>
                <w:lang w:eastAsia="cs-CZ"/>
              </w:rPr>
              <w:t>i</w:t>
            </w:r>
            <w:r w:rsidRPr="003D04DF">
              <w:rPr>
                <w:rFonts w:ascii="Calibri" w:eastAsia="Times New Roman" w:hAnsi="Calibri" w:cs="Calibri"/>
                <w:color w:val="000000"/>
                <w:sz w:val="17"/>
                <w:szCs w:val="17"/>
                <w:lang w:eastAsia="cs-CZ"/>
              </w:rPr>
              <w:t>nkubátor pro intenz</w:t>
            </w:r>
            <w:r w:rsidR="002C68B1">
              <w:rPr>
                <w:rFonts w:ascii="Calibri" w:eastAsia="Times New Roman" w:hAnsi="Calibri" w:cs="Calibri"/>
                <w:color w:val="000000"/>
                <w:sz w:val="17"/>
                <w:szCs w:val="17"/>
                <w:lang w:eastAsia="cs-CZ"/>
              </w:rPr>
              <w:t>i</w:t>
            </w:r>
            <w:r w:rsidRPr="003D04DF">
              <w:rPr>
                <w:rFonts w:ascii="Calibri" w:eastAsia="Times New Roman" w:hAnsi="Calibri" w:cs="Calibri"/>
                <w:color w:val="000000"/>
                <w:sz w:val="17"/>
                <w:szCs w:val="17"/>
                <w:lang w:eastAsia="cs-CZ"/>
              </w:rPr>
              <w:t>vní péči</w:t>
            </w:r>
          </w:p>
        </w:tc>
        <w:tc>
          <w:tcPr>
            <w:tcW w:w="431" w:type="pct"/>
            <w:tcBorders>
              <w:top w:val="nil"/>
              <w:left w:val="nil"/>
              <w:bottom w:val="single" w:sz="4" w:space="0" w:color="auto"/>
              <w:right w:val="single" w:sz="4" w:space="0" w:color="auto"/>
            </w:tcBorders>
            <w:shd w:val="clear" w:color="auto" w:fill="auto"/>
            <w:noWrap/>
            <w:vAlign w:val="center"/>
            <w:hideMark/>
          </w:tcPr>
          <w:p w14:paraId="3FA78D8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11 618 323,44</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9EDE3B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646A61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11 618 323,44</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F5FD2A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DA08B70"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B39643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3C5BC1E"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23CE7862"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Nemocniční lůžka</w:t>
            </w:r>
          </w:p>
        </w:tc>
        <w:tc>
          <w:tcPr>
            <w:tcW w:w="431" w:type="pct"/>
            <w:tcBorders>
              <w:top w:val="nil"/>
              <w:left w:val="nil"/>
              <w:bottom w:val="single" w:sz="4" w:space="0" w:color="auto"/>
              <w:right w:val="single" w:sz="4" w:space="0" w:color="auto"/>
            </w:tcBorders>
            <w:shd w:val="clear" w:color="auto" w:fill="auto"/>
            <w:noWrap/>
            <w:vAlign w:val="center"/>
            <w:hideMark/>
          </w:tcPr>
          <w:p w14:paraId="42ED04E5"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2 653 748,18</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9E18F0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D37A340"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2 653 748,18</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A7ECD8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CA95369"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3123323"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0C408B54"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232DBF2E"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Plicní ventilátor</w:t>
            </w:r>
          </w:p>
        </w:tc>
        <w:tc>
          <w:tcPr>
            <w:tcW w:w="431" w:type="pct"/>
            <w:tcBorders>
              <w:top w:val="nil"/>
              <w:left w:val="nil"/>
              <w:bottom w:val="single" w:sz="4" w:space="0" w:color="auto"/>
              <w:right w:val="single" w:sz="4" w:space="0" w:color="auto"/>
            </w:tcBorders>
            <w:shd w:val="clear" w:color="auto" w:fill="auto"/>
            <w:noWrap/>
            <w:vAlign w:val="center"/>
            <w:hideMark/>
          </w:tcPr>
          <w:p w14:paraId="2D0BFAE3"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10 176 214,76</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FA4B2A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2C658E00"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10 176 214,76</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F0562B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969D177"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6F1B4D1"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21B28F51"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5A30E4A6"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Ultrazvukový přístroj střední třídy, vč. barevné </w:t>
            </w:r>
            <w:proofErr w:type="spellStart"/>
            <w:r w:rsidRPr="003D04DF">
              <w:rPr>
                <w:rFonts w:ascii="Calibri" w:eastAsia="Times New Roman" w:hAnsi="Calibri" w:cs="Calibri"/>
                <w:color w:val="000000"/>
                <w:sz w:val="17"/>
                <w:szCs w:val="17"/>
                <w:lang w:eastAsia="cs-CZ"/>
              </w:rPr>
              <w:t>dopplerometrie</w:t>
            </w:r>
            <w:proofErr w:type="spellEnd"/>
            <w:r w:rsidRPr="003D04DF">
              <w:rPr>
                <w:rFonts w:ascii="Calibri" w:eastAsia="Times New Roman" w:hAnsi="Calibri" w:cs="Calibri"/>
                <w:color w:val="000000"/>
                <w:sz w:val="17"/>
                <w:szCs w:val="17"/>
                <w:lang w:eastAsia="cs-CZ"/>
              </w:rPr>
              <w:t xml:space="preserve"> a sond</w:t>
            </w:r>
          </w:p>
        </w:tc>
        <w:tc>
          <w:tcPr>
            <w:tcW w:w="431" w:type="pct"/>
            <w:tcBorders>
              <w:top w:val="nil"/>
              <w:left w:val="nil"/>
              <w:bottom w:val="single" w:sz="4" w:space="0" w:color="auto"/>
              <w:right w:val="single" w:sz="4" w:space="0" w:color="auto"/>
            </w:tcBorders>
            <w:shd w:val="clear" w:color="auto" w:fill="auto"/>
            <w:noWrap/>
            <w:vAlign w:val="center"/>
            <w:hideMark/>
          </w:tcPr>
          <w:p w14:paraId="20C0A66C"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2 048 597,76</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9BD493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0DAE7D8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2 048 597,76</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A116C0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2A622B2"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B956705"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6D9E0BC5"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6336866A"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Vysokofrekvenční plicní ventilátor</w:t>
            </w:r>
          </w:p>
        </w:tc>
        <w:tc>
          <w:tcPr>
            <w:tcW w:w="431" w:type="pct"/>
            <w:tcBorders>
              <w:top w:val="nil"/>
              <w:left w:val="nil"/>
              <w:bottom w:val="nil"/>
              <w:right w:val="single" w:sz="4" w:space="0" w:color="auto"/>
            </w:tcBorders>
            <w:shd w:val="clear" w:color="auto" w:fill="auto"/>
            <w:noWrap/>
            <w:vAlign w:val="center"/>
            <w:hideMark/>
          </w:tcPr>
          <w:p w14:paraId="3DCF8878"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3 632 785,02</w:t>
            </w:r>
          </w:p>
        </w:tc>
        <w:tc>
          <w:tcPr>
            <w:tcW w:w="278" w:type="pct"/>
            <w:tcBorders>
              <w:top w:val="single" w:sz="4" w:space="0" w:color="auto"/>
              <w:left w:val="single" w:sz="4" w:space="0" w:color="auto"/>
              <w:bottom w:val="nil"/>
              <w:right w:val="single" w:sz="4" w:space="0" w:color="auto"/>
            </w:tcBorders>
            <w:shd w:val="clear" w:color="000000" w:fill="548235"/>
            <w:noWrap/>
            <w:vAlign w:val="center"/>
            <w:hideMark/>
          </w:tcPr>
          <w:p w14:paraId="5DB33603"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nil"/>
              <w:right w:val="single" w:sz="4" w:space="0" w:color="auto"/>
            </w:tcBorders>
            <w:shd w:val="clear" w:color="auto" w:fill="auto"/>
            <w:noWrap/>
            <w:vAlign w:val="center"/>
            <w:hideMark/>
          </w:tcPr>
          <w:p w14:paraId="3F2C09C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3 632 785,02</w:t>
            </w:r>
          </w:p>
        </w:tc>
        <w:tc>
          <w:tcPr>
            <w:tcW w:w="229" w:type="pct"/>
            <w:tcBorders>
              <w:top w:val="single" w:sz="4" w:space="0" w:color="auto"/>
              <w:left w:val="single" w:sz="4" w:space="0" w:color="auto"/>
              <w:bottom w:val="nil"/>
              <w:right w:val="single" w:sz="4" w:space="0" w:color="auto"/>
            </w:tcBorders>
            <w:shd w:val="clear" w:color="000000" w:fill="548235"/>
            <w:noWrap/>
            <w:vAlign w:val="center"/>
            <w:hideMark/>
          </w:tcPr>
          <w:p w14:paraId="1780C8D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F254621"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A8DD5C9"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5" w:type="pct"/>
            <w:gridSpan w:val="2"/>
            <w:tcBorders>
              <w:top w:val="single" w:sz="4" w:space="0" w:color="auto"/>
              <w:left w:val="nil"/>
              <w:bottom w:val="single" w:sz="4" w:space="0" w:color="auto"/>
              <w:right w:val="nil"/>
            </w:tcBorders>
            <w:shd w:val="clear" w:color="000000" w:fill="E5F1FF"/>
            <w:vAlign w:val="center"/>
            <w:hideMark/>
          </w:tcPr>
          <w:p w14:paraId="2E4F7908"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1" w:type="pct"/>
            <w:tcBorders>
              <w:top w:val="single" w:sz="4" w:space="0" w:color="auto"/>
              <w:left w:val="single" w:sz="4" w:space="0" w:color="auto"/>
              <w:bottom w:val="single" w:sz="4" w:space="0" w:color="auto"/>
              <w:right w:val="nil"/>
            </w:tcBorders>
            <w:shd w:val="clear" w:color="000000" w:fill="E5F1FF"/>
            <w:noWrap/>
            <w:vAlign w:val="center"/>
            <w:hideMark/>
          </w:tcPr>
          <w:p w14:paraId="39E2E8DF"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32 762 970,86</w:t>
            </w:r>
          </w:p>
        </w:tc>
        <w:tc>
          <w:tcPr>
            <w:tcW w:w="278" w:type="pct"/>
            <w:tcBorders>
              <w:top w:val="single" w:sz="4" w:space="0" w:color="auto"/>
              <w:left w:val="nil"/>
              <w:bottom w:val="single" w:sz="4" w:space="0" w:color="auto"/>
              <w:right w:val="nil"/>
            </w:tcBorders>
            <w:shd w:val="clear" w:color="000000" w:fill="E5F1FF"/>
            <w:noWrap/>
            <w:vAlign w:val="center"/>
            <w:hideMark/>
          </w:tcPr>
          <w:p w14:paraId="510C78F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668A9B23" w14:textId="77777777" w:rsidR="00FB487D" w:rsidRPr="003D04DF" w:rsidRDefault="007E2A6B" w:rsidP="005130B3">
            <w:pPr>
              <w:spacing w:after="0" w:line="240" w:lineRule="auto"/>
              <w:jc w:val="center"/>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32 762 970,86</w:t>
            </w:r>
          </w:p>
        </w:tc>
        <w:tc>
          <w:tcPr>
            <w:tcW w:w="229" w:type="pct"/>
            <w:tcBorders>
              <w:top w:val="single" w:sz="4" w:space="0" w:color="auto"/>
              <w:left w:val="nil"/>
              <w:bottom w:val="single" w:sz="4" w:space="0" w:color="auto"/>
              <w:right w:val="single" w:sz="4" w:space="0" w:color="auto"/>
            </w:tcBorders>
            <w:shd w:val="clear" w:color="000000" w:fill="E5F1FF"/>
            <w:noWrap/>
            <w:vAlign w:val="center"/>
            <w:hideMark/>
          </w:tcPr>
          <w:p w14:paraId="6E6E790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62068284" w14:textId="77777777" w:rsidTr="00DB327A">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740011F6"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Z.06.2.56/0.0/0.0/16_043/0001241</w:t>
            </w:r>
            <w:r w:rsidRPr="003D04DF">
              <w:rPr>
                <w:rFonts w:ascii="Calibri" w:eastAsia="Times New Roman" w:hAnsi="Calibri" w:cs="Calibri"/>
                <w:b/>
                <w:bCs/>
                <w:color w:val="000000"/>
                <w:sz w:val="17"/>
                <w:szCs w:val="17"/>
                <w:lang w:eastAsia="cs-CZ"/>
              </w:rPr>
              <w:br/>
              <w:t>Magnetická rezonance v Nemocnici s poliklinikou Česká Lípa</w:t>
            </w:r>
            <w:r w:rsidR="002C68B1">
              <w:rPr>
                <w:rFonts w:ascii="Calibri" w:eastAsia="Times New Roman" w:hAnsi="Calibri" w:cs="Calibri"/>
                <w:b/>
                <w:bCs/>
                <w:color w:val="000000"/>
                <w:sz w:val="17"/>
                <w:szCs w:val="17"/>
                <w:lang w:eastAsia="cs-CZ"/>
              </w:rPr>
              <w:t>, a.s.</w:t>
            </w:r>
          </w:p>
        </w:tc>
        <w:tc>
          <w:tcPr>
            <w:tcW w:w="437" w:type="pct"/>
            <w:tcBorders>
              <w:top w:val="nil"/>
              <w:left w:val="nil"/>
              <w:bottom w:val="single" w:sz="4" w:space="0" w:color="auto"/>
              <w:right w:val="single" w:sz="4" w:space="0" w:color="auto"/>
            </w:tcBorders>
            <w:shd w:val="clear" w:color="auto" w:fill="auto"/>
            <w:vAlign w:val="center"/>
            <w:hideMark/>
          </w:tcPr>
          <w:p w14:paraId="41BE107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Nemocnice s poliklinikou Česká Lípa, a.s.</w:t>
            </w:r>
          </w:p>
        </w:tc>
        <w:tc>
          <w:tcPr>
            <w:tcW w:w="2218" w:type="pct"/>
            <w:tcBorders>
              <w:top w:val="nil"/>
              <w:left w:val="nil"/>
              <w:bottom w:val="single" w:sz="4" w:space="0" w:color="auto"/>
              <w:right w:val="single" w:sz="4" w:space="0" w:color="auto"/>
            </w:tcBorders>
            <w:shd w:val="clear" w:color="auto" w:fill="auto"/>
            <w:vAlign w:val="center"/>
            <w:hideMark/>
          </w:tcPr>
          <w:p w14:paraId="338B6AA5"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Magnetická rezonance Philips Ingenia 1,5 T</w:t>
            </w:r>
          </w:p>
        </w:tc>
        <w:tc>
          <w:tcPr>
            <w:tcW w:w="431" w:type="pct"/>
            <w:tcBorders>
              <w:top w:val="nil"/>
              <w:left w:val="nil"/>
              <w:bottom w:val="nil"/>
              <w:right w:val="single" w:sz="4" w:space="0" w:color="auto"/>
            </w:tcBorders>
            <w:shd w:val="clear" w:color="auto" w:fill="auto"/>
            <w:noWrap/>
            <w:vAlign w:val="center"/>
            <w:hideMark/>
          </w:tcPr>
          <w:p w14:paraId="0687109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26 596 407,</w:t>
            </w:r>
            <w:r w:rsidR="00453D24">
              <w:rPr>
                <w:rFonts w:ascii="Calibri" w:eastAsia="Times New Roman" w:hAnsi="Calibri" w:cs="Calibri"/>
                <w:b/>
                <w:bCs/>
                <w:color w:val="000000"/>
                <w:sz w:val="17"/>
                <w:szCs w:val="17"/>
                <w:lang w:eastAsia="cs-CZ"/>
              </w:rPr>
              <w:t>29</w:t>
            </w:r>
          </w:p>
        </w:tc>
        <w:tc>
          <w:tcPr>
            <w:tcW w:w="278" w:type="pct"/>
            <w:tcBorders>
              <w:top w:val="nil"/>
              <w:left w:val="single" w:sz="4" w:space="0" w:color="auto"/>
              <w:bottom w:val="nil"/>
              <w:right w:val="single" w:sz="4" w:space="0" w:color="auto"/>
            </w:tcBorders>
            <w:shd w:val="clear" w:color="000000" w:fill="A9D08E"/>
            <w:noWrap/>
            <w:vAlign w:val="center"/>
            <w:hideMark/>
          </w:tcPr>
          <w:p w14:paraId="0695144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nil"/>
              <w:right w:val="single" w:sz="4" w:space="0" w:color="auto"/>
            </w:tcBorders>
            <w:shd w:val="clear" w:color="auto" w:fill="auto"/>
            <w:noWrap/>
            <w:vAlign w:val="center"/>
            <w:hideMark/>
          </w:tcPr>
          <w:p w14:paraId="2036C474"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26 596 407,</w:t>
            </w:r>
            <w:r w:rsidR="00453D24">
              <w:rPr>
                <w:rFonts w:ascii="Calibri" w:eastAsia="Times New Roman" w:hAnsi="Calibri" w:cs="Calibri"/>
                <w:b/>
                <w:bCs/>
                <w:color w:val="000000"/>
                <w:sz w:val="17"/>
                <w:szCs w:val="17"/>
                <w:lang w:eastAsia="cs-CZ"/>
              </w:rPr>
              <w:t>29</w:t>
            </w:r>
          </w:p>
        </w:tc>
        <w:tc>
          <w:tcPr>
            <w:tcW w:w="229" w:type="pct"/>
            <w:tcBorders>
              <w:top w:val="nil"/>
              <w:left w:val="single" w:sz="4" w:space="0" w:color="auto"/>
              <w:bottom w:val="nil"/>
              <w:right w:val="single" w:sz="4" w:space="0" w:color="auto"/>
            </w:tcBorders>
            <w:shd w:val="clear" w:color="000000" w:fill="A9D08E"/>
            <w:noWrap/>
            <w:vAlign w:val="center"/>
            <w:hideMark/>
          </w:tcPr>
          <w:p w14:paraId="701B4A83"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r>
      <w:tr w:rsidR="00D44C38" w14:paraId="49C3A6AD"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EC9F6C5"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5" w:type="pct"/>
            <w:gridSpan w:val="2"/>
            <w:tcBorders>
              <w:top w:val="single" w:sz="4" w:space="0" w:color="auto"/>
              <w:left w:val="nil"/>
              <w:bottom w:val="single" w:sz="4" w:space="0" w:color="auto"/>
              <w:right w:val="nil"/>
            </w:tcBorders>
            <w:shd w:val="clear" w:color="000000" w:fill="E5F1FF"/>
            <w:vAlign w:val="center"/>
            <w:hideMark/>
          </w:tcPr>
          <w:p w14:paraId="150C9DDD"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1" w:type="pct"/>
            <w:tcBorders>
              <w:top w:val="single" w:sz="4" w:space="0" w:color="auto"/>
              <w:left w:val="single" w:sz="4" w:space="0" w:color="auto"/>
              <w:bottom w:val="single" w:sz="4" w:space="0" w:color="auto"/>
              <w:right w:val="nil"/>
            </w:tcBorders>
            <w:shd w:val="clear" w:color="000000" w:fill="E5F1FF"/>
            <w:noWrap/>
            <w:vAlign w:val="center"/>
            <w:hideMark/>
          </w:tcPr>
          <w:p w14:paraId="2010E6E7"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26 596 407,</w:t>
            </w:r>
            <w:r w:rsidR="00453D24">
              <w:rPr>
                <w:rFonts w:ascii="Calibri" w:eastAsia="Times New Roman" w:hAnsi="Calibri" w:cs="Calibri"/>
                <w:b/>
                <w:bCs/>
                <w:i/>
                <w:iCs/>
                <w:color w:val="000000"/>
                <w:sz w:val="17"/>
                <w:szCs w:val="17"/>
                <w:lang w:eastAsia="cs-CZ"/>
              </w:rPr>
              <w:t>29</w:t>
            </w:r>
          </w:p>
        </w:tc>
        <w:tc>
          <w:tcPr>
            <w:tcW w:w="278" w:type="pct"/>
            <w:tcBorders>
              <w:top w:val="single" w:sz="4" w:space="0" w:color="auto"/>
              <w:left w:val="nil"/>
              <w:bottom w:val="single" w:sz="4" w:space="0" w:color="auto"/>
              <w:right w:val="nil"/>
            </w:tcBorders>
            <w:shd w:val="clear" w:color="000000" w:fill="E5F1FF"/>
            <w:noWrap/>
            <w:vAlign w:val="center"/>
            <w:hideMark/>
          </w:tcPr>
          <w:p w14:paraId="4376E79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439E4944" w14:textId="77777777" w:rsidR="00FB487D" w:rsidRPr="003D04DF" w:rsidRDefault="007E2A6B" w:rsidP="005130B3">
            <w:pPr>
              <w:spacing w:after="0" w:line="240" w:lineRule="auto"/>
              <w:jc w:val="center"/>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26 596 407,</w:t>
            </w:r>
            <w:r w:rsidR="00453D24">
              <w:rPr>
                <w:rFonts w:ascii="Calibri" w:eastAsia="Times New Roman" w:hAnsi="Calibri" w:cs="Calibri"/>
                <w:b/>
                <w:bCs/>
                <w:i/>
                <w:iCs/>
                <w:color w:val="000000"/>
                <w:sz w:val="17"/>
                <w:szCs w:val="17"/>
                <w:lang w:eastAsia="cs-CZ"/>
              </w:rPr>
              <w:t>29</w:t>
            </w:r>
          </w:p>
        </w:tc>
        <w:tc>
          <w:tcPr>
            <w:tcW w:w="229" w:type="pct"/>
            <w:tcBorders>
              <w:top w:val="single" w:sz="4" w:space="0" w:color="auto"/>
              <w:left w:val="nil"/>
              <w:bottom w:val="single" w:sz="4" w:space="0" w:color="auto"/>
              <w:right w:val="single" w:sz="4" w:space="0" w:color="auto"/>
            </w:tcBorders>
            <w:shd w:val="clear" w:color="000000" w:fill="E5F1FF"/>
            <w:noWrap/>
            <w:vAlign w:val="center"/>
            <w:hideMark/>
          </w:tcPr>
          <w:p w14:paraId="2A6D9A4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0FDF45CF" w14:textId="77777777" w:rsidTr="00DB327A">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E065F"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CZ.06.2.56/0.0/0.0/16_043/0001242</w:t>
            </w:r>
            <w:r w:rsidRPr="003D04DF">
              <w:rPr>
                <w:rFonts w:ascii="Calibri" w:eastAsia="Times New Roman" w:hAnsi="Calibri" w:cs="Calibri"/>
                <w:b/>
                <w:bCs/>
                <w:color w:val="000000"/>
                <w:sz w:val="17"/>
                <w:szCs w:val="17"/>
                <w:lang w:eastAsia="cs-CZ"/>
              </w:rPr>
              <w:br/>
              <w:t>Obnova lůžkového vybavení v Nemocnici s poliklinikou Česká Lípa</w:t>
            </w:r>
            <w:r w:rsidR="002C68B1">
              <w:rPr>
                <w:rFonts w:ascii="Calibri" w:eastAsia="Times New Roman" w:hAnsi="Calibri" w:cs="Calibri"/>
                <w:b/>
                <w:bCs/>
                <w:color w:val="000000"/>
                <w:sz w:val="17"/>
                <w:szCs w:val="17"/>
                <w:lang w:eastAsia="cs-CZ"/>
              </w:rPr>
              <w:t>, a.s.</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6DA76E4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Nemocnice s poliklinikou Česká Lípa, a.s.</w:t>
            </w:r>
          </w:p>
        </w:tc>
        <w:tc>
          <w:tcPr>
            <w:tcW w:w="2218" w:type="pct"/>
            <w:tcBorders>
              <w:top w:val="single" w:sz="4" w:space="0" w:color="auto"/>
              <w:left w:val="nil"/>
              <w:bottom w:val="single" w:sz="4" w:space="0" w:color="auto"/>
              <w:right w:val="single" w:sz="4" w:space="0" w:color="auto"/>
            </w:tcBorders>
            <w:shd w:val="clear" w:color="auto" w:fill="auto"/>
            <w:vAlign w:val="center"/>
            <w:hideMark/>
          </w:tcPr>
          <w:p w14:paraId="4B3FBA05"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Elektrické nemocniční lůžko polohovací včetně pasivní antidekubitní matrace, příslušenství a nočního stolku</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66D02C4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14 415 054,89</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B3E9CA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0C0D2AE9"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14 415 054,89</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033D78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8E56552" w14:textId="77777777" w:rsidTr="00DB327A">
        <w:trPr>
          <w:cantSplit/>
          <w:trHeight w:val="20"/>
        </w:trPr>
        <w:tc>
          <w:tcPr>
            <w:tcW w:w="974" w:type="pct"/>
            <w:vMerge/>
            <w:tcBorders>
              <w:top w:val="single" w:sz="4" w:space="0" w:color="auto"/>
              <w:left w:val="single" w:sz="4" w:space="0" w:color="auto"/>
              <w:bottom w:val="single" w:sz="4" w:space="0" w:color="auto"/>
              <w:right w:val="single" w:sz="4" w:space="0" w:color="auto"/>
            </w:tcBorders>
            <w:vAlign w:val="center"/>
            <w:hideMark/>
          </w:tcPr>
          <w:p w14:paraId="0385D6DE"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5" w:type="pct"/>
            <w:gridSpan w:val="2"/>
            <w:tcBorders>
              <w:top w:val="single" w:sz="4" w:space="0" w:color="auto"/>
              <w:left w:val="nil"/>
              <w:bottom w:val="single" w:sz="4" w:space="0" w:color="auto"/>
              <w:right w:val="nil"/>
            </w:tcBorders>
            <w:shd w:val="clear" w:color="000000" w:fill="E5F1FF"/>
            <w:vAlign w:val="center"/>
            <w:hideMark/>
          </w:tcPr>
          <w:p w14:paraId="4090ACC2"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1" w:type="pct"/>
            <w:tcBorders>
              <w:top w:val="single" w:sz="4" w:space="0" w:color="auto"/>
              <w:left w:val="single" w:sz="4" w:space="0" w:color="auto"/>
              <w:bottom w:val="single" w:sz="4" w:space="0" w:color="auto"/>
              <w:right w:val="nil"/>
            </w:tcBorders>
            <w:shd w:val="clear" w:color="000000" w:fill="E5F1FF"/>
            <w:noWrap/>
            <w:vAlign w:val="center"/>
            <w:hideMark/>
          </w:tcPr>
          <w:p w14:paraId="09406B77"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14 415 054,89</w:t>
            </w:r>
          </w:p>
        </w:tc>
        <w:tc>
          <w:tcPr>
            <w:tcW w:w="278" w:type="pct"/>
            <w:tcBorders>
              <w:top w:val="single" w:sz="4" w:space="0" w:color="auto"/>
              <w:left w:val="nil"/>
              <w:bottom w:val="single" w:sz="4" w:space="0" w:color="auto"/>
              <w:right w:val="nil"/>
            </w:tcBorders>
            <w:shd w:val="clear" w:color="000000" w:fill="E5F1FF"/>
            <w:noWrap/>
            <w:vAlign w:val="center"/>
            <w:hideMark/>
          </w:tcPr>
          <w:p w14:paraId="076777A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2766A0E2"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14 415 054,89</w:t>
            </w:r>
          </w:p>
        </w:tc>
        <w:tc>
          <w:tcPr>
            <w:tcW w:w="229" w:type="pct"/>
            <w:tcBorders>
              <w:top w:val="single" w:sz="4" w:space="0" w:color="auto"/>
              <w:left w:val="nil"/>
              <w:bottom w:val="single" w:sz="4" w:space="0" w:color="auto"/>
              <w:right w:val="single" w:sz="4" w:space="0" w:color="auto"/>
            </w:tcBorders>
            <w:shd w:val="clear" w:color="000000" w:fill="E5F1FF"/>
            <w:noWrap/>
            <w:vAlign w:val="center"/>
            <w:hideMark/>
          </w:tcPr>
          <w:p w14:paraId="2736B5B3"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4924284B" w14:textId="77777777" w:rsidTr="00DB327A">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136CFE11"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CZ.06.2.56/0.0/0.0/16_043/0001208</w:t>
            </w:r>
            <w:r w:rsidRPr="003D04DF">
              <w:rPr>
                <w:rFonts w:ascii="Calibri" w:eastAsia="Times New Roman" w:hAnsi="Calibri" w:cs="Calibri"/>
                <w:b/>
                <w:bCs/>
                <w:color w:val="000000"/>
                <w:sz w:val="17"/>
                <w:szCs w:val="17"/>
                <w:lang w:eastAsia="cs-CZ"/>
              </w:rPr>
              <w:br/>
              <w:t>Zvýšení kvality návazné péče v Krajské nemocnici Liberec</w:t>
            </w:r>
            <w:r w:rsidR="002C68B1">
              <w:rPr>
                <w:rFonts w:ascii="Calibri" w:eastAsia="Times New Roman" w:hAnsi="Calibri" w:cs="Calibri"/>
                <w:b/>
                <w:bCs/>
                <w:color w:val="000000"/>
                <w:sz w:val="17"/>
                <w:szCs w:val="17"/>
                <w:lang w:eastAsia="cs-CZ"/>
              </w:rPr>
              <w:t xml:space="preserve">, </w:t>
            </w:r>
            <w:r w:rsidR="002C68B1" w:rsidRPr="002C68B1">
              <w:rPr>
                <w:rFonts w:ascii="Calibri" w:eastAsia="Times New Roman" w:hAnsi="Calibri" w:cs="Calibri"/>
                <w:b/>
                <w:bCs/>
                <w:color w:val="000000"/>
                <w:sz w:val="17"/>
                <w:szCs w:val="17"/>
                <w:lang w:eastAsia="cs-CZ"/>
              </w:rPr>
              <w:t xml:space="preserve">a.s. </w:t>
            </w:r>
            <w:r w:rsidR="002C68B1" w:rsidRPr="004F7FAB">
              <w:rPr>
                <w:rFonts w:ascii="Calibri" w:eastAsia="Times New Roman" w:hAnsi="Calibri" w:cs="Calibri"/>
                <w:b/>
                <w:color w:val="000000"/>
                <w:sz w:val="17"/>
                <w:szCs w:val="17"/>
                <w:lang w:eastAsia="cs-CZ"/>
              </w:rPr>
              <w:t xml:space="preserve">– </w:t>
            </w:r>
            <w:r w:rsidRPr="003D04DF">
              <w:rPr>
                <w:rFonts w:ascii="Calibri" w:eastAsia="Times New Roman" w:hAnsi="Calibri" w:cs="Calibri"/>
                <w:b/>
                <w:bCs/>
                <w:color w:val="000000"/>
                <w:sz w:val="17"/>
                <w:szCs w:val="17"/>
                <w:lang w:eastAsia="cs-CZ"/>
              </w:rPr>
              <w:t>I.</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575B8EA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Krajská nemocnice Liberec, a.s.</w:t>
            </w:r>
          </w:p>
        </w:tc>
        <w:tc>
          <w:tcPr>
            <w:tcW w:w="2218" w:type="pct"/>
            <w:tcBorders>
              <w:top w:val="nil"/>
              <w:left w:val="nil"/>
              <w:bottom w:val="single" w:sz="4" w:space="0" w:color="auto"/>
              <w:right w:val="single" w:sz="4" w:space="0" w:color="auto"/>
            </w:tcBorders>
            <w:shd w:val="clear" w:color="auto" w:fill="auto"/>
            <w:vAlign w:val="center"/>
            <w:hideMark/>
          </w:tcPr>
          <w:p w14:paraId="6E7C19D1"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Monitoring vitálních funkcí (</w:t>
            </w:r>
            <w:r>
              <w:rPr>
                <w:rFonts w:ascii="Calibri" w:eastAsia="Times New Roman" w:hAnsi="Calibri" w:cs="Calibri"/>
                <w:color w:val="000000"/>
                <w:sz w:val="17"/>
                <w:szCs w:val="17"/>
                <w:lang w:eastAsia="cs-CZ"/>
              </w:rPr>
              <w:t>d</w:t>
            </w:r>
            <w:r w:rsidRPr="00342A64">
              <w:rPr>
                <w:rFonts w:ascii="Calibri" w:eastAsia="Times New Roman" w:hAnsi="Calibri" w:cs="Calibri"/>
                <w:color w:val="000000"/>
                <w:sz w:val="17"/>
                <w:szCs w:val="17"/>
                <w:lang w:eastAsia="cs-CZ"/>
              </w:rPr>
              <w:t>o kontrolního vzorku pro ověření účelnosti zařazen</w:t>
            </w:r>
            <w:r>
              <w:rPr>
                <w:rFonts w:ascii="Calibri" w:eastAsia="Times New Roman" w:hAnsi="Calibri" w:cs="Calibri"/>
                <w:color w:val="000000"/>
                <w:sz w:val="17"/>
                <w:szCs w:val="17"/>
                <w:lang w:eastAsia="cs-CZ"/>
              </w:rPr>
              <w:t>y</w:t>
            </w:r>
            <w:r w:rsidRPr="00342A64">
              <w:rPr>
                <w:rFonts w:ascii="Calibri" w:eastAsia="Times New Roman" w:hAnsi="Calibri" w:cs="Calibri"/>
                <w:color w:val="000000"/>
                <w:sz w:val="17"/>
                <w:szCs w:val="17"/>
                <w:lang w:eastAsia="cs-CZ"/>
              </w:rPr>
              <w:t xml:space="preserve"> </w:t>
            </w:r>
            <w:r>
              <w:rPr>
                <w:rFonts w:ascii="Calibri" w:eastAsia="Times New Roman" w:hAnsi="Calibri" w:cs="Calibri"/>
                <w:color w:val="000000"/>
                <w:sz w:val="17"/>
                <w:szCs w:val="17"/>
                <w:lang w:eastAsia="cs-CZ"/>
              </w:rPr>
              <w:t>pouze p</w:t>
            </w:r>
            <w:r w:rsidRPr="003D04DF">
              <w:rPr>
                <w:rFonts w:ascii="Calibri" w:eastAsia="Times New Roman" w:hAnsi="Calibri" w:cs="Calibri"/>
                <w:color w:val="000000"/>
                <w:sz w:val="17"/>
                <w:szCs w:val="17"/>
                <w:lang w:eastAsia="cs-CZ"/>
              </w:rPr>
              <w:t>acientské monitory)</w:t>
            </w:r>
          </w:p>
        </w:tc>
        <w:tc>
          <w:tcPr>
            <w:tcW w:w="431" w:type="pct"/>
            <w:tcBorders>
              <w:top w:val="nil"/>
              <w:left w:val="nil"/>
              <w:bottom w:val="single" w:sz="4" w:space="0" w:color="auto"/>
              <w:right w:val="single" w:sz="4" w:space="0" w:color="auto"/>
            </w:tcBorders>
            <w:shd w:val="clear" w:color="auto" w:fill="auto"/>
            <w:noWrap/>
            <w:vAlign w:val="center"/>
            <w:hideMark/>
          </w:tcPr>
          <w:p w14:paraId="29F76AE0"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5 098 788,75</w:t>
            </w:r>
          </w:p>
        </w:tc>
        <w:tc>
          <w:tcPr>
            <w:tcW w:w="278" w:type="pct"/>
            <w:tcBorders>
              <w:top w:val="nil"/>
              <w:left w:val="single" w:sz="4" w:space="0" w:color="auto"/>
              <w:bottom w:val="single" w:sz="4" w:space="0" w:color="auto"/>
              <w:right w:val="single" w:sz="4" w:space="0" w:color="auto"/>
            </w:tcBorders>
            <w:shd w:val="clear" w:color="000000" w:fill="548235"/>
            <w:noWrap/>
            <w:vAlign w:val="center"/>
            <w:hideMark/>
          </w:tcPr>
          <w:p w14:paraId="13CBE84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109A713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9 040 515,00</w:t>
            </w:r>
          </w:p>
        </w:tc>
        <w:tc>
          <w:tcPr>
            <w:tcW w:w="229" w:type="pct"/>
            <w:tcBorders>
              <w:top w:val="nil"/>
              <w:left w:val="single" w:sz="4" w:space="0" w:color="auto"/>
              <w:bottom w:val="single" w:sz="4" w:space="0" w:color="auto"/>
              <w:right w:val="single" w:sz="4" w:space="0" w:color="auto"/>
            </w:tcBorders>
            <w:shd w:val="clear" w:color="000000" w:fill="548235"/>
            <w:noWrap/>
            <w:vAlign w:val="center"/>
            <w:hideMark/>
          </w:tcPr>
          <w:p w14:paraId="0FF51B4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C07F5AA"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0B2A9340"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B5FB518"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21B3586D"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Anesteziologický přístroj (obnova)</w:t>
            </w:r>
          </w:p>
        </w:tc>
        <w:tc>
          <w:tcPr>
            <w:tcW w:w="431" w:type="pct"/>
            <w:tcBorders>
              <w:top w:val="nil"/>
              <w:left w:val="nil"/>
              <w:bottom w:val="single" w:sz="4" w:space="0" w:color="auto"/>
              <w:right w:val="single" w:sz="4" w:space="0" w:color="auto"/>
            </w:tcBorders>
            <w:shd w:val="clear" w:color="auto" w:fill="auto"/>
            <w:noWrap/>
            <w:vAlign w:val="center"/>
            <w:hideMark/>
          </w:tcPr>
          <w:p w14:paraId="7854071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3 735 512,00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A9FFD3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6C2833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3 735 512,00</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F2FE8F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567B940"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868304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01021FA"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45F45108"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Anesteziologický přístroj střední třídy</w:t>
            </w:r>
            <w:r w:rsidR="002C68B1">
              <w:rPr>
                <w:rFonts w:ascii="Calibri" w:eastAsia="Times New Roman" w:hAnsi="Calibri" w:cs="Calibri"/>
                <w:color w:val="000000"/>
                <w:sz w:val="17"/>
                <w:szCs w:val="17"/>
                <w:lang w:eastAsia="cs-CZ"/>
              </w:rPr>
              <w:t xml:space="preserve"> – </w:t>
            </w:r>
            <w:r w:rsidRPr="003D04DF">
              <w:rPr>
                <w:rFonts w:ascii="Calibri" w:eastAsia="Times New Roman" w:hAnsi="Calibri" w:cs="Calibri"/>
                <w:color w:val="000000"/>
                <w:sz w:val="17"/>
                <w:szCs w:val="17"/>
                <w:lang w:eastAsia="cs-CZ"/>
              </w:rPr>
              <w:t>pořízený z úspor dotace (obnova)</w:t>
            </w:r>
          </w:p>
        </w:tc>
        <w:tc>
          <w:tcPr>
            <w:tcW w:w="431" w:type="pct"/>
            <w:tcBorders>
              <w:top w:val="nil"/>
              <w:left w:val="nil"/>
              <w:bottom w:val="single" w:sz="4" w:space="0" w:color="auto"/>
              <w:right w:val="single" w:sz="4" w:space="0" w:color="auto"/>
            </w:tcBorders>
            <w:shd w:val="clear" w:color="auto" w:fill="auto"/>
            <w:noWrap/>
            <w:vAlign w:val="center"/>
            <w:hideMark/>
          </w:tcPr>
          <w:p w14:paraId="48D5783F" w14:textId="77777777" w:rsidR="00FB487D" w:rsidRPr="003D04DF" w:rsidRDefault="00453D24" w:rsidP="005130B3">
            <w:pPr>
              <w:spacing w:after="0" w:line="240" w:lineRule="auto"/>
              <w:jc w:val="right"/>
              <w:rPr>
                <w:rFonts w:ascii="Calibri" w:eastAsia="Times New Roman" w:hAnsi="Calibri" w:cs="Calibri"/>
                <w:b/>
                <w:bCs/>
                <w:color w:val="000000"/>
                <w:sz w:val="17"/>
                <w:szCs w:val="17"/>
                <w:lang w:eastAsia="cs-CZ"/>
              </w:rPr>
            </w:pPr>
            <w:r w:rsidRPr="00453D24">
              <w:rPr>
                <w:rFonts w:ascii="Calibri" w:eastAsia="Times New Roman" w:hAnsi="Calibri" w:cs="Calibri"/>
                <w:b/>
                <w:bCs/>
                <w:color w:val="000000"/>
                <w:sz w:val="17"/>
                <w:szCs w:val="17"/>
                <w:lang w:eastAsia="cs-CZ"/>
              </w:rPr>
              <w:t>736</w:t>
            </w:r>
            <w:r>
              <w:rPr>
                <w:rFonts w:ascii="Calibri" w:eastAsia="Times New Roman" w:hAnsi="Calibri" w:cs="Calibri"/>
                <w:b/>
                <w:bCs/>
                <w:color w:val="000000"/>
                <w:sz w:val="17"/>
                <w:szCs w:val="17"/>
                <w:lang w:eastAsia="cs-CZ"/>
              </w:rPr>
              <w:t> </w:t>
            </w:r>
            <w:r w:rsidRPr="00453D24">
              <w:rPr>
                <w:rFonts w:ascii="Calibri" w:eastAsia="Times New Roman" w:hAnsi="Calibri" w:cs="Calibri"/>
                <w:b/>
                <w:bCs/>
                <w:color w:val="000000"/>
                <w:sz w:val="17"/>
                <w:szCs w:val="17"/>
                <w:lang w:eastAsia="cs-CZ"/>
              </w:rPr>
              <w:t>406</w:t>
            </w:r>
            <w:r>
              <w:rPr>
                <w:rFonts w:ascii="Calibri" w:eastAsia="Times New Roman" w:hAnsi="Calibri" w:cs="Calibri"/>
                <w:b/>
                <w:bCs/>
                <w:color w:val="000000"/>
                <w:sz w:val="17"/>
                <w:szCs w:val="17"/>
                <w:lang w:eastAsia="cs-CZ"/>
              </w:rPr>
              <w:t>,00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072E8A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1353E107" w14:textId="77777777" w:rsidR="00FB487D" w:rsidRPr="003D04DF" w:rsidRDefault="00453D24" w:rsidP="005130B3">
            <w:pPr>
              <w:spacing w:after="0" w:line="240" w:lineRule="auto"/>
              <w:jc w:val="right"/>
              <w:rPr>
                <w:rFonts w:ascii="Calibri" w:eastAsia="Times New Roman" w:hAnsi="Calibri" w:cs="Calibri"/>
                <w:b/>
                <w:bCs/>
                <w:color w:val="000000"/>
                <w:sz w:val="17"/>
                <w:szCs w:val="17"/>
                <w:lang w:eastAsia="cs-CZ"/>
              </w:rPr>
            </w:pPr>
            <w:r w:rsidRPr="00453D24">
              <w:rPr>
                <w:rFonts w:ascii="Calibri" w:eastAsia="Times New Roman" w:hAnsi="Calibri" w:cs="Calibri"/>
                <w:b/>
                <w:bCs/>
                <w:color w:val="000000"/>
                <w:sz w:val="17"/>
                <w:szCs w:val="17"/>
                <w:lang w:eastAsia="cs-CZ"/>
              </w:rPr>
              <w:t>736</w:t>
            </w:r>
            <w:r>
              <w:rPr>
                <w:rFonts w:ascii="Calibri" w:eastAsia="Times New Roman" w:hAnsi="Calibri" w:cs="Calibri"/>
                <w:b/>
                <w:bCs/>
                <w:color w:val="000000"/>
                <w:sz w:val="17"/>
                <w:szCs w:val="17"/>
                <w:lang w:eastAsia="cs-CZ"/>
              </w:rPr>
              <w:t> </w:t>
            </w:r>
            <w:r w:rsidRPr="00453D24">
              <w:rPr>
                <w:rFonts w:ascii="Calibri" w:eastAsia="Times New Roman" w:hAnsi="Calibri" w:cs="Calibri"/>
                <w:b/>
                <w:bCs/>
                <w:color w:val="000000"/>
                <w:sz w:val="17"/>
                <w:szCs w:val="17"/>
                <w:lang w:eastAsia="cs-CZ"/>
              </w:rPr>
              <w:t>406</w:t>
            </w:r>
            <w:r>
              <w:rPr>
                <w:rFonts w:ascii="Calibri" w:eastAsia="Times New Roman" w:hAnsi="Calibri" w:cs="Calibri"/>
                <w:b/>
                <w:bCs/>
                <w:color w:val="000000"/>
                <w:sz w:val="17"/>
                <w:szCs w:val="17"/>
                <w:lang w:eastAsia="cs-CZ"/>
              </w:rPr>
              <w:t>,00</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3EC904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89B1E9C" w14:textId="77777777" w:rsidTr="007A0371">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73AB4B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23318F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4D51585A"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Anesteziologický přístroj pro MR </w:t>
            </w:r>
            <w:r w:rsidR="002C68B1">
              <w:rPr>
                <w:rFonts w:ascii="Calibri" w:eastAsia="Times New Roman" w:hAnsi="Calibri" w:cs="Calibri"/>
                <w:color w:val="000000"/>
                <w:sz w:val="17"/>
                <w:szCs w:val="17"/>
                <w:lang w:eastAsia="cs-CZ"/>
              </w:rPr>
              <w:t xml:space="preserve">– </w:t>
            </w:r>
            <w:r w:rsidRPr="003D04DF">
              <w:rPr>
                <w:rFonts w:ascii="Calibri" w:eastAsia="Times New Roman" w:hAnsi="Calibri" w:cs="Calibri"/>
                <w:color w:val="000000"/>
                <w:sz w:val="17"/>
                <w:szCs w:val="17"/>
                <w:lang w:eastAsia="cs-CZ"/>
              </w:rPr>
              <w:t>pořízený z úspor dotace (rozvoj)</w:t>
            </w:r>
          </w:p>
        </w:tc>
        <w:tc>
          <w:tcPr>
            <w:tcW w:w="431" w:type="pct"/>
            <w:tcBorders>
              <w:top w:val="nil"/>
              <w:left w:val="nil"/>
              <w:bottom w:val="single" w:sz="4" w:space="0" w:color="auto"/>
              <w:right w:val="single" w:sz="4" w:space="0" w:color="auto"/>
            </w:tcBorders>
            <w:shd w:val="clear" w:color="auto" w:fill="auto"/>
            <w:noWrap/>
            <w:vAlign w:val="center"/>
            <w:hideMark/>
          </w:tcPr>
          <w:p w14:paraId="44B75D5F" w14:textId="77777777" w:rsidR="00FB487D" w:rsidRPr="003D04DF" w:rsidRDefault="00453D24" w:rsidP="005130B3">
            <w:pPr>
              <w:spacing w:after="0" w:line="240" w:lineRule="auto"/>
              <w:jc w:val="right"/>
              <w:rPr>
                <w:rFonts w:ascii="Calibri" w:eastAsia="Times New Roman" w:hAnsi="Calibri" w:cs="Calibri"/>
                <w:b/>
                <w:bCs/>
                <w:color w:val="000000"/>
                <w:sz w:val="17"/>
                <w:szCs w:val="17"/>
                <w:lang w:eastAsia="cs-CZ"/>
              </w:rPr>
            </w:pPr>
            <w:r w:rsidRPr="00453D24">
              <w:rPr>
                <w:rFonts w:ascii="Calibri" w:eastAsia="Times New Roman" w:hAnsi="Calibri" w:cs="Calibri"/>
                <w:b/>
                <w:bCs/>
                <w:color w:val="000000"/>
                <w:sz w:val="17"/>
                <w:szCs w:val="17"/>
                <w:lang w:eastAsia="cs-CZ"/>
              </w:rPr>
              <w:t>3</w:t>
            </w:r>
            <w:r>
              <w:rPr>
                <w:rFonts w:ascii="Calibri" w:eastAsia="Times New Roman" w:hAnsi="Calibri" w:cs="Calibri"/>
                <w:b/>
                <w:bCs/>
                <w:color w:val="000000"/>
                <w:sz w:val="17"/>
                <w:szCs w:val="17"/>
                <w:lang w:eastAsia="cs-CZ"/>
              </w:rPr>
              <w:t> </w:t>
            </w:r>
            <w:r w:rsidRPr="00453D24">
              <w:rPr>
                <w:rFonts w:ascii="Calibri" w:eastAsia="Times New Roman" w:hAnsi="Calibri" w:cs="Calibri"/>
                <w:b/>
                <w:bCs/>
                <w:color w:val="000000"/>
                <w:sz w:val="17"/>
                <w:szCs w:val="17"/>
                <w:lang w:eastAsia="cs-CZ"/>
              </w:rPr>
              <w:t>125</w:t>
            </w:r>
            <w:r>
              <w:rPr>
                <w:rFonts w:ascii="Calibri" w:eastAsia="Times New Roman" w:hAnsi="Calibri" w:cs="Calibri"/>
                <w:b/>
                <w:bCs/>
                <w:color w:val="000000"/>
                <w:sz w:val="17"/>
                <w:szCs w:val="17"/>
                <w:lang w:eastAsia="cs-CZ"/>
              </w:rPr>
              <w:t xml:space="preserve"> </w:t>
            </w:r>
            <w:r w:rsidRPr="00453D24">
              <w:rPr>
                <w:rFonts w:ascii="Calibri" w:eastAsia="Times New Roman" w:hAnsi="Calibri" w:cs="Calibri"/>
                <w:b/>
                <w:bCs/>
                <w:color w:val="000000"/>
                <w:sz w:val="17"/>
                <w:szCs w:val="17"/>
                <w:lang w:eastAsia="cs-CZ"/>
              </w:rPr>
              <w:t>047,88</w:t>
            </w:r>
          </w:p>
        </w:tc>
        <w:tc>
          <w:tcPr>
            <w:tcW w:w="278"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985D5D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w:t>
            </w:r>
          </w:p>
        </w:tc>
        <w:tc>
          <w:tcPr>
            <w:tcW w:w="432" w:type="pct"/>
            <w:tcBorders>
              <w:top w:val="nil"/>
              <w:left w:val="nil"/>
              <w:bottom w:val="single" w:sz="4" w:space="0" w:color="auto"/>
              <w:right w:val="single" w:sz="4" w:space="0" w:color="auto"/>
            </w:tcBorders>
            <w:shd w:val="clear" w:color="auto" w:fill="auto"/>
            <w:noWrap/>
            <w:vAlign w:val="center"/>
            <w:hideMark/>
          </w:tcPr>
          <w:p w14:paraId="2E6941CB" w14:textId="77777777" w:rsidR="00FB487D" w:rsidRPr="003D04DF" w:rsidRDefault="00453D24" w:rsidP="005130B3">
            <w:pPr>
              <w:spacing w:after="0" w:line="240" w:lineRule="auto"/>
              <w:jc w:val="right"/>
              <w:rPr>
                <w:rFonts w:ascii="Calibri" w:eastAsia="Times New Roman" w:hAnsi="Calibri" w:cs="Calibri"/>
                <w:b/>
                <w:bCs/>
                <w:color w:val="000000"/>
                <w:sz w:val="17"/>
                <w:szCs w:val="17"/>
                <w:lang w:eastAsia="cs-CZ"/>
              </w:rPr>
            </w:pPr>
            <w:r w:rsidRPr="00453D24">
              <w:rPr>
                <w:rFonts w:ascii="Calibri" w:eastAsia="Times New Roman" w:hAnsi="Calibri" w:cs="Calibri"/>
                <w:b/>
                <w:bCs/>
                <w:color w:val="000000"/>
                <w:sz w:val="17"/>
                <w:szCs w:val="17"/>
                <w:lang w:eastAsia="cs-CZ"/>
              </w:rPr>
              <w:t>3</w:t>
            </w:r>
            <w:r>
              <w:rPr>
                <w:rFonts w:ascii="Calibri" w:eastAsia="Times New Roman" w:hAnsi="Calibri" w:cs="Calibri"/>
                <w:b/>
                <w:bCs/>
                <w:color w:val="000000"/>
                <w:sz w:val="17"/>
                <w:szCs w:val="17"/>
                <w:lang w:eastAsia="cs-CZ"/>
              </w:rPr>
              <w:t> </w:t>
            </w:r>
            <w:r w:rsidRPr="00453D24">
              <w:rPr>
                <w:rFonts w:ascii="Calibri" w:eastAsia="Times New Roman" w:hAnsi="Calibri" w:cs="Calibri"/>
                <w:b/>
                <w:bCs/>
                <w:color w:val="000000"/>
                <w:sz w:val="17"/>
                <w:szCs w:val="17"/>
                <w:lang w:eastAsia="cs-CZ"/>
              </w:rPr>
              <w:t>125</w:t>
            </w:r>
            <w:r>
              <w:rPr>
                <w:rFonts w:ascii="Calibri" w:eastAsia="Times New Roman" w:hAnsi="Calibri" w:cs="Calibri"/>
                <w:b/>
                <w:bCs/>
                <w:color w:val="000000"/>
                <w:sz w:val="17"/>
                <w:szCs w:val="17"/>
                <w:lang w:eastAsia="cs-CZ"/>
              </w:rPr>
              <w:t xml:space="preserve"> </w:t>
            </w:r>
            <w:r w:rsidRPr="00453D24">
              <w:rPr>
                <w:rFonts w:ascii="Calibri" w:eastAsia="Times New Roman" w:hAnsi="Calibri" w:cs="Calibri"/>
                <w:b/>
                <w:bCs/>
                <w:color w:val="000000"/>
                <w:sz w:val="17"/>
                <w:szCs w:val="17"/>
                <w:lang w:eastAsia="cs-CZ"/>
              </w:rPr>
              <w:t>047,88</w:t>
            </w:r>
          </w:p>
        </w:tc>
        <w:tc>
          <w:tcPr>
            <w:tcW w:w="229"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0DD46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w:t>
            </w:r>
          </w:p>
        </w:tc>
      </w:tr>
      <w:tr w:rsidR="00D44C38" w14:paraId="555CC0CD"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1F20550"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CC2A234"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51D5A46B"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Trenažér pro HKK i DKK (rozvoj)</w:t>
            </w:r>
          </w:p>
        </w:tc>
        <w:tc>
          <w:tcPr>
            <w:tcW w:w="431" w:type="pct"/>
            <w:tcBorders>
              <w:top w:val="nil"/>
              <w:left w:val="nil"/>
              <w:bottom w:val="single" w:sz="4" w:space="0" w:color="auto"/>
              <w:right w:val="single" w:sz="4" w:space="0" w:color="auto"/>
            </w:tcBorders>
            <w:shd w:val="clear" w:color="auto" w:fill="auto"/>
            <w:noWrap/>
            <w:vAlign w:val="center"/>
            <w:hideMark/>
          </w:tcPr>
          <w:p w14:paraId="0C117CB5"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997 645,00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5E9EB7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49FA370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997 645,00</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F1DCD6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1FF4E98"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25D6C03"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35058C60"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30E71E2F"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Magnetická rezonance (rozvoj)</w:t>
            </w:r>
          </w:p>
        </w:tc>
        <w:tc>
          <w:tcPr>
            <w:tcW w:w="431" w:type="pct"/>
            <w:tcBorders>
              <w:top w:val="nil"/>
              <w:left w:val="nil"/>
              <w:bottom w:val="single" w:sz="4" w:space="0" w:color="auto"/>
              <w:right w:val="single" w:sz="4" w:space="0" w:color="auto"/>
            </w:tcBorders>
            <w:shd w:val="clear" w:color="auto" w:fill="auto"/>
            <w:noWrap/>
            <w:vAlign w:val="center"/>
            <w:hideMark/>
          </w:tcPr>
          <w:p w14:paraId="2D7DCCB7"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24 423 837,84</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E234193"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39978DFA"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24 423 837,84</w:t>
            </w:r>
          </w:p>
        </w:tc>
        <w:tc>
          <w:tcPr>
            <w:tcW w:w="22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62E870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FF03275" w14:textId="77777777" w:rsidTr="00DB327A">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A76ED6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3F7DFCCE"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8" w:type="pct"/>
            <w:tcBorders>
              <w:top w:val="nil"/>
              <w:left w:val="nil"/>
              <w:bottom w:val="single" w:sz="4" w:space="0" w:color="auto"/>
              <w:right w:val="single" w:sz="4" w:space="0" w:color="auto"/>
            </w:tcBorders>
            <w:shd w:val="clear" w:color="auto" w:fill="auto"/>
            <w:vAlign w:val="center"/>
            <w:hideMark/>
          </w:tcPr>
          <w:p w14:paraId="5F583ED4"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Přístroj na chlazení a ohřev pacienta</w:t>
            </w:r>
          </w:p>
        </w:tc>
        <w:tc>
          <w:tcPr>
            <w:tcW w:w="431" w:type="pct"/>
            <w:tcBorders>
              <w:top w:val="nil"/>
              <w:left w:val="nil"/>
              <w:bottom w:val="nil"/>
              <w:right w:val="single" w:sz="4" w:space="0" w:color="auto"/>
            </w:tcBorders>
            <w:shd w:val="clear" w:color="auto" w:fill="auto"/>
            <w:noWrap/>
            <w:vAlign w:val="center"/>
            <w:hideMark/>
          </w:tcPr>
          <w:p w14:paraId="576F3C9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0,00</w:t>
            </w:r>
          </w:p>
        </w:tc>
        <w:tc>
          <w:tcPr>
            <w:tcW w:w="278" w:type="pct"/>
            <w:tcBorders>
              <w:top w:val="nil"/>
              <w:left w:val="nil"/>
              <w:bottom w:val="nil"/>
              <w:right w:val="single" w:sz="4" w:space="0" w:color="auto"/>
            </w:tcBorders>
            <w:shd w:val="clear" w:color="auto" w:fill="auto"/>
            <w:noWrap/>
            <w:vAlign w:val="center"/>
            <w:hideMark/>
          </w:tcPr>
          <w:p w14:paraId="6174EE3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X</w:t>
            </w:r>
          </w:p>
        </w:tc>
        <w:tc>
          <w:tcPr>
            <w:tcW w:w="432" w:type="pct"/>
            <w:tcBorders>
              <w:top w:val="nil"/>
              <w:left w:val="nil"/>
              <w:bottom w:val="nil"/>
              <w:right w:val="single" w:sz="4" w:space="0" w:color="auto"/>
            </w:tcBorders>
            <w:shd w:val="clear" w:color="auto" w:fill="auto"/>
            <w:noWrap/>
            <w:vAlign w:val="center"/>
            <w:hideMark/>
          </w:tcPr>
          <w:p w14:paraId="5DE44B29"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365 500,00</w:t>
            </w:r>
          </w:p>
        </w:tc>
        <w:tc>
          <w:tcPr>
            <w:tcW w:w="229" w:type="pct"/>
            <w:tcBorders>
              <w:top w:val="nil"/>
              <w:left w:val="nil"/>
              <w:bottom w:val="nil"/>
              <w:right w:val="single" w:sz="4" w:space="0" w:color="auto"/>
            </w:tcBorders>
            <w:shd w:val="clear" w:color="000000" w:fill="548235"/>
            <w:noWrap/>
            <w:vAlign w:val="center"/>
            <w:hideMark/>
          </w:tcPr>
          <w:p w14:paraId="1A245C2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4F7FAB" w14:paraId="1902EC7C" w14:textId="77777777" w:rsidTr="004F7FAB">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CCCC118"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5" w:type="pct"/>
            <w:gridSpan w:val="2"/>
            <w:tcBorders>
              <w:top w:val="single" w:sz="4" w:space="0" w:color="auto"/>
              <w:left w:val="nil"/>
              <w:bottom w:val="single" w:sz="4" w:space="0" w:color="auto"/>
              <w:right w:val="nil"/>
            </w:tcBorders>
            <w:shd w:val="clear" w:color="000000" w:fill="E5F1FF"/>
            <w:vAlign w:val="center"/>
            <w:hideMark/>
          </w:tcPr>
          <w:p w14:paraId="161882AC"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1" w:type="pct"/>
            <w:tcBorders>
              <w:top w:val="single" w:sz="4" w:space="0" w:color="auto"/>
              <w:left w:val="single" w:sz="4" w:space="0" w:color="auto"/>
              <w:bottom w:val="single" w:sz="4" w:space="0" w:color="auto"/>
              <w:right w:val="nil"/>
            </w:tcBorders>
            <w:shd w:val="clear" w:color="000000" w:fill="E5F1FF"/>
            <w:noWrap/>
            <w:vAlign w:val="center"/>
            <w:hideMark/>
          </w:tcPr>
          <w:p w14:paraId="4559C8DD"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38 117 237,47</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207BB1F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4466DE84" w14:textId="77777777" w:rsidR="00FB487D" w:rsidRPr="003D04DF" w:rsidRDefault="007E2A6B" w:rsidP="004F7FAB">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42 424 463,72</w:t>
            </w:r>
          </w:p>
        </w:tc>
        <w:tc>
          <w:tcPr>
            <w:tcW w:w="229" w:type="pct"/>
            <w:tcBorders>
              <w:top w:val="single" w:sz="4" w:space="0" w:color="auto"/>
              <w:left w:val="nil"/>
              <w:bottom w:val="single" w:sz="4" w:space="0" w:color="auto"/>
              <w:right w:val="single" w:sz="4" w:space="0" w:color="auto"/>
            </w:tcBorders>
            <w:shd w:val="clear" w:color="000000" w:fill="E5F1FF"/>
            <w:noWrap/>
            <w:vAlign w:val="center"/>
            <w:hideMark/>
          </w:tcPr>
          <w:p w14:paraId="397357F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bl>
    <w:p w14:paraId="203722A5" w14:textId="77777777" w:rsidR="00DB327A" w:rsidRDefault="007E2A6B">
      <w:r>
        <w:br w:type="page"/>
      </w:r>
    </w:p>
    <w:tbl>
      <w:tblPr>
        <w:tblW w:w="5000" w:type="pct"/>
        <w:tblCellMar>
          <w:left w:w="70" w:type="dxa"/>
          <w:right w:w="70" w:type="dxa"/>
        </w:tblCellMar>
        <w:tblLook w:val="04A0" w:firstRow="1" w:lastRow="0" w:firstColumn="1" w:lastColumn="0" w:noHBand="0" w:noVBand="1"/>
      </w:tblPr>
      <w:tblGrid>
        <w:gridCol w:w="2876"/>
        <w:gridCol w:w="1195"/>
        <w:gridCol w:w="6184"/>
        <w:gridCol w:w="1184"/>
        <w:gridCol w:w="753"/>
        <w:gridCol w:w="1187"/>
        <w:gridCol w:w="613"/>
      </w:tblGrid>
      <w:tr w:rsidR="00D44C38" w14:paraId="7352CA67" w14:textId="77777777" w:rsidTr="00DB327A">
        <w:trPr>
          <w:cantSplit/>
          <w:trHeight w:val="20"/>
        </w:trPr>
        <w:tc>
          <w:tcPr>
            <w:tcW w:w="10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8E65C" w14:textId="77777777" w:rsidR="00FB487D" w:rsidRPr="004F7FAB" w:rsidRDefault="007E2A6B" w:rsidP="00FB487D">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lastRenderedPageBreak/>
              <w:t>CZ.06.2.56/0.0/0.0/16_043/0001224</w:t>
            </w:r>
            <w:r w:rsidRPr="004F7FAB">
              <w:rPr>
                <w:rFonts w:ascii="Calibri" w:eastAsia="Times New Roman" w:hAnsi="Calibri" w:cs="Calibri"/>
                <w:b/>
                <w:bCs/>
                <w:color w:val="000000"/>
                <w:sz w:val="17"/>
                <w:szCs w:val="17"/>
                <w:lang w:eastAsia="cs-CZ"/>
              </w:rPr>
              <w:br/>
              <w:t>Zvýšení kvality návazné péče v Krajské nemocnici Liberec</w:t>
            </w:r>
            <w:r w:rsidR="002C68B1" w:rsidRPr="004F7FAB">
              <w:rPr>
                <w:rFonts w:ascii="Calibri" w:eastAsia="Times New Roman" w:hAnsi="Calibri" w:cs="Calibri"/>
                <w:b/>
                <w:bCs/>
                <w:color w:val="000000"/>
                <w:sz w:val="17"/>
                <w:szCs w:val="17"/>
                <w:lang w:eastAsia="cs-CZ"/>
              </w:rPr>
              <w:t>,</w:t>
            </w:r>
            <w:r w:rsidR="002C68B1" w:rsidRPr="002C68B1">
              <w:rPr>
                <w:rFonts w:ascii="Calibri" w:eastAsia="Times New Roman" w:hAnsi="Calibri" w:cs="Calibri"/>
                <w:b/>
                <w:bCs/>
                <w:color w:val="000000"/>
                <w:sz w:val="17"/>
                <w:szCs w:val="17"/>
                <w:lang w:eastAsia="cs-CZ"/>
              </w:rPr>
              <w:t xml:space="preserve"> a.s. </w:t>
            </w:r>
            <w:r w:rsidR="002C68B1" w:rsidRPr="002C68B1">
              <w:rPr>
                <w:rFonts w:ascii="Calibri" w:eastAsia="Times New Roman" w:hAnsi="Calibri" w:cs="Calibri"/>
                <w:b/>
                <w:color w:val="000000"/>
                <w:sz w:val="17"/>
                <w:szCs w:val="17"/>
                <w:lang w:eastAsia="cs-CZ"/>
              </w:rPr>
              <w:t xml:space="preserve">– </w:t>
            </w:r>
            <w:r w:rsidRPr="004F7FAB">
              <w:rPr>
                <w:rFonts w:ascii="Calibri" w:eastAsia="Times New Roman" w:hAnsi="Calibri" w:cs="Calibri"/>
                <w:b/>
                <w:bCs/>
                <w:color w:val="000000"/>
                <w:sz w:val="17"/>
                <w:szCs w:val="17"/>
                <w:lang w:eastAsia="cs-CZ"/>
              </w:rPr>
              <w:t>II.</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A5021" w14:textId="77777777" w:rsidR="00FB487D" w:rsidRPr="004F7FAB" w:rsidRDefault="007E2A6B" w:rsidP="005130B3">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Krajská nemocnice Liberec, a.s.</w:t>
            </w:r>
          </w:p>
        </w:tc>
        <w:tc>
          <w:tcPr>
            <w:tcW w:w="2210" w:type="pct"/>
            <w:tcBorders>
              <w:top w:val="single" w:sz="4" w:space="0" w:color="auto"/>
              <w:left w:val="nil"/>
              <w:bottom w:val="single" w:sz="4" w:space="0" w:color="auto"/>
              <w:right w:val="single" w:sz="4" w:space="0" w:color="auto"/>
            </w:tcBorders>
            <w:shd w:val="clear" w:color="auto" w:fill="auto"/>
            <w:vAlign w:val="center"/>
            <w:hideMark/>
          </w:tcPr>
          <w:p w14:paraId="2310F3CE"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Pojízdný RTG přístroj (obnova)</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5C65FC4D"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10 432 692,60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F8D0757"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705F67A0"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10 432 692,60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71748DB"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3A939025"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4A2BD13F"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E07333C"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45453400"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Skiagrafie (obnova)</w:t>
            </w:r>
          </w:p>
        </w:tc>
        <w:tc>
          <w:tcPr>
            <w:tcW w:w="423" w:type="pct"/>
            <w:tcBorders>
              <w:top w:val="nil"/>
              <w:left w:val="nil"/>
              <w:bottom w:val="single" w:sz="4" w:space="0" w:color="auto"/>
              <w:right w:val="single" w:sz="4" w:space="0" w:color="auto"/>
            </w:tcBorders>
            <w:shd w:val="clear" w:color="auto" w:fill="auto"/>
            <w:noWrap/>
            <w:vAlign w:val="center"/>
            <w:hideMark/>
          </w:tcPr>
          <w:p w14:paraId="0AE8CE7A"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5 250 286,80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045D612"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32322969"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5 250 286,80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96B75D0"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5034E4EB"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4A0D9E47"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77DE489"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03B50DFA"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Počítačový tomograf (obnova)</w:t>
            </w:r>
          </w:p>
        </w:tc>
        <w:tc>
          <w:tcPr>
            <w:tcW w:w="423" w:type="pct"/>
            <w:tcBorders>
              <w:top w:val="nil"/>
              <w:left w:val="nil"/>
              <w:bottom w:val="single" w:sz="4" w:space="0" w:color="auto"/>
              <w:right w:val="single" w:sz="4" w:space="0" w:color="auto"/>
            </w:tcBorders>
            <w:shd w:val="clear" w:color="auto" w:fill="auto"/>
            <w:noWrap/>
            <w:vAlign w:val="center"/>
            <w:hideMark/>
          </w:tcPr>
          <w:p w14:paraId="53E5D7C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10 468 073,00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3930033"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297B6C63"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10 468 073,00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EF9CCDB"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5DF994EA"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83EF2DA"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1F742C0"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45C8AA5F"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 xml:space="preserve">Mobilní UZV přístroj (obnova) </w:t>
            </w:r>
            <w:r w:rsidR="007162B4" w:rsidRPr="004F7FAB">
              <w:rPr>
                <w:rFonts w:eastAsia="Times New Roman" w:cstheme="minorHAnsi"/>
                <w:color w:val="000000"/>
                <w:sz w:val="17"/>
                <w:szCs w:val="17"/>
                <w:lang w:eastAsia="cs-CZ"/>
              </w:rPr>
              <w:t>–</w:t>
            </w:r>
            <w:r w:rsidRPr="004F7FAB">
              <w:rPr>
                <w:rFonts w:eastAsia="Times New Roman" w:cstheme="minorHAnsi"/>
                <w:color w:val="000000"/>
                <w:sz w:val="17"/>
                <w:szCs w:val="17"/>
                <w:lang w:eastAsia="cs-CZ"/>
              </w:rPr>
              <w:t xml:space="preserve"> pořízen z úspor dotace</w:t>
            </w:r>
          </w:p>
        </w:tc>
        <w:tc>
          <w:tcPr>
            <w:tcW w:w="423" w:type="pct"/>
            <w:tcBorders>
              <w:top w:val="nil"/>
              <w:left w:val="nil"/>
              <w:bottom w:val="nil"/>
              <w:right w:val="single" w:sz="4" w:space="0" w:color="auto"/>
            </w:tcBorders>
            <w:shd w:val="clear" w:color="auto" w:fill="auto"/>
            <w:noWrap/>
            <w:vAlign w:val="center"/>
            <w:hideMark/>
          </w:tcPr>
          <w:p w14:paraId="3E3CEA8F"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1 659 633,02</w:t>
            </w:r>
          </w:p>
        </w:tc>
        <w:tc>
          <w:tcPr>
            <w:tcW w:w="269" w:type="pct"/>
            <w:tcBorders>
              <w:top w:val="single" w:sz="4" w:space="0" w:color="auto"/>
              <w:left w:val="single" w:sz="4" w:space="0" w:color="auto"/>
              <w:bottom w:val="nil"/>
              <w:right w:val="single" w:sz="4" w:space="0" w:color="auto"/>
            </w:tcBorders>
            <w:shd w:val="clear" w:color="000000" w:fill="548235"/>
            <w:noWrap/>
            <w:vAlign w:val="center"/>
            <w:hideMark/>
          </w:tcPr>
          <w:p w14:paraId="41FF46F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nil"/>
              <w:right w:val="single" w:sz="4" w:space="0" w:color="auto"/>
            </w:tcBorders>
            <w:shd w:val="clear" w:color="auto" w:fill="auto"/>
            <w:noWrap/>
            <w:vAlign w:val="center"/>
            <w:hideMark/>
          </w:tcPr>
          <w:p w14:paraId="795160F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1 659 633,02</w:t>
            </w:r>
          </w:p>
        </w:tc>
        <w:tc>
          <w:tcPr>
            <w:tcW w:w="219" w:type="pct"/>
            <w:tcBorders>
              <w:top w:val="single" w:sz="4" w:space="0" w:color="auto"/>
              <w:left w:val="single" w:sz="4" w:space="0" w:color="auto"/>
              <w:bottom w:val="nil"/>
              <w:right w:val="single" w:sz="4" w:space="0" w:color="auto"/>
            </w:tcBorders>
            <w:shd w:val="clear" w:color="000000" w:fill="548235"/>
            <w:noWrap/>
            <w:vAlign w:val="center"/>
            <w:hideMark/>
          </w:tcPr>
          <w:p w14:paraId="4201E6A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0C3C36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4AD2BA76"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2637" w:type="pct"/>
            <w:gridSpan w:val="2"/>
            <w:tcBorders>
              <w:top w:val="single" w:sz="4" w:space="0" w:color="auto"/>
              <w:left w:val="nil"/>
              <w:bottom w:val="single" w:sz="4" w:space="0" w:color="auto"/>
              <w:right w:val="nil"/>
            </w:tcBorders>
            <w:shd w:val="clear" w:color="000000" w:fill="E5F1FF"/>
            <w:vAlign w:val="center"/>
            <w:hideMark/>
          </w:tcPr>
          <w:p w14:paraId="11481876" w14:textId="77777777" w:rsidR="00FB487D" w:rsidRPr="004F7FAB" w:rsidRDefault="007E2A6B" w:rsidP="005130B3">
            <w:pPr>
              <w:spacing w:after="0" w:line="240" w:lineRule="auto"/>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Celkem za projekt</w:t>
            </w:r>
          </w:p>
        </w:tc>
        <w:tc>
          <w:tcPr>
            <w:tcW w:w="423" w:type="pct"/>
            <w:tcBorders>
              <w:top w:val="single" w:sz="4" w:space="0" w:color="auto"/>
              <w:left w:val="single" w:sz="4" w:space="0" w:color="auto"/>
              <w:bottom w:val="single" w:sz="4" w:space="0" w:color="auto"/>
              <w:right w:val="nil"/>
            </w:tcBorders>
            <w:shd w:val="clear" w:color="000000" w:fill="E5F1FF"/>
            <w:noWrap/>
            <w:vAlign w:val="center"/>
            <w:hideMark/>
          </w:tcPr>
          <w:p w14:paraId="15DF274F"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27 810 685,42</w:t>
            </w:r>
          </w:p>
        </w:tc>
        <w:tc>
          <w:tcPr>
            <w:tcW w:w="269" w:type="pct"/>
            <w:tcBorders>
              <w:top w:val="single" w:sz="4" w:space="0" w:color="auto"/>
              <w:left w:val="nil"/>
              <w:bottom w:val="single" w:sz="4" w:space="0" w:color="auto"/>
              <w:right w:val="nil"/>
            </w:tcBorders>
            <w:shd w:val="clear" w:color="000000" w:fill="E5F1FF"/>
            <w:noWrap/>
            <w:vAlign w:val="center"/>
            <w:hideMark/>
          </w:tcPr>
          <w:p w14:paraId="2CF3BD4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c>
          <w:tcPr>
            <w:tcW w:w="424" w:type="pct"/>
            <w:tcBorders>
              <w:top w:val="single" w:sz="4" w:space="0" w:color="auto"/>
              <w:left w:val="single" w:sz="4" w:space="0" w:color="auto"/>
              <w:bottom w:val="single" w:sz="4" w:space="0" w:color="auto"/>
              <w:right w:val="nil"/>
            </w:tcBorders>
            <w:shd w:val="clear" w:color="000000" w:fill="E5F1FF"/>
            <w:noWrap/>
            <w:vAlign w:val="center"/>
            <w:hideMark/>
          </w:tcPr>
          <w:p w14:paraId="1DB0C30E"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27 810 685,42</w:t>
            </w:r>
          </w:p>
        </w:tc>
        <w:tc>
          <w:tcPr>
            <w:tcW w:w="219" w:type="pct"/>
            <w:tcBorders>
              <w:top w:val="single" w:sz="4" w:space="0" w:color="auto"/>
              <w:left w:val="nil"/>
              <w:bottom w:val="single" w:sz="4" w:space="0" w:color="auto"/>
              <w:right w:val="single" w:sz="4" w:space="0" w:color="auto"/>
            </w:tcBorders>
            <w:shd w:val="clear" w:color="000000" w:fill="E5F1FF"/>
            <w:noWrap/>
            <w:vAlign w:val="center"/>
            <w:hideMark/>
          </w:tcPr>
          <w:p w14:paraId="2137B266"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r>
      <w:tr w:rsidR="00D44C38" w14:paraId="6CF7E879" w14:textId="77777777" w:rsidTr="00DB327A">
        <w:trPr>
          <w:cantSplit/>
          <w:trHeight w:val="20"/>
        </w:trPr>
        <w:tc>
          <w:tcPr>
            <w:tcW w:w="10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B2F4A" w14:textId="77777777" w:rsidR="00FB487D" w:rsidRPr="004F7FAB" w:rsidRDefault="007E2A6B" w:rsidP="00FB487D">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CZ.06.2.56/0.0/0.0/16_043/0001437</w:t>
            </w:r>
            <w:r w:rsidRPr="004F7FAB">
              <w:rPr>
                <w:rFonts w:ascii="Calibri" w:eastAsia="Times New Roman" w:hAnsi="Calibri" w:cs="Calibri"/>
                <w:b/>
                <w:bCs/>
                <w:color w:val="000000"/>
                <w:sz w:val="17"/>
                <w:szCs w:val="17"/>
                <w:lang w:eastAsia="cs-CZ"/>
              </w:rPr>
              <w:br/>
              <w:t xml:space="preserve">Zvýšení kvality návazné péče </w:t>
            </w:r>
            <w:r w:rsidR="002C68B1" w:rsidRPr="007B6038">
              <w:rPr>
                <w:rFonts w:ascii="Calibri" w:eastAsia="Times New Roman" w:hAnsi="Calibri" w:cs="Calibri"/>
                <w:b/>
                <w:color w:val="000000"/>
                <w:sz w:val="17"/>
                <w:szCs w:val="17"/>
                <w:lang w:eastAsia="cs-CZ"/>
              </w:rPr>
              <w:t xml:space="preserve">– </w:t>
            </w:r>
            <w:r w:rsidRPr="004F7FAB">
              <w:rPr>
                <w:rFonts w:ascii="Calibri" w:eastAsia="Times New Roman" w:hAnsi="Calibri" w:cs="Calibri"/>
                <w:b/>
                <w:bCs/>
                <w:color w:val="000000"/>
                <w:sz w:val="17"/>
                <w:szCs w:val="17"/>
                <w:lang w:eastAsia="cs-CZ"/>
              </w:rPr>
              <w:t>Masarykova nemocnice Ústí nad Labem</w:t>
            </w:r>
            <w:r w:rsidR="002C68B1">
              <w:rPr>
                <w:rFonts w:ascii="Calibri" w:eastAsia="Times New Roman" w:hAnsi="Calibri" w:cs="Calibri"/>
                <w:b/>
                <w:bCs/>
                <w:color w:val="000000"/>
                <w:sz w:val="17"/>
                <w:szCs w:val="17"/>
                <w:lang w:eastAsia="cs-CZ"/>
              </w:rPr>
              <w:t xml:space="preserve">, </w:t>
            </w:r>
            <w:proofErr w:type="spellStart"/>
            <w:r w:rsidR="002C68B1">
              <w:rPr>
                <w:rFonts w:ascii="Calibri" w:eastAsia="Times New Roman" w:hAnsi="Calibri" w:cs="Calibri"/>
                <w:b/>
                <w:bCs/>
                <w:color w:val="000000"/>
                <w:sz w:val="17"/>
                <w:szCs w:val="17"/>
                <w:lang w:eastAsia="cs-CZ"/>
              </w:rPr>
              <w:t>o.z</w:t>
            </w:r>
            <w:proofErr w:type="spellEnd"/>
            <w:r w:rsidR="002C68B1">
              <w:rPr>
                <w:rFonts w:ascii="Calibri" w:eastAsia="Times New Roman" w:hAnsi="Calibri" w:cs="Calibri"/>
                <w:b/>
                <w:bCs/>
                <w:color w:val="000000"/>
                <w:sz w:val="17"/>
                <w:szCs w:val="17"/>
                <w:lang w:eastAsia="cs-CZ"/>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1F5A3" w14:textId="77777777" w:rsidR="00FB487D" w:rsidRPr="005130B3" w:rsidRDefault="007E2A6B" w:rsidP="005130B3">
            <w:pPr>
              <w:spacing w:after="0" w:line="240" w:lineRule="auto"/>
              <w:jc w:val="center"/>
              <w:rPr>
                <w:rFonts w:ascii="Calibri" w:eastAsia="Times New Roman" w:hAnsi="Calibri" w:cs="Calibri"/>
                <w:b/>
                <w:bCs/>
                <w:color w:val="000000"/>
                <w:sz w:val="18"/>
                <w:szCs w:val="18"/>
                <w:lang w:eastAsia="cs-CZ"/>
              </w:rPr>
            </w:pPr>
            <w:r w:rsidRPr="004F7FAB">
              <w:rPr>
                <w:rFonts w:ascii="Calibri" w:eastAsia="Times New Roman" w:hAnsi="Calibri" w:cs="Calibri"/>
                <w:b/>
                <w:bCs/>
                <w:color w:val="000000"/>
                <w:sz w:val="17"/>
                <w:szCs w:val="17"/>
                <w:lang w:eastAsia="cs-CZ"/>
              </w:rPr>
              <w:t>Krajská zdravotní, a.s</w:t>
            </w:r>
            <w:r w:rsidRPr="005130B3">
              <w:rPr>
                <w:rFonts w:ascii="Calibri" w:eastAsia="Times New Roman" w:hAnsi="Calibri" w:cs="Calibri"/>
                <w:b/>
                <w:bCs/>
                <w:color w:val="000000"/>
                <w:sz w:val="18"/>
                <w:szCs w:val="18"/>
                <w:lang w:eastAsia="cs-CZ"/>
              </w:rPr>
              <w:t>.</w:t>
            </w:r>
          </w:p>
        </w:tc>
        <w:tc>
          <w:tcPr>
            <w:tcW w:w="2210" w:type="pct"/>
            <w:tcBorders>
              <w:top w:val="single" w:sz="4" w:space="0" w:color="auto"/>
              <w:left w:val="nil"/>
              <w:bottom w:val="single" w:sz="4" w:space="0" w:color="auto"/>
              <w:right w:val="single" w:sz="4" w:space="0" w:color="auto"/>
            </w:tcBorders>
            <w:shd w:val="clear" w:color="auto" w:fill="auto"/>
            <w:vAlign w:val="center"/>
            <w:hideMark/>
          </w:tcPr>
          <w:p w14:paraId="7BF93A30"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 xml:space="preserve">Robotický systém pro rehabilitaci ruky </w:t>
            </w:r>
            <w:r w:rsidR="007162B4" w:rsidRPr="004F7FAB">
              <w:rPr>
                <w:rFonts w:eastAsia="Times New Roman" w:cstheme="minorHAnsi"/>
                <w:color w:val="000000"/>
                <w:sz w:val="17"/>
                <w:szCs w:val="17"/>
                <w:lang w:eastAsia="cs-CZ"/>
              </w:rPr>
              <w:t>–</w:t>
            </w:r>
            <w:r w:rsidRPr="004F7FAB">
              <w:rPr>
                <w:rFonts w:eastAsia="Times New Roman" w:cstheme="minorHAnsi"/>
                <w:color w:val="000000"/>
                <w:sz w:val="17"/>
                <w:szCs w:val="17"/>
                <w:lang w:eastAsia="cs-CZ"/>
              </w:rPr>
              <w:t xml:space="preserve"> klinická stanice</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233A4AAF"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1 959 961,03</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E4FF02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2BBD7E3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1 959 961,03</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FA08AC2"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3F82D086"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7D9E6C67"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1B1B4C3"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597074BB"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Videogastroskop</w:t>
            </w:r>
            <w:proofErr w:type="spellEnd"/>
            <w:r w:rsidRPr="004F7FAB">
              <w:rPr>
                <w:rFonts w:eastAsia="Times New Roman" w:cstheme="minorHAnsi"/>
                <w:color w:val="000000"/>
                <w:sz w:val="17"/>
                <w:szCs w:val="17"/>
                <w:lang w:eastAsia="cs-CZ"/>
              </w:rPr>
              <w:t xml:space="preserve"> GIF-H190 </w:t>
            </w:r>
          </w:p>
        </w:tc>
        <w:tc>
          <w:tcPr>
            <w:tcW w:w="423" w:type="pct"/>
            <w:tcBorders>
              <w:top w:val="nil"/>
              <w:left w:val="nil"/>
              <w:bottom w:val="single" w:sz="4" w:space="0" w:color="auto"/>
              <w:right w:val="single" w:sz="4" w:space="0" w:color="auto"/>
            </w:tcBorders>
            <w:shd w:val="clear" w:color="auto" w:fill="auto"/>
            <w:noWrap/>
            <w:vAlign w:val="center"/>
            <w:hideMark/>
          </w:tcPr>
          <w:p w14:paraId="4A3B063F"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2 652 015,02</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56B705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15C157BB"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2 652 015,02</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54F5529"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10BF0846"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8867B39"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7A320BAD"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6CF6E11C"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Videogastroskop</w:t>
            </w:r>
            <w:proofErr w:type="spellEnd"/>
            <w:r w:rsidRPr="004F7FAB">
              <w:rPr>
                <w:rFonts w:eastAsia="Times New Roman" w:cstheme="minorHAnsi"/>
                <w:color w:val="000000"/>
                <w:sz w:val="17"/>
                <w:szCs w:val="17"/>
                <w:lang w:eastAsia="cs-CZ"/>
              </w:rPr>
              <w:t xml:space="preserve"> nasální GIF-XP190N</w:t>
            </w:r>
          </w:p>
        </w:tc>
        <w:tc>
          <w:tcPr>
            <w:tcW w:w="423" w:type="pct"/>
            <w:tcBorders>
              <w:top w:val="nil"/>
              <w:left w:val="nil"/>
              <w:bottom w:val="single" w:sz="4" w:space="0" w:color="auto"/>
              <w:right w:val="single" w:sz="4" w:space="0" w:color="auto"/>
            </w:tcBorders>
            <w:shd w:val="clear" w:color="auto" w:fill="auto"/>
            <w:noWrap/>
            <w:vAlign w:val="center"/>
            <w:hideMark/>
          </w:tcPr>
          <w:p w14:paraId="5626D35A"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789 259,59</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A86F7FE"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16E48C04"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789 259,59</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8DC2688"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449E89F8"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0BAD293E"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D13F1C3"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512E8F32"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Videokolonoskop</w:t>
            </w:r>
            <w:proofErr w:type="spellEnd"/>
            <w:r w:rsidRPr="004F7FAB">
              <w:rPr>
                <w:rFonts w:eastAsia="Times New Roman" w:cstheme="minorHAnsi"/>
                <w:color w:val="000000"/>
                <w:sz w:val="17"/>
                <w:szCs w:val="17"/>
                <w:lang w:eastAsia="cs-CZ"/>
              </w:rPr>
              <w:t xml:space="preserve"> dětský PCF-H190L</w:t>
            </w:r>
          </w:p>
        </w:tc>
        <w:tc>
          <w:tcPr>
            <w:tcW w:w="423" w:type="pct"/>
            <w:tcBorders>
              <w:top w:val="nil"/>
              <w:left w:val="nil"/>
              <w:bottom w:val="single" w:sz="4" w:space="0" w:color="auto"/>
              <w:right w:val="single" w:sz="4" w:space="0" w:color="auto"/>
            </w:tcBorders>
            <w:shd w:val="clear" w:color="auto" w:fill="auto"/>
            <w:noWrap/>
            <w:vAlign w:val="center"/>
            <w:hideMark/>
          </w:tcPr>
          <w:p w14:paraId="0238445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1 023 950,94</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3A2628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47AB5D64"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1 023 950,94</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42AAF94"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4FDCD0FD"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11FDAB2"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E158BD9"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6BA2CB9C"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Videokolonoskop</w:t>
            </w:r>
            <w:proofErr w:type="spellEnd"/>
            <w:r w:rsidRPr="004F7FAB">
              <w:rPr>
                <w:rFonts w:eastAsia="Times New Roman" w:cstheme="minorHAnsi"/>
                <w:color w:val="000000"/>
                <w:sz w:val="17"/>
                <w:szCs w:val="17"/>
                <w:lang w:eastAsia="cs-CZ"/>
              </w:rPr>
              <w:t xml:space="preserve"> CF-HQ190L</w:t>
            </w:r>
          </w:p>
        </w:tc>
        <w:tc>
          <w:tcPr>
            <w:tcW w:w="423" w:type="pct"/>
            <w:tcBorders>
              <w:top w:val="nil"/>
              <w:left w:val="nil"/>
              <w:bottom w:val="single" w:sz="4" w:space="0" w:color="auto"/>
              <w:right w:val="single" w:sz="4" w:space="0" w:color="auto"/>
            </w:tcBorders>
            <w:shd w:val="clear" w:color="auto" w:fill="auto"/>
            <w:noWrap/>
            <w:vAlign w:val="center"/>
            <w:hideMark/>
          </w:tcPr>
          <w:p w14:paraId="5F6A205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1 823 641,58</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566E55A"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57794EF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1 823 641,58</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3D7261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6EF894F6"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654A602F"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7158E8F3"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7AEDB878"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Videoduodenoskop</w:t>
            </w:r>
            <w:proofErr w:type="spellEnd"/>
            <w:r w:rsidRPr="004F7FAB">
              <w:rPr>
                <w:rFonts w:eastAsia="Times New Roman" w:cstheme="minorHAnsi"/>
                <w:color w:val="000000"/>
                <w:sz w:val="17"/>
                <w:szCs w:val="17"/>
                <w:lang w:eastAsia="cs-CZ"/>
              </w:rPr>
              <w:t xml:space="preserve"> TJF-Q180V</w:t>
            </w:r>
          </w:p>
        </w:tc>
        <w:tc>
          <w:tcPr>
            <w:tcW w:w="423" w:type="pct"/>
            <w:tcBorders>
              <w:top w:val="nil"/>
              <w:left w:val="nil"/>
              <w:bottom w:val="single" w:sz="4" w:space="0" w:color="auto"/>
              <w:right w:val="single" w:sz="4" w:space="0" w:color="auto"/>
            </w:tcBorders>
            <w:shd w:val="clear" w:color="auto" w:fill="auto"/>
            <w:noWrap/>
            <w:vAlign w:val="center"/>
            <w:hideMark/>
          </w:tcPr>
          <w:p w14:paraId="0CCAE01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1 736 718,93</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E0375A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45C529F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1 736 718,93</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7E889BB"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3A0C7C8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51778CE3"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7264D37A"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2111E88E"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Sonobronchoskop</w:t>
            </w:r>
            <w:proofErr w:type="spellEnd"/>
            <w:r w:rsidRPr="004F7FAB">
              <w:rPr>
                <w:rFonts w:eastAsia="Times New Roman" w:cstheme="minorHAnsi"/>
                <w:color w:val="000000"/>
                <w:sz w:val="17"/>
                <w:szCs w:val="17"/>
                <w:lang w:eastAsia="cs-CZ"/>
              </w:rPr>
              <w:t xml:space="preserve"> BF-UC180F</w:t>
            </w:r>
          </w:p>
        </w:tc>
        <w:tc>
          <w:tcPr>
            <w:tcW w:w="423" w:type="pct"/>
            <w:tcBorders>
              <w:top w:val="nil"/>
              <w:left w:val="nil"/>
              <w:bottom w:val="single" w:sz="4" w:space="0" w:color="auto"/>
              <w:right w:val="single" w:sz="4" w:space="0" w:color="auto"/>
            </w:tcBorders>
            <w:shd w:val="clear" w:color="auto" w:fill="auto"/>
            <w:noWrap/>
            <w:vAlign w:val="center"/>
            <w:hideMark/>
          </w:tcPr>
          <w:p w14:paraId="4713658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1 595 902,88</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E2AD2FE"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5BED4A24"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1 595 902,88</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9422830"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6A98497B"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0C1103C9"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3CADBDD"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18615659"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Bronchoskop ultratenký BF-XP160F</w:t>
            </w:r>
          </w:p>
        </w:tc>
        <w:tc>
          <w:tcPr>
            <w:tcW w:w="423" w:type="pct"/>
            <w:tcBorders>
              <w:top w:val="nil"/>
              <w:left w:val="nil"/>
              <w:bottom w:val="single" w:sz="4" w:space="0" w:color="auto"/>
              <w:right w:val="single" w:sz="4" w:space="0" w:color="auto"/>
            </w:tcBorders>
            <w:shd w:val="clear" w:color="auto" w:fill="auto"/>
            <w:noWrap/>
            <w:vAlign w:val="center"/>
            <w:hideMark/>
          </w:tcPr>
          <w:p w14:paraId="693A5C7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487 637,56</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EFAFE2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7DF5EB39"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487 637,56</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E4DD2AE"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5501112E"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6F47DF94"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3359202F"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7D3488CE"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Ultrazvukové přístroje (LOGIQ V2, VIV</w:t>
            </w:r>
            <w:r w:rsidR="002C68B1" w:rsidRPr="004F7FAB">
              <w:rPr>
                <w:rFonts w:eastAsia="Times New Roman" w:cstheme="minorHAnsi"/>
                <w:color w:val="000000"/>
                <w:sz w:val="17"/>
                <w:szCs w:val="17"/>
                <w:lang w:eastAsia="cs-CZ"/>
              </w:rPr>
              <w:t>I</w:t>
            </w:r>
            <w:r w:rsidRPr="004F7FAB">
              <w:rPr>
                <w:rFonts w:eastAsia="Times New Roman" w:cstheme="minorHAnsi"/>
                <w:color w:val="000000"/>
                <w:sz w:val="17"/>
                <w:szCs w:val="17"/>
                <w:lang w:eastAsia="cs-CZ"/>
              </w:rPr>
              <w:t>D 560, VIVID T8) pořízené ve třech dílčích veřejných zakázkách</w:t>
            </w:r>
          </w:p>
        </w:tc>
        <w:tc>
          <w:tcPr>
            <w:tcW w:w="423" w:type="pct"/>
            <w:tcBorders>
              <w:top w:val="nil"/>
              <w:left w:val="nil"/>
              <w:bottom w:val="single" w:sz="4" w:space="0" w:color="auto"/>
              <w:right w:val="single" w:sz="4" w:space="0" w:color="auto"/>
            </w:tcBorders>
            <w:shd w:val="clear" w:color="auto" w:fill="auto"/>
            <w:noWrap/>
            <w:vAlign w:val="center"/>
            <w:hideMark/>
          </w:tcPr>
          <w:p w14:paraId="63714FF4"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2 888 640,00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D152D1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006EAE7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2 888 640,00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1278AB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17DD28F9"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24FCE55F"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14F82C9B"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0FD3E78A"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Monitory životních funkcí včetně centrál (monitorovací systémy)</w:t>
            </w:r>
          </w:p>
        </w:tc>
        <w:tc>
          <w:tcPr>
            <w:tcW w:w="423" w:type="pct"/>
            <w:tcBorders>
              <w:top w:val="nil"/>
              <w:left w:val="nil"/>
              <w:bottom w:val="single" w:sz="4" w:space="0" w:color="auto"/>
              <w:right w:val="single" w:sz="4" w:space="0" w:color="auto"/>
            </w:tcBorders>
            <w:shd w:val="clear" w:color="auto" w:fill="auto"/>
            <w:noWrap/>
            <w:vAlign w:val="center"/>
            <w:hideMark/>
          </w:tcPr>
          <w:p w14:paraId="4F66599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16 044 600,00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48717F9"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6DAF6E71"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16 044 600,00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E2CCDB9"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1D87A2DC"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A798830"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36A67F6"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64232FFE"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Věž endoskopická</w:t>
            </w:r>
          </w:p>
        </w:tc>
        <w:tc>
          <w:tcPr>
            <w:tcW w:w="423" w:type="pct"/>
            <w:tcBorders>
              <w:top w:val="nil"/>
              <w:left w:val="nil"/>
              <w:bottom w:val="single" w:sz="4" w:space="0" w:color="auto"/>
              <w:right w:val="single" w:sz="4" w:space="0" w:color="auto"/>
            </w:tcBorders>
            <w:shd w:val="clear" w:color="auto" w:fill="auto"/>
            <w:noWrap/>
            <w:vAlign w:val="center"/>
            <w:hideMark/>
          </w:tcPr>
          <w:p w14:paraId="34F50521"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3 823 958,75</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6D2A55F"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4A1EF3F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3 823 958,75</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0815ADD"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48758787"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777F8BD7"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7324A09A"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5F322A8E" w14:textId="77777777" w:rsidR="00FB487D" w:rsidRPr="004F7FAB" w:rsidRDefault="007E2A6B" w:rsidP="005130B3">
            <w:pPr>
              <w:spacing w:after="0" w:line="240" w:lineRule="auto"/>
              <w:rPr>
                <w:rFonts w:eastAsia="Times New Roman" w:cstheme="minorHAnsi"/>
                <w:color w:val="000000"/>
                <w:sz w:val="17"/>
                <w:szCs w:val="17"/>
                <w:lang w:eastAsia="cs-CZ"/>
              </w:rPr>
            </w:pPr>
            <w:proofErr w:type="spellStart"/>
            <w:r w:rsidRPr="004F7FAB">
              <w:rPr>
                <w:rFonts w:eastAsia="Times New Roman" w:cstheme="minorHAnsi"/>
                <w:color w:val="000000"/>
                <w:sz w:val="17"/>
                <w:szCs w:val="17"/>
                <w:lang w:eastAsia="cs-CZ"/>
              </w:rPr>
              <w:t>Sekvenátor</w:t>
            </w:r>
            <w:proofErr w:type="spellEnd"/>
            <w:r w:rsidRPr="004F7FAB">
              <w:rPr>
                <w:rFonts w:eastAsia="Times New Roman" w:cstheme="minorHAnsi"/>
                <w:color w:val="000000"/>
                <w:sz w:val="17"/>
                <w:szCs w:val="17"/>
                <w:lang w:eastAsia="cs-CZ"/>
              </w:rPr>
              <w:t xml:space="preserve"> MISEQ SYSTÉM</w:t>
            </w:r>
          </w:p>
        </w:tc>
        <w:tc>
          <w:tcPr>
            <w:tcW w:w="423" w:type="pct"/>
            <w:tcBorders>
              <w:top w:val="nil"/>
              <w:left w:val="nil"/>
              <w:bottom w:val="nil"/>
              <w:right w:val="single" w:sz="4" w:space="0" w:color="auto"/>
            </w:tcBorders>
            <w:shd w:val="clear" w:color="auto" w:fill="auto"/>
            <w:noWrap/>
            <w:vAlign w:val="center"/>
            <w:hideMark/>
          </w:tcPr>
          <w:p w14:paraId="2297781B"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7 568 886,20</w:t>
            </w:r>
          </w:p>
        </w:tc>
        <w:tc>
          <w:tcPr>
            <w:tcW w:w="269" w:type="pct"/>
            <w:tcBorders>
              <w:top w:val="single" w:sz="4" w:space="0" w:color="auto"/>
              <w:left w:val="single" w:sz="4" w:space="0" w:color="auto"/>
              <w:bottom w:val="nil"/>
              <w:right w:val="single" w:sz="4" w:space="0" w:color="auto"/>
            </w:tcBorders>
            <w:shd w:val="clear" w:color="000000" w:fill="A9D08E"/>
            <w:noWrap/>
            <w:vAlign w:val="center"/>
            <w:hideMark/>
          </w:tcPr>
          <w:p w14:paraId="27E77A94"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nil"/>
              <w:right w:val="single" w:sz="4" w:space="0" w:color="auto"/>
            </w:tcBorders>
            <w:shd w:val="clear" w:color="auto" w:fill="auto"/>
            <w:noWrap/>
            <w:vAlign w:val="center"/>
            <w:hideMark/>
          </w:tcPr>
          <w:p w14:paraId="7656404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7 568 886,20</w:t>
            </w:r>
          </w:p>
        </w:tc>
        <w:tc>
          <w:tcPr>
            <w:tcW w:w="219" w:type="pct"/>
            <w:tcBorders>
              <w:top w:val="single" w:sz="4" w:space="0" w:color="auto"/>
              <w:left w:val="single" w:sz="4" w:space="0" w:color="auto"/>
              <w:bottom w:val="nil"/>
              <w:right w:val="single" w:sz="4" w:space="0" w:color="auto"/>
            </w:tcBorders>
            <w:shd w:val="clear" w:color="000000" w:fill="548235"/>
            <w:noWrap/>
            <w:vAlign w:val="center"/>
            <w:hideMark/>
          </w:tcPr>
          <w:p w14:paraId="65ECCCB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5EBD0C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5FDD2F17"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2637" w:type="pct"/>
            <w:gridSpan w:val="2"/>
            <w:tcBorders>
              <w:top w:val="single" w:sz="4" w:space="0" w:color="auto"/>
              <w:left w:val="nil"/>
              <w:bottom w:val="single" w:sz="4" w:space="0" w:color="auto"/>
              <w:right w:val="nil"/>
            </w:tcBorders>
            <w:shd w:val="clear" w:color="000000" w:fill="E5F1FF"/>
            <w:vAlign w:val="center"/>
            <w:hideMark/>
          </w:tcPr>
          <w:p w14:paraId="43647885" w14:textId="77777777" w:rsidR="00FB487D" w:rsidRPr="004F7FAB" w:rsidRDefault="007E2A6B" w:rsidP="005130B3">
            <w:pPr>
              <w:spacing w:after="0" w:line="240" w:lineRule="auto"/>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Celkem za projekt</w:t>
            </w:r>
          </w:p>
        </w:tc>
        <w:tc>
          <w:tcPr>
            <w:tcW w:w="423" w:type="pct"/>
            <w:tcBorders>
              <w:top w:val="single" w:sz="4" w:space="0" w:color="auto"/>
              <w:left w:val="single" w:sz="4" w:space="0" w:color="auto"/>
              <w:bottom w:val="single" w:sz="4" w:space="0" w:color="auto"/>
              <w:right w:val="nil"/>
            </w:tcBorders>
            <w:shd w:val="clear" w:color="000000" w:fill="E5F1FF"/>
            <w:noWrap/>
            <w:vAlign w:val="center"/>
            <w:hideMark/>
          </w:tcPr>
          <w:p w14:paraId="00706721"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42 395 172,48</w:t>
            </w:r>
          </w:p>
        </w:tc>
        <w:tc>
          <w:tcPr>
            <w:tcW w:w="269" w:type="pct"/>
            <w:tcBorders>
              <w:top w:val="single" w:sz="4" w:space="0" w:color="auto"/>
              <w:left w:val="nil"/>
              <w:bottom w:val="single" w:sz="4" w:space="0" w:color="auto"/>
              <w:right w:val="nil"/>
            </w:tcBorders>
            <w:shd w:val="clear" w:color="000000" w:fill="E5F1FF"/>
            <w:noWrap/>
            <w:vAlign w:val="center"/>
            <w:hideMark/>
          </w:tcPr>
          <w:p w14:paraId="7331042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c>
          <w:tcPr>
            <w:tcW w:w="424" w:type="pct"/>
            <w:tcBorders>
              <w:top w:val="single" w:sz="4" w:space="0" w:color="auto"/>
              <w:left w:val="single" w:sz="4" w:space="0" w:color="auto"/>
              <w:bottom w:val="single" w:sz="4" w:space="0" w:color="auto"/>
              <w:right w:val="nil"/>
            </w:tcBorders>
            <w:shd w:val="clear" w:color="000000" w:fill="E5F1FF"/>
            <w:noWrap/>
            <w:vAlign w:val="center"/>
            <w:hideMark/>
          </w:tcPr>
          <w:p w14:paraId="3A7A0C1D"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42 395 172,48</w:t>
            </w:r>
          </w:p>
        </w:tc>
        <w:tc>
          <w:tcPr>
            <w:tcW w:w="219" w:type="pct"/>
            <w:tcBorders>
              <w:top w:val="single" w:sz="4" w:space="0" w:color="auto"/>
              <w:left w:val="nil"/>
              <w:bottom w:val="single" w:sz="4" w:space="0" w:color="auto"/>
              <w:right w:val="single" w:sz="4" w:space="0" w:color="auto"/>
            </w:tcBorders>
            <w:shd w:val="clear" w:color="000000" w:fill="E5F1FF"/>
            <w:noWrap/>
            <w:vAlign w:val="center"/>
            <w:hideMark/>
          </w:tcPr>
          <w:p w14:paraId="772F8AC6"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r>
      <w:tr w:rsidR="00D44C38" w14:paraId="0363DFA4" w14:textId="77777777" w:rsidTr="00DB327A">
        <w:trPr>
          <w:cantSplit/>
          <w:trHeight w:val="20"/>
        </w:trPr>
        <w:tc>
          <w:tcPr>
            <w:tcW w:w="10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45BA5" w14:textId="77777777" w:rsidR="00FB487D" w:rsidRPr="004F7FAB" w:rsidRDefault="007E2A6B" w:rsidP="00FB487D">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CZ.06.2.56/0.0/0.0/15_006/0005356</w:t>
            </w:r>
            <w:r w:rsidRPr="004F7FAB">
              <w:rPr>
                <w:rFonts w:ascii="Calibri" w:eastAsia="Times New Roman" w:hAnsi="Calibri" w:cs="Calibri"/>
                <w:b/>
                <w:bCs/>
                <w:color w:val="000000"/>
                <w:sz w:val="17"/>
                <w:szCs w:val="17"/>
                <w:lang w:eastAsia="cs-CZ"/>
              </w:rPr>
              <w:br/>
              <w:t xml:space="preserve">Zvýšení kvality vysoce specializované péče v </w:t>
            </w:r>
            <w:proofErr w:type="spellStart"/>
            <w:r w:rsidRPr="004F7FAB">
              <w:rPr>
                <w:rFonts w:ascii="Calibri" w:eastAsia="Times New Roman" w:hAnsi="Calibri" w:cs="Calibri"/>
                <w:b/>
                <w:bCs/>
                <w:color w:val="000000"/>
                <w:sz w:val="17"/>
                <w:szCs w:val="17"/>
                <w:lang w:eastAsia="cs-CZ"/>
              </w:rPr>
              <w:t>perinatologii</w:t>
            </w:r>
            <w:proofErr w:type="spellEnd"/>
            <w:r w:rsidRPr="004F7FAB">
              <w:rPr>
                <w:rFonts w:ascii="Calibri" w:eastAsia="Times New Roman" w:hAnsi="Calibri" w:cs="Calibri"/>
                <w:b/>
                <w:bCs/>
                <w:color w:val="000000"/>
                <w:sz w:val="17"/>
                <w:szCs w:val="17"/>
                <w:lang w:eastAsia="cs-CZ"/>
              </w:rPr>
              <w:t xml:space="preserve"> </w:t>
            </w:r>
            <w:r w:rsidR="002C68B1" w:rsidRPr="007B6038">
              <w:rPr>
                <w:rFonts w:ascii="Calibri" w:eastAsia="Times New Roman" w:hAnsi="Calibri" w:cs="Calibri"/>
                <w:b/>
                <w:color w:val="000000"/>
                <w:sz w:val="17"/>
                <w:szCs w:val="17"/>
                <w:lang w:eastAsia="cs-CZ"/>
              </w:rPr>
              <w:t>–</w:t>
            </w:r>
            <w:r w:rsidR="002C68B1">
              <w:rPr>
                <w:rFonts w:ascii="Calibri" w:eastAsia="Times New Roman" w:hAnsi="Calibri" w:cs="Calibri"/>
                <w:b/>
                <w:color w:val="000000"/>
                <w:sz w:val="17"/>
                <w:szCs w:val="17"/>
                <w:lang w:eastAsia="cs-CZ"/>
              </w:rPr>
              <w:t xml:space="preserve"> </w:t>
            </w:r>
            <w:r w:rsidRPr="004F7FAB">
              <w:rPr>
                <w:rFonts w:ascii="Calibri" w:eastAsia="Times New Roman" w:hAnsi="Calibri" w:cs="Calibri"/>
                <w:b/>
                <w:bCs/>
                <w:color w:val="000000"/>
                <w:sz w:val="17"/>
                <w:szCs w:val="17"/>
                <w:lang w:eastAsia="cs-CZ"/>
              </w:rPr>
              <w:t>Masarykova nemocnice Ústí nad Labem</w:t>
            </w:r>
            <w:r w:rsidR="002C68B1">
              <w:rPr>
                <w:rFonts w:ascii="Calibri" w:eastAsia="Times New Roman" w:hAnsi="Calibri" w:cs="Calibri"/>
                <w:b/>
                <w:bCs/>
                <w:color w:val="000000"/>
                <w:sz w:val="17"/>
                <w:szCs w:val="17"/>
                <w:lang w:eastAsia="cs-CZ"/>
              </w:rPr>
              <w:t xml:space="preserve">, </w:t>
            </w:r>
            <w:proofErr w:type="spellStart"/>
            <w:r w:rsidR="002C68B1">
              <w:rPr>
                <w:rFonts w:ascii="Calibri" w:eastAsia="Times New Roman" w:hAnsi="Calibri" w:cs="Calibri"/>
                <w:b/>
                <w:bCs/>
                <w:color w:val="000000"/>
                <w:sz w:val="17"/>
                <w:szCs w:val="17"/>
                <w:lang w:eastAsia="cs-CZ"/>
              </w:rPr>
              <w:t>o.z</w:t>
            </w:r>
            <w:proofErr w:type="spellEnd"/>
            <w:r w:rsidR="002C68B1">
              <w:rPr>
                <w:rFonts w:ascii="Calibri" w:eastAsia="Times New Roman" w:hAnsi="Calibri" w:cs="Calibri"/>
                <w:b/>
                <w:bCs/>
                <w:color w:val="000000"/>
                <w:sz w:val="17"/>
                <w:szCs w:val="17"/>
                <w:lang w:eastAsia="cs-CZ"/>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CB990" w14:textId="77777777" w:rsidR="00FB487D" w:rsidRPr="004F7FAB" w:rsidRDefault="007E2A6B" w:rsidP="005130B3">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Krajská zdravotní, a.s.</w:t>
            </w:r>
          </w:p>
        </w:tc>
        <w:tc>
          <w:tcPr>
            <w:tcW w:w="2210" w:type="pct"/>
            <w:tcBorders>
              <w:top w:val="single" w:sz="4" w:space="0" w:color="auto"/>
              <w:left w:val="nil"/>
              <w:bottom w:val="single" w:sz="4" w:space="0" w:color="auto"/>
              <w:right w:val="single" w:sz="4" w:space="0" w:color="auto"/>
            </w:tcBorders>
            <w:shd w:val="clear" w:color="auto" w:fill="auto"/>
            <w:vAlign w:val="center"/>
            <w:hideMark/>
          </w:tcPr>
          <w:p w14:paraId="2AD77D17" w14:textId="77777777" w:rsidR="00FB487D" w:rsidRPr="00A00C4D"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 xml:space="preserve">IPUL stanice, </w:t>
            </w:r>
            <w:r w:rsidR="002C68B1" w:rsidRPr="00A00C4D">
              <w:rPr>
                <w:rFonts w:eastAsia="Times New Roman" w:cstheme="minorHAnsi"/>
                <w:color w:val="000000"/>
                <w:sz w:val="17"/>
                <w:szCs w:val="17"/>
                <w:lang w:eastAsia="cs-CZ"/>
              </w:rPr>
              <w:t>c</w:t>
            </w:r>
            <w:r w:rsidRPr="00A00C4D">
              <w:rPr>
                <w:rFonts w:eastAsia="Times New Roman" w:cstheme="minorHAnsi"/>
                <w:color w:val="000000"/>
                <w:sz w:val="17"/>
                <w:szCs w:val="17"/>
                <w:lang w:eastAsia="cs-CZ"/>
              </w:rPr>
              <w:t xml:space="preserve">entrální monitorovací </w:t>
            </w:r>
            <w:r w:rsidR="00A00C4D">
              <w:rPr>
                <w:rFonts w:eastAsia="Times New Roman" w:cstheme="minorHAnsi"/>
                <w:color w:val="000000"/>
                <w:sz w:val="17"/>
                <w:szCs w:val="17"/>
                <w:lang w:eastAsia="cs-CZ"/>
              </w:rPr>
              <w:t>stanice I</w:t>
            </w:r>
            <w:r w:rsidRPr="00A00C4D">
              <w:rPr>
                <w:rFonts w:eastAsia="Times New Roman" w:cstheme="minorHAnsi"/>
                <w:color w:val="000000"/>
                <w:sz w:val="17"/>
                <w:szCs w:val="17"/>
                <w:lang w:eastAsia="cs-CZ"/>
              </w:rPr>
              <w:t>nfinity</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27E6A28A" w14:textId="77777777" w:rsidR="00FB487D" w:rsidRPr="00A00C4D" w:rsidRDefault="007E2A6B" w:rsidP="005130B3">
            <w:pPr>
              <w:spacing w:after="0" w:line="240" w:lineRule="auto"/>
              <w:jc w:val="right"/>
              <w:rPr>
                <w:rFonts w:eastAsia="Times New Roman" w:cstheme="minorHAnsi"/>
                <w:b/>
                <w:bCs/>
                <w:color w:val="000000"/>
                <w:sz w:val="17"/>
                <w:szCs w:val="17"/>
                <w:lang w:eastAsia="cs-CZ"/>
              </w:rPr>
            </w:pPr>
            <w:r w:rsidRPr="00A00C4D">
              <w:rPr>
                <w:rFonts w:eastAsia="Times New Roman" w:cstheme="minorHAnsi"/>
                <w:b/>
                <w:bCs/>
                <w:color w:val="000000"/>
                <w:sz w:val="17"/>
                <w:szCs w:val="17"/>
                <w:lang w:eastAsia="cs-CZ"/>
              </w:rPr>
              <w:t>570 817,50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5F65109" w14:textId="77777777" w:rsidR="00FB487D" w:rsidRPr="00A00C4D" w:rsidRDefault="007E2A6B" w:rsidP="005130B3">
            <w:pPr>
              <w:spacing w:after="0" w:line="240" w:lineRule="auto"/>
              <w:jc w:val="center"/>
              <w:rPr>
                <w:rFonts w:eastAsia="Times New Roman" w:cstheme="minorHAnsi"/>
                <w:b/>
                <w:bCs/>
                <w:color w:val="000000"/>
                <w:sz w:val="17"/>
                <w:szCs w:val="17"/>
                <w:lang w:eastAsia="cs-CZ"/>
              </w:rPr>
            </w:pPr>
            <w:r w:rsidRPr="00A00C4D">
              <w:rPr>
                <w:rFonts w:eastAsia="Times New Roman" w:cstheme="minorHAnsi"/>
                <w:b/>
                <w:bCs/>
                <w:color w:val="000000"/>
                <w:sz w:val="17"/>
                <w:szCs w:val="17"/>
                <w:lang w:eastAsia="cs-CZ"/>
              </w:rPr>
              <w:t>1</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658FBC5B" w14:textId="77777777" w:rsidR="00FB487D" w:rsidRPr="00A00C4D" w:rsidRDefault="007E2A6B" w:rsidP="005130B3">
            <w:pPr>
              <w:spacing w:after="0" w:line="240" w:lineRule="auto"/>
              <w:jc w:val="right"/>
              <w:rPr>
                <w:rFonts w:eastAsia="Times New Roman" w:cstheme="minorHAnsi"/>
                <w:b/>
                <w:bCs/>
                <w:color w:val="000000"/>
                <w:sz w:val="17"/>
                <w:szCs w:val="17"/>
                <w:lang w:eastAsia="cs-CZ"/>
              </w:rPr>
            </w:pPr>
            <w:r w:rsidRPr="00A00C4D">
              <w:rPr>
                <w:rFonts w:eastAsia="Times New Roman" w:cstheme="minorHAnsi"/>
                <w:b/>
                <w:bCs/>
                <w:color w:val="000000"/>
                <w:sz w:val="17"/>
                <w:szCs w:val="17"/>
                <w:lang w:eastAsia="cs-CZ"/>
              </w:rPr>
              <w:t>570 817,50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639D316" w14:textId="77777777" w:rsidR="00FB487D" w:rsidRPr="00A00C4D" w:rsidRDefault="007E2A6B" w:rsidP="005130B3">
            <w:pPr>
              <w:spacing w:after="0" w:line="240" w:lineRule="auto"/>
              <w:jc w:val="center"/>
              <w:rPr>
                <w:rFonts w:eastAsia="Times New Roman" w:cstheme="minorHAnsi"/>
                <w:b/>
                <w:bCs/>
                <w:color w:val="000000"/>
                <w:sz w:val="17"/>
                <w:szCs w:val="17"/>
                <w:lang w:eastAsia="cs-CZ"/>
              </w:rPr>
            </w:pPr>
            <w:r w:rsidRPr="00A00C4D">
              <w:rPr>
                <w:rFonts w:eastAsia="Times New Roman" w:cstheme="minorHAnsi"/>
                <w:b/>
                <w:bCs/>
                <w:color w:val="000000"/>
                <w:sz w:val="17"/>
                <w:szCs w:val="17"/>
                <w:lang w:eastAsia="cs-CZ"/>
              </w:rPr>
              <w:t>1</w:t>
            </w:r>
          </w:p>
        </w:tc>
      </w:tr>
      <w:tr w:rsidR="00D44C38" w14:paraId="28C49DB7"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29875897"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85E73AB"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6A8846A7"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inkubátor s výhřevným lůžkem BABYLEO TN500</w:t>
            </w:r>
          </w:p>
        </w:tc>
        <w:tc>
          <w:tcPr>
            <w:tcW w:w="423" w:type="pct"/>
            <w:tcBorders>
              <w:top w:val="nil"/>
              <w:left w:val="nil"/>
              <w:bottom w:val="single" w:sz="4" w:space="0" w:color="auto"/>
              <w:right w:val="single" w:sz="4" w:space="0" w:color="auto"/>
            </w:tcBorders>
            <w:shd w:val="clear" w:color="auto" w:fill="auto"/>
            <w:noWrap/>
            <w:vAlign w:val="center"/>
            <w:hideMark/>
          </w:tcPr>
          <w:p w14:paraId="090B653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7 127 505,00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5369BB7"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6B007FD0"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7 127 505,00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D34419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88A78EF"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9E32BE2"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3B172BA2"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02F1B7FA"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monitor transkutánní TCM 5 FLEX RADIOMETER</w:t>
            </w:r>
          </w:p>
        </w:tc>
        <w:tc>
          <w:tcPr>
            <w:tcW w:w="423" w:type="pct"/>
            <w:tcBorders>
              <w:top w:val="nil"/>
              <w:left w:val="nil"/>
              <w:bottom w:val="single" w:sz="4" w:space="0" w:color="auto"/>
              <w:right w:val="single" w:sz="4" w:space="0" w:color="auto"/>
            </w:tcBorders>
            <w:shd w:val="clear" w:color="auto" w:fill="auto"/>
            <w:noWrap/>
            <w:vAlign w:val="center"/>
            <w:hideMark/>
          </w:tcPr>
          <w:p w14:paraId="0E2BA84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958 973,40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BE4211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39D7142D"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958 973,40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B2DD67F"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4689A71E"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734E6EDE"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23003934"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5A9F51C9"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monitor životních funkcí INFINITY DELTA XL</w:t>
            </w:r>
          </w:p>
        </w:tc>
        <w:tc>
          <w:tcPr>
            <w:tcW w:w="423" w:type="pct"/>
            <w:tcBorders>
              <w:top w:val="nil"/>
              <w:left w:val="nil"/>
              <w:bottom w:val="single" w:sz="4" w:space="0" w:color="auto"/>
              <w:right w:val="single" w:sz="4" w:space="0" w:color="auto"/>
            </w:tcBorders>
            <w:shd w:val="clear" w:color="auto" w:fill="auto"/>
            <w:noWrap/>
            <w:vAlign w:val="center"/>
            <w:hideMark/>
          </w:tcPr>
          <w:p w14:paraId="2D117A51"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3 113 886,60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28E374A"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74EBDEC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3 113 886,60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7CDA04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151BCCC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29DD0B02"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1FFC0ECA"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23D024AA"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ventilátor plic BABYLOG VN500</w:t>
            </w:r>
          </w:p>
        </w:tc>
        <w:tc>
          <w:tcPr>
            <w:tcW w:w="423" w:type="pct"/>
            <w:tcBorders>
              <w:top w:val="nil"/>
              <w:left w:val="nil"/>
              <w:bottom w:val="single" w:sz="4" w:space="0" w:color="auto"/>
              <w:right w:val="single" w:sz="4" w:space="0" w:color="auto"/>
            </w:tcBorders>
            <w:shd w:val="clear" w:color="auto" w:fill="auto"/>
            <w:noWrap/>
            <w:vAlign w:val="center"/>
            <w:hideMark/>
          </w:tcPr>
          <w:p w14:paraId="031B59F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2 365 550,00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B5701CA"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63EC90E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2 365 550,00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57FDBB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2143AC6F"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668AA51C"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6FED0853"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73653A3B"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inkubátor ISOLETTE 8000 PLUS</w:t>
            </w:r>
          </w:p>
        </w:tc>
        <w:tc>
          <w:tcPr>
            <w:tcW w:w="423" w:type="pct"/>
            <w:tcBorders>
              <w:top w:val="nil"/>
              <w:left w:val="nil"/>
              <w:bottom w:val="single" w:sz="4" w:space="0" w:color="auto"/>
              <w:right w:val="single" w:sz="4" w:space="0" w:color="auto"/>
            </w:tcBorders>
            <w:shd w:val="clear" w:color="auto" w:fill="auto"/>
            <w:noWrap/>
            <w:vAlign w:val="center"/>
            <w:hideMark/>
          </w:tcPr>
          <w:p w14:paraId="0D77E0C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847 586,85</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AF7B339"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1BA365A1"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847 586,85</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67E95BF"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2807D3C6"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3C3AF551"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3CE1F9D8"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443AB001"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CTG monitorovací systém</w:t>
            </w:r>
          </w:p>
        </w:tc>
        <w:tc>
          <w:tcPr>
            <w:tcW w:w="423" w:type="pct"/>
            <w:tcBorders>
              <w:top w:val="nil"/>
              <w:left w:val="nil"/>
              <w:bottom w:val="single" w:sz="4" w:space="0" w:color="auto"/>
              <w:right w:val="single" w:sz="4" w:space="0" w:color="auto"/>
            </w:tcBorders>
            <w:shd w:val="clear" w:color="auto" w:fill="auto"/>
            <w:noWrap/>
            <w:vAlign w:val="center"/>
            <w:hideMark/>
          </w:tcPr>
          <w:p w14:paraId="1A7EFCB8"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6 582 400,00</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4B1D6F8"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05909D7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6 582 400,00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7F4DE7B"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FF6181C"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4F542A85"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6AF0171E"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17B3BBD5"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UZV MEDISON HERA W10 SAMSUNG</w:t>
            </w:r>
          </w:p>
        </w:tc>
        <w:tc>
          <w:tcPr>
            <w:tcW w:w="423" w:type="pct"/>
            <w:tcBorders>
              <w:top w:val="nil"/>
              <w:left w:val="nil"/>
              <w:bottom w:val="single" w:sz="4" w:space="0" w:color="auto"/>
              <w:right w:val="single" w:sz="4" w:space="0" w:color="auto"/>
            </w:tcBorders>
            <w:shd w:val="clear" w:color="auto" w:fill="auto"/>
            <w:noWrap/>
            <w:vAlign w:val="center"/>
            <w:hideMark/>
          </w:tcPr>
          <w:p w14:paraId="65399D70"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3 252 913,01</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E59C154"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045AA61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3 252 913,01</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4A2432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2DB0A8EA"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F07E32F"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0CA3430A"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6E4F9C9D"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přístroj UZV SAMSUNG MEDISON HS50</w:t>
            </w:r>
          </w:p>
        </w:tc>
        <w:tc>
          <w:tcPr>
            <w:tcW w:w="423" w:type="pct"/>
            <w:tcBorders>
              <w:top w:val="nil"/>
              <w:left w:val="nil"/>
              <w:bottom w:val="single" w:sz="4" w:space="0" w:color="auto"/>
              <w:right w:val="single" w:sz="4" w:space="0" w:color="auto"/>
            </w:tcBorders>
            <w:shd w:val="clear" w:color="auto" w:fill="auto"/>
            <w:noWrap/>
            <w:vAlign w:val="center"/>
            <w:hideMark/>
          </w:tcPr>
          <w:p w14:paraId="7F3825E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1 482 376,64</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812D3EE"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7559102C"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1 482 376,64</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4CE697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50487AEE"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6D4CD2C6"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373EF7DB"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05B76534"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UZV SAMSUNG MEDISON HS50</w:t>
            </w:r>
          </w:p>
        </w:tc>
        <w:tc>
          <w:tcPr>
            <w:tcW w:w="423" w:type="pct"/>
            <w:tcBorders>
              <w:top w:val="nil"/>
              <w:left w:val="nil"/>
              <w:bottom w:val="single" w:sz="4" w:space="0" w:color="auto"/>
              <w:right w:val="single" w:sz="4" w:space="0" w:color="auto"/>
            </w:tcBorders>
            <w:shd w:val="clear" w:color="auto" w:fill="auto"/>
            <w:noWrap/>
            <w:vAlign w:val="center"/>
            <w:hideMark/>
          </w:tcPr>
          <w:p w14:paraId="67B22ACB"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881 944,92</w:t>
            </w:r>
          </w:p>
        </w:tc>
        <w:tc>
          <w:tcPr>
            <w:tcW w:w="269"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920A2B6"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2</w:t>
            </w:r>
          </w:p>
        </w:tc>
        <w:tc>
          <w:tcPr>
            <w:tcW w:w="424" w:type="pct"/>
            <w:tcBorders>
              <w:top w:val="nil"/>
              <w:left w:val="nil"/>
              <w:bottom w:val="single" w:sz="4" w:space="0" w:color="auto"/>
              <w:right w:val="single" w:sz="4" w:space="0" w:color="auto"/>
            </w:tcBorders>
            <w:shd w:val="clear" w:color="auto" w:fill="auto"/>
            <w:noWrap/>
            <w:vAlign w:val="center"/>
            <w:hideMark/>
          </w:tcPr>
          <w:p w14:paraId="340EE859"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881 944,92</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AF47C1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E60AAE1"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07A0E5BD"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29A3F01"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326FDDCF"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IPUL přístroj UZV VOLUSON E10</w:t>
            </w:r>
          </w:p>
        </w:tc>
        <w:tc>
          <w:tcPr>
            <w:tcW w:w="423" w:type="pct"/>
            <w:tcBorders>
              <w:top w:val="nil"/>
              <w:left w:val="nil"/>
              <w:bottom w:val="nil"/>
              <w:right w:val="single" w:sz="4" w:space="0" w:color="auto"/>
            </w:tcBorders>
            <w:shd w:val="clear" w:color="auto" w:fill="auto"/>
            <w:noWrap/>
            <w:vAlign w:val="center"/>
            <w:hideMark/>
          </w:tcPr>
          <w:p w14:paraId="089D1CE1"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4 751 670,00</w:t>
            </w:r>
          </w:p>
        </w:tc>
        <w:tc>
          <w:tcPr>
            <w:tcW w:w="269" w:type="pct"/>
            <w:tcBorders>
              <w:top w:val="single" w:sz="4" w:space="0" w:color="auto"/>
              <w:left w:val="single" w:sz="4" w:space="0" w:color="auto"/>
              <w:bottom w:val="nil"/>
              <w:right w:val="single" w:sz="4" w:space="0" w:color="auto"/>
            </w:tcBorders>
            <w:shd w:val="clear" w:color="000000" w:fill="548235"/>
            <w:noWrap/>
            <w:vAlign w:val="center"/>
            <w:hideMark/>
          </w:tcPr>
          <w:p w14:paraId="0E698C94"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nil"/>
              <w:right w:val="single" w:sz="4" w:space="0" w:color="auto"/>
            </w:tcBorders>
            <w:shd w:val="clear" w:color="auto" w:fill="auto"/>
            <w:noWrap/>
            <w:vAlign w:val="center"/>
            <w:hideMark/>
          </w:tcPr>
          <w:p w14:paraId="0242BD05"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4 751 670,00</w:t>
            </w:r>
          </w:p>
        </w:tc>
        <w:tc>
          <w:tcPr>
            <w:tcW w:w="219" w:type="pct"/>
            <w:tcBorders>
              <w:top w:val="single" w:sz="4" w:space="0" w:color="auto"/>
              <w:left w:val="single" w:sz="4" w:space="0" w:color="auto"/>
              <w:bottom w:val="nil"/>
              <w:right w:val="single" w:sz="4" w:space="0" w:color="auto"/>
            </w:tcBorders>
            <w:shd w:val="clear" w:color="000000" w:fill="548235"/>
            <w:noWrap/>
            <w:vAlign w:val="center"/>
            <w:hideMark/>
          </w:tcPr>
          <w:p w14:paraId="555A2595"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758A95F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5D888434" w14:textId="77777777" w:rsidR="00FB487D" w:rsidRPr="004F7FAB" w:rsidRDefault="00FB487D" w:rsidP="00FB487D">
            <w:pPr>
              <w:spacing w:after="0" w:line="240" w:lineRule="auto"/>
              <w:rPr>
                <w:rFonts w:ascii="Calibri" w:eastAsia="Times New Roman" w:hAnsi="Calibri" w:cs="Calibri"/>
                <w:b/>
                <w:bCs/>
                <w:color w:val="000000"/>
                <w:sz w:val="17"/>
                <w:szCs w:val="17"/>
                <w:lang w:eastAsia="cs-CZ"/>
              </w:rPr>
            </w:pPr>
          </w:p>
        </w:tc>
        <w:tc>
          <w:tcPr>
            <w:tcW w:w="2637" w:type="pct"/>
            <w:gridSpan w:val="2"/>
            <w:tcBorders>
              <w:top w:val="single" w:sz="4" w:space="0" w:color="auto"/>
              <w:left w:val="nil"/>
              <w:bottom w:val="single" w:sz="4" w:space="0" w:color="auto"/>
              <w:right w:val="nil"/>
            </w:tcBorders>
            <w:shd w:val="clear" w:color="000000" w:fill="E5F1FF"/>
            <w:vAlign w:val="center"/>
            <w:hideMark/>
          </w:tcPr>
          <w:p w14:paraId="5944B281" w14:textId="77777777" w:rsidR="00FB487D" w:rsidRPr="004F7FAB" w:rsidRDefault="007E2A6B" w:rsidP="005130B3">
            <w:pPr>
              <w:spacing w:after="0" w:line="240" w:lineRule="auto"/>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Celkem za projekt</w:t>
            </w:r>
          </w:p>
        </w:tc>
        <w:tc>
          <w:tcPr>
            <w:tcW w:w="423" w:type="pct"/>
            <w:tcBorders>
              <w:top w:val="single" w:sz="4" w:space="0" w:color="auto"/>
              <w:left w:val="single" w:sz="4" w:space="0" w:color="auto"/>
              <w:bottom w:val="single" w:sz="4" w:space="0" w:color="auto"/>
              <w:right w:val="nil"/>
            </w:tcBorders>
            <w:shd w:val="clear" w:color="000000" w:fill="E5F1FF"/>
            <w:noWrap/>
            <w:vAlign w:val="center"/>
            <w:hideMark/>
          </w:tcPr>
          <w:p w14:paraId="3B80E31E"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31 935 623,92</w:t>
            </w:r>
          </w:p>
        </w:tc>
        <w:tc>
          <w:tcPr>
            <w:tcW w:w="269" w:type="pct"/>
            <w:tcBorders>
              <w:top w:val="single" w:sz="4" w:space="0" w:color="auto"/>
              <w:left w:val="nil"/>
              <w:bottom w:val="single" w:sz="4" w:space="0" w:color="auto"/>
              <w:right w:val="nil"/>
            </w:tcBorders>
            <w:shd w:val="clear" w:color="000000" w:fill="E5F1FF"/>
            <w:noWrap/>
            <w:vAlign w:val="center"/>
            <w:hideMark/>
          </w:tcPr>
          <w:p w14:paraId="5A95D116"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c>
          <w:tcPr>
            <w:tcW w:w="424" w:type="pct"/>
            <w:tcBorders>
              <w:top w:val="single" w:sz="4" w:space="0" w:color="auto"/>
              <w:left w:val="single" w:sz="4" w:space="0" w:color="auto"/>
              <w:bottom w:val="single" w:sz="4" w:space="0" w:color="auto"/>
              <w:right w:val="nil"/>
            </w:tcBorders>
            <w:shd w:val="clear" w:color="000000" w:fill="E5F1FF"/>
            <w:noWrap/>
            <w:vAlign w:val="center"/>
            <w:hideMark/>
          </w:tcPr>
          <w:p w14:paraId="40831501"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31 935 623,92</w:t>
            </w:r>
          </w:p>
        </w:tc>
        <w:tc>
          <w:tcPr>
            <w:tcW w:w="219" w:type="pct"/>
            <w:tcBorders>
              <w:top w:val="single" w:sz="4" w:space="0" w:color="auto"/>
              <w:left w:val="nil"/>
              <w:bottom w:val="single" w:sz="4" w:space="0" w:color="auto"/>
              <w:right w:val="single" w:sz="4" w:space="0" w:color="auto"/>
            </w:tcBorders>
            <w:shd w:val="clear" w:color="000000" w:fill="E5F1FF"/>
            <w:noWrap/>
            <w:vAlign w:val="center"/>
            <w:hideMark/>
          </w:tcPr>
          <w:p w14:paraId="7FC9A34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r>
      <w:tr w:rsidR="00D44C38" w14:paraId="30C36261" w14:textId="77777777" w:rsidTr="00DB327A">
        <w:trPr>
          <w:cantSplit/>
          <w:trHeight w:val="20"/>
        </w:trPr>
        <w:tc>
          <w:tcPr>
            <w:tcW w:w="1028" w:type="pct"/>
            <w:vMerge w:val="restart"/>
            <w:tcBorders>
              <w:top w:val="nil"/>
              <w:left w:val="single" w:sz="4" w:space="0" w:color="auto"/>
              <w:bottom w:val="single" w:sz="4" w:space="0" w:color="auto"/>
              <w:right w:val="single" w:sz="4" w:space="0" w:color="auto"/>
            </w:tcBorders>
            <w:shd w:val="clear" w:color="auto" w:fill="auto"/>
            <w:vAlign w:val="center"/>
            <w:hideMark/>
          </w:tcPr>
          <w:p w14:paraId="60A717CA" w14:textId="77777777" w:rsidR="00FB487D" w:rsidRPr="004F7FAB" w:rsidRDefault="007E2A6B" w:rsidP="00FB487D">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CZ.06.2.56/0.0/0.0/16_043/0001406</w:t>
            </w:r>
            <w:r w:rsidRPr="004F7FAB">
              <w:rPr>
                <w:rFonts w:ascii="Calibri" w:eastAsia="Times New Roman" w:hAnsi="Calibri" w:cs="Calibri"/>
                <w:b/>
                <w:bCs/>
                <w:color w:val="000000"/>
                <w:sz w:val="17"/>
                <w:szCs w:val="17"/>
                <w:lang w:eastAsia="cs-CZ"/>
              </w:rPr>
              <w:br/>
              <w:t>Zvýšení kvality návazné péče Nemocnice Jihlava</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0548871D" w14:textId="77777777" w:rsidR="00FB487D" w:rsidRPr="004F7FAB" w:rsidRDefault="007E2A6B" w:rsidP="005130B3">
            <w:pPr>
              <w:spacing w:after="0" w:line="240" w:lineRule="auto"/>
              <w:jc w:val="center"/>
              <w:rPr>
                <w:rFonts w:ascii="Calibri" w:eastAsia="Times New Roman" w:hAnsi="Calibri" w:cs="Calibri"/>
                <w:b/>
                <w:bCs/>
                <w:color w:val="000000"/>
                <w:sz w:val="17"/>
                <w:szCs w:val="17"/>
                <w:lang w:eastAsia="cs-CZ"/>
              </w:rPr>
            </w:pPr>
            <w:r w:rsidRPr="004F7FAB">
              <w:rPr>
                <w:rFonts w:ascii="Calibri" w:eastAsia="Times New Roman" w:hAnsi="Calibri" w:cs="Calibri"/>
                <w:b/>
                <w:bCs/>
                <w:color w:val="000000"/>
                <w:sz w:val="17"/>
                <w:szCs w:val="17"/>
                <w:lang w:eastAsia="cs-CZ"/>
              </w:rPr>
              <w:t>Nemocnice Jihlava, příspěvková organizace</w:t>
            </w:r>
          </w:p>
        </w:tc>
        <w:tc>
          <w:tcPr>
            <w:tcW w:w="2210" w:type="pct"/>
            <w:tcBorders>
              <w:top w:val="nil"/>
              <w:left w:val="nil"/>
              <w:bottom w:val="single" w:sz="4" w:space="0" w:color="auto"/>
              <w:right w:val="single" w:sz="4" w:space="0" w:color="auto"/>
            </w:tcBorders>
            <w:shd w:val="clear" w:color="auto" w:fill="auto"/>
            <w:vAlign w:val="center"/>
            <w:hideMark/>
          </w:tcPr>
          <w:p w14:paraId="4A741822"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Endoskopický a ultrazvukový systém</w:t>
            </w:r>
          </w:p>
        </w:tc>
        <w:tc>
          <w:tcPr>
            <w:tcW w:w="423" w:type="pct"/>
            <w:tcBorders>
              <w:top w:val="nil"/>
              <w:left w:val="nil"/>
              <w:bottom w:val="single" w:sz="4" w:space="0" w:color="auto"/>
              <w:right w:val="single" w:sz="4" w:space="0" w:color="auto"/>
            </w:tcBorders>
            <w:shd w:val="clear" w:color="auto" w:fill="auto"/>
            <w:noWrap/>
            <w:vAlign w:val="center"/>
            <w:hideMark/>
          </w:tcPr>
          <w:p w14:paraId="62CEBDD2"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10 244 234,70</w:t>
            </w:r>
          </w:p>
        </w:tc>
        <w:tc>
          <w:tcPr>
            <w:tcW w:w="269" w:type="pct"/>
            <w:tcBorders>
              <w:top w:val="nil"/>
              <w:left w:val="single" w:sz="4" w:space="0" w:color="auto"/>
              <w:bottom w:val="single" w:sz="4" w:space="0" w:color="auto"/>
              <w:right w:val="single" w:sz="4" w:space="0" w:color="auto"/>
            </w:tcBorders>
            <w:shd w:val="clear" w:color="000000" w:fill="548235"/>
            <w:noWrap/>
            <w:vAlign w:val="center"/>
            <w:hideMark/>
          </w:tcPr>
          <w:p w14:paraId="30550997"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495DB9B3"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10 244 234,70</w:t>
            </w:r>
          </w:p>
        </w:tc>
        <w:tc>
          <w:tcPr>
            <w:tcW w:w="219" w:type="pct"/>
            <w:tcBorders>
              <w:top w:val="nil"/>
              <w:left w:val="single" w:sz="4" w:space="0" w:color="auto"/>
              <w:bottom w:val="single" w:sz="4" w:space="0" w:color="auto"/>
              <w:right w:val="single" w:sz="4" w:space="0" w:color="auto"/>
            </w:tcBorders>
            <w:shd w:val="clear" w:color="000000" w:fill="548235"/>
            <w:noWrap/>
            <w:vAlign w:val="center"/>
            <w:hideMark/>
          </w:tcPr>
          <w:p w14:paraId="2BA9EBAF"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3243CA73"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52A1F9DB" w14:textId="77777777" w:rsidR="00FB487D" w:rsidRPr="005130B3" w:rsidRDefault="00FB487D" w:rsidP="00FB487D">
            <w:pPr>
              <w:spacing w:after="0" w:line="240" w:lineRule="auto"/>
              <w:rPr>
                <w:rFonts w:ascii="Calibri" w:eastAsia="Times New Roman" w:hAnsi="Calibri" w:cs="Calibri"/>
                <w:b/>
                <w:bCs/>
                <w:color w:val="000000"/>
                <w:sz w:val="18"/>
                <w:szCs w:val="18"/>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2AFB1F80"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7EF43C46"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Lůžka (pořízeno 200 ks, do kontrolního vzorku pro ověření účelnosti zařazeno 144 ks)</w:t>
            </w:r>
          </w:p>
        </w:tc>
        <w:tc>
          <w:tcPr>
            <w:tcW w:w="423" w:type="pct"/>
            <w:tcBorders>
              <w:top w:val="nil"/>
              <w:left w:val="nil"/>
              <w:bottom w:val="single" w:sz="4" w:space="0" w:color="auto"/>
              <w:right w:val="single" w:sz="4" w:space="0" w:color="auto"/>
            </w:tcBorders>
            <w:shd w:val="clear" w:color="auto" w:fill="auto"/>
            <w:noWrap/>
            <w:vAlign w:val="center"/>
            <w:hideMark/>
          </w:tcPr>
          <w:p w14:paraId="7AB95445"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5 178 248,68</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2E2CB3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419B937D"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7 207 278,75</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8760252"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3378DF3B"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6DBA5C44" w14:textId="77777777" w:rsidR="00FB487D" w:rsidRPr="005130B3" w:rsidRDefault="00FB487D" w:rsidP="00FB487D">
            <w:pPr>
              <w:spacing w:after="0" w:line="240" w:lineRule="auto"/>
              <w:rPr>
                <w:rFonts w:ascii="Calibri" w:eastAsia="Times New Roman" w:hAnsi="Calibri" w:cs="Calibri"/>
                <w:b/>
                <w:bCs/>
                <w:color w:val="000000"/>
                <w:sz w:val="18"/>
                <w:szCs w:val="18"/>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21728947"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420923E9"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Automat pro přípravu vzorků</w:t>
            </w:r>
          </w:p>
        </w:tc>
        <w:tc>
          <w:tcPr>
            <w:tcW w:w="423" w:type="pct"/>
            <w:tcBorders>
              <w:top w:val="nil"/>
              <w:left w:val="nil"/>
              <w:bottom w:val="single" w:sz="4" w:space="0" w:color="auto"/>
              <w:right w:val="single" w:sz="4" w:space="0" w:color="auto"/>
            </w:tcBorders>
            <w:shd w:val="clear" w:color="auto" w:fill="auto"/>
            <w:noWrap/>
            <w:vAlign w:val="center"/>
            <w:hideMark/>
          </w:tcPr>
          <w:p w14:paraId="73B3878B"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10 105 920,00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963E0E6"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17B7A5B5"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10 105 920,00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B5CD589"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631B5C3A"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3F18BB04" w14:textId="77777777" w:rsidR="00FB487D" w:rsidRPr="005130B3" w:rsidRDefault="00FB487D" w:rsidP="00FB487D">
            <w:pPr>
              <w:spacing w:after="0" w:line="240" w:lineRule="auto"/>
              <w:rPr>
                <w:rFonts w:ascii="Calibri" w:eastAsia="Times New Roman" w:hAnsi="Calibri" w:cs="Calibri"/>
                <w:b/>
                <w:bCs/>
                <w:color w:val="000000"/>
                <w:sz w:val="18"/>
                <w:szCs w:val="18"/>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32CB6777"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404CFFFF"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Nátěrový a barv</w:t>
            </w:r>
            <w:r w:rsidR="002C68B1" w:rsidRPr="004F7FAB">
              <w:rPr>
                <w:rFonts w:eastAsia="Times New Roman" w:cstheme="minorHAnsi"/>
                <w:color w:val="000000"/>
                <w:sz w:val="17"/>
                <w:szCs w:val="17"/>
                <w:lang w:eastAsia="cs-CZ"/>
              </w:rPr>
              <w:t>i</w:t>
            </w:r>
            <w:r w:rsidRPr="004F7FAB">
              <w:rPr>
                <w:rFonts w:eastAsia="Times New Roman" w:cstheme="minorHAnsi"/>
                <w:color w:val="000000"/>
                <w:sz w:val="17"/>
                <w:szCs w:val="17"/>
                <w:lang w:eastAsia="cs-CZ"/>
              </w:rPr>
              <w:t>cí automat</w:t>
            </w:r>
          </w:p>
        </w:tc>
        <w:tc>
          <w:tcPr>
            <w:tcW w:w="423" w:type="pct"/>
            <w:tcBorders>
              <w:top w:val="nil"/>
              <w:left w:val="nil"/>
              <w:bottom w:val="single" w:sz="4" w:space="0" w:color="auto"/>
              <w:right w:val="single" w:sz="4" w:space="0" w:color="auto"/>
            </w:tcBorders>
            <w:shd w:val="clear" w:color="auto" w:fill="auto"/>
            <w:noWrap/>
            <w:vAlign w:val="center"/>
            <w:hideMark/>
          </w:tcPr>
          <w:p w14:paraId="6505A337"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5 436 288,00</w:t>
            </w:r>
          </w:p>
        </w:tc>
        <w:tc>
          <w:tcPr>
            <w:tcW w:w="26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4535D0F"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single" w:sz="4" w:space="0" w:color="auto"/>
              <w:right w:val="single" w:sz="4" w:space="0" w:color="auto"/>
            </w:tcBorders>
            <w:shd w:val="clear" w:color="auto" w:fill="auto"/>
            <w:noWrap/>
            <w:vAlign w:val="center"/>
            <w:hideMark/>
          </w:tcPr>
          <w:p w14:paraId="2D25C764"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5 436 288,00</w:t>
            </w:r>
          </w:p>
        </w:tc>
        <w:tc>
          <w:tcPr>
            <w:tcW w:w="219"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D5F10FC"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r>
      <w:tr w:rsidR="00D44C38" w14:paraId="1FE787FC" w14:textId="77777777" w:rsidTr="007A0371">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2BADFE41" w14:textId="77777777" w:rsidR="00FB487D" w:rsidRPr="005130B3" w:rsidRDefault="00FB487D" w:rsidP="00FB487D">
            <w:pPr>
              <w:spacing w:after="0" w:line="240" w:lineRule="auto"/>
              <w:rPr>
                <w:rFonts w:ascii="Calibri" w:eastAsia="Times New Roman" w:hAnsi="Calibri" w:cs="Calibri"/>
                <w:b/>
                <w:bCs/>
                <w:color w:val="000000"/>
                <w:sz w:val="18"/>
                <w:szCs w:val="18"/>
                <w:lang w:eastAsia="cs-CZ"/>
              </w:rPr>
            </w:pPr>
          </w:p>
        </w:tc>
        <w:tc>
          <w:tcPr>
            <w:tcW w:w="427" w:type="pct"/>
            <w:vMerge/>
            <w:tcBorders>
              <w:top w:val="nil"/>
              <w:left w:val="single" w:sz="4" w:space="0" w:color="auto"/>
              <w:bottom w:val="single" w:sz="4" w:space="0" w:color="auto"/>
              <w:right w:val="single" w:sz="4" w:space="0" w:color="auto"/>
            </w:tcBorders>
            <w:vAlign w:val="center"/>
            <w:hideMark/>
          </w:tcPr>
          <w:p w14:paraId="4CFFCDA4" w14:textId="77777777" w:rsidR="00FB487D" w:rsidRPr="005130B3" w:rsidRDefault="00FB487D" w:rsidP="005130B3">
            <w:pPr>
              <w:spacing w:after="0" w:line="240" w:lineRule="auto"/>
              <w:rPr>
                <w:rFonts w:ascii="Calibri" w:eastAsia="Times New Roman" w:hAnsi="Calibri" w:cs="Calibri"/>
                <w:b/>
                <w:bCs/>
                <w:color w:val="000000"/>
                <w:sz w:val="18"/>
                <w:szCs w:val="18"/>
                <w:lang w:eastAsia="cs-CZ"/>
              </w:rPr>
            </w:pPr>
          </w:p>
        </w:tc>
        <w:tc>
          <w:tcPr>
            <w:tcW w:w="2210" w:type="pct"/>
            <w:tcBorders>
              <w:top w:val="nil"/>
              <w:left w:val="nil"/>
              <w:bottom w:val="single" w:sz="4" w:space="0" w:color="auto"/>
              <w:right w:val="single" w:sz="4" w:space="0" w:color="auto"/>
            </w:tcBorders>
            <w:shd w:val="clear" w:color="auto" w:fill="auto"/>
            <w:vAlign w:val="center"/>
            <w:hideMark/>
          </w:tcPr>
          <w:p w14:paraId="0C80F81B" w14:textId="77777777" w:rsidR="00FB487D" w:rsidRPr="004F7FAB" w:rsidRDefault="007E2A6B" w:rsidP="005130B3">
            <w:pPr>
              <w:spacing w:after="0" w:line="240" w:lineRule="auto"/>
              <w:rPr>
                <w:rFonts w:eastAsia="Times New Roman" w:cstheme="minorHAnsi"/>
                <w:color w:val="000000"/>
                <w:sz w:val="17"/>
                <w:szCs w:val="17"/>
                <w:lang w:eastAsia="cs-CZ"/>
              </w:rPr>
            </w:pPr>
            <w:r w:rsidRPr="004F7FAB">
              <w:rPr>
                <w:rFonts w:eastAsia="Times New Roman" w:cstheme="minorHAnsi"/>
                <w:color w:val="000000"/>
                <w:sz w:val="17"/>
                <w:szCs w:val="17"/>
                <w:lang w:eastAsia="cs-CZ"/>
              </w:rPr>
              <w:t>Operační stoly</w:t>
            </w:r>
          </w:p>
        </w:tc>
        <w:tc>
          <w:tcPr>
            <w:tcW w:w="423" w:type="pct"/>
            <w:tcBorders>
              <w:top w:val="nil"/>
              <w:left w:val="nil"/>
              <w:bottom w:val="nil"/>
              <w:right w:val="single" w:sz="4" w:space="0" w:color="auto"/>
            </w:tcBorders>
            <w:shd w:val="clear" w:color="auto" w:fill="auto"/>
            <w:noWrap/>
            <w:vAlign w:val="center"/>
            <w:hideMark/>
          </w:tcPr>
          <w:p w14:paraId="4ABACA06"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10 764 848,06</w:t>
            </w:r>
          </w:p>
        </w:tc>
        <w:tc>
          <w:tcPr>
            <w:tcW w:w="269" w:type="pct"/>
            <w:tcBorders>
              <w:top w:val="single" w:sz="4" w:space="0" w:color="auto"/>
              <w:left w:val="single" w:sz="4" w:space="0" w:color="auto"/>
              <w:bottom w:val="nil"/>
              <w:right w:val="single" w:sz="4" w:space="0" w:color="auto"/>
            </w:tcBorders>
            <w:shd w:val="clear" w:color="000000" w:fill="548235"/>
            <w:noWrap/>
            <w:vAlign w:val="center"/>
            <w:hideMark/>
          </w:tcPr>
          <w:p w14:paraId="7AE51414"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w:t>
            </w:r>
          </w:p>
        </w:tc>
        <w:tc>
          <w:tcPr>
            <w:tcW w:w="424" w:type="pct"/>
            <w:tcBorders>
              <w:top w:val="nil"/>
              <w:left w:val="nil"/>
              <w:bottom w:val="nil"/>
              <w:right w:val="single" w:sz="4" w:space="0" w:color="auto"/>
            </w:tcBorders>
            <w:shd w:val="clear" w:color="auto" w:fill="auto"/>
            <w:noWrap/>
            <w:vAlign w:val="center"/>
            <w:hideMark/>
          </w:tcPr>
          <w:p w14:paraId="4140438B" w14:textId="77777777" w:rsidR="00FB487D" w:rsidRPr="004F7FAB" w:rsidRDefault="007E2A6B" w:rsidP="005130B3">
            <w:pPr>
              <w:spacing w:after="0" w:line="240" w:lineRule="auto"/>
              <w:jc w:val="right"/>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10 764 848,06</w:t>
            </w:r>
          </w:p>
        </w:tc>
        <w:tc>
          <w:tcPr>
            <w:tcW w:w="219" w:type="pct"/>
            <w:tcBorders>
              <w:top w:val="single" w:sz="4" w:space="0" w:color="auto"/>
              <w:left w:val="single" w:sz="4" w:space="0" w:color="auto"/>
              <w:bottom w:val="nil"/>
              <w:right w:val="single" w:sz="4" w:space="0" w:color="auto"/>
            </w:tcBorders>
            <w:shd w:val="clear" w:color="auto" w:fill="FFFF00"/>
            <w:noWrap/>
            <w:vAlign w:val="center"/>
            <w:hideMark/>
          </w:tcPr>
          <w:p w14:paraId="596C0423"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3</w:t>
            </w:r>
          </w:p>
        </w:tc>
      </w:tr>
      <w:tr w:rsidR="00D44C38" w14:paraId="0E9252C0" w14:textId="77777777" w:rsidTr="00DB327A">
        <w:trPr>
          <w:cantSplit/>
          <w:trHeight w:val="20"/>
        </w:trPr>
        <w:tc>
          <w:tcPr>
            <w:tcW w:w="1028" w:type="pct"/>
            <w:vMerge/>
            <w:tcBorders>
              <w:top w:val="nil"/>
              <w:left w:val="single" w:sz="4" w:space="0" w:color="auto"/>
              <w:bottom w:val="single" w:sz="4" w:space="0" w:color="auto"/>
              <w:right w:val="single" w:sz="4" w:space="0" w:color="auto"/>
            </w:tcBorders>
            <w:vAlign w:val="center"/>
            <w:hideMark/>
          </w:tcPr>
          <w:p w14:paraId="10589D26" w14:textId="77777777" w:rsidR="00FB487D" w:rsidRPr="005130B3" w:rsidRDefault="00FB487D" w:rsidP="00FB487D">
            <w:pPr>
              <w:spacing w:after="0" w:line="240" w:lineRule="auto"/>
              <w:rPr>
                <w:rFonts w:ascii="Calibri" w:eastAsia="Times New Roman" w:hAnsi="Calibri" w:cs="Calibri"/>
                <w:b/>
                <w:bCs/>
                <w:color w:val="000000"/>
                <w:sz w:val="18"/>
                <w:szCs w:val="18"/>
                <w:lang w:eastAsia="cs-CZ"/>
              </w:rPr>
            </w:pPr>
          </w:p>
        </w:tc>
        <w:tc>
          <w:tcPr>
            <w:tcW w:w="2637" w:type="pct"/>
            <w:gridSpan w:val="2"/>
            <w:tcBorders>
              <w:top w:val="single" w:sz="4" w:space="0" w:color="auto"/>
              <w:left w:val="nil"/>
              <w:bottom w:val="single" w:sz="4" w:space="0" w:color="auto"/>
              <w:right w:val="nil"/>
            </w:tcBorders>
            <w:shd w:val="clear" w:color="000000" w:fill="E5F1FF"/>
            <w:vAlign w:val="center"/>
            <w:hideMark/>
          </w:tcPr>
          <w:p w14:paraId="32918309" w14:textId="77777777" w:rsidR="00FB487D" w:rsidRPr="004F7FAB" w:rsidRDefault="007E2A6B" w:rsidP="005130B3">
            <w:pPr>
              <w:spacing w:after="0" w:line="240" w:lineRule="auto"/>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Celkem za projekt</w:t>
            </w:r>
          </w:p>
        </w:tc>
        <w:tc>
          <w:tcPr>
            <w:tcW w:w="423" w:type="pct"/>
            <w:tcBorders>
              <w:top w:val="single" w:sz="4" w:space="0" w:color="auto"/>
              <w:left w:val="single" w:sz="4" w:space="0" w:color="auto"/>
              <w:bottom w:val="single" w:sz="4" w:space="0" w:color="auto"/>
              <w:right w:val="nil"/>
            </w:tcBorders>
            <w:shd w:val="clear" w:color="000000" w:fill="E5F1FF"/>
            <w:noWrap/>
            <w:vAlign w:val="center"/>
            <w:hideMark/>
          </w:tcPr>
          <w:p w14:paraId="135CCE02"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41 729 539,44</w:t>
            </w:r>
          </w:p>
        </w:tc>
        <w:tc>
          <w:tcPr>
            <w:tcW w:w="269" w:type="pct"/>
            <w:tcBorders>
              <w:top w:val="single" w:sz="4" w:space="0" w:color="auto"/>
              <w:left w:val="nil"/>
              <w:bottom w:val="single" w:sz="4" w:space="0" w:color="auto"/>
              <w:right w:val="nil"/>
            </w:tcBorders>
            <w:shd w:val="clear" w:color="000000" w:fill="E5F1FF"/>
            <w:noWrap/>
            <w:vAlign w:val="center"/>
            <w:hideMark/>
          </w:tcPr>
          <w:p w14:paraId="6A57DF1E"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c>
          <w:tcPr>
            <w:tcW w:w="424" w:type="pct"/>
            <w:tcBorders>
              <w:top w:val="single" w:sz="4" w:space="0" w:color="auto"/>
              <w:left w:val="single" w:sz="4" w:space="0" w:color="auto"/>
              <w:bottom w:val="single" w:sz="4" w:space="0" w:color="auto"/>
              <w:right w:val="nil"/>
            </w:tcBorders>
            <w:shd w:val="clear" w:color="000000" w:fill="E5F1FF"/>
            <w:noWrap/>
            <w:vAlign w:val="center"/>
            <w:hideMark/>
          </w:tcPr>
          <w:p w14:paraId="48176B2C" w14:textId="77777777" w:rsidR="00FB487D" w:rsidRPr="004F7FAB" w:rsidRDefault="007E2A6B" w:rsidP="005130B3">
            <w:pPr>
              <w:spacing w:after="0" w:line="240" w:lineRule="auto"/>
              <w:jc w:val="right"/>
              <w:rPr>
                <w:rFonts w:eastAsia="Times New Roman" w:cstheme="minorHAnsi"/>
                <w:b/>
                <w:bCs/>
                <w:i/>
                <w:iCs/>
                <w:color w:val="000000"/>
                <w:sz w:val="17"/>
                <w:szCs w:val="17"/>
                <w:lang w:eastAsia="cs-CZ"/>
              </w:rPr>
            </w:pPr>
            <w:r w:rsidRPr="004F7FAB">
              <w:rPr>
                <w:rFonts w:eastAsia="Times New Roman" w:cstheme="minorHAnsi"/>
                <w:b/>
                <w:bCs/>
                <w:i/>
                <w:iCs/>
                <w:color w:val="000000"/>
                <w:sz w:val="17"/>
                <w:szCs w:val="17"/>
                <w:lang w:eastAsia="cs-CZ"/>
              </w:rPr>
              <w:t>43 758 569,51</w:t>
            </w:r>
          </w:p>
        </w:tc>
        <w:tc>
          <w:tcPr>
            <w:tcW w:w="219" w:type="pct"/>
            <w:tcBorders>
              <w:top w:val="single" w:sz="4" w:space="0" w:color="auto"/>
              <w:left w:val="nil"/>
              <w:bottom w:val="single" w:sz="4" w:space="0" w:color="auto"/>
              <w:right w:val="single" w:sz="4" w:space="0" w:color="auto"/>
            </w:tcBorders>
            <w:shd w:val="clear" w:color="000000" w:fill="E5F1FF"/>
            <w:noWrap/>
            <w:vAlign w:val="center"/>
            <w:hideMark/>
          </w:tcPr>
          <w:p w14:paraId="457758B1" w14:textId="77777777" w:rsidR="00FB487D" w:rsidRPr="004F7FAB" w:rsidRDefault="007E2A6B" w:rsidP="005130B3">
            <w:pPr>
              <w:spacing w:after="0" w:line="240" w:lineRule="auto"/>
              <w:jc w:val="center"/>
              <w:rPr>
                <w:rFonts w:eastAsia="Times New Roman" w:cstheme="minorHAnsi"/>
                <w:b/>
                <w:bCs/>
                <w:color w:val="000000"/>
                <w:sz w:val="17"/>
                <w:szCs w:val="17"/>
                <w:lang w:eastAsia="cs-CZ"/>
              </w:rPr>
            </w:pPr>
            <w:r w:rsidRPr="004F7FAB">
              <w:rPr>
                <w:rFonts w:eastAsia="Times New Roman" w:cstheme="minorHAnsi"/>
                <w:b/>
                <w:bCs/>
                <w:color w:val="000000"/>
                <w:sz w:val="17"/>
                <w:szCs w:val="17"/>
                <w:lang w:eastAsia="cs-CZ"/>
              </w:rPr>
              <w:t> </w:t>
            </w:r>
          </w:p>
        </w:tc>
      </w:tr>
    </w:tbl>
    <w:p w14:paraId="1E7D3810" w14:textId="77777777" w:rsidR="00DB327A" w:rsidRDefault="007E2A6B">
      <w:r>
        <w:br w:type="page"/>
      </w:r>
    </w:p>
    <w:tbl>
      <w:tblPr>
        <w:tblW w:w="5000" w:type="pct"/>
        <w:tblCellMar>
          <w:left w:w="70" w:type="dxa"/>
          <w:right w:w="70" w:type="dxa"/>
        </w:tblCellMar>
        <w:tblLook w:val="04A0" w:firstRow="1" w:lastRow="0" w:firstColumn="1" w:lastColumn="0" w:noHBand="0" w:noVBand="1"/>
      </w:tblPr>
      <w:tblGrid>
        <w:gridCol w:w="2725"/>
        <w:gridCol w:w="1223"/>
        <w:gridCol w:w="6210"/>
        <w:gridCol w:w="1209"/>
        <w:gridCol w:w="778"/>
        <w:gridCol w:w="1209"/>
        <w:gridCol w:w="638"/>
      </w:tblGrid>
      <w:tr w:rsidR="00D44C38" w14:paraId="1E6AB1E2" w14:textId="77777777" w:rsidTr="005130B3">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C8D03"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lastRenderedPageBreak/>
              <w:t>CZ.06.2.56/0.0/0.0/15_006/0005514</w:t>
            </w:r>
            <w:r w:rsidRPr="003D04DF">
              <w:rPr>
                <w:rFonts w:ascii="Calibri" w:eastAsia="Times New Roman" w:hAnsi="Calibri" w:cs="Calibri"/>
                <w:b/>
                <w:bCs/>
                <w:color w:val="000000"/>
                <w:sz w:val="17"/>
                <w:szCs w:val="17"/>
                <w:lang w:eastAsia="cs-CZ"/>
              </w:rPr>
              <w:br/>
              <w:t xml:space="preserve">Modernizace a obnova přístrojového vybavení </w:t>
            </w:r>
            <w:proofErr w:type="spellStart"/>
            <w:r w:rsidRPr="003D04DF">
              <w:rPr>
                <w:rFonts w:ascii="Calibri" w:eastAsia="Times New Roman" w:hAnsi="Calibri" w:cs="Calibri"/>
                <w:b/>
                <w:bCs/>
                <w:color w:val="000000"/>
                <w:sz w:val="17"/>
                <w:szCs w:val="17"/>
                <w:lang w:eastAsia="cs-CZ"/>
              </w:rPr>
              <w:t>onkogynekologické</w:t>
            </w:r>
            <w:proofErr w:type="spellEnd"/>
            <w:r w:rsidRPr="003D04DF">
              <w:rPr>
                <w:rFonts w:ascii="Calibri" w:eastAsia="Times New Roman" w:hAnsi="Calibri" w:cs="Calibri"/>
                <w:b/>
                <w:bCs/>
                <w:color w:val="000000"/>
                <w:sz w:val="17"/>
                <w:szCs w:val="17"/>
                <w:lang w:eastAsia="cs-CZ"/>
              </w:rPr>
              <w:t xml:space="preserve"> péče Nemocnice Jihlava</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A85B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Nemocnice Jihlava, příspěvková organizace</w:t>
            </w:r>
          </w:p>
        </w:tc>
        <w:tc>
          <w:tcPr>
            <w:tcW w:w="2219" w:type="pct"/>
            <w:tcBorders>
              <w:top w:val="single" w:sz="4" w:space="0" w:color="auto"/>
              <w:left w:val="nil"/>
              <w:bottom w:val="single" w:sz="4" w:space="0" w:color="auto"/>
              <w:right w:val="single" w:sz="4" w:space="0" w:color="auto"/>
            </w:tcBorders>
            <w:shd w:val="clear" w:color="auto" w:fill="auto"/>
            <w:vAlign w:val="center"/>
            <w:hideMark/>
          </w:tcPr>
          <w:p w14:paraId="00882D86"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Mobilní operační stůl</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03472D13"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447 415,65</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C98D8A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6EBBED64"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447 415,65</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A8F16C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F9B6F12"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E36E4CB"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AF43AB5"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67CE814"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Operační lampy s LED technologií</w:t>
            </w:r>
          </w:p>
        </w:tc>
        <w:tc>
          <w:tcPr>
            <w:tcW w:w="432" w:type="pct"/>
            <w:tcBorders>
              <w:top w:val="nil"/>
              <w:left w:val="nil"/>
              <w:bottom w:val="single" w:sz="4" w:space="0" w:color="auto"/>
              <w:right w:val="single" w:sz="4" w:space="0" w:color="auto"/>
            </w:tcBorders>
            <w:shd w:val="clear" w:color="auto" w:fill="auto"/>
            <w:noWrap/>
            <w:vAlign w:val="center"/>
            <w:hideMark/>
          </w:tcPr>
          <w:p w14:paraId="20E0153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3 629 284,16</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F99CF0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AA8B575"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3 629 284,16</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54628E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2AAF1D3"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900E0E0"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1BFDB53"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784DD2D8"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Magnetická rezonance</w:t>
            </w:r>
          </w:p>
        </w:tc>
        <w:tc>
          <w:tcPr>
            <w:tcW w:w="432" w:type="pct"/>
            <w:tcBorders>
              <w:top w:val="nil"/>
              <w:left w:val="nil"/>
              <w:bottom w:val="nil"/>
              <w:right w:val="single" w:sz="4" w:space="0" w:color="auto"/>
            </w:tcBorders>
            <w:shd w:val="clear" w:color="auto" w:fill="auto"/>
            <w:noWrap/>
            <w:vAlign w:val="center"/>
            <w:hideMark/>
          </w:tcPr>
          <w:p w14:paraId="5C9EA48C"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33 693 660,00</w:t>
            </w:r>
          </w:p>
        </w:tc>
        <w:tc>
          <w:tcPr>
            <w:tcW w:w="278" w:type="pct"/>
            <w:tcBorders>
              <w:top w:val="single" w:sz="4" w:space="0" w:color="auto"/>
              <w:left w:val="single" w:sz="4" w:space="0" w:color="auto"/>
              <w:bottom w:val="nil"/>
              <w:right w:val="single" w:sz="4" w:space="0" w:color="auto"/>
            </w:tcBorders>
            <w:shd w:val="clear" w:color="000000" w:fill="548235"/>
            <w:noWrap/>
            <w:vAlign w:val="center"/>
            <w:hideMark/>
          </w:tcPr>
          <w:p w14:paraId="4D1B874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nil"/>
              <w:right w:val="single" w:sz="4" w:space="0" w:color="auto"/>
            </w:tcBorders>
            <w:shd w:val="clear" w:color="auto" w:fill="auto"/>
            <w:noWrap/>
            <w:vAlign w:val="center"/>
            <w:hideMark/>
          </w:tcPr>
          <w:p w14:paraId="342137E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33 693 660,00</w:t>
            </w:r>
          </w:p>
        </w:tc>
        <w:tc>
          <w:tcPr>
            <w:tcW w:w="228" w:type="pct"/>
            <w:tcBorders>
              <w:top w:val="single" w:sz="4" w:space="0" w:color="auto"/>
              <w:left w:val="single" w:sz="4" w:space="0" w:color="auto"/>
              <w:bottom w:val="nil"/>
              <w:right w:val="single" w:sz="4" w:space="0" w:color="auto"/>
            </w:tcBorders>
            <w:shd w:val="clear" w:color="000000" w:fill="548235"/>
            <w:noWrap/>
            <w:vAlign w:val="center"/>
            <w:hideMark/>
          </w:tcPr>
          <w:p w14:paraId="796BABC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A60FFEA"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30C0C6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6043F88C"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2AA2F0BF"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37 770 359,81</w:t>
            </w:r>
          </w:p>
        </w:tc>
        <w:tc>
          <w:tcPr>
            <w:tcW w:w="278" w:type="pct"/>
            <w:tcBorders>
              <w:top w:val="single" w:sz="4" w:space="0" w:color="auto"/>
              <w:left w:val="nil"/>
              <w:bottom w:val="single" w:sz="4" w:space="0" w:color="auto"/>
              <w:right w:val="nil"/>
            </w:tcBorders>
            <w:shd w:val="clear" w:color="000000" w:fill="E5F1FF"/>
            <w:noWrap/>
            <w:vAlign w:val="center"/>
            <w:hideMark/>
          </w:tcPr>
          <w:p w14:paraId="47FA99B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73E7E282"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37 770 359,81</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21E99E0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1EAB8AEE" w14:textId="77777777" w:rsidTr="005130B3">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16466769"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CZ.06.2.56/0.0/0.0/16_043/0001175</w:t>
            </w:r>
            <w:r w:rsidRPr="003D04DF">
              <w:rPr>
                <w:rFonts w:ascii="Calibri" w:eastAsia="Times New Roman" w:hAnsi="Calibri" w:cs="Calibri"/>
                <w:b/>
                <w:bCs/>
                <w:color w:val="000000"/>
                <w:sz w:val="17"/>
                <w:szCs w:val="17"/>
                <w:lang w:eastAsia="cs-CZ"/>
              </w:rPr>
              <w:br/>
              <w:t>Technologická obnova operačních sálů ve Fakultní nemocnici Brno pro ortopedii</w:t>
            </w:r>
          </w:p>
        </w:tc>
        <w:tc>
          <w:tcPr>
            <w:tcW w:w="437" w:type="pct"/>
            <w:tcBorders>
              <w:top w:val="nil"/>
              <w:left w:val="nil"/>
              <w:bottom w:val="single" w:sz="4" w:space="0" w:color="auto"/>
              <w:right w:val="single" w:sz="4" w:space="0" w:color="auto"/>
            </w:tcBorders>
            <w:shd w:val="clear" w:color="auto" w:fill="auto"/>
            <w:vAlign w:val="center"/>
            <w:hideMark/>
          </w:tcPr>
          <w:p w14:paraId="25F9F1D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Fakultní nemocnice Brno</w:t>
            </w:r>
          </w:p>
        </w:tc>
        <w:tc>
          <w:tcPr>
            <w:tcW w:w="2219" w:type="pct"/>
            <w:tcBorders>
              <w:top w:val="nil"/>
              <w:left w:val="nil"/>
              <w:bottom w:val="single" w:sz="4" w:space="0" w:color="auto"/>
              <w:right w:val="single" w:sz="4" w:space="0" w:color="auto"/>
            </w:tcBorders>
            <w:shd w:val="clear" w:color="auto" w:fill="auto"/>
            <w:vAlign w:val="center"/>
            <w:hideMark/>
          </w:tcPr>
          <w:p w14:paraId="00BFEF59" w14:textId="77777777" w:rsidR="00FB487D" w:rsidRPr="003D04DF" w:rsidRDefault="007162B4" w:rsidP="005130B3">
            <w:pPr>
              <w:spacing w:after="0" w:line="240" w:lineRule="auto"/>
              <w:rPr>
                <w:rFonts w:ascii="Calibri" w:eastAsia="Times New Roman" w:hAnsi="Calibri" w:cs="Calibri"/>
                <w:color w:val="000000"/>
                <w:sz w:val="17"/>
                <w:szCs w:val="17"/>
                <w:lang w:eastAsia="cs-CZ"/>
              </w:rPr>
            </w:pPr>
            <w:r>
              <w:rPr>
                <w:rFonts w:ascii="Calibri" w:eastAsia="Times New Roman" w:hAnsi="Calibri" w:cs="Calibri"/>
                <w:color w:val="000000"/>
                <w:sz w:val="17"/>
                <w:szCs w:val="17"/>
                <w:lang w:eastAsia="cs-CZ"/>
              </w:rPr>
              <w:t>S</w:t>
            </w:r>
            <w:r w:rsidR="007E2A6B" w:rsidRPr="003D04DF">
              <w:rPr>
                <w:rFonts w:ascii="Calibri" w:eastAsia="Times New Roman" w:hAnsi="Calibri" w:cs="Calibri"/>
                <w:color w:val="000000"/>
                <w:sz w:val="17"/>
                <w:szCs w:val="17"/>
                <w:lang w:eastAsia="cs-CZ"/>
              </w:rPr>
              <w:t>tavební práce II</w:t>
            </w:r>
          </w:p>
        </w:tc>
        <w:tc>
          <w:tcPr>
            <w:tcW w:w="432" w:type="pct"/>
            <w:tcBorders>
              <w:top w:val="nil"/>
              <w:left w:val="nil"/>
              <w:bottom w:val="nil"/>
              <w:right w:val="single" w:sz="4" w:space="0" w:color="auto"/>
            </w:tcBorders>
            <w:shd w:val="clear" w:color="auto" w:fill="auto"/>
            <w:noWrap/>
            <w:vAlign w:val="center"/>
            <w:hideMark/>
          </w:tcPr>
          <w:p w14:paraId="5E4DD0D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81 899 442,04</w:t>
            </w:r>
          </w:p>
        </w:tc>
        <w:tc>
          <w:tcPr>
            <w:tcW w:w="278" w:type="pct"/>
            <w:tcBorders>
              <w:top w:val="nil"/>
              <w:left w:val="single" w:sz="4" w:space="0" w:color="auto"/>
              <w:bottom w:val="nil"/>
              <w:right w:val="single" w:sz="4" w:space="0" w:color="auto"/>
            </w:tcBorders>
            <w:shd w:val="clear" w:color="000000" w:fill="548235"/>
            <w:noWrap/>
            <w:vAlign w:val="center"/>
            <w:hideMark/>
          </w:tcPr>
          <w:p w14:paraId="6A50D79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nil"/>
              <w:right w:val="single" w:sz="4" w:space="0" w:color="auto"/>
            </w:tcBorders>
            <w:shd w:val="clear" w:color="auto" w:fill="auto"/>
            <w:noWrap/>
            <w:vAlign w:val="center"/>
            <w:hideMark/>
          </w:tcPr>
          <w:p w14:paraId="3A6A9B5C"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81 899 442,04</w:t>
            </w:r>
          </w:p>
        </w:tc>
        <w:tc>
          <w:tcPr>
            <w:tcW w:w="228" w:type="pct"/>
            <w:tcBorders>
              <w:top w:val="nil"/>
              <w:left w:val="single" w:sz="4" w:space="0" w:color="auto"/>
              <w:bottom w:val="nil"/>
              <w:right w:val="single" w:sz="4" w:space="0" w:color="auto"/>
            </w:tcBorders>
            <w:shd w:val="clear" w:color="000000" w:fill="548235"/>
            <w:noWrap/>
            <w:vAlign w:val="center"/>
            <w:hideMark/>
          </w:tcPr>
          <w:p w14:paraId="26D6EF6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0228C3E"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5FD82A3"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59896734"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07491461"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81 899 442,04</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199F829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17619AEC"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81 899 442,04</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16810ED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5BEAA70B" w14:textId="77777777" w:rsidTr="005130B3">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B0D52" w14:textId="77777777" w:rsidR="00FB487D" w:rsidRPr="003D04DF" w:rsidRDefault="007E2A6B" w:rsidP="00FB487D">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CZ.06.2.56/0.0/0.0/15_006/0001805</w:t>
            </w:r>
            <w:r w:rsidRPr="003D04DF">
              <w:rPr>
                <w:rFonts w:ascii="Calibri" w:eastAsia="Times New Roman" w:hAnsi="Calibri" w:cs="Calibri"/>
                <w:b/>
                <w:bCs/>
                <w:color w:val="000000"/>
                <w:sz w:val="17"/>
                <w:szCs w:val="17"/>
                <w:lang w:eastAsia="cs-CZ"/>
              </w:rPr>
              <w:br/>
              <w:t xml:space="preserve">Fakultní nemocnice Brno </w:t>
            </w:r>
            <w:r w:rsidR="007162B4" w:rsidRPr="004F7FAB">
              <w:rPr>
                <w:rFonts w:ascii="Calibri" w:eastAsia="Times New Roman" w:hAnsi="Calibri" w:cs="Calibri"/>
                <w:b/>
                <w:color w:val="000000"/>
                <w:sz w:val="17"/>
                <w:szCs w:val="17"/>
                <w:lang w:eastAsia="cs-CZ"/>
              </w:rPr>
              <w:t xml:space="preserve">– </w:t>
            </w:r>
            <w:r w:rsidR="007162B4">
              <w:rPr>
                <w:rFonts w:ascii="Calibri" w:eastAsia="Times New Roman" w:hAnsi="Calibri" w:cs="Calibri"/>
                <w:b/>
                <w:bCs/>
                <w:color w:val="000000"/>
                <w:sz w:val="17"/>
                <w:szCs w:val="17"/>
                <w:lang w:eastAsia="cs-CZ"/>
              </w:rPr>
              <w:t>m</w:t>
            </w:r>
            <w:r w:rsidRPr="003D04DF">
              <w:rPr>
                <w:rFonts w:ascii="Calibri" w:eastAsia="Times New Roman" w:hAnsi="Calibri" w:cs="Calibri"/>
                <w:b/>
                <w:bCs/>
                <w:color w:val="000000"/>
                <w:sz w:val="17"/>
                <w:szCs w:val="17"/>
                <w:lang w:eastAsia="cs-CZ"/>
              </w:rPr>
              <w:t>odernizace perinatologického centra</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B0B16"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Fakultní nemocnice Brno</w:t>
            </w:r>
          </w:p>
        </w:tc>
        <w:tc>
          <w:tcPr>
            <w:tcW w:w="2219" w:type="pct"/>
            <w:tcBorders>
              <w:top w:val="single" w:sz="4" w:space="0" w:color="auto"/>
              <w:left w:val="nil"/>
              <w:bottom w:val="single" w:sz="4" w:space="0" w:color="auto"/>
              <w:right w:val="single" w:sz="4" w:space="0" w:color="auto"/>
            </w:tcBorders>
            <w:shd w:val="clear" w:color="auto" w:fill="auto"/>
            <w:vAlign w:val="center"/>
            <w:hideMark/>
          </w:tcPr>
          <w:p w14:paraId="7D150E0D"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Neonatální inkubátor, typ </w:t>
            </w:r>
            <w:proofErr w:type="spellStart"/>
            <w:r w:rsidRPr="003D04DF">
              <w:rPr>
                <w:rFonts w:ascii="Calibri" w:eastAsia="Times New Roman" w:hAnsi="Calibri" w:cs="Calibri"/>
                <w:color w:val="000000"/>
                <w:sz w:val="17"/>
                <w:szCs w:val="17"/>
                <w:lang w:eastAsia="cs-CZ"/>
              </w:rPr>
              <w:t>Isolette</w:t>
            </w:r>
            <w:proofErr w:type="spellEnd"/>
            <w:r w:rsidRPr="003D04DF">
              <w:rPr>
                <w:rFonts w:ascii="Calibri" w:eastAsia="Times New Roman" w:hAnsi="Calibri" w:cs="Calibri"/>
                <w:color w:val="000000"/>
                <w:sz w:val="17"/>
                <w:szCs w:val="17"/>
                <w:lang w:eastAsia="cs-CZ"/>
              </w:rPr>
              <w:t xml:space="preserve"> 8000</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2BC8F85E"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4 954 345,00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7ECFA80"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3952DDDD"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4 954 345,00</w:t>
            </w:r>
          </w:p>
        </w:tc>
        <w:tc>
          <w:tcPr>
            <w:tcW w:w="228" w:type="pct"/>
            <w:tcBorders>
              <w:top w:val="nil"/>
              <w:left w:val="single" w:sz="4" w:space="0" w:color="auto"/>
              <w:bottom w:val="single" w:sz="4" w:space="0" w:color="auto"/>
              <w:right w:val="single" w:sz="4" w:space="0" w:color="auto"/>
            </w:tcBorders>
            <w:shd w:val="clear" w:color="000000" w:fill="548235"/>
            <w:noWrap/>
            <w:vAlign w:val="center"/>
            <w:hideMark/>
          </w:tcPr>
          <w:p w14:paraId="3B162733"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A3B3A29"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541730D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8B91B12"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10504427"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Plicní ventilátor pro nasální CPAP</w:t>
            </w:r>
          </w:p>
        </w:tc>
        <w:tc>
          <w:tcPr>
            <w:tcW w:w="432" w:type="pct"/>
            <w:tcBorders>
              <w:top w:val="nil"/>
              <w:left w:val="nil"/>
              <w:bottom w:val="single" w:sz="4" w:space="0" w:color="auto"/>
              <w:right w:val="single" w:sz="4" w:space="0" w:color="auto"/>
            </w:tcBorders>
            <w:shd w:val="clear" w:color="auto" w:fill="auto"/>
            <w:noWrap/>
            <w:vAlign w:val="center"/>
            <w:hideMark/>
          </w:tcPr>
          <w:p w14:paraId="72535200"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1 963 065,52</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17DAEEF"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4DACADB6"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1 963 065,52</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491035F"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D11D375"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D333167"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3FFB15A8"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1E7AB4AF"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Lůžko pro intenzivní a resuscitační péči</w:t>
            </w:r>
          </w:p>
        </w:tc>
        <w:tc>
          <w:tcPr>
            <w:tcW w:w="432" w:type="pct"/>
            <w:tcBorders>
              <w:top w:val="nil"/>
              <w:left w:val="nil"/>
              <w:bottom w:val="single" w:sz="4" w:space="0" w:color="auto"/>
              <w:right w:val="single" w:sz="4" w:space="0" w:color="auto"/>
            </w:tcBorders>
            <w:shd w:val="clear" w:color="auto" w:fill="auto"/>
            <w:noWrap/>
            <w:vAlign w:val="center"/>
            <w:hideMark/>
          </w:tcPr>
          <w:p w14:paraId="64727191"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1 608 840,20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57BB945"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467F4DA1"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1 608 840,20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CD1F0DB"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06CA326"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FE9F76F"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DC6458C"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3A66FF2D"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Mobilní sonograf</w:t>
            </w:r>
          </w:p>
        </w:tc>
        <w:tc>
          <w:tcPr>
            <w:tcW w:w="432" w:type="pct"/>
            <w:tcBorders>
              <w:top w:val="nil"/>
              <w:left w:val="nil"/>
              <w:bottom w:val="single" w:sz="4" w:space="0" w:color="auto"/>
              <w:right w:val="single" w:sz="4" w:space="0" w:color="auto"/>
            </w:tcBorders>
            <w:shd w:val="clear" w:color="auto" w:fill="auto"/>
            <w:noWrap/>
            <w:vAlign w:val="center"/>
            <w:hideMark/>
          </w:tcPr>
          <w:p w14:paraId="1C5829CE"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1 563 320,00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D48901C"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63CD7EED"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1 563 320,00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D8B3492"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050C969"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2BBC80A"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8F5FC4E"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FDCF98E"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Vysokofrekvenční plicní ventilátor</w:t>
            </w:r>
          </w:p>
        </w:tc>
        <w:tc>
          <w:tcPr>
            <w:tcW w:w="432" w:type="pct"/>
            <w:tcBorders>
              <w:top w:val="nil"/>
              <w:left w:val="nil"/>
              <w:bottom w:val="single" w:sz="4" w:space="0" w:color="auto"/>
              <w:right w:val="single" w:sz="4" w:space="0" w:color="auto"/>
            </w:tcBorders>
            <w:shd w:val="clear" w:color="auto" w:fill="auto"/>
            <w:noWrap/>
            <w:vAlign w:val="center"/>
            <w:hideMark/>
          </w:tcPr>
          <w:p w14:paraId="4B5E7F6C"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3 172 369,41</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34B2CFA"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6092505"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3 172 369,41</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7DE257B"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08EFCDF"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64B7FEF"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0977D5E9"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55560497"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proofErr w:type="spellStart"/>
            <w:r w:rsidRPr="003D04DF">
              <w:rPr>
                <w:rFonts w:ascii="Calibri" w:eastAsia="Times New Roman" w:hAnsi="Calibri" w:cs="Calibri"/>
                <w:color w:val="000000"/>
                <w:sz w:val="17"/>
                <w:szCs w:val="17"/>
                <w:lang w:eastAsia="cs-CZ"/>
              </w:rPr>
              <w:t>Kardiotokograf</w:t>
            </w:r>
            <w:proofErr w:type="spellEnd"/>
            <w:r w:rsidRPr="003D04DF">
              <w:rPr>
                <w:rFonts w:ascii="Calibri" w:eastAsia="Times New Roman" w:hAnsi="Calibri" w:cs="Calibri"/>
                <w:color w:val="000000"/>
                <w:sz w:val="17"/>
                <w:szCs w:val="17"/>
                <w:lang w:eastAsia="cs-CZ"/>
              </w:rPr>
              <w:t xml:space="preserve"> Philips </w:t>
            </w:r>
            <w:proofErr w:type="spellStart"/>
            <w:r w:rsidRPr="003D04DF">
              <w:rPr>
                <w:rFonts w:ascii="Calibri" w:eastAsia="Times New Roman" w:hAnsi="Calibri" w:cs="Calibri"/>
                <w:color w:val="000000"/>
                <w:sz w:val="17"/>
                <w:szCs w:val="17"/>
                <w:lang w:eastAsia="cs-CZ"/>
              </w:rPr>
              <w:t>Avalon</w:t>
            </w:r>
            <w:proofErr w:type="spellEnd"/>
            <w:r w:rsidRPr="003D04DF">
              <w:rPr>
                <w:rFonts w:ascii="Calibri" w:eastAsia="Times New Roman" w:hAnsi="Calibri" w:cs="Calibri"/>
                <w:color w:val="000000"/>
                <w:sz w:val="17"/>
                <w:szCs w:val="17"/>
                <w:lang w:eastAsia="cs-CZ"/>
              </w:rPr>
              <w:t xml:space="preserve"> FM30</w:t>
            </w:r>
          </w:p>
        </w:tc>
        <w:tc>
          <w:tcPr>
            <w:tcW w:w="432" w:type="pct"/>
            <w:tcBorders>
              <w:top w:val="nil"/>
              <w:left w:val="nil"/>
              <w:bottom w:val="single" w:sz="4" w:space="0" w:color="auto"/>
              <w:right w:val="single" w:sz="4" w:space="0" w:color="auto"/>
            </w:tcBorders>
            <w:shd w:val="clear" w:color="auto" w:fill="auto"/>
            <w:noWrap/>
            <w:vAlign w:val="center"/>
            <w:hideMark/>
          </w:tcPr>
          <w:p w14:paraId="5FFAF07E"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2 941 745,30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8E8F13C"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5B7B4E02"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2 941 745,30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46C79F2"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024CB26"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887ED8D"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51B0FB7C"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0DACA5E8"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Ultrazvukový přístroj prémiové třídy, typ: VOLUSON E10 BT18</w:t>
            </w:r>
          </w:p>
        </w:tc>
        <w:tc>
          <w:tcPr>
            <w:tcW w:w="432" w:type="pct"/>
            <w:tcBorders>
              <w:top w:val="nil"/>
              <w:left w:val="nil"/>
              <w:bottom w:val="single" w:sz="4" w:space="0" w:color="auto"/>
              <w:right w:val="single" w:sz="4" w:space="0" w:color="auto"/>
            </w:tcBorders>
            <w:shd w:val="clear" w:color="auto" w:fill="auto"/>
            <w:noWrap/>
            <w:vAlign w:val="center"/>
            <w:hideMark/>
          </w:tcPr>
          <w:p w14:paraId="3365714D"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5 685 427,00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5B85D67"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1CE42EBB"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5 685 427,00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8E18E80"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0AD6734"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1E923405"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69E254AB"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AD71CD5"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Ultrazvukový přístroj střední třídy-SAMSUNG </w:t>
            </w:r>
            <w:proofErr w:type="spellStart"/>
            <w:r w:rsidRPr="003D04DF">
              <w:rPr>
                <w:rFonts w:ascii="Calibri" w:eastAsia="Times New Roman" w:hAnsi="Calibri" w:cs="Calibri"/>
                <w:color w:val="000000"/>
                <w:sz w:val="17"/>
                <w:szCs w:val="17"/>
                <w:lang w:eastAsia="cs-CZ"/>
              </w:rPr>
              <w:t>Medison</w:t>
            </w:r>
            <w:proofErr w:type="spellEnd"/>
            <w:r w:rsidRPr="003D04DF">
              <w:rPr>
                <w:rFonts w:ascii="Calibri" w:eastAsia="Times New Roman" w:hAnsi="Calibri" w:cs="Calibri"/>
                <w:color w:val="000000"/>
                <w:sz w:val="17"/>
                <w:szCs w:val="17"/>
                <w:lang w:eastAsia="cs-CZ"/>
              </w:rPr>
              <w:t xml:space="preserve"> HS70A</w:t>
            </w:r>
            <w:r w:rsidR="007162B4">
              <w:rPr>
                <w:rFonts w:ascii="Calibri" w:eastAsia="Times New Roman" w:hAnsi="Calibri" w:cs="Calibri"/>
                <w:color w:val="000000"/>
                <w:sz w:val="17"/>
                <w:szCs w:val="17"/>
                <w:lang w:eastAsia="cs-CZ"/>
              </w:rPr>
              <w:t xml:space="preserve"> – </w:t>
            </w:r>
            <w:r w:rsidRPr="003D04DF">
              <w:rPr>
                <w:rFonts w:ascii="Calibri" w:eastAsia="Times New Roman" w:hAnsi="Calibri" w:cs="Calibri"/>
                <w:color w:val="000000"/>
                <w:sz w:val="17"/>
                <w:szCs w:val="17"/>
                <w:lang w:eastAsia="cs-CZ"/>
              </w:rPr>
              <w:t>digitální barevný</w:t>
            </w:r>
          </w:p>
        </w:tc>
        <w:tc>
          <w:tcPr>
            <w:tcW w:w="432" w:type="pct"/>
            <w:tcBorders>
              <w:top w:val="nil"/>
              <w:left w:val="nil"/>
              <w:bottom w:val="single" w:sz="4" w:space="0" w:color="auto"/>
              <w:right w:val="single" w:sz="4" w:space="0" w:color="auto"/>
            </w:tcBorders>
            <w:shd w:val="clear" w:color="auto" w:fill="auto"/>
            <w:noWrap/>
            <w:vAlign w:val="center"/>
            <w:hideMark/>
          </w:tcPr>
          <w:p w14:paraId="1979E2C2"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1 548 491,45</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3FCFBF9"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4B5B74F2"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1 548 491,45</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EA23A90"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1A2E419"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175CF4E8"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642C38E7"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0F8FEC58"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Porodní lůžko AVE</w:t>
            </w:r>
          </w:p>
        </w:tc>
        <w:tc>
          <w:tcPr>
            <w:tcW w:w="432" w:type="pct"/>
            <w:tcBorders>
              <w:top w:val="nil"/>
              <w:left w:val="nil"/>
              <w:bottom w:val="single" w:sz="4" w:space="0" w:color="auto"/>
              <w:right w:val="single" w:sz="4" w:space="0" w:color="auto"/>
            </w:tcBorders>
            <w:shd w:val="clear" w:color="auto" w:fill="auto"/>
            <w:noWrap/>
            <w:vAlign w:val="center"/>
            <w:hideMark/>
          </w:tcPr>
          <w:p w14:paraId="1F6AB5DA"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4 872 040,80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BCF236B"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348E94B1"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4 872 040,80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CEB1574"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69406D7A"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1156E9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E3FA88F"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7B3267C3"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CTG s analýzou ST segmentu dítěte</w:t>
            </w:r>
            <w:r w:rsidR="007162B4">
              <w:rPr>
                <w:rFonts w:ascii="Calibri" w:eastAsia="Times New Roman" w:hAnsi="Calibri" w:cs="Calibri"/>
                <w:color w:val="000000"/>
                <w:sz w:val="17"/>
                <w:szCs w:val="17"/>
                <w:lang w:eastAsia="cs-CZ"/>
              </w:rPr>
              <w:t xml:space="preserve"> – f</w:t>
            </w:r>
            <w:r w:rsidRPr="003D04DF">
              <w:rPr>
                <w:rFonts w:ascii="Calibri" w:eastAsia="Times New Roman" w:hAnsi="Calibri" w:cs="Calibri"/>
                <w:color w:val="000000"/>
                <w:sz w:val="17"/>
                <w:szCs w:val="17"/>
                <w:lang w:eastAsia="cs-CZ"/>
              </w:rPr>
              <w:t>etální monitor s ST analýzou STAN S 41</w:t>
            </w:r>
          </w:p>
        </w:tc>
        <w:tc>
          <w:tcPr>
            <w:tcW w:w="432" w:type="pct"/>
            <w:tcBorders>
              <w:top w:val="nil"/>
              <w:left w:val="nil"/>
              <w:bottom w:val="single" w:sz="4" w:space="0" w:color="auto"/>
              <w:right w:val="single" w:sz="4" w:space="0" w:color="auto"/>
            </w:tcBorders>
            <w:shd w:val="clear" w:color="auto" w:fill="auto"/>
            <w:noWrap/>
            <w:vAlign w:val="center"/>
            <w:hideMark/>
          </w:tcPr>
          <w:p w14:paraId="57C3A0AB"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1 251 268,75</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6F7B1A4"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67669B2C"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1 251 268,75</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65BC278"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A9D562A"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7B4D32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F14BC2F"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79842213"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Inkubátor kombinovaný s vyhřívaným lůžkem, typ </w:t>
            </w:r>
            <w:proofErr w:type="spellStart"/>
            <w:r w:rsidRPr="003D04DF">
              <w:rPr>
                <w:rFonts w:ascii="Calibri" w:eastAsia="Times New Roman" w:hAnsi="Calibri" w:cs="Calibri"/>
                <w:color w:val="000000"/>
                <w:sz w:val="17"/>
                <w:szCs w:val="17"/>
                <w:lang w:eastAsia="cs-CZ"/>
              </w:rPr>
              <w:t>Babyleo</w:t>
            </w:r>
            <w:proofErr w:type="spellEnd"/>
            <w:r w:rsidRPr="003D04DF">
              <w:rPr>
                <w:rFonts w:ascii="Calibri" w:eastAsia="Times New Roman" w:hAnsi="Calibri" w:cs="Calibri"/>
                <w:color w:val="000000"/>
                <w:sz w:val="17"/>
                <w:szCs w:val="17"/>
                <w:lang w:eastAsia="cs-CZ"/>
              </w:rPr>
              <w:t xml:space="preserve"> TN500</w:t>
            </w:r>
          </w:p>
        </w:tc>
        <w:tc>
          <w:tcPr>
            <w:tcW w:w="432" w:type="pct"/>
            <w:tcBorders>
              <w:top w:val="nil"/>
              <w:left w:val="nil"/>
              <w:bottom w:val="single" w:sz="4" w:space="0" w:color="auto"/>
              <w:right w:val="single" w:sz="4" w:space="0" w:color="auto"/>
            </w:tcBorders>
            <w:shd w:val="clear" w:color="auto" w:fill="auto"/>
            <w:noWrap/>
            <w:vAlign w:val="center"/>
            <w:hideMark/>
          </w:tcPr>
          <w:p w14:paraId="5D1C2C49"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5 366 528,43</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CDBD040"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37D0F806"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5 366 528,43</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66C7D0AC"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B69580C"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20FF508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DC0A7D3"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62F33B9E"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Plicní ventilátor </w:t>
            </w:r>
            <w:proofErr w:type="spellStart"/>
            <w:r w:rsidRPr="003D04DF">
              <w:rPr>
                <w:rFonts w:ascii="Calibri" w:eastAsia="Times New Roman" w:hAnsi="Calibri" w:cs="Calibri"/>
                <w:color w:val="000000"/>
                <w:sz w:val="17"/>
                <w:szCs w:val="17"/>
                <w:lang w:eastAsia="cs-CZ"/>
              </w:rPr>
              <w:t>Servo</w:t>
            </w:r>
            <w:proofErr w:type="spellEnd"/>
            <w:r w:rsidRPr="003D04DF">
              <w:rPr>
                <w:rFonts w:ascii="Calibri" w:eastAsia="Times New Roman" w:hAnsi="Calibri" w:cs="Calibri"/>
                <w:color w:val="000000"/>
                <w:sz w:val="17"/>
                <w:szCs w:val="17"/>
                <w:lang w:eastAsia="cs-CZ"/>
              </w:rPr>
              <w:t xml:space="preserve">-n </w:t>
            </w:r>
          </w:p>
        </w:tc>
        <w:tc>
          <w:tcPr>
            <w:tcW w:w="432" w:type="pct"/>
            <w:tcBorders>
              <w:top w:val="nil"/>
              <w:left w:val="nil"/>
              <w:bottom w:val="single" w:sz="4" w:space="0" w:color="auto"/>
              <w:right w:val="single" w:sz="4" w:space="0" w:color="auto"/>
            </w:tcBorders>
            <w:shd w:val="clear" w:color="auto" w:fill="auto"/>
            <w:noWrap/>
            <w:vAlign w:val="center"/>
            <w:hideMark/>
          </w:tcPr>
          <w:p w14:paraId="284300E1"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7 460 255,00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D858178"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5C4A83D"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7 460 255,00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4772F96"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080A5A21" w14:textId="77777777" w:rsidTr="004F7FAB">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536393EF"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2E2F0DEB" w14:textId="77777777" w:rsidR="00FB487D" w:rsidRPr="003D04DF" w:rsidRDefault="00FB487D" w:rsidP="005130B3">
            <w:pPr>
              <w:keepNext/>
              <w:keepLines/>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5E35BEE5" w14:textId="77777777" w:rsidR="00FB487D" w:rsidRPr="003D04DF" w:rsidRDefault="007E2A6B" w:rsidP="005130B3">
            <w:pPr>
              <w:keepNext/>
              <w:keepLines/>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Transportní inkubátor</w:t>
            </w:r>
          </w:p>
        </w:tc>
        <w:tc>
          <w:tcPr>
            <w:tcW w:w="432" w:type="pct"/>
            <w:tcBorders>
              <w:top w:val="nil"/>
              <w:left w:val="nil"/>
              <w:bottom w:val="nil"/>
              <w:right w:val="single" w:sz="4" w:space="0" w:color="auto"/>
            </w:tcBorders>
            <w:shd w:val="clear" w:color="auto" w:fill="auto"/>
            <w:noWrap/>
            <w:vAlign w:val="center"/>
            <w:hideMark/>
          </w:tcPr>
          <w:p w14:paraId="4EE93ED1"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2 464 960,21</w:t>
            </w:r>
          </w:p>
        </w:tc>
        <w:tc>
          <w:tcPr>
            <w:tcW w:w="278" w:type="pct"/>
            <w:tcBorders>
              <w:top w:val="single" w:sz="4" w:space="0" w:color="auto"/>
              <w:left w:val="single" w:sz="4" w:space="0" w:color="auto"/>
              <w:bottom w:val="nil"/>
              <w:right w:val="single" w:sz="4" w:space="0" w:color="auto"/>
            </w:tcBorders>
            <w:shd w:val="clear" w:color="000000" w:fill="548235"/>
            <w:noWrap/>
            <w:vAlign w:val="center"/>
            <w:hideMark/>
          </w:tcPr>
          <w:p w14:paraId="651BB9C8"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3B31009" w14:textId="77777777" w:rsidR="00FB487D" w:rsidRPr="003D04DF" w:rsidRDefault="007E2A6B" w:rsidP="005130B3">
            <w:pPr>
              <w:keepNext/>
              <w:keepLines/>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2 464 960,21</w:t>
            </w:r>
          </w:p>
        </w:tc>
        <w:tc>
          <w:tcPr>
            <w:tcW w:w="228" w:type="pct"/>
            <w:tcBorders>
              <w:top w:val="single" w:sz="4" w:space="0" w:color="auto"/>
              <w:left w:val="single" w:sz="4" w:space="0" w:color="auto"/>
              <w:bottom w:val="nil"/>
              <w:right w:val="single" w:sz="4" w:space="0" w:color="auto"/>
            </w:tcBorders>
            <w:shd w:val="clear" w:color="000000" w:fill="548235"/>
            <w:noWrap/>
            <w:vAlign w:val="center"/>
            <w:hideMark/>
          </w:tcPr>
          <w:p w14:paraId="377B1611"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4F7FAB" w14:paraId="299273E3" w14:textId="77777777" w:rsidTr="004F7FAB">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10305033"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28816E73" w14:textId="77777777" w:rsidR="00FB487D" w:rsidRPr="003D04DF" w:rsidRDefault="007E2A6B" w:rsidP="005130B3">
            <w:pPr>
              <w:keepNext/>
              <w:keepLines/>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0876F4EB" w14:textId="77777777" w:rsidR="00FB487D" w:rsidRPr="003D04DF" w:rsidRDefault="007E2A6B" w:rsidP="005130B3">
            <w:pPr>
              <w:keepNext/>
              <w:keepLines/>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44 852 657,07</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569E8541"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tcBorders>
            <w:shd w:val="clear" w:color="000000" w:fill="E5F1FF"/>
            <w:noWrap/>
            <w:vAlign w:val="center"/>
            <w:hideMark/>
          </w:tcPr>
          <w:p w14:paraId="1A6AFD0F" w14:textId="77777777" w:rsidR="00FB487D" w:rsidRPr="003D04DF" w:rsidRDefault="007E2A6B" w:rsidP="005130B3">
            <w:pPr>
              <w:keepNext/>
              <w:keepLines/>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44 852 657,07</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157AF840" w14:textId="77777777" w:rsidR="00FB487D" w:rsidRPr="003D04DF" w:rsidRDefault="007E2A6B" w:rsidP="005130B3">
            <w:pPr>
              <w:keepNext/>
              <w:keepLines/>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5198B849" w14:textId="77777777" w:rsidTr="005130B3">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72748DA0"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CZ.06.2.56/0.0/0.0/16_043/0001469</w:t>
            </w:r>
            <w:r w:rsidRPr="003D04DF">
              <w:rPr>
                <w:rFonts w:ascii="Calibri" w:eastAsia="Times New Roman" w:hAnsi="Calibri" w:cs="Calibri"/>
                <w:b/>
                <w:bCs/>
                <w:color w:val="000000"/>
                <w:sz w:val="17"/>
                <w:szCs w:val="17"/>
                <w:lang w:eastAsia="cs-CZ"/>
              </w:rPr>
              <w:br/>
              <w:t>Zvýšení kvality návazné péče v Nemocnici Vyškov</w:t>
            </w:r>
            <w:r w:rsidR="007162B4">
              <w:rPr>
                <w:rFonts w:ascii="Calibri" w:eastAsia="Times New Roman" w:hAnsi="Calibri" w:cs="Calibri"/>
                <w:b/>
                <w:bCs/>
                <w:color w:val="000000"/>
                <w:sz w:val="17"/>
                <w:szCs w:val="17"/>
                <w:lang w:eastAsia="cs-CZ"/>
              </w:rPr>
              <w:t>, příspěvkové organizaci</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7C6A1BD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Nemocnice Vyškov, příspěvková organizace</w:t>
            </w:r>
          </w:p>
        </w:tc>
        <w:tc>
          <w:tcPr>
            <w:tcW w:w="2219" w:type="pct"/>
            <w:tcBorders>
              <w:top w:val="nil"/>
              <w:left w:val="nil"/>
              <w:bottom w:val="single" w:sz="4" w:space="0" w:color="auto"/>
              <w:right w:val="single" w:sz="4" w:space="0" w:color="auto"/>
            </w:tcBorders>
            <w:shd w:val="clear" w:color="auto" w:fill="auto"/>
            <w:vAlign w:val="center"/>
            <w:hideMark/>
          </w:tcPr>
          <w:p w14:paraId="0DBC37D2"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Lůžko standardní elektrické</w:t>
            </w:r>
          </w:p>
        </w:tc>
        <w:tc>
          <w:tcPr>
            <w:tcW w:w="432" w:type="pct"/>
            <w:tcBorders>
              <w:top w:val="nil"/>
              <w:left w:val="nil"/>
              <w:bottom w:val="single" w:sz="4" w:space="0" w:color="auto"/>
              <w:right w:val="single" w:sz="4" w:space="0" w:color="auto"/>
            </w:tcBorders>
            <w:shd w:val="clear" w:color="auto" w:fill="auto"/>
            <w:noWrap/>
            <w:vAlign w:val="center"/>
            <w:hideMark/>
          </w:tcPr>
          <w:p w14:paraId="08B625D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1 849 122,21</w:t>
            </w:r>
          </w:p>
        </w:tc>
        <w:tc>
          <w:tcPr>
            <w:tcW w:w="278" w:type="pct"/>
            <w:tcBorders>
              <w:top w:val="nil"/>
              <w:left w:val="single" w:sz="4" w:space="0" w:color="auto"/>
              <w:bottom w:val="single" w:sz="4" w:space="0" w:color="auto"/>
              <w:right w:val="single" w:sz="4" w:space="0" w:color="auto"/>
            </w:tcBorders>
            <w:shd w:val="clear" w:color="000000" w:fill="548235"/>
            <w:noWrap/>
            <w:vAlign w:val="center"/>
            <w:hideMark/>
          </w:tcPr>
          <w:p w14:paraId="4ED7806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3C66BA14"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1 849 122,21</w:t>
            </w:r>
          </w:p>
        </w:tc>
        <w:tc>
          <w:tcPr>
            <w:tcW w:w="228" w:type="pct"/>
            <w:tcBorders>
              <w:top w:val="nil"/>
              <w:left w:val="single" w:sz="4" w:space="0" w:color="auto"/>
              <w:bottom w:val="single" w:sz="4" w:space="0" w:color="auto"/>
              <w:right w:val="single" w:sz="4" w:space="0" w:color="auto"/>
            </w:tcBorders>
            <w:shd w:val="clear" w:color="000000" w:fill="548235"/>
            <w:noWrap/>
            <w:vAlign w:val="center"/>
            <w:hideMark/>
          </w:tcPr>
          <w:p w14:paraId="4BFD5AF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5CAA318D"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AE2A59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13F70F89"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081BBC7C"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Mikrobiologie</w:t>
            </w:r>
          </w:p>
        </w:tc>
        <w:tc>
          <w:tcPr>
            <w:tcW w:w="432" w:type="pct"/>
            <w:tcBorders>
              <w:top w:val="nil"/>
              <w:left w:val="nil"/>
              <w:bottom w:val="single" w:sz="4" w:space="0" w:color="auto"/>
              <w:right w:val="single" w:sz="4" w:space="0" w:color="auto"/>
            </w:tcBorders>
            <w:shd w:val="clear" w:color="auto" w:fill="auto"/>
            <w:noWrap/>
            <w:vAlign w:val="center"/>
            <w:hideMark/>
          </w:tcPr>
          <w:p w14:paraId="2B1A9FF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10 992 692,70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778769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2369615C"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10 992 692,70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CC8C13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AA8C7F0" w14:textId="77777777" w:rsidTr="007A0371">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083BD9C0"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B1D40F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C520FA2"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Operační stoly MAQUET </w:t>
            </w:r>
            <w:proofErr w:type="spellStart"/>
            <w:r w:rsidRPr="003D04DF">
              <w:rPr>
                <w:rFonts w:ascii="Calibri" w:eastAsia="Times New Roman" w:hAnsi="Calibri" w:cs="Calibri"/>
                <w:color w:val="000000"/>
                <w:sz w:val="17"/>
                <w:szCs w:val="17"/>
                <w:lang w:eastAsia="cs-CZ"/>
              </w:rPr>
              <w:t>Otesus</w:t>
            </w:r>
            <w:proofErr w:type="spellEnd"/>
            <w:r w:rsidRPr="003D04DF">
              <w:rPr>
                <w:rFonts w:ascii="Calibri" w:eastAsia="Times New Roman" w:hAnsi="Calibri" w:cs="Calibri"/>
                <w:color w:val="000000"/>
                <w:sz w:val="17"/>
                <w:szCs w:val="17"/>
                <w:lang w:eastAsia="cs-CZ"/>
              </w:rPr>
              <w:t xml:space="preserve"> 1160 </w:t>
            </w:r>
            <w:r w:rsidR="007162B4">
              <w:rPr>
                <w:rFonts w:ascii="Calibri" w:eastAsia="Times New Roman" w:hAnsi="Calibri" w:cs="Calibri"/>
                <w:color w:val="000000"/>
                <w:sz w:val="17"/>
                <w:szCs w:val="17"/>
                <w:lang w:eastAsia="cs-CZ"/>
              </w:rPr>
              <w:t>–</w:t>
            </w:r>
            <w:r w:rsidRPr="003D04DF">
              <w:rPr>
                <w:rFonts w:ascii="Calibri" w:eastAsia="Times New Roman" w:hAnsi="Calibri" w:cs="Calibri"/>
                <w:color w:val="000000"/>
                <w:sz w:val="17"/>
                <w:szCs w:val="17"/>
                <w:lang w:eastAsia="cs-CZ"/>
              </w:rPr>
              <w:t xml:space="preserve"> chirurgické operační sály</w:t>
            </w:r>
          </w:p>
        </w:tc>
        <w:tc>
          <w:tcPr>
            <w:tcW w:w="432" w:type="pct"/>
            <w:tcBorders>
              <w:top w:val="nil"/>
              <w:left w:val="nil"/>
              <w:bottom w:val="single" w:sz="4" w:space="0" w:color="auto"/>
              <w:right w:val="single" w:sz="4" w:space="0" w:color="auto"/>
            </w:tcBorders>
            <w:shd w:val="clear" w:color="auto" w:fill="auto"/>
            <w:noWrap/>
            <w:vAlign w:val="center"/>
            <w:hideMark/>
          </w:tcPr>
          <w:p w14:paraId="632E93D7"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13 157 502,73</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CEA7EB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1B0C03A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13 157 502,73</w:t>
            </w:r>
          </w:p>
        </w:tc>
        <w:tc>
          <w:tcPr>
            <w:tcW w:w="228"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6F4067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3</w:t>
            </w:r>
          </w:p>
        </w:tc>
      </w:tr>
      <w:tr w:rsidR="00D44C38" w14:paraId="1CF3887F"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80B31AE"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07DC4D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3F543C6"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Pacientská lůžka (pořízeno 18 ks lůžek a 60 ks matrací, do kontrolního vzorku pro ověření účelnosti zařazeno 8 ks lůžek)</w:t>
            </w:r>
          </w:p>
        </w:tc>
        <w:tc>
          <w:tcPr>
            <w:tcW w:w="432" w:type="pct"/>
            <w:tcBorders>
              <w:top w:val="nil"/>
              <w:left w:val="nil"/>
              <w:bottom w:val="single" w:sz="4" w:space="0" w:color="auto"/>
              <w:right w:val="single" w:sz="4" w:space="0" w:color="auto"/>
            </w:tcBorders>
            <w:shd w:val="clear" w:color="auto" w:fill="auto"/>
            <w:noWrap/>
            <w:vAlign w:val="center"/>
            <w:hideMark/>
          </w:tcPr>
          <w:p w14:paraId="1335CA7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1 638 639,64</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11A5E2C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23FA673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2 479 804,60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85701F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63E1A830"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5C83E36"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2E0781CC"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710B4353"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Ultrazvuky (pořízeno 7 ks, do kontrolního vzorku pro ověření účelnosti zařazeny 4 ks)</w:t>
            </w:r>
          </w:p>
        </w:tc>
        <w:tc>
          <w:tcPr>
            <w:tcW w:w="432" w:type="pct"/>
            <w:tcBorders>
              <w:top w:val="nil"/>
              <w:left w:val="nil"/>
              <w:bottom w:val="single" w:sz="4" w:space="0" w:color="auto"/>
              <w:right w:val="single" w:sz="4" w:space="0" w:color="auto"/>
            </w:tcBorders>
            <w:shd w:val="clear" w:color="auto" w:fill="auto"/>
            <w:noWrap/>
            <w:vAlign w:val="center"/>
            <w:hideMark/>
          </w:tcPr>
          <w:p w14:paraId="5822CDA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7 557 660,00</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A3834F1"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6953E10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11 826 540,00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1EBF34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64B34663"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62FE23C2"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AAEC003"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D091A91"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Vyhřívané lůžko pro kojence</w:t>
            </w:r>
          </w:p>
        </w:tc>
        <w:tc>
          <w:tcPr>
            <w:tcW w:w="432" w:type="pct"/>
            <w:tcBorders>
              <w:top w:val="nil"/>
              <w:left w:val="nil"/>
              <w:bottom w:val="single" w:sz="4" w:space="0" w:color="auto"/>
              <w:right w:val="single" w:sz="4" w:space="0" w:color="auto"/>
            </w:tcBorders>
            <w:shd w:val="clear" w:color="auto" w:fill="auto"/>
            <w:noWrap/>
            <w:vAlign w:val="center"/>
            <w:hideMark/>
          </w:tcPr>
          <w:p w14:paraId="514D0098"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0,00</w:t>
            </w:r>
          </w:p>
        </w:tc>
        <w:tc>
          <w:tcPr>
            <w:tcW w:w="278" w:type="pct"/>
            <w:tcBorders>
              <w:top w:val="nil"/>
              <w:left w:val="nil"/>
              <w:bottom w:val="single" w:sz="4" w:space="0" w:color="auto"/>
              <w:right w:val="single" w:sz="4" w:space="0" w:color="auto"/>
            </w:tcBorders>
            <w:shd w:val="clear" w:color="auto" w:fill="auto"/>
            <w:noWrap/>
            <w:vAlign w:val="center"/>
            <w:hideMark/>
          </w:tcPr>
          <w:p w14:paraId="121CB1D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X</w:t>
            </w:r>
          </w:p>
        </w:tc>
        <w:tc>
          <w:tcPr>
            <w:tcW w:w="432" w:type="pct"/>
            <w:tcBorders>
              <w:top w:val="nil"/>
              <w:left w:val="nil"/>
              <w:bottom w:val="single" w:sz="4" w:space="0" w:color="auto"/>
              <w:right w:val="single" w:sz="4" w:space="0" w:color="auto"/>
            </w:tcBorders>
            <w:shd w:val="clear" w:color="auto" w:fill="auto"/>
            <w:noWrap/>
            <w:vAlign w:val="center"/>
            <w:hideMark/>
          </w:tcPr>
          <w:p w14:paraId="71DF712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250 945,89</w:t>
            </w:r>
          </w:p>
        </w:tc>
        <w:tc>
          <w:tcPr>
            <w:tcW w:w="228" w:type="pct"/>
            <w:tcBorders>
              <w:top w:val="nil"/>
              <w:left w:val="nil"/>
              <w:bottom w:val="single" w:sz="4" w:space="0" w:color="auto"/>
              <w:right w:val="single" w:sz="4" w:space="0" w:color="auto"/>
            </w:tcBorders>
            <w:shd w:val="clear" w:color="000000" w:fill="548235"/>
            <w:noWrap/>
            <w:vAlign w:val="center"/>
            <w:hideMark/>
          </w:tcPr>
          <w:p w14:paraId="2404BC2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42B5489"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CA02778"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371708D3"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09BA6584"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Inkubátory</w:t>
            </w:r>
          </w:p>
        </w:tc>
        <w:tc>
          <w:tcPr>
            <w:tcW w:w="432" w:type="pct"/>
            <w:tcBorders>
              <w:top w:val="nil"/>
              <w:left w:val="nil"/>
              <w:bottom w:val="nil"/>
              <w:right w:val="single" w:sz="4" w:space="0" w:color="auto"/>
            </w:tcBorders>
            <w:shd w:val="clear" w:color="auto" w:fill="auto"/>
            <w:noWrap/>
            <w:vAlign w:val="center"/>
            <w:hideMark/>
          </w:tcPr>
          <w:p w14:paraId="4ED52AC8"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0,00</w:t>
            </w:r>
          </w:p>
        </w:tc>
        <w:tc>
          <w:tcPr>
            <w:tcW w:w="278" w:type="pct"/>
            <w:tcBorders>
              <w:top w:val="nil"/>
              <w:left w:val="nil"/>
              <w:bottom w:val="nil"/>
              <w:right w:val="single" w:sz="4" w:space="0" w:color="auto"/>
            </w:tcBorders>
            <w:shd w:val="clear" w:color="auto" w:fill="auto"/>
            <w:noWrap/>
            <w:vAlign w:val="center"/>
            <w:hideMark/>
          </w:tcPr>
          <w:p w14:paraId="62D70C7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X</w:t>
            </w:r>
          </w:p>
        </w:tc>
        <w:tc>
          <w:tcPr>
            <w:tcW w:w="432" w:type="pct"/>
            <w:tcBorders>
              <w:top w:val="nil"/>
              <w:left w:val="nil"/>
              <w:bottom w:val="nil"/>
              <w:right w:val="single" w:sz="4" w:space="0" w:color="auto"/>
            </w:tcBorders>
            <w:shd w:val="clear" w:color="auto" w:fill="auto"/>
            <w:noWrap/>
            <w:vAlign w:val="center"/>
            <w:hideMark/>
          </w:tcPr>
          <w:p w14:paraId="6F068BA5"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629 376,66</w:t>
            </w:r>
          </w:p>
        </w:tc>
        <w:tc>
          <w:tcPr>
            <w:tcW w:w="228" w:type="pct"/>
            <w:tcBorders>
              <w:top w:val="nil"/>
              <w:left w:val="nil"/>
              <w:bottom w:val="nil"/>
              <w:right w:val="single" w:sz="4" w:space="0" w:color="auto"/>
            </w:tcBorders>
            <w:shd w:val="clear" w:color="000000" w:fill="548235"/>
            <w:noWrap/>
            <w:vAlign w:val="center"/>
            <w:hideMark/>
          </w:tcPr>
          <w:p w14:paraId="6928254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AD2DE6A"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D56DEA4"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18A80F60"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02628888"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35 195 617,28</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191C74C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73B949BD"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41 185 984,79</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264EDF22"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06DD417C" w14:textId="77777777" w:rsidTr="005130B3">
        <w:trPr>
          <w:cantSplit/>
          <w:trHeight w:val="20"/>
        </w:trPr>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14:paraId="46AB51CA"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CZ.06.2.56/0.0/0.0/16_043/0001571</w:t>
            </w:r>
            <w:r w:rsidRPr="003D04DF">
              <w:rPr>
                <w:rFonts w:ascii="Calibri" w:eastAsia="Times New Roman" w:hAnsi="Calibri" w:cs="Calibri"/>
                <w:b/>
                <w:bCs/>
                <w:color w:val="000000"/>
                <w:sz w:val="17"/>
                <w:szCs w:val="17"/>
                <w:lang w:eastAsia="cs-CZ"/>
              </w:rPr>
              <w:br/>
              <w:t>Zvýšení kvality návazné péče v Nemocnici Vyškov</w:t>
            </w:r>
            <w:r w:rsidR="005B621C">
              <w:rPr>
                <w:rFonts w:ascii="Calibri" w:eastAsia="Times New Roman" w:hAnsi="Calibri" w:cs="Calibri"/>
                <w:b/>
                <w:bCs/>
                <w:color w:val="000000"/>
                <w:sz w:val="17"/>
                <w:szCs w:val="17"/>
                <w:lang w:eastAsia="cs-CZ"/>
              </w:rPr>
              <w:t>, příspěvkové organizaci</w:t>
            </w:r>
            <w:r w:rsidRPr="003D04DF">
              <w:rPr>
                <w:rFonts w:ascii="Calibri" w:eastAsia="Times New Roman" w:hAnsi="Calibri" w:cs="Calibri"/>
                <w:b/>
                <w:bCs/>
                <w:color w:val="000000"/>
                <w:sz w:val="17"/>
                <w:szCs w:val="17"/>
                <w:lang w:eastAsia="cs-CZ"/>
              </w:rPr>
              <w:t xml:space="preserve"> </w:t>
            </w:r>
            <w:r w:rsidR="005B621C" w:rsidRPr="007B6038">
              <w:rPr>
                <w:rFonts w:ascii="Calibri" w:eastAsia="Times New Roman" w:hAnsi="Calibri" w:cs="Calibri"/>
                <w:b/>
                <w:color w:val="000000"/>
                <w:sz w:val="17"/>
                <w:szCs w:val="17"/>
                <w:lang w:eastAsia="cs-CZ"/>
              </w:rPr>
              <w:t xml:space="preserve">– </w:t>
            </w:r>
            <w:r w:rsidRPr="003D04DF">
              <w:rPr>
                <w:rFonts w:ascii="Calibri" w:eastAsia="Times New Roman" w:hAnsi="Calibri" w:cs="Calibri"/>
                <w:b/>
                <w:bCs/>
                <w:color w:val="000000"/>
                <w:sz w:val="17"/>
                <w:szCs w:val="17"/>
                <w:lang w:eastAsia="cs-CZ"/>
              </w:rPr>
              <w:t xml:space="preserve">2. část </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356D7E9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Nemocnice Vyškov, příspěvková organizace</w:t>
            </w:r>
          </w:p>
        </w:tc>
        <w:tc>
          <w:tcPr>
            <w:tcW w:w="2219" w:type="pct"/>
            <w:tcBorders>
              <w:top w:val="nil"/>
              <w:left w:val="nil"/>
              <w:bottom w:val="single" w:sz="4" w:space="0" w:color="auto"/>
              <w:right w:val="single" w:sz="4" w:space="0" w:color="auto"/>
            </w:tcBorders>
            <w:shd w:val="clear" w:color="auto" w:fill="auto"/>
            <w:vAlign w:val="center"/>
            <w:hideMark/>
          </w:tcPr>
          <w:p w14:paraId="449E0FEB"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Skiaskopicko skiagrafické zařízení s přímou digitalizací – Luminos DRF MAX</w:t>
            </w:r>
          </w:p>
        </w:tc>
        <w:tc>
          <w:tcPr>
            <w:tcW w:w="432" w:type="pct"/>
            <w:tcBorders>
              <w:top w:val="nil"/>
              <w:left w:val="nil"/>
              <w:bottom w:val="single" w:sz="4" w:space="0" w:color="auto"/>
              <w:right w:val="single" w:sz="4" w:space="0" w:color="auto"/>
            </w:tcBorders>
            <w:shd w:val="clear" w:color="auto" w:fill="auto"/>
            <w:noWrap/>
            <w:vAlign w:val="center"/>
            <w:hideMark/>
          </w:tcPr>
          <w:p w14:paraId="7ED5728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7 104 897,36</w:t>
            </w:r>
          </w:p>
        </w:tc>
        <w:tc>
          <w:tcPr>
            <w:tcW w:w="278" w:type="pct"/>
            <w:tcBorders>
              <w:top w:val="nil"/>
              <w:left w:val="single" w:sz="4" w:space="0" w:color="auto"/>
              <w:bottom w:val="single" w:sz="4" w:space="0" w:color="auto"/>
              <w:right w:val="single" w:sz="4" w:space="0" w:color="auto"/>
            </w:tcBorders>
            <w:shd w:val="clear" w:color="000000" w:fill="A9D08E"/>
            <w:noWrap/>
            <w:vAlign w:val="center"/>
            <w:hideMark/>
          </w:tcPr>
          <w:p w14:paraId="5D977BC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17759B3A"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7 104 897,36</w:t>
            </w:r>
          </w:p>
        </w:tc>
        <w:tc>
          <w:tcPr>
            <w:tcW w:w="228" w:type="pct"/>
            <w:tcBorders>
              <w:top w:val="nil"/>
              <w:left w:val="single" w:sz="4" w:space="0" w:color="auto"/>
              <w:bottom w:val="single" w:sz="4" w:space="0" w:color="auto"/>
              <w:right w:val="single" w:sz="4" w:space="0" w:color="auto"/>
            </w:tcBorders>
            <w:shd w:val="clear" w:color="000000" w:fill="548235"/>
            <w:noWrap/>
            <w:vAlign w:val="center"/>
            <w:hideMark/>
          </w:tcPr>
          <w:p w14:paraId="15D0D08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49517EED"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125F57B"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58475BCE"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4499CBDF"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Skiagrafický RTG přístroj s přímou digitalizací Samsung GC85A včetně zařízení pro snímkování u lůžka Samsung GM85A</w:t>
            </w:r>
          </w:p>
        </w:tc>
        <w:tc>
          <w:tcPr>
            <w:tcW w:w="432" w:type="pct"/>
            <w:tcBorders>
              <w:top w:val="nil"/>
              <w:left w:val="nil"/>
              <w:bottom w:val="nil"/>
              <w:right w:val="single" w:sz="4" w:space="0" w:color="auto"/>
            </w:tcBorders>
            <w:shd w:val="clear" w:color="auto" w:fill="auto"/>
            <w:noWrap/>
            <w:vAlign w:val="center"/>
            <w:hideMark/>
          </w:tcPr>
          <w:p w14:paraId="5B2F0247"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8 851 392,00</w:t>
            </w:r>
          </w:p>
        </w:tc>
        <w:tc>
          <w:tcPr>
            <w:tcW w:w="278" w:type="pct"/>
            <w:tcBorders>
              <w:top w:val="single" w:sz="4" w:space="0" w:color="auto"/>
              <w:left w:val="single" w:sz="4" w:space="0" w:color="auto"/>
              <w:bottom w:val="nil"/>
              <w:right w:val="single" w:sz="4" w:space="0" w:color="auto"/>
            </w:tcBorders>
            <w:shd w:val="clear" w:color="000000" w:fill="A9D08E"/>
            <w:noWrap/>
            <w:vAlign w:val="center"/>
            <w:hideMark/>
          </w:tcPr>
          <w:p w14:paraId="3577369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nil"/>
              <w:right w:val="single" w:sz="4" w:space="0" w:color="auto"/>
            </w:tcBorders>
            <w:shd w:val="clear" w:color="auto" w:fill="auto"/>
            <w:noWrap/>
            <w:vAlign w:val="center"/>
            <w:hideMark/>
          </w:tcPr>
          <w:p w14:paraId="3975D55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8 851 392,00</w:t>
            </w:r>
          </w:p>
        </w:tc>
        <w:tc>
          <w:tcPr>
            <w:tcW w:w="228" w:type="pct"/>
            <w:tcBorders>
              <w:top w:val="single" w:sz="4" w:space="0" w:color="auto"/>
              <w:left w:val="single" w:sz="4" w:space="0" w:color="auto"/>
              <w:bottom w:val="nil"/>
              <w:right w:val="single" w:sz="4" w:space="0" w:color="auto"/>
            </w:tcBorders>
            <w:shd w:val="clear" w:color="000000" w:fill="548235"/>
            <w:noWrap/>
            <w:vAlign w:val="center"/>
            <w:hideMark/>
          </w:tcPr>
          <w:p w14:paraId="78860A9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1BE28482"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567F20F0"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661F8508"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623F68AF"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15 956 289,36</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359FE72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52748EE0"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15 956 289,36</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5C9A05E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5EBDE67B" w14:textId="77777777" w:rsidTr="00D9370B">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22B2B"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CZ.06.2.56/0.0/0.0/16_043/0001176</w:t>
            </w:r>
            <w:r w:rsidRPr="003D04DF">
              <w:rPr>
                <w:rFonts w:ascii="Calibri" w:eastAsia="Times New Roman" w:hAnsi="Calibri" w:cs="Calibri"/>
                <w:b/>
                <w:bCs/>
                <w:color w:val="000000"/>
                <w:sz w:val="17"/>
                <w:szCs w:val="17"/>
                <w:lang w:eastAsia="cs-CZ"/>
              </w:rPr>
              <w:br/>
              <w:t xml:space="preserve">Zvýšení kvality návazné péče </w:t>
            </w:r>
            <w:r w:rsidR="005B621C" w:rsidRPr="007B6038">
              <w:rPr>
                <w:rFonts w:ascii="Calibri" w:eastAsia="Times New Roman" w:hAnsi="Calibri" w:cs="Calibri"/>
                <w:b/>
                <w:color w:val="000000"/>
                <w:sz w:val="17"/>
                <w:szCs w:val="17"/>
                <w:lang w:eastAsia="cs-CZ"/>
              </w:rPr>
              <w:t xml:space="preserve">– </w:t>
            </w:r>
            <w:r w:rsidRPr="003D04DF">
              <w:rPr>
                <w:rFonts w:ascii="Calibri" w:eastAsia="Times New Roman" w:hAnsi="Calibri" w:cs="Calibri"/>
                <w:b/>
                <w:bCs/>
                <w:color w:val="000000"/>
                <w:sz w:val="17"/>
                <w:szCs w:val="17"/>
                <w:lang w:eastAsia="cs-CZ"/>
              </w:rPr>
              <w:t>Fakultní nemocnice Ostrava B</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EF673"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xml:space="preserve">Fakultní nemocnice Ostrava </w:t>
            </w:r>
          </w:p>
        </w:tc>
        <w:tc>
          <w:tcPr>
            <w:tcW w:w="2219" w:type="pct"/>
            <w:tcBorders>
              <w:top w:val="single" w:sz="4" w:space="0" w:color="auto"/>
              <w:left w:val="nil"/>
              <w:bottom w:val="single" w:sz="4" w:space="0" w:color="auto"/>
              <w:right w:val="single" w:sz="4" w:space="0" w:color="auto"/>
            </w:tcBorders>
            <w:shd w:val="clear" w:color="auto" w:fill="auto"/>
            <w:vAlign w:val="center"/>
            <w:hideMark/>
          </w:tcPr>
          <w:p w14:paraId="3C816DD9"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C92734">
              <w:rPr>
                <w:rFonts w:ascii="Calibri" w:eastAsia="Times New Roman" w:hAnsi="Calibri" w:cs="Calibri"/>
                <w:color w:val="000000"/>
                <w:sz w:val="17"/>
                <w:szCs w:val="17"/>
                <w:lang w:eastAsia="cs-CZ"/>
              </w:rPr>
              <w:t>CT přístroj SOMATOM Force</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4C5FF007"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44 393 690,00</w:t>
            </w:r>
          </w:p>
        </w:tc>
        <w:tc>
          <w:tcPr>
            <w:tcW w:w="27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8205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C4DCE1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44 393 690,00</w:t>
            </w:r>
          </w:p>
        </w:tc>
        <w:tc>
          <w:tcPr>
            <w:tcW w:w="22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FE77D47" w14:textId="77777777" w:rsidR="00FB487D" w:rsidRPr="003D04DF" w:rsidRDefault="00D9370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r>
      <w:tr w:rsidR="00D44C38" w14:paraId="59A9B4B6" w14:textId="77777777" w:rsidTr="00D9370B">
        <w:trPr>
          <w:cantSplit/>
          <w:trHeight w:val="317"/>
        </w:trPr>
        <w:tc>
          <w:tcPr>
            <w:tcW w:w="974" w:type="pct"/>
            <w:vMerge/>
            <w:tcBorders>
              <w:top w:val="nil"/>
              <w:left w:val="single" w:sz="4" w:space="0" w:color="auto"/>
              <w:bottom w:val="single" w:sz="4" w:space="0" w:color="auto"/>
              <w:right w:val="single" w:sz="4" w:space="0" w:color="auto"/>
            </w:tcBorders>
            <w:vAlign w:val="center"/>
            <w:hideMark/>
          </w:tcPr>
          <w:p w14:paraId="363FE6C8"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C85684A"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34FEAC5C"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Eleganza 3XC, Eleganza 5, Image 3</w:t>
            </w:r>
          </w:p>
        </w:tc>
        <w:tc>
          <w:tcPr>
            <w:tcW w:w="432" w:type="pct"/>
            <w:tcBorders>
              <w:top w:val="nil"/>
              <w:left w:val="nil"/>
              <w:bottom w:val="nil"/>
              <w:right w:val="single" w:sz="4" w:space="0" w:color="auto"/>
            </w:tcBorders>
            <w:shd w:val="clear" w:color="auto" w:fill="auto"/>
            <w:noWrap/>
            <w:vAlign w:val="center"/>
            <w:hideMark/>
          </w:tcPr>
          <w:p w14:paraId="29271838"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5 170 356,38</w:t>
            </w:r>
          </w:p>
        </w:tc>
        <w:tc>
          <w:tcPr>
            <w:tcW w:w="278" w:type="pct"/>
            <w:tcBorders>
              <w:top w:val="single" w:sz="4" w:space="0" w:color="auto"/>
              <w:left w:val="single" w:sz="4" w:space="0" w:color="auto"/>
              <w:bottom w:val="nil"/>
              <w:right w:val="single" w:sz="4" w:space="0" w:color="auto"/>
            </w:tcBorders>
            <w:shd w:val="clear" w:color="auto" w:fill="538135" w:themeFill="accent6" w:themeFillShade="BF"/>
            <w:noWrap/>
            <w:vAlign w:val="center"/>
            <w:hideMark/>
          </w:tcPr>
          <w:p w14:paraId="5BD8EB2B" w14:textId="77777777" w:rsidR="00FB487D" w:rsidRPr="003D04DF" w:rsidRDefault="00D9370B" w:rsidP="005130B3">
            <w:pPr>
              <w:spacing w:after="0" w:line="240" w:lineRule="auto"/>
              <w:jc w:val="center"/>
              <w:rPr>
                <w:rFonts w:ascii="Calibri" w:eastAsia="Times New Roman" w:hAnsi="Calibri" w:cs="Calibri"/>
                <w:b/>
                <w:bCs/>
                <w:color w:val="000000"/>
                <w:sz w:val="17"/>
                <w:szCs w:val="17"/>
                <w:lang w:eastAsia="cs-CZ"/>
              </w:rPr>
            </w:pPr>
            <w:r>
              <w:rPr>
                <w:rFonts w:ascii="Calibri" w:eastAsia="Times New Roman" w:hAnsi="Calibri" w:cs="Calibri"/>
                <w:b/>
                <w:bCs/>
                <w:color w:val="000000"/>
                <w:sz w:val="17"/>
                <w:szCs w:val="17"/>
                <w:lang w:eastAsia="cs-CZ"/>
              </w:rPr>
              <w:t>1</w:t>
            </w:r>
          </w:p>
        </w:tc>
        <w:tc>
          <w:tcPr>
            <w:tcW w:w="432" w:type="pct"/>
            <w:tcBorders>
              <w:top w:val="nil"/>
              <w:left w:val="nil"/>
              <w:bottom w:val="nil"/>
              <w:right w:val="single" w:sz="4" w:space="0" w:color="auto"/>
            </w:tcBorders>
            <w:shd w:val="clear" w:color="auto" w:fill="auto"/>
            <w:noWrap/>
            <w:vAlign w:val="center"/>
            <w:hideMark/>
          </w:tcPr>
          <w:p w14:paraId="2BC2ADC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5 170 356,38</w:t>
            </w:r>
          </w:p>
        </w:tc>
        <w:tc>
          <w:tcPr>
            <w:tcW w:w="228" w:type="pct"/>
            <w:tcBorders>
              <w:top w:val="single" w:sz="4" w:space="0" w:color="auto"/>
              <w:left w:val="single" w:sz="4" w:space="0" w:color="auto"/>
              <w:bottom w:val="nil"/>
              <w:right w:val="single" w:sz="4" w:space="0" w:color="auto"/>
            </w:tcBorders>
            <w:shd w:val="clear" w:color="000000" w:fill="548235"/>
            <w:noWrap/>
            <w:vAlign w:val="center"/>
            <w:hideMark/>
          </w:tcPr>
          <w:p w14:paraId="6690BCD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4F7FAB" w14:paraId="3CBAC536" w14:textId="77777777" w:rsidTr="004F7FAB">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5E8688D3" w14:textId="77777777" w:rsidR="00FB487D" w:rsidRPr="003D04DF" w:rsidRDefault="00FB487D" w:rsidP="00FB487D">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auto" w:fill="E5F1FF"/>
            <w:vAlign w:val="center"/>
            <w:hideMark/>
          </w:tcPr>
          <w:p w14:paraId="6A3BF744"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1989EC22"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49 564 046,38</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5B34949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0B344BB5"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49 564 046,38</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704907B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7653CAC5" w14:textId="77777777" w:rsidTr="005130B3">
        <w:trPr>
          <w:cantSplit/>
          <w:trHeight w:val="20"/>
        </w:trPr>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C83A7" w14:textId="77777777" w:rsidR="00FB487D" w:rsidRPr="003D04DF" w:rsidRDefault="007E2A6B" w:rsidP="00FB487D">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lastRenderedPageBreak/>
              <w:t>CZ.06.2.56/0.0/0.0/15_006/0005080</w:t>
            </w:r>
            <w:r w:rsidRPr="003D04DF">
              <w:rPr>
                <w:rFonts w:ascii="Calibri" w:eastAsia="Times New Roman" w:hAnsi="Calibri" w:cs="Calibri"/>
                <w:b/>
                <w:bCs/>
                <w:color w:val="000000"/>
                <w:sz w:val="17"/>
                <w:szCs w:val="17"/>
                <w:lang w:eastAsia="cs-CZ"/>
              </w:rPr>
              <w:br/>
              <w:t xml:space="preserve">Fakultní nemocnice Ostrava </w:t>
            </w:r>
            <w:r w:rsidR="005B621C" w:rsidRPr="007B6038">
              <w:rPr>
                <w:rFonts w:ascii="Calibri" w:eastAsia="Times New Roman" w:hAnsi="Calibri" w:cs="Calibri"/>
                <w:b/>
                <w:color w:val="000000"/>
                <w:sz w:val="17"/>
                <w:szCs w:val="17"/>
                <w:lang w:eastAsia="cs-CZ"/>
              </w:rPr>
              <w:t xml:space="preserve">– </w:t>
            </w:r>
            <w:r w:rsidRPr="003D04DF">
              <w:rPr>
                <w:rFonts w:ascii="Calibri" w:eastAsia="Times New Roman" w:hAnsi="Calibri" w:cs="Calibri"/>
                <w:b/>
                <w:bCs/>
                <w:color w:val="000000"/>
                <w:sz w:val="17"/>
                <w:szCs w:val="17"/>
                <w:lang w:eastAsia="cs-CZ"/>
              </w:rPr>
              <w:t>Modernizace a obnova přístrojového vybavení v oblasti perinatologie</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3921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xml:space="preserve">Fakultní nemocnice Ostrava </w:t>
            </w:r>
          </w:p>
        </w:tc>
        <w:tc>
          <w:tcPr>
            <w:tcW w:w="2219" w:type="pct"/>
            <w:tcBorders>
              <w:top w:val="single" w:sz="4" w:space="0" w:color="auto"/>
              <w:left w:val="nil"/>
              <w:bottom w:val="single" w:sz="4" w:space="0" w:color="auto"/>
              <w:right w:val="single" w:sz="4" w:space="0" w:color="auto"/>
            </w:tcBorders>
            <w:shd w:val="clear" w:color="auto" w:fill="auto"/>
            <w:vAlign w:val="center"/>
            <w:hideMark/>
          </w:tcPr>
          <w:p w14:paraId="5BC8F9FD"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Inkubátor kombinovaný s vyhřívaným lůžkem – Giraffe Omnibed Carestation ATO Model</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482B3321"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9 428 739,27</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C55591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3148D5D3"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9 428 739,27</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23FD824"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AF8B6F2"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0796E4C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2D3477D"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3E6A4BCB"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Inkubátor pro intenzivní péči s vysokým hygienickým standardem – Giraffe Carestation ATO Model</w:t>
            </w:r>
          </w:p>
        </w:tc>
        <w:tc>
          <w:tcPr>
            <w:tcW w:w="432" w:type="pct"/>
            <w:tcBorders>
              <w:top w:val="nil"/>
              <w:left w:val="nil"/>
              <w:bottom w:val="single" w:sz="4" w:space="0" w:color="auto"/>
              <w:right w:val="single" w:sz="4" w:space="0" w:color="auto"/>
            </w:tcBorders>
            <w:shd w:val="clear" w:color="auto" w:fill="auto"/>
            <w:noWrap/>
            <w:vAlign w:val="center"/>
            <w:hideMark/>
          </w:tcPr>
          <w:p w14:paraId="0EEA8C3B"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1 657 745,68</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71272F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79D1957E"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1 657 745,68</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860F735"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2AEC87AE"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28F4424"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D361E4C"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20354851"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Diagnostický ultrazvukový přístroj prémiové třídy včetně sond</w:t>
            </w:r>
          </w:p>
        </w:tc>
        <w:tc>
          <w:tcPr>
            <w:tcW w:w="432" w:type="pct"/>
            <w:tcBorders>
              <w:top w:val="nil"/>
              <w:left w:val="nil"/>
              <w:bottom w:val="single" w:sz="4" w:space="0" w:color="auto"/>
              <w:right w:val="single" w:sz="4" w:space="0" w:color="auto"/>
            </w:tcBorders>
            <w:shd w:val="clear" w:color="auto" w:fill="auto"/>
            <w:noWrap/>
            <w:vAlign w:val="center"/>
            <w:hideMark/>
          </w:tcPr>
          <w:p w14:paraId="372404E6"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7 770 620,00</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BDCAB3E"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BA2527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7 770 620,00</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D43BE6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7300A496"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4F1DE744"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493DF95D"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69944092"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Diagnostický ultrazvukový přístroj střední třídy včetně sond</w:t>
            </w:r>
          </w:p>
        </w:tc>
        <w:tc>
          <w:tcPr>
            <w:tcW w:w="432" w:type="pct"/>
            <w:tcBorders>
              <w:top w:val="nil"/>
              <w:left w:val="nil"/>
              <w:bottom w:val="single" w:sz="4" w:space="0" w:color="auto"/>
              <w:right w:val="single" w:sz="4" w:space="0" w:color="auto"/>
            </w:tcBorders>
            <w:shd w:val="clear" w:color="auto" w:fill="auto"/>
            <w:noWrap/>
            <w:vAlign w:val="center"/>
            <w:hideMark/>
          </w:tcPr>
          <w:p w14:paraId="777E0E6E"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550 367,73</w:t>
            </w:r>
          </w:p>
        </w:tc>
        <w:tc>
          <w:tcPr>
            <w:tcW w:w="27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9FC99A8"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w:t>
            </w:r>
          </w:p>
        </w:tc>
        <w:tc>
          <w:tcPr>
            <w:tcW w:w="432" w:type="pct"/>
            <w:tcBorders>
              <w:top w:val="nil"/>
              <w:left w:val="nil"/>
              <w:bottom w:val="single" w:sz="4" w:space="0" w:color="auto"/>
              <w:right w:val="single" w:sz="4" w:space="0" w:color="auto"/>
            </w:tcBorders>
            <w:shd w:val="clear" w:color="auto" w:fill="auto"/>
            <w:noWrap/>
            <w:vAlign w:val="center"/>
            <w:hideMark/>
          </w:tcPr>
          <w:p w14:paraId="2A9F9A13"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550 367,73</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7E68ECA"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6A0CD10F"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AB6FA1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58A517E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5092C0C6"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Systémy pro neinvazivní podporu dýchání novorozenců s nasálním CPAP </w:t>
            </w:r>
          </w:p>
        </w:tc>
        <w:tc>
          <w:tcPr>
            <w:tcW w:w="432" w:type="pct"/>
            <w:tcBorders>
              <w:top w:val="nil"/>
              <w:left w:val="nil"/>
              <w:bottom w:val="single" w:sz="4" w:space="0" w:color="auto"/>
              <w:right w:val="single" w:sz="4" w:space="0" w:color="auto"/>
            </w:tcBorders>
            <w:shd w:val="clear" w:color="auto" w:fill="auto"/>
            <w:noWrap/>
            <w:vAlign w:val="center"/>
            <w:hideMark/>
          </w:tcPr>
          <w:p w14:paraId="28FA4D30"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4 782 437,28</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56FFB7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540DB8B9"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4 782 437,28</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2D748486"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2DF54B2D"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08BD1820"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595337C6"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688F90F3"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Systémy pro umělou plicní ventilaci pro neonatologické pacienty s příslušenstvím – konvenční ventilace </w:t>
            </w:r>
          </w:p>
        </w:tc>
        <w:tc>
          <w:tcPr>
            <w:tcW w:w="432" w:type="pct"/>
            <w:tcBorders>
              <w:top w:val="nil"/>
              <w:left w:val="nil"/>
              <w:bottom w:val="single" w:sz="4" w:space="0" w:color="auto"/>
              <w:right w:val="single" w:sz="4" w:space="0" w:color="auto"/>
            </w:tcBorders>
            <w:shd w:val="clear" w:color="auto" w:fill="auto"/>
            <w:noWrap/>
            <w:vAlign w:val="center"/>
            <w:hideMark/>
          </w:tcPr>
          <w:p w14:paraId="66B8BB4D"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7 939 173,48</w:t>
            </w:r>
          </w:p>
        </w:tc>
        <w:tc>
          <w:tcPr>
            <w:tcW w:w="27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7F670EF"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single" w:sz="4" w:space="0" w:color="auto"/>
              <w:right w:val="single" w:sz="4" w:space="0" w:color="auto"/>
            </w:tcBorders>
            <w:shd w:val="clear" w:color="auto" w:fill="auto"/>
            <w:noWrap/>
            <w:vAlign w:val="center"/>
            <w:hideMark/>
          </w:tcPr>
          <w:p w14:paraId="2457533F"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7 939 173,48</w:t>
            </w:r>
          </w:p>
        </w:tc>
        <w:tc>
          <w:tcPr>
            <w:tcW w:w="228" w:type="pct"/>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5216A3C"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6B889486"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3651CCD9"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437" w:type="pct"/>
            <w:vMerge/>
            <w:tcBorders>
              <w:top w:val="nil"/>
              <w:left w:val="single" w:sz="4" w:space="0" w:color="auto"/>
              <w:bottom w:val="single" w:sz="4" w:space="0" w:color="auto"/>
              <w:right w:val="single" w:sz="4" w:space="0" w:color="auto"/>
            </w:tcBorders>
            <w:vAlign w:val="center"/>
            <w:hideMark/>
          </w:tcPr>
          <w:p w14:paraId="7B2C6FF4"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219" w:type="pct"/>
            <w:tcBorders>
              <w:top w:val="nil"/>
              <w:left w:val="nil"/>
              <w:bottom w:val="single" w:sz="4" w:space="0" w:color="auto"/>
              <w:right w:val="single" w:sz="4" w:space="0" w:color="auto"/>
            </w:tcBorders>
            <w:shd w:val="clear" w:color="auto" w:fill="auto"/>
            <w:vAlign w:val="center"/>
            <w:hideMark/>
          </w:tcPr>
          <w:p w14:paraId="72CFDCA6" w14:textId="77777777" w:rsidR="00FB487D" w:rsidRPr="003D04DF" w:rsidRDefault="007E2A6B" w:rsidP="005130B3">
            <w:pPr>
              <w:spacing w:after="0" w:line="240" w:lineRule="auto"/>
              <w:rPr>
                <w:rFonts w:ascii="Calibri" w:eastAsia="Times New Roman" w:hAnsi="Calibri" w:cs="Calibri"/>
                <w:color w:val="000000"/>
                <w:sz w:val="17"/>
                <w:szCs w:val="17"/>
                <w:lang w:eastAsia="cs-CZ"/>
              </w:rPr>
            </w:pPr>
            <w:r w:rsidRPr="003D04DF">
              <w:rPr>
                <w:rFonts w:ascii="Calibri" w:eastAsia="Times New Roman" w:hAnsi="Calibri" w:cs="Calibri"/>
                <w:color w:val="000000"/>
                <w:sz w:val="17"/>
                <w:szCs w:val="17"/>
                <w:lang w:eastAsia="cs-CZ"/>
              </w:rPr>
              <w:t xml:space="preserve">Systémy pro umělou plicní ventilaci včetně oscilačního režimu pro neonatologické pacienty s příslušenstvím </w:t>
            </w:r>
          </w:p>
        </w:tc>
        <w:tc>
          <w:tcPr>
            <w:tcW w:w="432" w:type="pct"/>
            <w:tcBorders>
              <w:top w:val="nil"/>
              <w:left w:val="nil"/>
              <w:bottom w:val="nil"/>
              <w:right w:val="single" w:sz="4" w:space="0" w:color="auto"/>
            </w:tcBorders>
            <w:shd w:val="clear" w:color="auto" w:fill="auto"/>
            <w:noWrap/>
            <w:vAlign w:val="center"/>
            <w:hideMark/>
          </w:tcPr>
          <w:p w14:paraId="2B50B3A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2 980 504,07</w:t>
            </w:r>
          </w:p>
        </w:tc>
        <w:tc>
          <w:tcPr>
            <w:tcW w:w="278" w:type="pct"/>
            <w:tcBorders>
              <w:top w:val="single" w:sz="4" w:space="0" w:color="auto"/>
              <w:left w:val="single" w:sz="4" w:space="0" w:color="auto"/>
              <w:bottom w:val="nil"/>
              <w:right w:val="single" w:sz="4" w:space="0" w:color="auto"/>
            </w:tcBorders>
            <w:shd w:val="clear" w:color="000000" w:fill="548235"/>
            <w:noWrap/>
            <w:vAlign w:val="center"/>
            <w:hideMark/>
          </w:tcPr>
          <w:p w14:paraId="520813E9"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c>
          <w:tcPr>
            <w:tcW w:w="432" w:type="pct"/>
            <w:tcBorders>
              <w:top w:val="nil"/>
              <w:left w:val="nil"/>
              <w:bottom w:val="nil"/>
              <w:right w:val="single" w:sz="4" w:space="0" w:color="auto"/>
            </w:tcBorders>
            <w:shd w:val="clear" w:color="auto" w:fill="auto"/>
            <w:noWrap/>
            <w:vAlign w:val="center"/>
            <w:hideMark/>
          </w:tcPr>
          <w:p w14:paraId="1AF0A51E"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2 980 504,07</w:t>
            </w:r>
          </w:p>
        </w:tc>
        <w:tc>
          <w:tcPr>
            <w:tcW w:w="228" w:type="pct"/>
            <w:tcBorders>
              <w:top w:val="single" w:sz="4" w:space="0" w:color="auto"/>
              <w:left w:val="single" w:sz="4" w:space="0" w:color="auto"/>
              <w:bottom w:val="nil"/>
              <w:right w:val="single" w:sz="4" w:space="0" w:color="auto"/>
            </w:tcBorders>
            <w:shd w:val="clear" w:color="000000" w:fill="548235"/>
            <w:noWrap/>
            <w:vAlign w:val="center"/>
            <w:hideMark/>
          </w:tcPr>
          <w:p w14:paraId="1CFB30B7"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1</w:t>
            </w:r>
          </w:p>
        </w:tc>
      </w:tr>
      <w:tr w:rsidR="00D44C38" w14:paraId="39D3E617" w14:textId="77777777" w:rsidTr="005130B3">
        <w:trPr>
          <w:cantSplit/>
          <w:trHeight w:val="20"/>
        </w:trPr>
        <w:tc>
          <w:tcPr>
            <w:tcW w:w="974" w:type="pct"/>
            <w:vMerge/>
            <w:tcBorders>
              <w:top w:val="nil"/>
              <w:left w:val="single" w:sz="4" w:space="0" w:color="auto"/>
              <w:bottom w:val="single" w:sz="4" w:space="0" w:color="auto"/>
              <w:right w:val="single" w:sz="4" w:space="0" w:color="auto"/>
            </w:tcBorders>
            <w:vAlign w:val="center"/>
            <w:hideMark/>
          </w:tcPr>
          <w:p w14:paraId="71B6D3C9" w14:textId="77777777" w:rsidR="00FB487D" w:rsidRPr="003D04DF" w:rsidRDefault="00FB487D" w:rsidP="005130B3">
            <w:pPr>
              <w:spacing w:after="0" w:line="240" w:lineRule="auto"/>
              <w:rPr>
                <w:rFonts w:ascii="Calibri" w:eastAsia="Times New Roman" w:hAnsi="Calibri" w:cs="Calibri"/>
                <w:b/>
                <w:bCs/>
                <w:color w:val="000000"/>
                <w:sz w:val="17"/>
                <w:szCs w:val="17"/>
                <w:lang w:eastAsia="cs-CZ"/>
              </w:rPr>
            </w:pPr>
          </w:p>
        </w:tc>
        <w:tc>
          <w:tcPr>
            <w:tcW w:w="2656" w:type="pct"/>
            <w:gridSpan w:val="2"/>
            <w:tcBorders>
              <w:top w:val="single" w:sz="4" w:space="0" w:color="auto"/>
              <w:left w:val="nil"/>
              <w:bottom w:val="single" w:sz="4" w:space="0" w:color="auto"/>
              <w:right w:val="nil"/>
            </w:tcBorders>
            <w:shd w:val="clear" w:color="000000" w:fill="E5F1FF"/>
            <w:vAlign w:val="center"/>
            <w:hideMark/>
          </w:tcPr>
          <w:p w14:paraId="0DE7B0A5" w14:textId="77777777" w:rsidR="00FB487D" w:rsidRPr="003D04DF" w:rsidRDefault="007E2A6B" w:rsidP="005130B3">
            <w:pPr>
              <w:spacing w:after="0" w:line="240" w:lineRule="auto"/>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Celkem za projekt</w:t>
            </w:r>
          </w:p>
        </w:tc>
        <w:tc>
          <w:tcPr>
            <w:tcW w:w="432" w:type="pct"/>
            <w:tcBorders>
              <w:top w:val="single" w:sz="4" w:space="0" w:color="auto"/>
              <w:left w:val="single" w:sz="4" w:space="0" w:color="auto"/>
              <w:bottom w:val="single" w:sz="4" w:space="0" w:color="auto"/>
              <w:right w:val="nil"/>
            </w:tcBorders>
            <w:shd w:val="clear" w:color="000000" w:fill="E5F1FF"/>
            <w:noWrap/>
            <w:vAlign w:val="center"/>
            <w:hideMark/>
          </w:tcPr>
          <w:p w14:paraId="0C706FB4"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35 109 587,51</w:t>
            </w:r>
          </w:p>
        </w:tc>
        <w:tc>
          <w:tcPr>
            <w:tcW w:w="278" w:type="pct"/>
            <w:tcBorders>
              <w:top w:val="single" w:sz="4" w:space="0" w:color="auto"/>
              <w:left w:val="nil"/>
              <w:bottom w:val="single" w:sz="4" w:space="0" w:color="auto"/>
              <w:right w:val="single" w:sz="4" w:space="0" w:color="auto"/>
            </w:tcBorders>
            <w:shd w:val="clear" w:color="000000" w:fill="E5F1FF"/>
            <w:noWrap/>
            <w:vAlign w:val="center"/>
            <w:hideMark/>
          </w:tcPr>
          <w:p w14:paraId="507A03FD"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E5F1FF"/>
            <w:noWrap/>
            <w:vAlign w:val="center"/>
            <w:hideMark/>
          </w:tcPr>
          <w:p w14:paraId="73F7D234" w14:textId="77777777" w:rsidR="00FB487D" w:rsidRPr="003D04DF" w:rsidRDefault="007E2A6B" w:rsidP="005130B3">
            <w:pPr>
              <w:spacing w:after="0" w:line="240" w:lineRule="auto"/>
              <w:jc w:val="right"/>
              <w:rPr>
                <w:rFonts w:ascii="Calibri" w:eastAsia="Times New Roman" w:hAnsi="Calibri" w:cs="Calibri"/>
                <w:b/>
                <w:bCs/>
                <w:i/>
                <w:iCs/>
                <w:color w:val="000000"/>
                <w:sz w:val="17"/>
                <w:szCs w:val="17"/>
                <w:lang w:eastAsia="cs-CZ"/>
              </w:rPr>
            </w:pPr>
            <w:r w:rsidRPr="003D04DF">
              <w:rPr>
                <w:rFonts w:ascii="Calibri" w:eastAsia="Times New Roman" w:hAnsi="Calibri" w:cs="Calibri"/>
                <w:b/>
                <w:bCs/>
                <w:i/>
                <w:iCs/>
                <w:color w:val="000000"/>
                <w:sz w:val="17"/>
                <w:szCs w:val="17"/>
                <w:lang w:eastAsia="cs-CZ"/>
              </w:rPr>
              <w:t>35 109 587,51</w:t>
            </w:r>
          </w:p>
        </w:tc>
        <w:tc>
          <w:tcPr>
            <w:tcW w:w="228" w:type="pct"/>
            <w:tcBorders>
              <w:top w:val="single" w:sz="4" w:space="0" w:color="auto"/>
              <w:left w:val="nil"/>
              <w:bottom w:val="single" w:sz="4" w:space="0" w:color="auto"/>
              <w:right w:val="single" w:sz="4" w:space="0" w:color="auto"/>
            </w:tcBorders>
            <w:shd w:val="clear" w:color="000000" w:fill="E5F1FF"/>
            <w:noWrap/>
            <w:vAlign w:val="center"/>
            <w:hideMark/>
          </w:tcPr>
          <w:p w14:paraId="0548182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r w:rsidR="00D44C38" w14:paraId="70E1E217" w14:textId="77777777" w:rsidTr="005130B3">
        <w:trPr>
          <w:cantSplit/>
          <w:trHeight w:val="20"/>
        </w:trPr>
        <w:tc>
          <w:tcPr>
            <w:tcW w:w="3630" w:type="pct"/>
            <w:gridSpan w:val="3"/>
            <w:tcBorders>
              <w:top w:val="single" w:sz="4" w:space="0" w:color="auto"/>
              <w:left w:val="single" w:sz="4" w:space="0" w:color="auto"/>
              <w:bottom w:val="single" w:sz="4" w:space="0" w:color="auto"/>
              <w:right w:val="single" w:sz="4" w:space="0" w:color="auto"/>
            </w:tcBorders>
            <w:shd w:val="clear" w:color="000000" w:fill="F2C6C9"/>
            <w:vAlign w:val="center"/>
            <w:hideMark/>
          </w:tcPr>
          <w:p w14:paraId="112ECA3D" w14:textId="77777777" w:rsidR="00FB487D" w:rsidRPr="003D04DF" w:rsidRDefault="007E2A6B" w:rsidP="005130B3">
            <w:pPr>
              <w:spacing w:after="0" w:line="240" w:lineRule="auto"/>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xml:space="preserve">Celkem kontrolní vzorek </w:t>
            </w:r>
            <w:r>
              <w:rPr>
                <w:rFonts w:ascii="Calibri" w:eastAsia="Times New Roman" w:hAnsi="Calibri" w:cs="Calibri"/>
                <w:b/>
                <w:bCs/>
                <w:color w:val="000000"/>
                <w:sz w:val="17"/>
                <w:szCs w:val="17"/>
                <w:lang w:eastAsia="cs-CZ"/>
              </w:rPr>
              <w:t>výdajů vynaložených v 16 projektech</w:t>
            </w:r>
          </w:p>
        </w:tc>
        <w:tc>
          <w:tcPr>
            <w:tcW w:w="432" w:type="pct"/>
            <w:tcBorders>
              <w:top w:val="single" w:sz="4" w:space="0" w:color="auto"/>
              <w:left w:val="single" w:sz="4" w:space="0" w:color="auto"/>
              <w:bottom w:val="single" w:sz="4" w:space="0" w:color="auto"/>
              <w:right w:val="nil"/>
            </w:tcBorders>
            <w:shd w:val="clear" w:color="000000" w:fill="F2C6C9"/>
            <w:noWrap/>
            <w:vAlign w:val="center"/>
            <w:hideMark/>
          </w:tcPr>
          <w:p w14:paraId="4B113D62"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602 246 636,</w:t>
            </w:r>
            <w:r w:rsidR="00EF313C">
              <w:rPr>
                <w:rFonts w:ascii="Calibri" w:eastAsia="Times New Roman" w:hAnsi="Calibri" w:cs="Calibri"/>
                <w:b/>
                <w:bCs/>
                <w:color w:val="000000"/>
                <w:sz w:val="17"/>
                <w:szCs w:val="17"/>
                <w:lang w:eastAsia="cs-CZ"/>
              </w:rPr>
              <w:t>29</w:t>
            </w:r>
          </w:p>
        </w:tc>
        <w:tc>
          <w:tcPr>
            <w:tcW w:w="278" w:type="pct"/>
            <w:tcBorders>
              <w:top w:val="single" w:sz="4" w:space="0" w:color="auto"/>
              <w:left w:val="nil"/>
              <w:bottom w:val="single" w:sz="4" w:space="0" w:color="auto"/>
              <w:right w:val="single" w:sz="4" w:space="0" w:color="auto"/>
            </w:tcBorders>
            <w:shd w:val="clear" w:color="000000" w:fill="F2C6C9"/>
            <w:noWrap/>
            <w:vAlign w:val="center"/>
            <w:hideMark/>
          </w:tcPr>
          <w:p w14:paraId="6F6CAD6B"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c>
          <w:tcPr>
            <w:tcW w:w="432" w:type="pct"/>
            <w:tcBorders>
              <w:top w:val="single" w:sz="4" w:space="0" w:color="auto"/>
              <w:left w:val="nil"/>
              <w:bottom w:val="single" w:sz="4" w:space="0" w:color="auto"/>
              <w:right w:val="nil"/>
            </w:tcBorders>
            <w:shd w:val="clear" w:color="000000" w:fill="F2C6C9"/>
            <w:noWrap/>
            <w:vAlign w:val="center"/>
            <w:hideMark/>
          </w:tcPr>
          <w:p w14:paraId="3745D363" w14:textId="77777777" w:rsidR="00FB487D" w:rsidRPr="003D04DF" w:rsidRDefault="007E2A6B" w:rsidP="005130B3">
            <w:pPr>
              <w:spacing w:after="0" w:line="240" w:lineRule="auto"/>
              <w:jc w:val="right"/>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614 573 260,1</w:t>
            </w:r>
            <w:r w:rsidR="00EF313C">
              <w:rPr>
                <w:rFonts w:ascii="Calibri" w:eastAsia="Times New Roman" w:hAnsi="Calibri" w:cs="Calibri"/>
                <w:b/>
                <w:bCs/>
                <w:color w:val="000000"/>
                <w:sz w:val="17"/>
                <w:szCs w:val="17"/>
                <w:lang w:eastAsia="cs-CZ"/>
              </w:rPr>
              <w:t>3</w:t>
            </w:r>
          </w:p>
        </w:tc>
        <w:tc>
          <w:tcPr>
            <w:tcW w:w="228" w:type="pct"/>
            <w:tcBorders>
              <w:top w:val="single" w:sz="4" w:space="0" w:color="auto"/>
              <w:left w:val="nil"/>
              <w:bottom w:val="single" w:sz="4" w:space="0" w:color="auto"/>
              <w:right w:val="single" w:sz="4" w:space="0" w:color="auto"/>
            </w:tcBorders>
            <w:shd w:val="clear" w:color="000000" w:fill="F2C6C9"/>
            <w:noWrap/>
            <w:vAlign w:val="center"/>
            <w:hideMark/>
          </w:tcPr>
          <w:p w14:paraId="0CCB5E00" w14:textId="77777777" w:rsidR="00FB487D" w:rsidRPr="003D04DF" w:rsidRDefault="007E2A6B" w:rsidP="005130B3">
            <w:pPr>
              <w:spacing w:after="0" w:line="240" w:lineRule="auto"/>
              <w:jc w:val="center"/>
              <w:rPr>
                <w:rFonts w:ascii="Calibri" w:eastAsia="Times New Roman" w:hAnsi="Calibri" w:cs="Calibri"/>
                <w:b/>
                <w:bCs/>
                <w:color w:val="000000"/>
                <w:sz w:val="17"/>
                <w:szCs w:val="17"/>
                <w:lang w:eastAsia="cs-CZ"/>
              </w:rPr>
            </w:pPr>
            <w:r w:rsidRPr="003D04DF">
              <w:rPr>
                <w:rFonts w:ascii="Calibri" w:eastAsia="Times New Roman" w:hAnsi="Calibri" w:cs="Calibri"/>
                <w:b/>
                <w:bCs/>
                <w:color w:val="000000"/>
                <w:sz w:val="17"/>
                <w:szCs w:val="17"/>
                <w:lang w:eastAsia="cs-CZ"/>
              </w:rPr>
              <w:t> </w:t>
            </w:r>
          </w:p>
        </w:tc>
      </w:tr>
    </w:tbl>
    <w:p w14:paraId="24AB801F" w14:textId="77777777" w:rsidR="00FB487D" w:rsidRDefault="007E2A6B" w:rsidP="00FB487D">
      <w:pPr>
        <w:pStyle w:val="Zdrojnebovysvtlivkapodtabulkou"/>
      </w:pPr>
      <w:r>
        <w:rPr>
          <w:b/>
        </w:rPr>
        <w:t>Vysvětlivk</w:t>
      </w:r>
      <w:r w:rsidR="005B621C">
        <w:rPr>
          <w:b/>
        </w:rPr>
        <w:t>y</w:t>
      </w:r>
      <w:r w:rsidRPr="00CA025D">
        <w:rPr>
          <w:b/>
        </w:rPr>
        <w:t>:</w:t>
      </w:r>
      <w:r w:rsidRPr="00CA025D">
        <w:tab/>
      </w:r>
    </w:p>
    <w:p w14:paraId="625EF12A" w14:textId="77777777" w:rsidR="005B621C" w:rsidRDefault="007E2A6B" w:rsidP="00FB487D">
      <w:pPr>
        <w:pStyle w:val="Zdrojnebovysvtlivkapodtabulkou"/>
      </w:pPr>
      <w:r>
        <w:t xml:space="preserve">*) </w:t>
      </w:r>
      <w:r w:rsidRPr="005B621C">
        <w:rPr>
          <w:b/>
        </w:rPr>
        <w:t>X</w:t>
      </w:r>
      <w:r w:rsidRPr="005B621C">
        <w:t xml:space="preserve"> </w:t>
      </w:r>
      <w:r w:rsidR="005B621C" w:rsidRPr="004F7FAB">
        <w:rPr>
          <w:rFonts w:eastAsia="Times New Roman"/>
          <w:color w:val="000000"/>
          <w:lang w:eastAsia="cs-CZ"/>
        </w:rPr>
        <w:t>–</w:t>
      </w:r>
      <w:r w:rsidR="005B621C" w:rsidRPr="004F7FAB">
        <w:rPr>
          <w:rFonts w:eastAsia="Times New Roman"/>
          <w:color w:val="000000"/>
          <w:sz w:val="17"/>
          <w:szCs w:val="17"/>
          <w:lang w:eastAsia="cs-CZ"/>
        </w:rPr>
        <w:t xml:space="preserve"> </w:t>
      </w:r>
      <w:r>
        <w:t xml:space="preserve">uvedeno u </w:t>
      </w:r>
      <w:r w:rsidRPr="00EC59AB">
        <w:t>zdravotnického vybavení</w:t>
      </w:r>
      <w:r>
        <w:t>, kde</w:t>
      </w:r>
      <w:r w:rsidRPr="00EC59AB">
        <w:t xml:space="preserve"> nebyla hodnocena účelnost. </w:t>
      </w:r>
    </w:p>
    <w:p w14:paraId="6F56B22B" w14:textId="77777777" w:rsidR="00FB487D" w:rsidRPr="00CA025D" w:rsidRDefault="007E2A6B" w:rsidP="00FB487D">
      <w:pPr>
        <w:pStyle w:val="Zdrojnebovysvtlivkapodtabulkou"/>
      </w:pPr>
      <w:r w:rsidRPr="00EC59AB">
        <w:t>Hospodárnost vynaložených výdajů byla ověřována prostředn</w:t>
      </w:r>
      <w:r>
        <w:t>i</w:t>
      </w:r>
      <w:r w:rsidRPr="00EC59AB">
        <w:t xml:space="preserve">ctvím </w:t>
      </w:r>
      <w:r>
        <w:t>1. a 2.</w:t>
      </w:r>
      <w:r w:rsidRPr="00EC59AB">
        <w:t xml:space="preserve"> dílčí</w:t>
      </w:r>
      <w:r>
        <w:t>ho</w:t>
      </w:r>
      <w:r w:rsidRPr="00EC59AB">
        <w:t xml:space="preserve"> kritéri</w:t>
      </w:r>
      <w:r>
        <w:t xml:space="preserve">a </w:t>
      </w:r>
      <w:r w:rsidR="00ED6661">
        <w:t xml:space="preserve">definice stupně hospodárnosti </w:t>
      </w:r>
      <w:r>
        <w:t xml:space="preserve">uvedeného </w:t>
      </w:r>
      <w:r w:rsidRPr="00EC59AB">
        <w:t>v</w:t>
      </w:r>
      <w:r>
        <w:t> </w:t>
      </w:r>
      <w:r w:rsidR="00ED6661">
        <w:t>příloze</w:t>
      </w:r>
      <w:r w:rsidRPr="00EC59AB">
        <w:t xml:space="preserve"> č. </w:t>
      </w:r>
      <w:r w:rsidR="00306808">
        <w:t>3</w:t>
      </w:r>
      <w:r w:rsidRPr="00EC59AB">
        <w:t xml:space="preserve"> kontrolního závěru, tj. výběr dodavatele v souladu se ZZVZ a zajištění aktivního řízení dodavatelských vztahů.</w:t>
      </w:r>
    </w:p>
    <w:p w14:paraId="6BFE1A9F" w14:textId="77777777" w:rsidR="00FB487D" w:rsidRPr="00F31777" w:rsidRDefault="007E2A6B" w:rsidP="004F7FAB">
      <w:pPr>
        <w:tabs>
          <w:tab w:val="left" w:pos="993"/>
        </w:tabs>
        <w:spacing w:before="240" w:after="0" w:line="240" w:lineRule="auto"/>
        <w:rPr>
          <w:rFonts w:cstheme="minorHAnsi"/>
          <w:b/>
          <w:sz w:val="20"/>
          <w:szCs w:val="20"/>
        </w:rPr>
      </w:pPr>
      <w:r w:rsidRPr="00F31777">
        <w:rPr>
          <w:rFonts w:cstheme="minorHAnsi"/>
          <w:b/>
          <w:sz w:val="20"/>
          <w:szCs w:val="20"/>
        </w:rPr>
        <w:t>Stupně hodnocení:</w:t>
      </w:r>
    </w:p>
    <w:tbl>
      <w:tblPr>
        <w:tblStyle w:val="Mkatabulky2"/>
        <w:tblW w:w="0" w:type="auto"/>
        <w:tblLook w:val="04A0" w:firstRow="1" w:lastRow="0" w:firstColumn="1" w:lastColumn="0" w:noHBand="0" w:noVBand="1"/>
      </w:tblPr>
      <w:tblGrid>
        <w:gridCol w:w="421"/>
        <w:gridCol w:w="8641"/>
      </w:tblGrid>
      <w:tr w:rsidR="00D44C38" w14:paraId="044DE53E" w14:textId="77777777" w:rsidTr="005130B3">
        <w:trPr>
          <w:trHeight w:val="255"/>
        </w:trPr>
        <w:tc>
          <w:tcPr>
            <w:tcW w:w="421" w:type="dxa"/>
            <w:shd w:val="clear" w:color="auto" w:fill="538135" w:themeFill="accent6" w:themeFillShade="BF"/>
            <w:vAlign w:val="center"/>
          </w:tcPr>
          <w:p w14:paraId="0E504179" w14:textId="77777777" w:rsidR="00FB487D" w:rsidRPr="00C31D6C" w:rsidRDefault="007E2A6B" w:rsidP="005130B3">
            <w:pPr>
              <w:tabs>
                <w:tab w:val="left" w:pos="993"/>
              </w:tabs>
              <w:jc w:val="center"/>
              <w:rPr>
                <w:rFonts w:ascii="Calibri" w:hAnsi="Calibri" w:cs="Calibri"/>
                <w:b/>
                <w:color w:val="000000" w:themeColor="text1"/>
                <w:sz w:val="18"/>
                <w:szCs w:val="18"/>
              </w:rPr>
            </w:pPr>
            <w:r w:rsidRPr="00C31D6C">
              <w:rPr>
                <w:rFonts w:ascii="Calibri" w:hAnsi="Calibri" w:cs="Calibri"/>
                <w:b/>
                <w:color w:val="000000" w:themeColor="text1"/>
                <w:sz w:val="18"/>
                <w:szCs w:val="18"/>
              </w:rPr>
              <w:t>1</w:t>
            </w:r>
          </w:p>
        </w:tc>
        <w:tc>
          <w:tcPr>
            <w:tcW w:w="8641" w:type="dxa"/>
            <w:vAlign w:val="center"/>
          </w:tcPr>
          <w:p w14:paraId="37EC6E3D" w14:textId="77777777" w:rsidR="00FB487D" w:rsidRPr="00C31D6C" w:rsidRDefault="007E2A6B" w:rsidP="005130B3">
            <w:pPr>
              <w:tabs>
                <w:tab w:val="left" w:pos="993"/>
              </w:tabs>
              <w:rPr>
                <w:rFonts w:ascii="Calibri" w:hAnsi="Calibri" w:cs="Calibri"/>
                <w:b/>
                <w:sz w:val="18"/>
                <w:szCs w:val="18"/>
              </w:rPr>
            </w:pPr>
            <w:r w:rsidRPr="00C31D6C">
              <w:rPr>
                <w:rFonts w:ascii="Calibri" w:hAnsi="Calibri" w:cs="Calibri"/>
                <w:sz w:val="18"/>
                <w:szCs w:val="18"/>
              </w:rPr>
              <w:t>Vynaložené prostředky jsou účelné, resp. hospodárné.</w:t>
            </w:r>
          </w:p>
        </w:tc>
      </w:tr>
      <w:tr w:rsidR="00D44C38" w14:paraId="649947A7" w14:textId="77777777" w:rsidTr="005130B3">
        <w:trPr>
          <w:trHeight w:val="255"/>
        </w:trPr>
        <w:tc>
          <w:tcPr>
            <w:tcW w:w="421" w:type="dxa"/>
            <w:shd w:val="clear" w:color="auto" w:fill="A8D08D" w:themeFill="accent6" w:themeFillTint="99"/>
            <w:vAlign w:val="center"/>
          </w:tcPr>
          <w:p w14:paraId="3B602F26" w14:textId="77777777" w:rsidR="00FB487D" w:rsidRPr="00C31D6C" w:rsidRDefault="007E2A6B" w:rsidP="005130B3">
            <w:pPr>
              <w:tabs>
                <w:tab w:val="left" w:pos="993"/>
              </w:tabs>
              <w:jc w:val="center"/>
              <w:rPr>
                <w:rFonts w:ascii="Calibri" w:hAnsi="Calibri" w:cs="Calibri"/>
                <w:b/>
                <w:color w:val="000000" w:themeColor="text1"/>
                <w:sz w:val="18"/>
                <w:szCs w:val="18"/>
              </w:rPr>
            </w:pPr>
            <w:r w:rsidRPr="00C31D6C">
              <w:rPr>
                <w:rFonts w:ascii="Calibri" w:hAnsi="Calibri" w:cs="Calibri"/>
                <w:b/>
                <w:color w:val="000000" w:themeColor="text1"/>
                <w:sz w:val="18"/>
                <w:szCs w:val="18"/>
              </w:rPr>
              <w:t>2</w:t>
            </w:r>
          </w:p>
        </w:tc>
        <w:tc>
          <w:tcPr>
            <w:tcW w:w="8641" w:type="dxa"/>
            <w:vAlign w:val="center"/>
          </w:tcPr>
          <w:p w14:paraId="73FDA469" w14:textId="77777777" w:rsidR="00FB487D" w:rsidRPr="00C31D6C" w:rsidRDefault="007E2A6B" w:rsidP="005130B3">
            <w:pPr>
              <w:tabs>
                <w:tab w:val="left" w:pos="993"/>
              </w:tabs>
              <w:rPr>
                <w:rFonts w:ascii="Calibri" w:hAnsi="Calibri" w:cs="Calibri"/>
                <w:b/>
                <w:sz w:val="18"/>
                <w:szCs w:val="18"/>
              </w:rPr>
            </w:pPr>
            <w:r w:rsidRPr="00C31D6C">
              <w:rPr>
                <w:rFonts w:ascii="Calibri" w:hAnsi="Calibri" w:cs="Calibri"/>
                <w:sz w:val="18"/>
                <w:szCs w:val="18"/>
              </w:rPr>
              <w:t>Vynaložené prostředky jsou účelné, resp. hospodárné s mírnými nedostatky.</w:t>
            </w:r>
          </w:p>
        </w:tc>
      </w:tr>
      <w:tr w:rsidR="00D44C38" w14:paraId="68FE67B5" w14:textId="77777777" w:rsidTr="005130B3">
        <w:trPr>
          <w:trHeight w:val="255"/>
        </w:trPr>
        <w:tc>
          <w:tcPr>
            <w:tcW w:w="421" w:type="dxa"/>
            <w:shd w:val="clear" w:color="auto" w:fill="FFFF00"/>
            <w:vAlign w:val="center"/>
          </w:tcPr>
          <w:p w14:paraId="675EC714" w14:textId="77777777" w:rsidR="00FB487D" w:rsidRPr="00C31D6C" w:rsidRDefault="007E2A6B" w:rsidP="005130B3">
            <w:pPr>
              <w:tabs>
                <w:tab w:val="left" w:pos="993"/>
              </w:tabs>
              <w:jc w:val="center"/>
              <w:rPr>
                <w:rFonts w:ascii="Calibri" w:hAnsi="Calibri" w:cs="Calibri"/>
                <w:b/>
                <w:color w:val="000000" w:themeColor="text1"/>
                <w:sz w:val="18"/>
                <w:szCs w:val="18"/>
              </w:rPr>
            </w:pPr>
            <w:r w:rsidRPr="00C31D6C">
              <w:rPr>
                <w:rFonts w:ascii="Calibri" w:hAnsi="Calibri" w:cs="Calibri"/>
                <w:b/>
                <w:color w:val="000000" w:themeColor="text1"/>
                <w:sz w:val="18"/>
                <w:szCs w:val="18"/>
              </w:rPr>
              <w:t>3</w:t>
            </w:r>
          </w:p>
        </w:tc>
        <w:tc>
          <w:tcPr>
            <w:tcW w:w="8641" w:type="dxa"/>
            <w:vAlign w:val="center"/>
          </w:tcPr>
          <w:p w14:paraId="3A083C4F" w14:textId="77777777" w:rsidR="00FB487D" w:rsidRPr="00C31D6C" w:rsidRDefault="007E2A6B" w:rsidP="005130B3">
            <w:pPr>
              <w:tabs>
                <w:tab w:val="left" w:pos="993"/>
              </w:tabs>
              <w:rPr>
                <w:rFonts w:ascii="Calibri" w:hAnsi="Calibri" w:cs="Calibri"/>
                <w:b/>
                <w:sz w:val="18"/>
                <w:szCs w:val="18"/>
              </w:rPr>
            </w:pPr>
            <w:r w:rsidRPr="00C31D6C">
              <w:rPr>
                <w:rFonts w:ascii="Calibri" w:hAnsi="Calibri" w:cs="Calibri"/>
                <w:sz w:val="18"/>
                <w:szCs w:val="18"/>
              </w:rPr>
              <w:t>Vynaložené prostředky jsou účelné, resp. hospodárné pouze omezeně nebo existuje riziko pro hospodárnost vynaložených prostředků</w:t>
            </w:r>
            <w:r>
              <w:rPr>
                <w:rFonts w:ascii="Calibri" w:hAnsi="Calibri" w:cs="Calibri"/>
                <w:sz w:val="18"/>
                <w:szCs w:val="18"/>
              </w:rPr>
              <w:t xml:space="preserve"> (v případě nedodržení pravidel pro zadávání veřejných zakázek)</w:t>
            </w:r>
            <w:r w:rsidRPr="00C31D6C">
              <w:rPr>
                <w:rFonts w:ascii="Calibri" w:hAnsi="Calibri" w:cs="Calibri"/>
                <w:sz w:val="18"/>
                <w:szCs w:val="18"/>
              </w:rPr>
              <w:t>.</w:t>
            </w:r>
          </w:p>
        </w:tc>
      </w:tr>
      <w:tr w:rsidR="00D44C38" w14:paraId="3D5061EE" w14:textId="77777777" w:rsidTr="005130B3">
        <w:trPr>
          <w:trHeight w:val="255"/>
        </w:trPr>
        <w:tc>
          <w:tcPr>
            <w:tcW w:w="421" w:type="dxa"/>
            <w:shd w:val="clear" w:color="auto" w:fill="FF0000"/>
            <w:vAlign w:val="center"/>
          </w:tcPr>
          <w:p w14:paraId="02DD6FC3" w14:textId="77777777" w:rsidR="00FB487D" w:rsidRPr="00C31D6C" w:rsidRDefault="007E2A6B" w:rsidP="005130B3">
            <w:pPr>
              <w:tabs>
                <w:tab w:val="left" w:pos="993"/>
              </w:tabs>
              <w:jc w:val="center"/>
              <w:rPr>
                <w:rFonts w:ascii="Calibri" w:hAnsi="Calibri" w:cs="Calibri"/>
                <w:b/>
                <w:color w:val="000000" w:themeColor="text1"/>
                <w:sz w:val="18"/>
                <w:szCs w:val="18"/>
              </w:rPr>
            </w:pPr>
            <w:r w:rsidRPr="00C31D6C">
              <w:rPr>
                <w:rFonts w:ascii="Calibri" w:hAnsi="Calibri" w:cs="Calibri"/>
                <w:b/>
                <w:color w:val="000000" w:themeColor="text1"/>
                <w:sz w:val="18"/>
                <w:szCs w:val="18"/>
              </w:rPr>
              <w:t>4</w:t>
            </w:r>
          </w:p>
        </w:tc>
        <w:tc>
          <w:tcPr>
            <w:tcW w:w="8641" w:type="dxa"/>
            <w:vAlign w:val="center"/>
          </w:tcPr>
          <w:p w14:paraId="041539A0" w14:textId="77777777" w:rsidR="00FB487D" w:rsidRPr="00C31D6C" w:rsidRDefault="007E2A6B" w:rsidP="005130B3">
            <w:pPr>
              <w:tabs>
                <w:tab w:val="left" w:pos="993"/>
              </w:tabs>
              <w:rPr>
                <w:rFonts w:ascii="Calibri" w:hAnsi="Calibri" w:cs="Calibri"/>
                <w:b/>
                <w:sz w:val="18"/>
                <w:szCs w:val="18"/>
              </w:rPr>
            </w:pPr>
            <w:r w:rsidRPr="00C31D6C">
              <w:rPr>
                <w:rFonts w:ascii="Calibri" w:hAnsi="Calibri" w:cs="Calibri"/>
                <w:sz w:val="18"/>
                <w:szCs w:val="18"/>
              </w:rPr>
              <w:t>Vynaložené prostředky nejsou účelné, resp. hospodárné.</w:t>
            </w:r>
          </w:p>
        </w:tc>
      </w:tr>
    </w:tbl>
    <w:p w14:paraId="4FC9B7C6" w14:textId="77777777" w:rsidR="00306808" w:rsidRDefault="00306808" w:rsidP="00306808">
      <w:pPr>
        <w:pStyle w:val="Zdrojnebovysvtlivkapodtabulkou"/>
        <w:rPr>
          <w:b/>
        </w:rPr>
        <w:sectPr w:rsidR="00306808" w:rsidSect="00DB327A">
          <w:pgSz w:w="16838" w:h="11906" w:orient="landscape" w:code="9"/>
          <w:pgMar w:top="1418" w:right="1418" w:bottom="1418" w:left="1418" w:header="709" w:footer="709" w:gutter="0"/>
          <w:cols w:space="708"/>
          <w:docGrid w:linePitch="360"/>
        </w:sectPr>
      </w:pPr>
    </w:p>
    <w:p w14:paraId="089C0D10" w14:textId="77777777" w:rsidR="00306808" w:rsidRDefault="00306808" w:rsidP="00306808">
      <w:pPr>
        <w:pStyle w:val="Zdrojnebovysvtlivkapodtabulkou"/>
        <w:rPr>
          <w:b/>
        </w:rPr>
      </w:pPr>
    </w:p>
    <w:p w14:paraId="65ADC207" w14:textId="77777777" w:rsidR="00306808" w:rsidRPr="00A760DB" w:rsidRDefault="007E2A6B" w:rsidP="00306808">
      <w:pPr>
        <w:pStyle w:val="Nadpis1"/>
        <w:spacing w:before="0" w:after="40"/>
        <w:jc w:val="right"/>
        <w:rPr>
          <w:sz w:val="24"/>
          <w:szCs w:val="24"/>
        </w:rPr>
      </w:pPr>
      <w:r w:rsidRPr="00A760DB">
        <w:rPr>
          <w:sz w:val="24"/>
          <w:szCs w:val="24"/>
        </w:rPr>
        <w:t xml:space="preserve">Příloha č. </w:t>
      </w:r>
      <w:r>
        <w:rPr>
          <w:sz w:val="24"/>
          <w:szCs w:val="24"/>
        </w:rPr>
        <w:t>3</w:t>
      </w:r>
    </w:p>
    <w:p w14:paraId="55F96E9E" w14:textId="77777777" w:rsidR="00306808" w:rsidRPr="00F31777" w:rsidRDefault="007E2A6B" w:rsidP="00306808">
      <w:pPr>
        <w:spacing w:after="120" w:line="240" w:lineRule="auto"/>
        <w:jc w:val="center"/>
        <w:rPr>
          <w:rFonts w:cstheme="minorHAnsi"/>
          <w:b/>
          <w:sz w:val="24"/>
        </w:rPr>
      </w:pPr>
      <w:r w:rsidRPr="00A760DB">
        <w:rPr>
          <w:rFonts w:cstheme="minorHAnsi"/>
          <w:b/>
          <w:sz w:val="24"/>
        </w:rPr>
        <w:t xml:space="preserve">Kritéria hodnocení účelnosti a </w:t>
      </w:r>
      <w:r>
        <w:rPr>
          <w:rFonts w:cstheme="minorHAnsi"/>
          <w:b/>
          <w:sz w:val="24"/>
        </w:rPr>
        <w:t>hospodárnosti výdajů vynaložených na pořízení zdravotnického vybavení</w:t>
      </w:r>
    </w:p>
    <w:p w14:paraId="5D1588B3" w14:textId="77777777" w:rsidR="00306808" w:rsidRPr="00E07CAF" w:rsidRDefault="007E2A6B" w:rsidP="00306808">
      <w:pPr>
        <w:keepNext/>
        <w:spacing w:after="120" w:line="240" w:lineRule="auto"/>
        <w:rPr>
          <w:rFonts w:cstheme="minorHAnsi"/>
          <w:b/>
          <w:sz w:val="24"/>
        </w:rPr>
      </w:pPr>
      <w:r w:rsidRPr="00E07CAF">
        <w:rPr>
          <w:rFonts w:cstheme="minorHAnsi"/>
          <w:b/>
          <w:sz w:val="24"/>
        </w:rPr>
        <w:t>1. Vyhodnocení účelnosti</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804"/>
      </w:tblGrid>
      <w:tr w:rsidR="00D44C38" w14:paraId="33CDAF2A" w14:textId="77777777" w:rsidTr="004F7FAB">
        <w:trPr>
          <w:trHeight w:val="645"/>
          <w:tblHeade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E5F1FF"/>
            <w:vAlign w:val="center"/>
            <w:hideMark/>
          </w:tcPr>
          <w:p w14:paraId="1E2A2B0C" w14:textId="77777777" w:rsidR="00306808" w:rsidRPr="00E07CAF" w:rsidRDefault="007E2A6B" w:rsidP="0096730A">
            <w:pPr>
              <w:spacing w:after="0" w:line="240" w:lineRule="auto"/>
              <w:jc w:val="center"/>
              <w:rPr>
                <w:rFonts w:cstheme="minorHAnsi"/>
                <w:b/>
                <w:sz w:val="20"/>
                <w:szCs w:val="20"/>
              </w:rPr>
            </w:pPr>
            <w:r w:rsidRPr="00E07CAF">
              <w:rPr>
                <w:rFonts w:cstheme="minorHAnsi"/>
                <w:b/>
                <w:sz w:val="20"/>
                <w:szCs w:val="20"/>
              </w:rPr>
              <w:t>Stupeň účelnosti vynaložených prostředků</w:t>
            </w:r>
          </w:p>
        </w:tc>
        <w:tc>
          <w:tcPr>
            <w:tcW w:w="5804" w:type="dxa"/>
            <w:tcBorders>
              <w:top w:val="single" w:sz="4" w:space="0" w:color="000000"/>
              <w:left w:val="single" w:sz="4" w:space="0" w:color="000000"/>
              <w:bottom w:val="single" w:sz="4" w:space="0" w:color="000000"/>
              <w:right w:val="single" w:sz="4" w:space="0" w:color="000000"/>
            </w:tcBorders>
            <w:shd w:val="clear" w:color="auto" w:fill="E5F1FF"/>
            <w:vAlign w:val="center"/>
          </w:tcPr>
          <w:p w14:paraId="52C2340A" w14:textId="77777777" w:rsidR="00306808" w:rsidRPr="00E07CAF" w:rsidRDefault="00306808" w:rsidP="0096730A">
            <w:pPr>
              <w:spacing w:after="0" w:line="240" w:lineRule="auto"/>
              <w:rPr>
                <w:rFonts w:cstheme="minorHAnsi"/>
                <w:b/>
                <w:sz w:val="20"/>
                <w:szCs w:val="20"/>
              </w:rPr>
            </w:pPr>
          </w:p>
          <w:p w14:paraId="7F5344D0" w14:textId="77777777" w:rsidR="00306808" w:rsidRPr="00E07CAF" w:rsidRDefault="007E2A6B" w:rsidP="0096730A">
            <w:pPr>
              <w:spacing w:after="0" w:line="240" w:lineRule="auto"/>
              <w:jc w:val="center"/>
              <w:rPr>
                <w:rFonts w:cstheme="minorHAnsi"/>
                <w:b/>
                <w:sz w:val="20"/>
                <w:szCs w:val="20"/>
              </w:rPr>
            </w:pPr>
            <w:r w:rsidRPr="00E07CAF">
              <w:rPr>
                <w:rFonts w:cstheme="minorHAnsi"/>
                <w:b/>
                <w:sz w:val="20"/>
                <w:szCs w:val="20"/>
              </w:rPr>
              <w:t>Definice stupně účelnosti</w:t>
            </w:r>
          </w:p>
          <w:p w14:paraId="3883CFF5" w14:textId="77777777" w:rsidR="00306808" w:rsidRPr="00E07CAF" w:rsidRDefault="00306808" w:rsidP="0096730A">
            <w:pPr>
              <w:spacing w:after="0" w:line="240" w:lineRule="auto"/>
              <w:jc w:val="center"/>
              <w:rPr>
                <w:rFonts w:cstheme="minorHAnsi"/>
                <w:b/>
                <w:sz w:val="20"/>
                <w:szCs w:val="20"/>
              </w:rPr>
            </w:pPr>
          </w:p>
        </w:tc>
      </w:tr>
      <w:tr w:rsidR="00D44C38" w14:paraId="24E25DA9" w14:textId="77777777" w:rsidTr="0096730A">
        <w:trPr>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74C5AAD5"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1.</w:t>
            </w:r>
          </w:p>
          <w:p w14:paraId="5E379FA5"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Vynaložené prostředky jsou účelné</w:t>
            </w:r>
          </w:p>
        </w:tc>
        <w:tc>
          <w:tcPr>
            <w:tcW w:w="5804" w:type="dxa"/>
            <w:tcBorders>
              <w:top w:val="single" w:sz="4" w:space="0" w:color="000000"/>
              <w:left w:val="single" w:sz="4" w:space="0" w:color="000000"/>
              <w:bottom w:val="single" w:sz="4" w:space="0" w:color="000000"/>
              <w:right w:val="single" w:sz="4" w:space="0" w:color="000000"/>
            </w:tcBorders>
          </w:tcPr>
          <w:p w14:paraId="16F456EF" w14:textId="77777777" w:rsidR="00306808" w:rsidRPr="005D718F" w:rsidRDefault="007E2A6B" w:rsidP="00C3436A">
            <w:pPr>
              <w:pStyle w:val="Odstavecseseznamem"/>
              <w:numPr>
                <w:ilvl w:val="0"/>
                <w:numId w:val="15"/>
              </w:numPr>
              <w:spacing w:after="0" w:line="240" w:lineRule="auto"/>
              <w:ind w:left="318"/>
              <w:jc w:val="both"/>
              <w:rPr>
                <w:rFonts w:cstheme="minorHAnsi"/>
                <w:sz w:val="20"/>
                <w:szCs w:val="20"/>
                <w:u w:val="single"/>
              </w:rPr>
            </w:pPr>
            <w:r w:rsidRPr="005D718F">
              <w:rPr>
                <w:rFonts w:cstheme="minorHAnsi"/>
                <w:sz w:val="20"/>
                <w:szCs w:val="20"/>
                <w:u w:val="single"/>
              </w:rPr>
              <w:t>Přínosy</w:t>
            </w:r>
            <w:r w:rsidR="00E85F88">
              <w:rPr>
                <w:rFonts w:cstheme="minorHAnsi"/>
                <w:sz w:val="20"/>
                <w:szCs w:val="20"/>
                <w:u w:val="single"/>
              </w:rPr>
              <w:t> </w:t>
            </w:r>
            <w:r w:rsidRPr="005D718F">
              <w:rPr>
                <w:rFonts w:cstheme="minorHAnsi"/>
                <w:sz w:val="20"/>
                <w:szCs w:val="20"/>
                <w:u w:val="single"/>
              </w:rPr>
              <w:t>/</w:t>
            </w:r>
            <w:r w:rsidR="00E85F88">
              <w:rPr>
                <w:rFonts w:cstheme="minorHAnsi"/>
                <w:sz w:val="20"/>
                <w:szCs w:val="20"/>
                <w:u w:val="single"/>
              </w:rPr>
              <w:t> </w:t>
            </w:r>
            <w:r w:rsidRPr="005D718F">
              <w:rPr>
                <w:rFonts w:cstheme="minorHAnsi"/>
                <w:sz w:val="20"/>
                <w:szCs w:val="20"/>
                <w:u w:val="single"/>
              </w:rPr>
              <w:t>dílčí cíle pořízeného zdravotnického vybavení lze kvantifikovat</w:t>
            </w:r>
          </w:p>
          <w:p w14:paraId="36B7C812" w14:textId="77777777" w:rsidR="00306808" w:rsidRPr="009D222A" w:rsidRDefault="007E2A6B" w:rsidP="00C3436A">
            <w:pPr>
              <w:pStyle w:val="Odstavecseseznamem"/>
              <w:numPr>
                <w:ilvl w:val="0"/>
                <w:numId w:val="14"/>
              </w:numPr>
              <w:spacing w:after="0" w:line="240" w:lineRule="auto"/>
              <w:ind w:left="318" w:hanging="284"/>
              <w:jc w:val="both"/>
              <w:rPr>
                <w:rFonts w:cstheme="minorHAnsi"/>
                <w:sz w:val="20"/>
                <w:szCs w:val="20"/>
              </w:rPr>
            </w:pPr>
            <w:r w:rsidRPr="009D222A">
              <w:rPr>
                <w:rFonts w:cstheme="minorHAnsi"/>
                <w:sz w:val="20"/>
                <w:szCs w:val="20"/>
              </w:rPr>
              <w:t>Příjemce uvedl v žádosti o podporu kvantifikovatelné přínosy</w:t>
            </w:r>
            <w:r w:rsidR="00E85F88">
              <w:rPr>
                <w:rFonts w:cstheme="minorHAnsi"/>
                <w:sz w:val="20"/>
                <w:szCs w:val="20"/>
              </w:rPr>
              <w:t> </w:t>
            </w:r>
            <w:r w:rsidRPr="009D222A">
              <w:rPr>
                <w:rFonts w:cstheme="minorHAnsi"/>
                <w:sz w:val="20"/>
                <w:szCs w:val="20"/>
              </w:rPr>
              <w:t>/</w:t>
            </w:r>
            <w:r w:rsidR="00E85F88">
              <w:rPr>
                <w:rFonts w:cstheme="minorHAnsi"/>
                <w:sz w:val="20"/>
                <w:szCs w:val="20"/>
              </w:rPr>
              <w:t> </w:t>
            </w:r>
            <w:r w:rsidRPr="009D222A">
              <w:rPr>
                <w:rFonts w:cstheme="minorHAnsi"/>
                <w:sz w:val="20"/>
                <w:szCs w:val="20"/>
              </w:rPr>
              <w:t>dílčí cíle pořizovaného vybavení (ukazatele) a vyčíslil očekávané změny</w:t>
            </w:r>
            <w:r>
              <w:rPr>
                <w:rFonts w:cstheme="minorHAnsi"/>
                <w:sz w:val="20"/>
                <w:szCs w:val="20"/>
              </w:rPr>
              <w:t>; zároveň</w:t>
            </w:r>
            <w:r w:rsidRPr="009D222A">
              <w:rPr>
                <w:rFonts w:cstheme="minorHAnsi"/>
                <w:sz w:val="20"/>
                <w:szCs w:val="20"/>
              </w:rPr>
              <w:t xml:space="preserve"> </w:t>
            </w:r>
            <w:r>
              <w:rPr>
                <w:rFonts w:cstheme="minorHAnsi"/>
                <w:sz w:val="20"/>
                <w:szCs w:val="20"/>
              </w:rPr>
              <w:t xml:space="preserve">tyto změny </w:t>
            </w:r>
            <w:r w:rsidRPr="009D222A">
              <w:rPr>
                <w:rFonts w:cstheme="minorHAnsi"/>
                <w:sz w:val="20"/>
                <w:szCs w:val="20"/>
              </w:rPr>
              <w:t>sled</w:t>
            </w:r>
            <w:r>
              <w:rPr>
                <w:rFonts w:cstheme="minorHAnsi"/>
                <w:sz w:val="20"/>
                <w:szCs w:val="20"/>
              </w:rPr>
              <w:t xml:space="preserve">uje </w:t>
            </w:r>
            <w:r w:rsidRPr="009D222A">
              <w:rPr>
                <w:rFonts w:cstheme="minorHAnsi"/>
                <w:sz w:val="20"/>
                <w:szCs w:val="20"/>
              </w:rPr>
              <w:t>pomocí ukazatelů, které uvedl v</w:t>
            </w:r>
            <w:r>
              <w:rPr>
                <w:rFonts w:cstheme="minorHAnsi"/>
                <w:sz w:val="20"/>
                <w:szCs w:val="20"/>
              </w:rPr>
              <w:t> </w:t>
            </w:r>
            <w:r w:rsidRPr="009D222A">
              <w:rPr>
                <w:rFonts w:cstheme="minorHAnsi"/>
                <w:sz w:val="20"/>
                <w:szCs w:val="20"/>
              </w:rPr>
              <w:t>žádosti</w:t>
            </w:r>
            <w:r>
              <w:rPr>
                <w:rFonts w:cstheme="minorHAnsi"/>
                <w:sz w:val="20"/>
                <w:szCs w:val="20"/>
              </w:rPr>
              <w:t xml:space="preserve"> o podporu</w:t>
            </w:r>
            <w:r w:rsidR="00E85F88">
              <w:rPr>
                <w:rFonts w:cstheme="minorHAnsi"/>
                <w:sz w:val="20"/>
                <w:szCs w:val="20"/>
              </w:rPr>
              <w:t>,</w:t>
            </w:r>
            <w:r w:rsidRPr="009D222A">
              <w:rPr>
                <w:rFonts w:cstheme="minorHAnsi"/>
                <w:sz w:val="20"/>
                <w:szCs w:val="20"/>
              </w:rPr>
              <w:t xml:space="preserve"> nebo je nesleduje, ale dolož</w:t>
            </w:r>
            <w:r>
              <w:rPr>
                <w:rFonts w:cstheme="minorHAnsi"/>
                <w:sz w:val="20"/>
                <w:szCs w:val="20"/>
              </w:rPr>
              <w:t>il</w:t>
            </w:r>
            <w:r w:rsidRPr="009D222A">
              <w:rPr>
                <w:rFonts w:cstheme="minorHAnsi"/>
                <w:sz w:val="20"/>
                <w:szCs w:val="20"/>
              </w:rPr>
              <w:t xml:space="preserve"> kvantifikovatelné ukazatele, </w:t>
            </w:r>
            <w:r w:rsidRPr="005D718F">
              <w:rPr>
                <w:rFonts w:cstheme="minorHAnsi"/>
                <w:sz w:val="20"/>
                <w:szCs w:val="20"/>
              </w:rPr>
              <w:t>které prokazují dosažení relevantních dílčích cílů, resp. že pořízené vybavení je přínosné</w:t>
            </w:r>
            <w:r>
              <w:rPr>
                <w:rFonts w:cstheme="minorHAnsi"/>
                <w:sz w:val="20"/>
                <w:szCs w:val="20"/>
              </w:rPr>
              <w:t>.</w:t>
            </w:r>
            <w:r>
              <w:t xml:space="preserve"> </w:t>
            </w:r>
          </w:p>
          <w:p w14:paraId="43832BB0" w14:textId="77777777" w:rsidR="00306808" w:rsidRPr="009D222A" w:rsidRDefault="007E2A6B" w:rsidP="00C3436A">
            <w:pPr>
              <w:pStyle w:val="Odstavecseseznamem"/>
              <w:numPr>
                <w:ilvl w:val="0"/>
                <w:numId w:val="14"/>
              </w:numPr>
              <w:spacing w:after="0" w:line="240" w:lineRule="auto"/>
              <w:ind w:left="318" w:hanging="284"/>
              <w:jc w:val="both"/>
              <w:rPr>
                <w:rFonts w:cstheme="minorHAnsi"/>
                <w:sz w:val="20"/>
                <w:szCs w:val="20"/>
              </w:rPr>
            </w:pPr>
            <w:r>
              <w:rPr>
                <w:rFonts w:cstheme="minorHAnsi"/>
                <w:sz w:val="20"/>
                <w:szCs w:val="20"/>
              </w:rPr>
              <w:t>Nebo p</w:t>
            </w:r>
            <w:r w:rsidRPr="009D222A">
              <w:rPr>
                <w:rFonts w:cstheme="minorHAnsi"/>
                <w:sz w:val="20"/>
                <w:szCs w:val="20"/>
              </w:rPr>
              <w:t xml:space="preserve">říjemce </w:t>
            </w:r>
            <w:r>
              <w:rPr>
                <w:rFonts w:cstheme="minorHAnsi"/>
                <w:sz w:val="20"/>
                <w:szCs w:val="20"/>
              </w:rPr>
              <w:t>ne</w:t>
            </w:r>
            <w:r w:rsidRPr="009D222A">
              <w:rPr>
                <w:rFonts w:cstheme="minorHAnsi"/>
                <w:sz w:val="20"/>
                <w:szCs w:val="20"/>
              </w:rPr>
              <w:t xml:space="preserve">uvedl v žádosti o podporu kvantifikovatelné přínosy/dílčí cíle pořizovaného vybavení (ukazatele) a </w:t>
            </w:r>
            <w:r>
              <w:rPr>
                <w:rFonts w:cstheme="minorHAnsi"/>
                <w:sz w:val="20"/>
                <w:szCs w:val="20"/>
              </w:rPr>
              <w:t>ne</w:t>
            </w:r>
            <w:r w:rsidRPr="009D222A">
              <w:rPr>
                <w:rFonts w:cstheme="minorHAnsi"/>
                <w:sz w:val="20"/>
                <w:szCs w:val="20"/>
              </w:rPr>
              <w:t xml:space="preserve">vyčíslil očekávané změny, ale </w:t>
            </w:r>
            <w:r w:rsidR="00F06194">
              <w:rPr>
                <w:rFonts w:cstheme="minorHAnsi"/>
                <w:sz w:val="20"/>
                <w:szCs w:val="20"/>
              </w:rPr>
              <w:t xml:space="preserve">při kontrole NKÚ </w:t>
            </w:r>
            <w:r w:rsidRPr="009D222A">
              <w:rPr>
                <w:rFonts w:cstheme="minorHAnsi"/>
                <w:sz w:val="20"/>
                <w:szCs w:val="20"/>
              </w:rPr>
              <w:t xml:space="preserve">doložil kvantifikovatelné ukazatele, </w:t>
            </w:r>
            <w:r w:rsidRPr="005D718F">
              <w:rPr>
                <w:rFonts w:cstheme="minorHAnsi"/>
                <w:sz w:val="20"/>
                <w:szCs w:val="20"/>
              </w:rPr>
              <w:t xml:space="preserve">které prokazují dosažení relevantních dílčích cílů, </w:t>
            </w:r>
            <w:r w:rsidR="00683337">
              <w:rPr>
                <w:rFonts w:cstheme="minorHAnsi"/>
                <w:sz w:val="20"/>
                <w:szCs w:val="20"/>
              </w:rPr>
              <w:br/>
            </w:r>
            <w:r w:rsidRPr="005D718F">
              <w:rPr>
                <w:rFonts w:cstheme="minorHAnsi"/>
                <w:sz w:val="20"/>
                <w:szCs w:val="20"/>
              </w:rPr>
              <w:t>resp. že pořízené vybavení je přínosné</w:t>
            </w:r>
            <w:r>
              <w:rPr>
                <w:rFonts w:cstheme="minorHAnsi"/>
                <w:sz w:val="20"/>
                <w:szCs w:val="20"/>
              </w:rPr>
              <w:t>.</w:t>
            </w:r>
          </w:p>
          <w:p w14:paraId="1A2FCDEA" w14:textId="77777777" w:rsidR="00306808" w:rsidRDefault="007E2A6B" w:rsidP="00C3436A">
            <w:pPr>
              <w:pStyle w:val="Odstavecseseznamem"/>
              <w:numPr>
                <w:ilvl w:val="0"/>
                <w:numId w:val="14"/>
              </w:numPr>
              <w:spacing w:after="0" w:line="240" w:lineRule="auto"/>
              <w:ind w:left="318" w:hanging="284"/>
              <w:jc w:val="both"/>
              <w:rPr>
                <w:rFonts w:cstheme="minorHAnsi"/>
                <w:sz w:val="20"/>
                <w:szCs w:val="20"/>
              </w:rPr>
            </w:pPr>
            <w:r w:rsidRPr="005D718F">
              <w:rPr>
                <w:rFonts w:cstheme="minorHAnsi"/>
                <w:sz w:val="20"/>
                <w:szCs w:val="20"/>
              </w:rPr>
              <w:t>Pořízené vybavení je využíváno v předpokládaném rozsahu pro cílovou skupinu.</w:t>
            </w:r>
          </w:p>
          <w:p w14:paraId="36FB4EB8" w14:textId="77777777" w:rsidR="00306808" w:rsidRPr="005D718F" w:rsidRDefault="007E2A6B" w:rsidP="00C3436A">
            <w:pPr>
              <w:pStyle w:val="Odstavecseseznamem"/>
              <w:numPr>
                <w:ilvl w:val="0"/>
                <w:numId w:val="15"/>
              </w:numPr>
              <w:spacing w:after="0" w:line="240" w:lineRule="auto"/>
              <w:ind w:left="318"/>
              <w:jc w:val="both"/>
              <w:rPr>
                <w:rFonts w:cstheme="minorHAnsi"/>
                <w:sz w:val="20"/>
                <w:szCs w:val="20"/>
                <w:u w:val="single"/>
              </w:rPr>
            </w:pPr>
            <w:r w:rsidRPr="005D718F">
              <w:rPr>
                <w:rFonts w:cstheme="minorHAnsi"/>
                <w:sz w:val="20"/>
                <w:szCs w:val="20"/>
                <w:u w:val="single"/>
              </w:rPr>
              <w:t>Přínosy</w:t>
            </w:r>
            <w:r w:rsidR="00E85F88">
              <w:rPr>
                <w:rFonts w:cstheme="minorHAnsi"/>
                <w:sz w:val="20"/>
                <w:szCs w:val="20"/>
                <w:u w:val="single"/>
              </w:rPr>
              <w:t> </w:t>
            </w:r>
            <w:r w:rsidRPr="005D718F">
              <w:rPr>
                <w:rFonts w:cstheme="minorHAnsi"/>
                <w:sz w:val="20"/>
                <w:szCs w:val="20"/>
                <w:u w:val="single"/>
              </w:rPr>
              <w:t>/</w:t>
            </w:r>
            <w:r w:rsidR="00E85F88">
              <w:rPr>
                <w:rFonts w:cstheme="minorHAnsi"/>
                <w:sz w:val="20"/>
                <w:szCs w:val="20"/>
                <w:u w:val="single"/>
              </w:rPr>
              <w:t> </w:t>
            </w:r>
            <w:r w:rsidRPr="005D718F">
              <w:rPr>
                <w:rFonts w:cstheme="minorHAnsi"/>
                <w:sz w:val="20"/>
                <w:szCs w:val="20"/>
                <w:u w:val="single"/>
              </w:rPr>
              <w:t>dílčí cíle pořízeného zdravotnického vybavení není možné kvantifikovat</w:t>
            </w:r>
          </w:p>
          <w:p w14:paraId="6207B1F9" w14:textId="77777777" w:rsidR="00306808" w:rsidRDefault="007E2A6B" w:rsidP="00C3436A">
            <w:pPr>
              <w:pStyle w:val="Odstavecseseznamem"/>
              <w:numPr>
                <w:ilvl w:val="0"/>
                <w:numId w:val="17"/>
              </w:numPr>
              <w:spacing w:after="0" w:line="240" w:lineRule="auto"/>
              <w:ind w:left="318" w:hanging="284"/>
              <w:jc w:val="both"/>
              <w:rPr>
                <w:rFonts w:cstheme="minorHAnsi"/>
                <w:sz w:val="20"/>
                <w:szCs w:val="20"/>
              </w:rPr>
            </w:pPr>
            <w:r>
              <w:rPr>
                <w:rFonts w:cstheme="minorHAnsi"/>
                <w:sz w:val="20"/>
                <w:szCs w:val="20"/>
              </w:rPr>
              <w:t xml:space="preserve">Příjemce prokázal v rovině </w:t>
            </w:r>
            <w:r w:rsidRPr="005D718F">
              <w:rPr>
                <w:rFonts w:cstheme="minorHAnsi"/>
                <w:sz w:val="20"/>
                <w:szCs w:val="20"/>
              </w:rPr>
              <w:t>kvalitativní (slovní</w:t>
            </w:r>
            <w:r>
              <w:rPr>
                <w:rFonts w:cstheme="minorHAnsi"/>
                <w:sz w:val="20"/>
                <w:szCs w:val="20"/>
              </w:rPr>
              <w:t>m</w:t>
            </w:r>
            <w:r w:rsidRPr="005D718F">
              <w:rPr>
                <w:rFonts w:cstheme="minorHAnsi"/>
                <w:sz w:val="20"/>
                <w:szCs w:val="20"/>
              </w:rPr>
              <w:t xml:space="preserve"> hodnocení</w:t>
            </w:r>
            <w:r>
              <w:rPr>
                <w:rFonts w:cstheme="minorHAnsi"/>
                <w:sz w:val="20"/>
                <w:szCs w:val="20"/>
              </w:rPr>
              <w:t>m), že pořízené v</w:t>
            </w:r>
            <w:r w:rsidRPr="005D718F">
              <w:rPr>
                <w:rFonts w:cstheme="minorHAnsi"/>
                <w:sz w:val="20"/>
                <w:szCs w:val="20"/>
              </w:rPr>
              <w:t xml:space="preserve">ybavení je přínosné/účelné (je </w:t>
            </w:r>
            <w:r>
              <w:rPr>
                <w:rFonts w:cstheme="minorHAnsi"/>
                <w:sz w:val="20"/>
                <w:szCs w:val="20"/>
              </w:rPr>
              <w:t xml:space="preserve">zcela </w:t>
            </w:r>
            <w:r w:rsidRPr="005D718F">
              <w:rPr>
                <w:rFonts w:cstheme="minorHAnsi"/>
                <w:sz w:val="20"/>
                <w:szCs w:val="20"/>
              </w:rPr>
              <w:t xml:space="preserve">potřebné a má prokazatelné </w:t>
            </w:r>
            <w:r>
              <w:rPr>
                <w:rFonts w:cstheme="minorHAnsi"/>
                <w:sz w:val="20"/>
                <w:szCs w:val="20"/>
              </w:rPr>
              <w:t xml:space="preserve">maximální </w:t>
            </w:r>
            <w:r w:rsidRPr="005D718F">
              <w:rPr>
                <w:rFonts w:cstheme="minorHAnsi"/>
                <w:sz w:val="20"/>
                <w:szCs w:val="20"/>
              </w:rPr>
              <w:t>využití)</w:t>
            </w:r>
            <w:r>
              <w:rPr>
                <w:rFonts w:cstheme="minorHAnsi"/>
                <w:sz w:val="20"/>
                <w:szCs w:val="20"/>
              </w:rPr>
              <w:t>.</w:t>
            </w:r>
          </w:p>
          <w:p w14:paraId="5C438216" w14:textId="77777777" w:rsidR="00306808" w:rsidRPr="009D222A" w:rsidRDefault="007E2A6B" w:rsidP="00C3436A">
            <w:pPr>
              <w:pStyle w:val="Odstavecseseznamem"/>
              <w:numPr>
                <w:ilvl w:val="0"/>
                <w:numId w:val="17"/>
              </w:numPr>
              <w:spacing w:after="0" w:line="240" w:lineRule="auto"/>
              <w:ind w:left="318" w:hanging="284"/>
              <w:jc w:val="both"/>
              <w:rPr>
                <w:rFonts w:cstheme="minorHAnsi"/>
                <w:sz w:val="20"/>
                <w:szCs w:val="20"/>
              </w:rPr>
            </w:pPr>
            <w:r w:rsidRPr="005D718F">
              <w:rPr>
                <w:rFonts w:cstheme="minorHAnsi"/>
                <w:sz w:val="20"/>
                <w:szCs w:val="20"/>
              </w:rPr>
              <w:t>Pořízené vybavení je využíváno v předpokládaném rozsahu pro cílovou skupinu.</w:t>
            </w:r>
          </w:p>
        </w:tc>
      </w:tr>
      <w:tr w:rsidR="00D44C38" w14:paraId="09FCF94F" w14:textId="77777777" w:rsidTr="0096730A">
        <w:trPr>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1B2FE3CE"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2.</w:t>
            </w:r>
          </w:p>
          <w:p w14:paraId="17430D49"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Vynaložené prostředky jsou účelné s mírnými nedostatky</w:t>
            </w:r>
          </w:p>
        </w:tc>
        <w:tc>
          <w:tcPr>
            <w:tcW w:w="5804" w:type="dxa"/>
            <w:tcBorders>
              <w:top w:val="single" w:sz="4" w:space="0" w:color="000000"/>
              <w:left w:val="single" w:sz="4" w:space="0" w:color="000000"/>
              <w:bottom w:val="single" w:sz="4" w:space="0" w:color="000000"/>
              <w:right w:val="single" w:sz="4" w:space="0" w:color="000000"/>
            </w:tcBorders>
          </w:tcPr>
          <w:p w14:paraId="02616CE2" w14:textId="77777777" w:rsidR="00306808" w:rsidRPr="005D718F" w:rsidRDefault="007E2A6B" w:rsidP="00C3436A">
            <w:pPr>
              <w:pStyle w:val="Odstavecseseznamem"/>
              <w:numPr>
                <w:ilvl w:val="0"/>
                <w:numId w:val="16"/>
              </w:numPr>
              <w:spacing w:after="0" w:line="240" w:lineRule="auto"/>
              <w:ind w:left="318"/>
              <w:jc w:val="both"/>
              <w:rPr>
                <w:rFonts w:cstheme="minorHAnsi"/>
                <w:sz w:val="20"/>
                <w:szCs w:val="20"/>
                <w:u w:val="single"/>
              </w:rPr>
            </w:pPr>
            <w:r w:rsidRPr="005D718F">
              <w:rPr>
                <w:rFonts w:cstheme="minorHAnsi"/>
                <w:sz w:val="20"/>
                <w:szCs w:val="20"/>
                <w:u w:val="single"/>
              </w:rPr>
              <w:t>Přínosy</w:t>
            </w:r>
            <w:r w:rsidR="00E85F88">
              <w:rPr>
                <w:rFonts w:cstheme="minorHAnsi"/>
                <w:sz w:val="20"/>
                <w:szCs w:val="20"/>
                <w:u w:val="single"/>
              </w:rPr>
              <w:t> </w:t>
            </w:r>
            <w:r w:rsidRPr="005D718F">
              <w:rPr>
                <w:rFonts w:cstheme="minorHAnsi"/>
                <w:sz w:val="20"/>
                <w:szCs w:val="20"/>
                <w:u w:val="single"/>
              </w:rPr>
              <w:t>/</w:t>
            </w:r>
            <w:r w:rsidR="00E85F88">
              <w:rPr>
                <w:rFonts w:cstheme="minorHAnsi"/>
                <w:sz w:val="20"/>
                <w:szCs w:val="20"/>
                <w:u w:val="single"/>
              </w:rPr>
              <w:t> </w:t>
            </w:r>
            <w:r w:rsidRPr="005D718F">
              <w:rPr>
                <w:rFonts w:cstheme="minorHAnsi"/>
                <w:sz w:val="20"/>
                <w:szCs w:val="20"/>
                <w:u w:val="single"/>
              </w:rPr>
              <w:t>dílčí cíle pořízeného zdravotnického vybavení lze kvantifikovat</w:t>
            </w:r>
          </w:p>
          <w:p w14:paraId="6E9AD8E4" w14:textId="77777777" w:rsidR="00306808" w:rsidRDefault="007E2A6B" w:rsidP="00C3436A">
            <w:pPr>
              <w:pStyle w:val="Odstavecseseznamem"/>
              <w:numPr>
                <w:ilvl w:val="0"/>
                <w:numId w:val="18"/>
              </w:numPr>
              <w:spacing w:after="0" w:line="240" w:lineRule="auto"/>
              <w:ind w:left="318" w:hanging="284"/>
              <w:jc w:val="both"/>
              <w:rPr>
                <w:rFonts w:cstheme="minorHAnsi"/>
                <w:sz w:val="20"/>
                <w:szCs w:val="20"/>
              </w:rPr>
            </w:pPr>
            <w:r w:rsidRPr="00DB0D63">
              <w:rPr>
                <w:rFonts w:cstheme="minorHAnsi"/>
                <w:sz w:val="20"/>
                <w:szCs w:val="20"/>
              </w:rPr>
              <w:t>Příjemce neuvedl v žádosti o podporu kvantifikovatelné přínosy</w:t>
            </w:r>
            <w:r w:rsidR="00E85F88">
              <w:rPr>
                <w:rFonts w:cstheme="minorHAnsi"/>
                <w:sz w:val="20"/>
                <w:szCs w:val="20"/>
              </w:rPr>
              <w:t> </w:t>
            </w:r>
            <w:r w:rsidRPr="00DB0D63">
              <w:rPr>
                <w:rFonts w:cstheme="minorHAnsi"/>
                <w:sz w:val="20"/>
                <w:szCs w:val="20"/>
              </w:rPr>
              <w:t>/</w:t>
            </w:r>
            <w:r w:rsidR="00E85F88">
              <w:rPr>
                <w:rFonts w:cstheme="minorHAnsi"/>
                <w:sz w:val="20"/>
                <w:szCs w:val="20"/>
              </w:rPr>
              <w:t> </w:t>
            </w:r>
            <w:r w:rsidRPr="00DB0D63">
              <w:rPr>
                <w:rFonts w:cstheme="minorHAnsi"/>
                <w:sz w:val="20"/>
                <w:szCs w:val="20"/>
              </w:rPr>
              <w:t>dílčí cíle pořizovaného vybavení (ukazatele) a nevyčíslil očekávané změny</w:t>
            </w:r>
            <w:r>
              <w:rPr>
                <w:rFonts w:cstheme="minorHAnsi"/>
                <w:sz w:val="20"/>
                <w:szCs w:val="20"/>
              </w:rPr>
              <w:t>.</w:t>
            </w:r>
          </w:p>
          <w:p w14:paraId="457F84E9" w14:textId="77777777" w:rsidR="00306808" w:rsidRDefault="007E2A6B" w:rsidP="00C3436A">
            <w:pPr>
              <w:pStyle w:val="Odstavecseseznamem"/>
              <w:numPr>
                <w:ilvl w:val="0"/>
                <w:numId w:val="18"/>
              </w:numPr>
              <w:spacing w:after="0" w:line="240" w:lineRule="auto"/>
              <w:ind w:left="318" w:hanging="284"/>
              <w:jc w:val="both"/>
              <w:rPr>
                <w:rFonts w:cstheme="minorHAnsi"/>
                <w:sz w:val="20"/>
                <w:szCs w:val="20"/>
              </w:rPr>
            </w:pPr>
            <w:r>
              <w:rPr>
                <w:rFonts w:cstheme="minorHAnsi"/>
                <w:sz w:val="20"/>
                <w:szCs w:val="20"/>
              </w:rPr>
              <w:t>Příjemce</w:t>
            </w:r>
            <w:r w:rsidRPr="00DB0D63">
              <w:rPr>
                <w:rFonts w:cstheme="minorHAnsi"/>
                <w:sz w:val="20"/>
                <w:szCs w:val="20"/>
              </w:rPr>
              <w:t xml:space="preserve"> doložil </w:t>
            </w:r>
            <w:r>
              <w:rPr>
                <w:rFonts w:cstheme="minorHAnsi"/>
                <w:sz w:val="20"/>
                <w:szCs w:val="20"/>
              </w:rPr>
              <w:t xml:space="preserve">alespoň nějaký </w:t>
            </w:r>
            <w:r w:rsidRPr="00DB0D63">
              <w:rPr>
                <w:rFonts w:cstheme="minorHAnsi"/>
                <w:sz w:val="20"/>
                <w:szCs w:val="20"/>
              </w:rPr>
              <w:t>kvantifikovateln</w:t>
            </w:r>
            <w:r>
              <w:rPr>
                <w:rFonts w:cstheme="minorHAnsi"/>
                <w:sz w:val="20"/>
                <w:szCs w:val="20"/>
              </w:rPr>
              <w:t>ý</w:t>
            </w:r>
            <w:r w:rsidRPr="00DB0D63">
              <w:rPr>
                <w:rFonts w:cstheme="minorHAnsi"/>
                <w:sz w:val="20"/>
                <w:szCs w:val="20"/>
              </w:rPr>
              <w:t xml:space="preserve"> ukazatel, kter</w:t>
            </w:r>
            <w:r>
              <w:rPr>
                <w:rFonts w:cstheme="minorHAnsi"/>
                <w:sz w:val="20"/>
                <w:szCs w:val="20"/>
              </w:rPr>
              <w:t>ý</w:t>
            </w:r>
            <w:r w:rsidRPr="00DB0D63">
              <w:rPr>
                <w:rFonts w:cstheme="minorHAnsi"/>
                <w:sz w:val="20"/>
                <w:szCs w:val="20"/>
              </w:rPr>
              <w:t xml:space="preserve"> </w:t>
            </w:r>
            <w:r>
              <w:rPr>
                <w:rFonts w:cstheme="minorHAnsi"/>
                <w:sz w:val="20"/>
                <w:szCs w:val="20"/>
              </w:rPr>
              <w:t xml:space="preserve">částečně </w:t>
            </w:r>
            <w:r w:rsidRPr="00DB0D63">
              <w:rPr>
                <w:rFonts w:cstheme="minorHAnsi"/>
                <w:sz w:val="20"/>
                <w:szCs w:val="20"/>
              </w:rPr>
              <w:t>prokazuj</w:t>
            </w:r>
            <w:r>
              <w:rPr>
                <w:rFonts w:cstheme="minorHAnsi"/>
                <w:sz w:val="20"/>
                <w:szCs w:val="20"/>
              </w:rPr>
              <w:t>e</w:t>
            </w:r>
            <w:r w:rsidRPr="00DB0D63">
              <w:rPr>
                <w:rFonts w:cstheme="minorHAnsi"/>
                <w:sz w:val="20"/>
                <w:szCs w:val="20"/>
              </w:rPr>
              <w:t xml:space="preserve"> dosažení relevantních dílčích cílů, resp. že pořízené vybavení je přínosné</w:t>
            </w:r>
            <w:r w:rsidR="00E85F88">
              <w:rPr>
                <w:rFonts w:cstheme="minorHAnsi"/>
                <w:sz w:val="20"/>
                <w:szCs w:val="20"/>
              </w:rPr>
              <w:t>,</w:t>
            </w:r>
            <w:r>
              <w:rPr>
                <w:rFonts w:cstheme="minorHAnsi"/>
                <w:sz w:val="20"/>
                <w:szCs w:val="20"/>
              </w:rPr>
              <w:t xml:space="preserve"> nebo příjemce prokázal v rovině </w:t>
            </w:r>
            <w:r w:rsidRPr="005D718F">
              <w:rPr>
                <w:rFonts w:cstheme="minorHAnsi"/>
                <w:sz w:val="20"/>
                <w:szCs w:val="20"/>
              </w:rPr>
              <w:t>kvalitativní (slovní</w:t>
            </w:r>
            <w:r>
              <w:rPr>
                <w:rFonts w:cstheme="minorHAnsi"/>
                <w:sz w:val="20"/>
                <w:szCs w:val="20"/>
              </w:rPr>
              <w:t>m</w:t>
            </w:r>
            <w:r w:rsidRPr="005D718F">
              <w:rPr>
                <w:rFonts w:cstheme="minorHAnsi"/>
                <w:sz w:val="20"/>
                <w:szCs w:val="20"/>
              </w:rPr>
              <w:t xml:space="preserve"> hodnocení</w:t>
            </w:r>
            <w:r>
              <w:rPr>
                <w:rFonts w:cstheme="minorHAnsi"/>
                <w:sz w:val="20"/>
                <w:szCs w:val="20"/>
              </w:rPr>
              <w:t>m), že pořízené v</w:t>
            </w:r>
            <w:r w:rsidRPr="005D718F">
              <w:rPr>
                <w:rFonts w:cstheme="minorHAnsi"/>
                <w:sz w:val="20"/>
                <w:szCs w:val="20"/>
              </w:rPr>
              <w:t xml:space="preserve">ybavení je přínosné/účelné (je </w:t>
            </w:r>
            <w:r>
              <w:rPr>
                <w:rFonts w:cstheme="minorHAnsi"/>
                <w:sz w:val="20"/>
                <w:szCs w:val="20"/>
              </w:rPr>
              <w:t xml:space="preserve">zcela </w:t>
            </w:r>
            <w:r w:rsidRPr="005D718F">
              <w:rPr>
                <w:rFonts w:cstheme="minorHAnsi"/>
                <w:sz w:val="20"/>
                <w:szCs w:val="20"/>
              </w:rPr>
              <w:t xml:space="preserve">potřebné a má prokazatelné </w:t>
            </w:r>
            <w:r>
              <w:rPr>
                <w:rFonts w:cstheme="minorHAnsi"/>
                <w:sz w:val="20"/>
                <w:szCs w:val="20"/>
              </w:rPr>
              <w:t xml:space="preserve">maximální </w:t>
            </w:r>
            <w:r w:rsidRPr="005D718F">
              <w:rPr>
                <w:rFonts w:cstheme="minorHAnsi"/>
                <w:sz w:val="20"/>
                <w:szCs w:val="20"/>
              </w:rPr>
              <w:t>využití)</w:t>
            </w:r>
            <w:r w:rsidR="00E85F88">
              <w:rPr>
                <w:rFonts w:cstheme="minorHAnsi"/>
                <w:sz w:val="20"/>
                <w:szCs w:val="20"/>
              </w:rPr>
              <w:t>.</w:t>
            </w:r>
          </w:p>
          <w:p w14:paraId="481AC692" w14:textId="77777777" w:rsidR="00306808" w:rsidRPr="00DB0D63" w:rsidRDefault="007E2A6B" w:rsidP="00C3436A">
            <w:pPr>
              <w:pStyle w:val="Odstavecseseznamem"/>
              <w:numPr>
                <w:ilvl w:val="0"/>
                <w:numId w:val="18"/>
              </w:numPr>
              <w:spacing w:after="0" w:line="240" w:lineRule="auto"/>
              <w:ind w:left="318" w:hanging="284"/>
              <w:jc w:val="both"/>
              <w:rPr>
                <w:rFonts w:cstheme="minorHAnsi"/>
                <w:sz w:val="20"/>
                <w:szCs w:val="20"/>
              </w:rPr>
            </w:pPr>
            <w:r w:rsidRPr="00DB0D63">
              <w:rPr>
                <w:rFonts w:cstheme="minorHAnsi"/>
                <w:sz w:val="20"/>
                <w:szCs w:val="20"/>
              </w:rPr>
              <w:t>Pořízené vybavení je z větší části využíváno v předpokládaném rozsahu pro cílovou skupinu.</w:t>
            </w:r>
          </w:p>
          <w:p w14:paraId="4640A668" w14:textId="77777777" w:rsidR="00306808" w:rsidRPr="005D718F" w:rsidRDefault="007E2A6B" w:rsidP="00C3436A">
            <w:pPr>
              <w:pStyle w:val="Odstavecseseznamem"/>
              <w:numPr>
                <w:ilvl w:val="0"/>
                <w:numId w:val="16"/>
              </w:numPr>
              <w:spacing w:after="0" w:line="240" w:lineRule="auto"/>
              <w:ind w:left="318"/>
              <w:jc w:val="both"/>
              <w:rPr>
                <w:rFonts w:cstheme="minorHAnsi"/>
                <w:sz w:val="20"/>
                <w:szCs w:val="20"/>
                <w:u w:val="single"/>
              </w:rPr>
            </w:pPr>
            <w:r w:rsidRPr="005D718F">
              <w:rPr>
                <w:rFonts w:cstheme="minorHAnsi"/>
                <w:sz w:val="20"/>
                <w:szCs w:val="20"/>
                <w:u w:val="single"/>
              </w:rPr>
              <w:t>Přínosy</w:t>
            </w:r>
            <w:r w:rsidR="00E85F88">
              <w:rPr>
                <w:rFonts w:cstheme="minorHAnsi"/>
                <w:sz w:val="20"/>
                <w:szCs w:val="20"/>
                <w:u w:val="single"/>
              </w:rPr>
              <w:t> </w:t>
            </w:r>
            <w:r w:rsidRPr="005D718F">
              <w:rPr>
                <w:rFonts w:cstheme="minorHAnsi"/>
                <w:sz w:val="20"/>
                <w:szCs w:val="20"/>
                <w:u w:val="single"/>
              </w:rPr>
              <w:t>/</w:t>
            </w:r>
            <w:r w:rsidR="00E85F88">
              <w:rPr>
                <w:rFonts w:cstheme="minorHAnsi"/>
                <w:sz w:val="20"/>
                <w:szCs w:val="20"/>
                <w:u w:val="single"/>
              </w:rPr>
              <w:t> </w:t>
            </w:r>
            <w:r w:rsidRPr="005D718F">
              <w:rPr>
                <w:rFonts w:cstheme="minorHAnsi"/>
                <w:sz w:val="20"/>
                <w:szCs w:val="20"/>
                <w:u w:val="single"/>
              </w:rPr>
              <w:t>dílčí cíle pořízeného zdravotnického vybavení není možné kvantifikovat</w:t>
            </w:r>
          </w:p>
          <w:p w14:paraId="393CB5AE" w14:textId="77777777" w:rsidR="00306808" w:rsidRDefault="007E2A6B" w:rsidP="00C3436A">
            <w:pPr>
              <w:pStyle w:val="Odstavecseseznamem"/>
              <w:numPr>
                <w:ilvl w:val="0"/>
                <w:numId w:val="19"/>
              </w:numPr>
              <w:spacing w:after="0" w:line="240" w:lineRule="auto"/>
              <w:ind w:left="318" w:hanging="284"/>
              <w:jc w:val="both"/>
              <w:rPr>
                <w:rFonts w:cstheme="minorHAnsi"/>
                <w:sz w:val="20"/>
                <w:szCs w:val="20"/>
              </w:rPr>
            </w:pPr>
            <w:r>
              <w:rPr>
                <w:rFonts w:cstheme="minorHAnsi"/>
                <w:sz w:val="20"/>
                <w:szCs w:val="20"/>
              </w:rPr>
              <w:t xml:space="preserve">Příjemce prokázal v rovině </w:t>
            </w:r>
            <w:r w:rsidRPr="005D718F">
              <w:rPr>
                <w:rFonts w:cstheme="minorHAnsi"/>
                <w:sz w:val="20"/>
                <w:szCs w:val="20"/>
              </w:rPr>
              <w:t>kvalitativní (slovní</w:t>
            </w:r>
            <w:r>
              <w:rPr>
                <w:rFonts w:cstheme="minorHAnsi"/>
                <w:sz w:val="20"/>
                <w:szCs w:val="20"/>
              </w:rPr>
              <w:t>m</w:t>
            </w:r>
            <w:r w:rsidRPr="005D718F">
              <w:rPr>
                <w:rFonts w:cstheme="minorHAnsi"/>
                <w:sz w:val="20"/>
                <w:szCs w:val="20"/>
              </w:rPr>
              <w:t xml:space="preserve"> hodnocení</w:t>
            </w:r>
            <w:r>
              <w:rPr>
                <w:rFonts w:cstheme="minorHAnsi"/>
                <w:sz w:val="20"/>
                <w:szCs w:val="20"/>
              </w:rPr>
              <w:t>m), že pořízené v</w:t>
            </w:r>
            <w:r w:rsidRPr="005D718F">
              <w:rPr>
                <w:rFonts w:cstheme="minorHAnsi"/>
                <w:sz w:val="20"/>
                <w:szCs w:val="20"/>
              </w:rPr>
              <w:t xml:space="preserve">ybavení je přínosné/účelné (je </w:t>
            </w:r>
            <w:r>
              <w:rPr>
                <w:rFonts w:cstheme="minorHAnsi"/>
                <w:sz w:val="20"/>
                <w:szCs w:val="20"/>
              </w:rPr>
              <w:t xml:space="preserve">zcela </w:t>
            </w:r>
            <w:r w:rsidRPr="005D718F">
              <w:rPr>
                <w:rFonts w:cstheme="minorHAnsi"/>
                <w:sz w:val="20"/>
                <w:szCs w:val="20"/>
              </w:rPr>
              <w:t>potřebné a má prokazatelné využití)</w:t>
            </w:r>
            <w:r>
              <w:rPr>
                <w:rFonts w:cstheme="minorHAnsi"/>
                <w:sz w:val="20"/>
                <w:szCs w:val="20"/>
              </w:rPr>
              <w:t>.</w:t>
            </w:r>
          </w:p>
          <w:p w14:paraId="69129C24" w14:textId="77777777" w:rsidR="00306808" w:rsidRPr="00DB0D63" w:rsidRDefault="007E2A6B" w:rsidP="00C3436A">
            <w:pPr>
              <w:pStyle w:val="Odstavecseseznamem"/>
              <w:numPr>
                <w:ilvl w:val="0"/>
                <w:numId w:val="19"/>
              </w:numPr>
              <w:spacing w:after="0" w:line="240" w:lineRule="auto"/>
              <w:ind w:left="318" w:hanging="284"/>
              <w:jc w:val="both"/>
              <w:rPr>
                <w:rFonts w:cstheme="minorHAnsi"/>
                <w:sz w:val="20"/>
                <w:szCs w:val="20"/>
              </w:rPr>
            </w:pPr>
            <w:r w:rsidRPr="005D718F">
              <w:rPr>
                <w:rFonts w:cstheme="minorHAnsi"/>
                <w:sz w:val="20"/>
                <w:szCs w:val="20"/>
              </w:rPr>
              <w:t>Pořízené vybavení je z větší části využíváno v předpokládaném rozsahu pro cílovou skupinu.</w:t>
            </w:r>
          </w:p>
        </w:tc>
      </w:tr>
      <w:tr w:rsidR="00D44C38" w14:paraId="7C723299" w14:textId="77777777" w:rsidTr="0096730A">
        <w:trPr>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48F4F236"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3.</w:t>
            </w:r>
          </w:p>
          <w:p w14:paraId="77FCE964" w14:textId="77777777" w:rsidR="00306808" w:rsidRPr="00E07CAF" w:rsidRDefault="007E2A6B" w:rsidP="0096730A">
            <w:pPr>
              <w:keepLines/>
              <w:spacing w:after="0" w:line="240" w:lineRule="auto"/>
              <w:jc w:val="center"/>
              <w:rPr>
                <w:rFonts w:cstheme="minorHAnsi"/>
                <w:b/>
                <w:sz w:val="20"/>
                <w:szCs w:val="20"/>
              </w:rPr>
            </w:pPr>
            <w:r w:rsidRPr="00E07CAF">
              <w:rPr>
                <w:rFonts w:cstheme="minorHAnsi"/>
                <w:b/>
                <w:sz w:val="20"/>
                <w:szCs w:val="20"/>
              </w:rPr>
              <w:t>Vynaložené prostředky jsou účelné pouze omezeně</w:t>
            </w:r>
          </w:p>
        </w:tc>
        <w:tc>
          <w:tcPr>
            <w:tcW w:w="5804" w:type="dxa"/>
            <w:tcBorders>
              <w:top w:val="single" w:sz="4" w:space="0" w:color="000000"/>
              <w:left w:val="single" w:sz="4" w:space="0" w:color="000000"/>
              <w:bottom w:val="single" w:sz="4" w:space="0" w:color="000000"/>
              <w:right w:val="single" w:sz="4" w:space="0" w:color="000000"/>
            </w:tcBorders>
          </w:tcPr>
          <w:p w14:paraId="3C92911F" w14:textId="77777777" w:rsidR="00306808" w:rsidRPr="00E07CAF" w:rsidRDefault="007E2A6B" w:rsidP="0096730A">
            <w:pPr>
              <w:spacing w:after="0" w:line="240" w:lineRule="auto"/>
              <w:jc w:val="both"/>
              <w:rPr>
                <w:rFonts w:cstheme="minorHAnsi"/>
                <w:sz w:val="20"/>
                <w:szCs w:val="20"/>
              </w:rPr>
            </w:pPr>
            <w:r w:rsidRPr="00E07CAF">
              <w:rPr>
                <w:rFonts w:cstheme="minorHAnsi"/>
                <w:sz w:val="20"/>
                <w:szCs w:val="20"/>
              </w:rPr>
              <w:t>Některé z předpokladů účelnosti jsou významně zpochybněny.</w:t>
            </w:r>
          </w:p>
          <w:p w14:paraId="5DD62C66" w14:textId="77777777" w:rsidR="00306808" w:rsidRPr="00E07CAF" w:rsidRDefault="007E2A6B" w:rsidP="0096730A">
            <w:pPr>
              <w:spacing w:after="0" w:line="240" w:lineRule="auto"/>
              <w:jc w:val="both"/>
              <w:rPr>
                <w:rFonts w:cstheme="minorHAnsi"/>
                <w:sz w:val="20"/>
                <w:szCs w:val="20"/>
              </w:rPr>
            </w:pPr>
            <w:r w:rsidRPr="00E07CAF">
              <w:rPr>
                <w:rFonts w:cstheme="minorHAnsi"/>
                <w:sz w:val="20"/>
                <w:szCs w:val="20"/>
              </w:rPr>
              <w:t>Pořízené vybavení je využíváno jen omezeně a</w:t>
            </w:r>
            <w:r w:rsidR="00683337">
              <w:rPr>
                <w:rFonts w:cstheme="minorHAnsi"/>
                <w:sz w:val="20"/>
                <w:szCs w:val="20"/>
              </w:rPr>
              <w:t xml:space="preserve"> </w:t>
            </w:r>
            <w:r w:rsidRPr="00E07CAF">
              <w:rPr>
                <w:rFonts w:cstheme="minorHAnsi"/>
                <w:sz w:val="20"/>
                <w:szCs w:val="20"/>
              </w:rPr>
              <w:t>zároveň neexistuje důvodný předpoklad významnějšího zlepšení v budoucnu.</w:t>
            </w:r>
          </w:p>
        </w:tc>
      </w:tr>
      <w:tr w:rsidR="00D44C38" w14:paraId="0DFD739B" w14:textId="77777777" w:rsidTr="0096730A">
        <w:trPr>
          <w:trHeight w:val="1140"/>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440C06DA" w14:textId="77777777" w:rsidR="00306808" w:rsidRPr="00E07CAF" w:rsidRDefault="007E2A6B" w:rsidP="0096730A">
            <w:pPr>
              <w:keepNext/>
              <w:keepLines/>
              <w:spacing w:after="0" w:line="240" w:lineRule="auto"/>
              <w:jc w:val="center"/>
              <w:rPr>
                <w:rFonts w:cstheme="minorHAnsi"/>
                <w:b/>
                <w:sz w:val="20"/>
                <w:szCs w:val="20"/>
              </w:rPr>
            </w:pPr>
            <w:r w:rsidRPr="00E07CAF">
              <w:rPr>
                <w:rFonts w:cstheme="minorHAnsi"/>
                <w:b/>
                <w:sz w:val="20"/>
                <w:szCs w:val="20"/>
              </w:rPr>
              <w:lastRenderedPageBreak/>
              <w:t>4.</w:t>
            </w:r>
          </w:p>
          <w:p w14:paraId="1C6FA8FF" w14:textId="77777777" w:rsidR="00306808" w:rsidRPr="00E07CAF" w:rsidRDefault="007E2A6B" w:rsidP="0096730A">
            <w:pPr>
              <w:keepNext/>
              <w:keepLines/>
              <w:spacing w:after="0" w:line="240" w:lineRule="auto"/>
              <w:jc w:val="center"/>
              <w:rPr>
                <w:rFonts w:cstheme="minorHAnsi"/>
                <w:b/>
                <w:sz w:val="20"/>
                <w:szCs w:val="20"/>
              </w:rPr>
            </w:pPr>
            <w:r w:rsidRPr="00E07CAF">
              <w:rPr>
                <w:rFonts w:cstheme="minorHAnsi"/>
                <w:b/>
                <w:sz w:val="20"/>
                <w:szCs w:val="20"/>
              </w:rPr>
              <w:t>Vynaložené prostředky nejsou účelné</w:t>
            </w:r>
          </w:p>
        </w:tc>
        <w:tc>
          <w:tcPr>
            <w:tcW w:w="5804" w:type="dxa"/>
            <w:tcBorders>
              <w:top w:val="single" w:sz="4" w:space="0" w:color="000000"/>
              <w:left w:val="single" w:sz="4" w:space="0" w:color="000000"/>
              <w:bottom w:val="single" w:sz="4" w:space="0" w:color="000000"/>
              <w:right w:val="single" w:sz="4" w:space="0" w:color="000000"/>
            </w:tcBorders>
          </w:tcPr>
          <w:p w14:paraId="02B30346" w14:textId="77777777" w:rsidR="00306808" w:rsidRPr="00E07CAF" w:rsidRDefault="007E2A6B" w:rsidP="0096730A">
            <w:pPr>
              <w:spacing w:after="0" w:line="240" w:lineRule="auto"/>
              <w:jc w:val="both"/>
              <w:rPr>
                <w:rFonts w:cstheme="minorHAnsi"/>
                <w:sz w:val="20"/>
                <w:szCs w:val="20"/>
              </w:rPr>
            </w:pPr>
            <w:r w:rsidRPr="00E07CAF">
              <w:rPr>
                <w:rFonts w:cstheme="minorHAnsi"/>
                <w:sz w:val="20"/>
                <w:szCs w:val="20"/>
              </w:rPr>
              <w:t xml:space="preserve">Předpoklady účelnosti jsou zásadně zpochybněny. </w:t>
            </w:r>
          </w:p>
          <w:p w14:paraId="28915698" w14:textId="77777777" w:rsidR="00306808" w:rsidRPr="00E07CAF" w:rsidRDefault="007E2A6B" w:rsidP="0096730A">
            <w:pPr>
              <w:spacing w:after="0" w:line="240" w:lineRule="auto"/>
              <w:jc w:val="both"/>
              <w:rPr>
                <w:rFonts w:cstheme="minorHAnsi"/>
                <w:sz w:val="20"/>
                <w:szCs w:val="20"/>
              </w:rPr>
            </w:pPr>
            <w:r w:rsidRPr="00E07CAF">
              <w:rPr>
                <w:rFonts w:cstheme="minorHAnsi"/>
                <w:sz w:val="20"/>
                <w:szCs w:val="20"/>
              </w:rPr>
              <w:t>Pořízené vybavení není téměř využíváno a neexistuje ani důvodný předpoklad pro jeho využívání v budoucnu.</w:t>
            </w:r>
          </w:p>
          <w:p w14:paraId="6AB3C79B" w14:textId="77777777" w:rsidR="00306808" w:rsidRPr="00E07CAF" w:rsidRDefault="007E2A6B" w:rsidP="0096730A">
            <w:pPr>
              <w:spacing w:after="0" w:line="240" w:lineRule="auto"/>
              <w:jc w:val="both"/>
              <w:rPr>
                <w:rFonts w:cstheme="minorHAnsi"/>
                <w:sz w:val="20"/>
                <w:szCs w:val="20"/>
              </w:rPr>
            </w:pPr>
            <w:r w:rsidRPr="00E07CAF">
              <w:rPr>
                <w:rFonts w:cstheme="minorHAnsi"/>
                <w:sz w:val="20"/>
                <w:szCs w:val="20"/>
              </w:rPr>
              <w:t>Nebo byl</w:t>
            </w:r>
            <w:r>
              <w:rPr>
                <w:rFonts w:cstheme="minorHAnsi"/>
                <w:sz w:val="20"/>
                <w:szCs w:val="20"/>
              </w:rPr>
              <w:t>a aktivita v rámci</w:t>
            </w:r>
            <w:r w:rsidRPr="00E07CAF">
              <w:rPr>
                <w:rFonts w:cstheme="minorHAnsi"/>
                <w:sz w:val="20"/>
                <w:szCs w:val="20"/>
              </w:rPr>
              <w:t xml:space="preserve"> projekt</w:t>
            </w:r>
            <w:r>
              <w:rPr>
                <w:rFonts w:cstheme="minorHAnsi"/>
                <w:sz w:val="20"/>
                <w:szCs w:val="20"/>
              </w:rPr>
              <w:t>u</w:t>
            </w:r>
            <w:r w:rsidRPr="00E07CAF">
              <w:rPr>
                <w:rFonts w:cstheme="minorHAnsi"/>
                <w:sz w:val="20"/>
                <w:szCs w:val="20"/>
              </w:rPr>
              <w:t xml:space="preserve"> poskytovatelem podpory </w:t>
            </w:r>
            <w:r>
              <w:rPr>
                <w:rFonts w:cstheme="minorHAnsi"/>
                <w:sz w:val="20"/>
                <w:szCs w:val="20"/>
              </w:rPr>
              <w:t>schválena</w:t>
            </w:r>
            <w:r w:rsidRPr="00E07CAF">
              <w:rPr>
                <w:rFonts w:cstheme="minorHAnsi"/>
                <w:sz w:val="20"/>
                <w:szCs w:val="20"/>
              </w:rPr>
              <w:t xml:space="preserve"> v</w:t>
            </w:r>
            <w:r w:rsidR="00683337">
              <w:rPr>
                <w:rFonts w:cstheme="minorHAnsi"/>
                <w:sz w:val="20"/>
                <w:szCs w:val="20"/>
              </w:rPr>
              <w:t xml:space="preserve"> </w:t>
            </w:r>
            <w:r w:rsidRPr="00E07CAF">
              <w:rPr>
                <w:rFonts w:cstheme="minorHAnsi"/>
                <w:sz w:val="20"/>
                <w:szCs w:val="20"/>
              </w:rPr>
              <w:t xml:space="preserve">rozporu s příslušnými podmínkami a </w:t>
            </w:r>
            <w:r>
              <w:rPr>
                <w:rFonts w:cstheme="minorHAnsi"/>
                <w:sz w:val="20"/>
                <w:szCs w:val="20"/>
              </w:rPr>
              <w:t xml:space="preserve">výdaje na pořízení vybavení </w:t>
            </w:r>
            <w:r w:rsidRPr="00E07CAF">
              <w:rPr>
                <w:rFonts w:cstheme="minorHAnsi"/>
                <w:sz w:val="20"/>
                <w:szCs w:val="20"/>
              </w:rPr>
              <w:t>byl</w:t>
            </w:r>
            <w:r>
              <w:rPr>
                <w:rFonts w:cstheme="minorHAnsi"/>
                <w:sz w:val="20"/>
                <w:szCs w:val="20"/>
              </w:rPr>
              <w:t>y</w:t>
            </w:r>
            <w:r w:rsidRPr="00E07CAF">
              <w:rPr>
                <w:rFonts w:cstheme="minorHAnsi"/>
                <w:sz w:val="20"/>
                <w:szCs w:val="20"/>
              </w:rPr>
              <w:t xml:space="preserve"> </w:t>
            </w:r>
            <w:r w:rsidR="00E85F88">
              <w:rPr>
                <w:rFonts w:cstheme="minorHAnsi"/>
                <w:sz w:val="20"/>
                <w:szCs w:val="20"/>
              </w:rPr>
              <w:t xml:space="preserve">v důsledku toho </w:t>
            </w:r>
            <w:r w:rsidRPr="00E07CAF">
              <w:rPr>
                <w:rFonts w:cstheme="minorHAnsi"/>
                <w:sz w:val="20"/>
                <w:szCs w:val="20"/>
              </w:rPr>
              <w:t>od počátku nezpůsobil</w:t>
            </w:r>
            <w:r>
              <w:rPr>
                <w:rFonts w:cstheme="minorHAnsi"/>
                <w:sz w:val="20"/>
                <w:szCs w:val="20"/>
              </w:rPr>
              <w:t>é</w:t>
            </w:r>
            <w:r w:rsidRPr="00E07CAF">
              <w:rPr>
                <w:rFonts w:cstheme="minorHAnsi"/>
                <w:sz w:val="20"/>
                <w:szCs w:val="20"/>
              </w:rPr>
              <w:t>.</w:t>
            </w:r>
          </w:p>
        </w:tc>
      </w:tr>
    </w:tbl>
    <w:p w14:paraId="4F48C32C" w14:textId="77777777" w:rsidR="00306808" w:rsidRPr="00071E77" w:rsidRDefault="00306808" w:rsidP="00306808">
      <w:pPr>
        <w:spacing w:after="0" w:line="240" w:lineRule="auto"/>
        <w:rPr>
          <w:rFonts w:cstheme="minorHAnsi"/>
          <w:bCs/>
          <w:sz w:val="24"/>
          <w:szCs w:val="24"/>
        </w:rPr>
      </w:pPr>
    </w:p>
    <w:p w14:paraId="35743BDD" w14:textId="77777777" w:rsidR="00306808" w:rsidRDefault="007E2A6B" w:rsidP="00306808">
      <w:pPr>
        <w:keepNext/>
        <w:spacing w:after="120" w:line="240" w:lineRule="auto"/>
        <w:rPr>
          <w:rFonts w:cstheme="minorHAnsi"/>
          <w:b/>
          <w:sz w:val="24"/>
        </w:rPr>
      </w:pPr>
      <w:r>
        <w:rPr>
          <w:rFonts w:cstheme="minorHAnsi"/>
          <w:b/>
          <w:sz w:val="24"/>
        </w:rPr>
        <w:t>2</w:t>
      </w:r>
      <w:r w:rsidRPr="00E07CAF">
        <w:rPr>
          <w:rFonts w:cstheme="minorHAnsi"/>
          <w:b/>
          <w:sz w:val="24"/>
        </w:rPr>
        <w:t xml:space="preserve">. Vyhodnocení </w:t>
      </w:r>
      <w:r>
        <w:rPr>
          <w:rFonts w:cstheme="minorHAnsi"/>
          <w:b/>
          <w:sz w:val="24"/>
        </w:rPr>
        <w:t>hospodárnosti</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804"/>
      </w:tblGrid>
      <w:tr w:rsidR="00D44C38" w14:paraId="69AE4CA4" w14:textId="77777777" w:rsidTr="004F7FAB">
        <w:trPr>
          <w:trHeight w:val="660"/>
          <w:tblHeader/>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E5F1FF"/>
            <w:vAlign w:val="center"/>
            <w:hideMark/>
          </w:tcPr>
          <w:p w14:paraId="47294EB3"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Stupeň hospodárnosti vynaložených prostředků</w:t>
            </w:r>
          </w:p>
        </w:tc>
        <w:tc>
          <w:tcPr>
            <w:tcW w:w="5805" w:type="dxa"/>
            <w:tcBorders>
              <w:top w:val="single" w:sz="4" w:space="0" w:color="000000"/>
              <w:left w:val="single" w:sz="4" w:space="0" w:color="000000"/>
              <w:bottom w:val="single" w:sz="4" w:space="0" w:color="000000"/>
              <w:right w:val="single" w:sz="4" w:space="0" w:color="000000"/>
            </w:tcBorders>
            <w:shd w:val="clear" w:color="auto" w:fill="E5F1FF"/>
            <w:vAlign w:val="center"/>
            <w:hideMark/>
          </w:tcPr>
          <w:p w14:paraId="16BCF276"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Definice stupně hospodárnosti</w:t>
            </w:r>
          </w:p>
        </w:tc>
      </w:tr>
      <w:tr w:rsidR="00D44C38" w14:paraId="51EAFD75" w14:textId="77777777" w:rsidTr="0096730A">
        <w:trPr>
          <w:jc w:val="center"/>
        </w:trPr>
        <w:tc>
          <w:tcPr>
            <w:tcW w:w="3257" w:type="dxa"/>
            <w:tcBorders>
              <w:top w:val="single" w:sz="4" w:space="0" w:color="000000"/>
              <w:left w:val="single" w:sz="4" w:space="0" w:color="000000"/>
              <w:bottom w:val="single" w:sz="4" w:space="0" w:color="000000"/>
              <w:right w:val="single" w:sz="4" w:space="0" w:color="000000"/>
            </w:tcBorders>
            <w:vAlign w:val="center"/>
            <w:hideMark/>
          </w:tcPr>
          <w:p w14:paraId="5EBF1D1F"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1.</w:t>
            </w:r>
          </w:p>
          <w:p w14:paraId="64CD1D87"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Vynaložené prostředky jsou hospodárné</w:t>
            </w:r>
          </w:p>
        </w:tc>
        <w:tc>
          <w:tcPr>
            <w:tcW w:w="5805" w:type="dxa"/>
            <w:tcBorders>
              <w:top w:val="single" w:sz="4" w:space="0" w:color="000000"/>
              <w:left w:val="single" w:sz="4" w:space="0" w:color="000000"/>
              <w:bottom w:val="single" w:sz="4" w:space="0" w:color="000000"/>
              <w:right w:val="single" w:sz="4" w:space="0" w:color="000000"/>
            </w:tcBorders>
          </w:tcPr>
          <w:p w14:paraId="2BF2BA22" w14:textId="77777777" w:rsidR="00306808" w:rsidRPr="00775267" w:rsidRDefault="007E2A6B" w:rsidP="00C3436A">
            <w:pPr>
              <w:pStyle w:val="Odstavecseseznamem"/>
              <w:numPr>
                <w:ilvl w:val="0"/>
                <w:numId w:val="20"/>
              </w:numPr>
              <w:spacing w:after="0" w:line="240" w:lineRule="auto"/>
              <w:ind w:left="318" w:hanging="284"/>
              <w:jc w:val="both"/>
              <w:rPr>
                <w:rFonts w:cstheme="minorHAnsi"/>
                <w:sz w:val="20"/>
                <w:szCs w:val="20"/>
              </w:rPr>
            </w:pPr>
            <w:r w:rsidRPr="00775267">
              <w:rPr>
                <w:rFonts w:cstheme="minorHAnsi"/>
                <w:sz w:val="20"/>
                <w:szCs w:val="20"/>
              </w:rPr>
              <w:t>Dodavatelé hlavních aktivit projektu (zdravotnického vybavení, stavebních prací) byli vybráni v</w:t>
            </w:r>
            <w:r w:rsidR="00E85F88">
              <w:rPr>
                <w:rFonts w:cstheme="minorHAnsi"/>
                <w:sz w:val="20"/>
                <w:szCs w:val="20"/>
              </w:rPr>
              <w:t xml:space="preserve"> </w:t>
            </w:r>
            <w:r w:rsidRPr="00775267">
              <w:rPr>
                <w:rFonts w:cstheme="minorHAnsi"/>
                <w:sz w:val="20"/>
                <w:szCs w:val="20"/>
              </w:rPr>
              <w:t xml:space="preserve">souladu se zákonem </w:t>
            </w:r>
            <w:r w:rsidR="00E85F88">
              <w:rPr>
                <w:rFonts w:cstheme="minorHAnsi"/>
                <w:sz w:val="20"/>
                <w:szCs w:val="20"/>
              </w:rPr>
              <w:br/>
            </w:r>
            <w:r w:rsidRPr="00775267">
              <w:rPr>
                <w:rFonts w:cstheme="minorHAnsi"/>
                <w:sz w:val="20"/>
                <w:szCs w:val="20"/>
              </w:rPr>
              <w:t>č. 134/2016 Sb., o zadávání veřejných zakázek (dále také „ZZVZ“)</w:t>
            </w:r>
            <w:r w:rsidR="00E85F88">
              <w:rPr>
                <w:rFonts w:cstheme="minorHAnsi"/>
                <w:sz w:val="20"/>
                <w:szCs w:val="20"/>
              </w:rPr>
              <w:t>,</w:t>
            </w:r>
            <w:r w:rsidRPr="00775267">
              <w:rPr>
                <w:rFonts w:cstheme="minorHAnsi"/>
                <w:sz w:val="20"/>
                <w:szCs w:val="20"/>
              </w:rPr>
              <w:t xml:space="preserve"> nebo metodickým pokynem pro zadáv</w:t>
            </w:r>
            <w:r w:rsidR="00E85F88">
              <w:rPr>
                <w:rFonts w:cstheme="minorHAnsi"/>
                <w:sz w:val="20"/>
                <w:szCs w:val="20"/>
              </w:rPr>
              <w:t>á</w:t>
            </w:r>
            <w:r w:rsidRPr="00775267">
              <w:rPr>
                <w:rFonts w:cstheme="minorHAnsi"/>
                <w:sz w:val="20"/>
                <w:szCs w:val="20"/>
              </w:rPr>
              <w:t xml:space="preserve">ní veřejných zakázek. </w:t>
            </w:r>
            <w:r>
              <w:rPr>
                <w:rFonts w:cstheme="minorHAnsi"/>
                <w:sz w:val="20"/>
                <w:szCs w:val="20"/>
              </w:rPr>
              <w:t>Nebyl zjištěn</w:t>
            </w:r>
            <w:r w:rsidRPr="00775267">
              <w:rPr>
                <w:rFonts w:cstheme="minorHAnsi"/>
                <w:sz w:val="20"/>
                <w:szCs w:val="20"/>
              </w:rPr>
              <w:t xml:space="preserve"> nedostatek, který mohl mít vliv na výběr nejvhodnější nabídky. </w:t>
            </w:r>
          </w:p>
          <w:p w14:paraId="19DB6805" w14:textId="77777777" w:rsidR="00306808" w:rsidRPr="00775267" w:rsidRDefault="007E2A6B" w:rsidP="00C3436A">
            <w:pPr>
              <w:pStyle w:val="Odstavecseseznamem"/>
              <w:numPr>
                <w:ilvl w:val="0"/>
                <w:numId w:val="20"/>
              </w:numPr>
              <w:spacing w:after="0" w:line="240" w:lineRule="auto"/>
              <w:ind w:left="318" w:hanging="284"/>
              <w:jc w:val="both"/>
              <w:rPr>
                <w:rFonts w:cstheme="minorHAnsi"/>
                <w:sz w:val="20"/>
                <w:szCs w:val="20"/>
              </w:rPr>
            </w:pPr>
            <w:r w:rsidRPr="00775267">
              <w:rPr>
                <w:rFonts w:cstheme="minorHAnsi"/>
                <w:sz w:val="20"/>
                <w:szCs w:val="20"/>
              </w:rPr>
              <w:t>Příjemce vytvořil smluvní podmínky pro aktivní řízení dodavatelských vztahů a tyto vztahy v průběhu realizace veřejné zakázky aktivně řídil.</w:t>
            </w:r>
          </w:p>
          <w:p w14:paraId="11324E1A" w14:textId="77777777" w:rsidR="00306808" w:rsidRPr="00775267" w:rsidRDefault="007E2A6B" w:rsidP="00C3436A">
            <w:pPr>
              <w:pStyle w:val="Odstavecseseznamem"/>
              <w:numPr>
                <w:ilvl w:val="0"/>
                <w:numId w:val="20"/>
              </w:numPr>
              <w:spacing w:after="0" w:line="240" w:lineRule="auto"/>
              <w:ind w:left="318" w:hanging="284"/>
              <w:jc w:val="both"/>
              <w:rPr>
                <w:rFonts w:cstheme="minorHAnsi"/>
                <w:sz w:val="20"/>
                <w:szCs w:val="20"/>
              </w:rPr>
            </w:pPr>
            <w:r w:rsidRPr="00775267">
              <w:rPr>
                <w:rFonts w:cstheme="minorHAnsi"/>
                <w:sz w:val="20"/>
                <w:szCs w:val="20"/>
              </w:rPr>
              <w:t>Příjemce pořídil v</w:t>
            </w:r>
            <w:r w:rsidR="00683337">
              <w:rPr>
                <w:rFonts w:cstheme="minorHAnsi"/>
                <w:sz w:val="20"/>
                <w:szCs w:val="20"/>
              </w:rPr>
              <w:t xml:space="preserve"> </w:t>
            </w:r>
            <w:r w:rsidRPr="00775267">
              <w:rPr>
                <w:rFonts w:cstheme="minorHAnsi"/>
                <w:sz w:val="20"/>
                <w:szCs w:val="20"/>
              </w:rPr>
              <w:t>přiměřené kvalitě zdravotnické vybavení, u</w:t>
            </w:r>
            <w:r w:rsidR="00943F9A">
              <w:rPr>
                <w:rFonts w:cstheme="minorHAnsi"/>
                <w:sz w:val="20"/>
                <w:szCs w:val="20"/>
              </w:rPr>
              <w:t> </w:t>
            </w:r>
            <w:r w:rsidRPr="00775267">
              <w:rPr>
                <w:rFonts w:cstheme="minorHAnsi"/>
                <w:sz w:val="20"/>
                <w:szCs w:val="20"/>
              </w:rPr>
              <w:t xml:space="preserve">něhož </w:t>
            </w:r>
            <w:r w:rsidR="00E85F88" w:rsidRPr="00775267">
              <w:rPr>
                <w:rFonts w:cstheme="minorHAnsi"/>
                <w:sz w:val="20"/>
                <w:szCs w:val="20"/>
              </w:rPr>
              <w:t xml:space="preserve">lze </w:t>
            </w:r>
            <w:r>
              <w:rPr>
                <w:rFonts w:cstheme="minorHAnsi"/>
                <w:sz w:val="20"/>
                <w:szCs w:val="20"/>
              </w:rPr>
              <w:t>v</w:t>
            </w:r>
            <w:r w:rsidRPr="00775267">
              <w:rPr>
                <w:rFonts w:cstheme="minorHAnsi"/>
                <w:sz w:val="20"/>
                <w:szCs w:val="20"/>
              </w:rPr>
              <w:t xml:space="preserve">yužití funkcí/funkcionalit jednoznačně kvantifikovat </w:t>
            </w:r>
            <w:r w:rsidR="00683337">
              <w:rPr>
                <w:rFonts w:cstheme="minorHAnsi"/>
                <w:sz w:val="20"/>
                <w:szCs w:val="20"/>
              </w:rPr>
              <w:br/>
            </w:r>
            <w:r w:rsidRPr="00775267">
              <w:rPr>
                <w:rFonts w:cstheme="minorHAnsi"/>
                <w:sz w:val="20"/>
                <w:szCs w:val="20"/>
              </w:rPr>
              <w:t>a</w:t>
            </w:r>
            <w:r w:rsidR="00683337">
              <w:rPr>
                <w:rFonts w:cstheme="minorHAnsi"/>
                <w:sz w:val="20"/>
                <w:szCs w:val="20"/>
              </w:rPr>
              <w:t xml:space="preserve"> </w:t>
            </w:r>
            <w:r w:rsidRPr="00775267">
              <w:rPr>
                <w:rFonts w:cstheme="minorHAnsi"/>
                <w:sz w:val="20"/>
                <w:szCs w:val="20"/>
              </w:rPr>
              <w:t xml:space="preserve">přiřadit ke konkrétním výkonům. </w:t>
            </w:r>
            <w:r>
              <w:rPr>
                <w:rFonts w:cstheme="minorHAnsi"/>
                <w:sz w:val="20"/>
                <w:szCs w:val="20"/>
              </w:rPr>
              <w:t>Žádný</w:t>
            </w:r>
            <w:r w:rsidRPr="00775267">
              <w:rPr>
                <w:rFonts w:cstheme="minorHAnsi"/>
                <w:sz w:val="20"/>
                <w:szCs w:val="20"/>
              </w:rPr>
              <w:t xml:space="preserve"> z</w:t>
            </w:r>
            <w:r w:rsidR="00683337">
              <w:rPr>
                <w:rFonts w:cstheme="minorHAnsi"/>
                <w:sz w:val="20"/>
                <w:szCs w:val="20"/>
              </w:rPr>
              <w:t xml:space="preserve"> </w:t>
            </w:r>
            <w:r w:rsidRPr="00775267">
              <w:rPr>
                <w:rFonts w:cstheme="minorHAnsi"/>
                <w:sz w:val="20"/>
                <w:szCs w:val="20"/>
              </w:rPr>
              <w:t xml:space="preserve">požadovaných parametrů (užitných vlastností) </w:t>
            </w:r>
            <w:r>
              <w:rPr>
                <w:rFonts w:cstheme="minorHAnsi"/>
                <w:sz w:val="20"/>
                <w:szCs w:val="20"/>
              </w:rPr>
              <w:t>ne</w:t>
            </w:r>
            <w:r w:rsidRPr="00775267">
              <w:rPr>
                <w:rFonts w:cstheme="minorHAnsi"/>
                <w:sz w:val="20"/>
                <w:szCs w:val="20"/>
              </w:rPr>
              <w:t>byl nepřiměřen</w:t>
            </w:r>
            <w:r>
              <w:rPr>
                <w:rFonts w:cstheme="minorHAnsi"/>
                <w:sz w:val="20"/>
                <w:szCs w:val="20"/>
              </w:rPr>
              <w:t>ý</w:t>
            </w:r>
            <w:r w:rsidRPr="00775267">
              <w:rPr>
                <w:rFonts w:cstheme="minorHAnsi"/>
                <w:sz w:val="20"/>
                <w:szCs w:val="20"/>
              </w:rPr>
              <w:t xml:space="preserve"> potřebám zadavatele a deklarovanému účelu např. tím, že </w:t>
            </w:r>
            <w:r>
              <w:rPr>
                <w:rFonts w:cstheme="minorHAnsi"/>
                <w:sz w:val="20"/>
                <w:szCs w:val="20"/>
              </w:rPr>
              <w:t>funkce/funkcionalita vybavení není</w:t>
            </w:r>
            <w:r w:rsidRPr="00775267">
              <w:rPr>
                <w:rFonts w:cstheme="minorHAnsi"/>
                <w:sz w:val="20"/>
                <w:szCs w:val="20"/>
              </w:rPr>
              <w:t xml:space="preserve"> využíván</w:t>
            </w:r>
            <w:r>
              <w:rPr>
                <w:rFonts w:cstheme="minorHAnsi"/>
                <w:sz w:val="20"/>
                <w:szCs w:val="20"/>
              </w:rPr>
              <w:t>a</w:t>
            </w:r>
            <w:r w:rsidRPr="00775267">
              <w:rPr>
                <w:rFonts w:cstheme="minorHAnsi"/>
                <w:sz w:val="20"/>
                <w:szCs w:val="20"/>
              </w:rPr>
              <w:t xml:space="preserve"> v</w:t>
            </w:r>
            <w:r w:rsidR="00683337">
              <w:rPr>
                <w:rFonts w:cstheme="minorHAnsi"/>
                <w:sz w:val="20"/>
                <w:szCs w:val="20"/>
              </w:rPr>
              <w:t xml:space="preserve"> </w:t>
            </w:r>
            <w:r w:rsidRPr="00775267">
              <w:rPr>
                <w:rFonts w:cstheme="minorHAnsi"/>
                <w:sz w:val="20"/>
                <w:szCs w:val="20"/>
              </w:rPr>
              <w:t>praxi. Zároveň příjemce pořídil zdravotnické vybavení v přiměřeném množství.</w:t>
            </w:r>
          </w:p>
        </w:tc>
      </w:tr>
      <w:tr w:rsidR="00D44C38" w14:paraId="043C9B22" w14:textId="77777777" w:rsidTr="0096730A">
        <w:trPr>
          <w:jc w:val="center"/>
        </w:trPr>
        <w:tc>
          <w:tcPr>
            <w:tcW w:w="3257" w:type="dxa"/>
            <w:tcBorders>
              <w:top w:val="single" w:sz="4" w:space="0" w:color="000000"/>
              <w:left w:val="single" w:sz="4" w:space="0" w:color="000000"/>
              <w:bottom w:val="single" w:sz="4" w:space="0" w:color="000000"/>
              <w:right w:val="single" w:sz="4" w:space="0" w:color="000000"/>
            </w:tcBorders>
            <w:vAlign w:val="center"/>
            <w:hideMark/>
          </w:tcPr>
          <w:p w14:paraId="3F0A4C51"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2.</w:t>
            </w:r>
          </w:p>
          <w:p w14:paraId="091E9EF7"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Vynaložené prostředky jsou hospodárné s mírnými nedostatky</w:t>
            </w:r>
          </w:p>
        </w:tc>
        <w:tc>
          <w:tcPr>
            <w:tcW w:w="5805" w:type="dxa"/>
            <w:tcBorders>
              <w:top w:val="single" w:sz="4" w:space="0" w:color="000000"/>
              <w:left w:val="single" w:sz="4" w:space="0" w:color="000000"/>
              <w:bottom w:val="single" w:sz="4" w:space="0" w:color="000000"/>
              <w:right w:val="single" w:sz="4" w:space="0" w:color="000000"/>
            </w:tcBorders>
          </w:tcPr>
          <w:p w14:paraId="76C50D8B" w14:textId="77777777" w:rsidR="00306808" w:rsidRPr="00775267" w:rsidRDefault="007E2A6B" w:rsidP="00C3436A">
            <w:pPr>
              <w:pStyle w:val="Odstavecseseznamem"/>
              <w:numPr>
                <w:ilvl w:val="0"/>
                <w:numId w:val="21"/>
              </w:numPr>
              <w:spacing w:after="0" w:line="240" w:lineRule="auto"/>
              <w:ind w:left="318" w:hanging="284"/>
              <w:jc w:val="both"/>
              <w:rPr>
                <w:rFonts w:cstheme="minorHAnsi"/>
                <w:sz w:val="20"/>
                <w:szCs w:val="20"/>
              </w:rPr>
            </w:pPr>
            <w:r w:rsidRPr="00775267">
              <w:rPr>
                <w:rFonts w:cstheme="minorHAnsi"/>
                <w:sz w:val="20"/>
                <w:szCs w:val="20"/>
              </w:rPr>
              <w:t>Dodavatelé hlavních aktivit projektu (zdravotnického vybavení, stavebních prací) byli vybráni v souladu se ZZVZ nebo metodickým pokynem pro zadáv</w:t>
            </w:r>
            <w:r w:rsidR="00E85F88">
              <w:rPr>
                <w:rFonts w:cstheme="minorHAnsi"/>
                <w:sz w:val="20"/>
                <w:szCs w:val="20"/>
              </w:rPr>
              <w:t>á</w:t>
            </w:r>
            <w:r w:rsidRPr="00775267">
              <w:rPr>
                <w:rFonts w:cstheme="minorHAnsi"/>
                <w:sz w:val="20"/>
                <w:szCs w:val="20"/>
              </w:rPr>
              <w:t xml:space="preserve">ní veřejných zakázek. Kontrolující nezjistili nedostatek, který mohl mít vliv na výběr nejvhodnější nabídky. </w:t>
            </w:r>
          </w:p>
          <w:p w14:paraId="00A586F6" w14:textId="77777777" w:rsidR="00306808" w:rsidRPr="00775267" w:rsidRDefault="007E2A6B" w:rsidP="00C3436A">
            <w:pPr>
              <w:pStyle w:val="Odstavecseseznamem"/>
              <w:numPr>
                <w:ilvl w:val="0"/>
                <w:numId w:val="21"/>
              </w:numPr>
              <w:spacing w:after="0" w:line="240" w:lineRule="auto"/>
              <w:ind w:left="318" w:hanging="284"/>
              <w:jc w:val="both"/>
              <w:rPr>
                <w:rFonts w:cstheme="minorHAnsi"/>
                <w:sz w:val="20"/>
                <w:szCs w:val="20"/>
              </w:rPr>
            </w:pPr>
            <w:r w:rsidRPr="00775267">
              <w:rPr>
                <w:rFonts w:cstheme="minorHAnsi"/>
                <w:sz w:val="20"/>
                <w:szCs w:val="20"/>
              </w:rPr>
              <w:t>Příjemce vytvořil smluvní podmínky pro aktivní řízení dodavatelských vztahů a tyto vztahy v průběhu realizace veřejné zakázky aktivně řídil</w:t>
            </w:r>
            <w:r w:rsidR="00E85F88">
              <w:rPr>
                <w:rFonts w:cstheme="minorHAnsi"/>
                <w:sz w:val="20"/>
                <w:szCs w:val="20"/>
              </w:rPr>
              <w:t>, avšak</w:t>
            </w:r>
            <w:r w:rsidRPr="00775267">
              <w:rPr>
                <w:rFonts w:cstheme="minorHAnsi"/>
                <w:sz w:val="20"/>
                <w:szCs w:val="20"/>
              </w:rPr>
              <w:t xml:space="preserve"> s</w:t>
            </w:r>
            <w:r w:rsidR="00E85F88">
              <w:rPr>
                <w:rFonts w:cstheme="minorHAnsi"/>
                <w:sz w:val="20"/>
                <w:szCs w:val="20"/>
              </w:rPr>
              <w:t xml:space="preserve"> </w:t>
            </w:r>
            <w:r w:rsidRPr="00775267">
              <w:rPr>
                <w:rFonts w:cstheme="minorHAnsi"/>
                <w:sz w:val="20"/>
                <w:szCs w:val="20"/>
              </w:rPr>
              <w:t xml:space="preserve">menšími nedostatky, např. neuplatnil </w:t>
            </w:r>
            <w:r w:rsidR="00E85F88" w:rsidRPr="00775267">
              <w:rPr>
                <w:rFonts w:cstheme="minorHAnsi"/>
                <w:sz w:val="20"/>
                <w:szCs w:val="20"/>
              </w:rPr>
              <w:t xml:space="preserve">včas </w:t>
            </w:r>
            <w:r w:rsidRPr="00775267">
              <w:rPr>
                <w:rFonts w:cstheme="minorHAnsi"/>
                <w:sz w:val="20"/>
                <w:szCs w:val="20"/>
              </w:rPr>
              <w:t>reklamaci.</w:t>
            </w:r>
          </w:p>
          <w:p w14:paraId="69372969" w14:textId="77777777" w:rsidR="00306808" w:rsidRPr="00775267" w:rsidRDefault="007E2A6B" w:rsidP="00C3436A">
            <w:pPr>
              <w:pStyle w:val="Odstavecseseznamem"/>
              <w:numPr>
                <w:ilvl w:val="0"/>
                <w:numId w:val="21"/>
              </w:numPr>
              <w:spacing w:after="0" w:line="240" w:lineRule="auto"/>
              <w:ind w:left="318" w:hanging="284"/>
              <w:jc w:val="both"/>
              <w:rPr>
                <w:rFonts w:cstheme="minorHAnsi"/>
                <w:sz w:val="20"/>
                <w:szCs w:val="20"/>
              </w:rPr>
            </w:pPr>
            <w:r>
              <w:rPr>
                <w:rFonts w:cstheme="minorHAnsi"/>
                <w:sz w:val="20"/>
                <w:szCs w:val="20"/>
              </w:rPr>
              <w:t>P</w:t>
            </w:r>
            <w:r w:rsidRPr="00775267">
              <w:rPr>
                <w:rFonts w:cstheme="minorHAnsi"/>
                <w:sz w:val="20"/>
                <w:szCs w:val="20"/>
              </w:rPr>
              <w:t>říjemce pořídil v nepřiměřené kvalitě zdravotnické vybavení, u</w:t>
            </w:r>
            <w:r w:rsidR="00943F9A">
              <w:rPr>
                <w:rFonts w:cstheme="minorHAnsi"/>
                <w:sz w:val="20"/>
                <w:szCs w:val="20"/>
              </w:rPr>
              <w:t> </w:t>
            </w:r>
            <w:r w:rsidRPr="00775267">
              <w:rPr>
                <w:rFonts w:cstheme="minorHAnsi"/>
                <w:sz w:val="20"/>
                <w:szCs w:val="20"/>
              </w:rPr>
              <w:t xml:space="preserve">něhož </w:t>
            </w:r>
            <w:r w:rsidR="00E85F88" w:rsidRPr="00775267">
              <w:rPr>
                <w:rFonts w:cstheme="minorHAnsi"/>
                <w:sz w:val="20"/>
                <w:szCs w:val="20"/>
              </w:rPr>
              <w:t xml:space="preserve">lze </w:t>
            </w:r>
            <w:r>
              <w:rPr>
                <w:rFonts w:cstheme="minorHAnsi"/>
                <w:sz w:val="20"/>
                <w:szCs w:val="20"/>
              </w:rPr>
              <w:t>v</w:t>
            </w:r>
            <w:r w:rsidRPr="00775267">
              <w:rPr>
                <w:rFonts w:cstheme="minorHAnsi"/>
                <w:sz w:val="20"/>
                <w:szCs w:val="20"/>
              </w:rPr>
              <w:t>yužití funkcí/funkcionalit jednoznačně kvantifikovat</w:t>
            </w:r>
            <w:r>
              <w:rPr>
                <w:rFonts w:cstheme="minorHAnsi"/>
                <w:sz w:val="20"/>
                <w:szCs w:val="20"/>
              </w:rPr>
              <w:t>.</w:t>
            </w:r>
            <w:r w:rsidRPr="00775267">
              <w:rPr>
                <w:rFonts w:cstheme="minorHAnsi"/>
                <w:sz w:val="20"/>
                <w:szCs w:val="20"/>
              </w:rPr>
              <w:t xml:space="preserve"> </w:t>
            </w:r>
            <w:r>
              <w:rPr>
                <w:rFonts w:cstheme="minorHAnsi"/>
                <w:sz w:val="20"/>
                <w:szCs w:val="20"/>
              </w:rPr>
              <w:t>N</w:t>
            </w:r>
            <w:r w:rsidRPr="00775267">
              <w:rPr>
                <w:rFonts w:cstheme="minorHAnsi"/>
                <w:sz w:val="20"/>
                <w:szCs w:val="20"/>
              </w:rPr>
              <w:t>ěkteré z požadovaných parametrů byly nepřiměřené potřebám zadavatele a deklarovanému účelu, neboť některé užitné vlastnosti (funkce) pořízeného zdravotnického vybavení nebyly zcela nebo v dostatečné míře využívány. Zároveň příjemce pořídil zdravotnické vybavení v přiměřeném množství.</w:t>
            </w:r>
          </w:p>
        </w:tc>
      </w:tr>
      <w:tr w:rsidR="00D44C38" w14:paraId="0F85A7B9" w14:textId="77777777" w:rsidTr="0096730A">
        <w:trPr>
          <w:jc w:val="center"/>
        </w:trPr>
        <w:tc>
          <w:tcPr>
            <w:tcW w:w="3257" w:type="dxa"/>
            <w:tcBorders>
              <w:top w:val="single" w:sz="4" w:space="0" w:color="000000"/>
              <w:left w:val="single" w:sz="4" w:space="0" w:color="000000"/>
              <w:bottom w:val="single" w:sz="4" w:space="0" w:color="000000"/>
              <w:right w:val="single" w:sz="4" w:space="0" w:color="000000"/>
            </w:tcBorders>
            <w:vAlign w:val="center"/>
            <w:hideMark/>
          </w:tcPr>
          <w:p w14:paraId="24181B34" w14:textId="77777777" w:rsidR="00306808" w:rsidRPr="00775267" w:rsidRDefault="007E2A6B" w:rsidP="0096730A">
            <w:pPr>
              <w:keepNext/>
              <w:keepLines/>
              <w:spacing w:after="0" w:line="240" w:lineRule="auto"/>
              <w:jc w:val="center"/>
              <w:rPr>
                <w:rFonts w:cstheme="minorHAnsi"/>
                <w:b/>
                <w:sz w:val="20"/>
                <w:szCs w:val="20"/>
              </w:rPr>
            </w:pPr>
            <w:r w:rsidRPr="00775267">
              <w:rPr>
                <w:rFonts w:cstheme="minorHAnsi"/>
                <w:b/>
                <w:sz w:val="20"/>
                <w:szCs w:val="20"/>
              </w:rPr>
              <w:lastRenderedPageBreak/>
              <w:t>3.</w:t>
            </w:r>
          </w:p>
          <w:p w14:paraId="4BD8680A" w14:textId="77777777" w:rsidR="00306808" w:rsidRPr="00775267" w:rsidRDefault="007E2A6B" w:rsidP="0096730A">
            <w:pPr>
              <w:keepLines/>
              <w:spacing w:after="0" w:line="240" w:lineRule="auto"/>
              <w:jc w:val="center"/>
              <w:rPr>
                <w:rFonts w:cstheme="minorHAnsi"/>
                <w:b/>
                <w:sz w:val="20"/>
                <w:szCs w:val="20"/>
              </w:rPr>
            </w:pPr>
            <w:r w:rsidRPr="00775267">
              <w:rPr>
                <w:rFonts w:cstheme="minorHAnsi"/>
                <w:b/>
                <w:sz w:val="20"/>
                <w:szCs w:val="20"/>
              </w:rPr>
              <w:t>Vynaložené prostředky jsou hospodárné pouze omezeně nebo existuje riziko pro hospodárnost vynaložených prostředků</w:t>
            </w:r>
          </w:p>
        </w:tc>
        <w:tc>
          <w:tcPr>
            <w:tcW w:w="5805" w:type="dxa"/>
            <w:tcBorders>
              <w:top w:val="single" w:sz="4" w:space="0" w:color="000000"/>
              <w:left w:val="single" w:sz="4" w:space="0" w:color="000000"/>
              <w:bottom w:val="single" w:sz="4" w:space="0" w:color="000000"/>
              <w:right w:val="single" w:sz="4" w:space="0" w:color="000000"/>
            </w:tcBorders>
          </w:tcPr>
          <w:p w14:paraId="481C32C8" w14:textId="77777777" w:rsidR="00306808" w:rsidRPr="00775267" w:rsidRDefault="007E2A6B" w:rsidP="00C3436A">
            <w:pPr>
              <w:pStyle w:val="Odstavecseseznamem"/>
              <w:numPr>
                <w:ilvl w:val="0"/>
                <w:numId w:val="22"/>
              </w:numPr>
              <w:spacing w:after="0" w:line="240" w:lineRule="auto"/>
              <w:ind w:left="318" w:hanging="284"/>
              <w:jc w:val="both"/>
              <w:rPr>
                <w:rFonts w:cstheme="minorHAnsi"/>
                <w:sz w:val="20"/>
                <w:szCs w:val="20"/>
              </w:rPr>
            </w:pPr>
            <w:r>
              <w:rPr>
                <w:rFonts w:cstheme="minorHAnsi"/>
                <w:sz w:val="20"/>
                <w:szCs w:val="20"/>
              </w:rPr>
              <w:t xml:space="preserve">Riziko ovlivňující </w:t>
            </w:r>
            <w:r w:rsidRPr="00775267">
              <w:rPr>
                <w:rFonts w:cstheme="minorHAnsi"/>
                <w:sz w:val="20"/>
                <w:szCs w:val="20"/>
              </w:rPr>
              <w:t>výběr nejvhodnější nabídky, např. riziko diskriminačních zadávacích kritérií</w:t>
            </w:r>
            <w:r w:rsidR="00E85F88">
              <w:rPr>
                <w:rFonts w:cstheme="minorHAnsi"/>
                <w:sz w:val="20"/>
                <w:szCs w:val="20"/>
              </w:rPr>
              <w:t xml:space="preserve"> nebo</w:t>
            </w:r>
            <w:r w:rsidRPr="00775267">
              <w:rPr>
                <w:rFonts w:cstheme="minorHAnsi"/>
                <w:sz w:val="20"/>
                <w:szCs w:val="20"/>
              </w:rPr>
              <w:t xml:space="preserve"> příliš podrobné nastavení technických parametrů. K potvrzení tohoto rizika může přispět zjištění, že ne všechny užitné vlastnosti (funkce/funkcionality) pořízeného zdravotnického vybavení požadované v zadávacích podmínkách jsou využívány (viz následující odstavce). Existuje tak riziko, že prostředky nebyly vynaloženy hospodárně.</w:t>
            </w:r>
          </w:p>
          <w:p w14:paraId="7CD4F2C0" w14:textId="77777777" w:rsidR="00306808" w:rsidRPr="00775267" w:rsidRDefault="007E2A6B" w:rsidP="00C3436A">
            <w:pPr>
              <w:pStyle w:val="Odstavecseseznamem"/>
              <w:numPr>
                <w:ilvl w:val="0"/>
                <w:numId w:val="22"/>
              </w:numPr>
              <w:spacing w:after="0" w:line="240" w:lineRule="auto"/>
              <w:ind w:left="318" w:hanging="284"/>
              <w:jc w:val="both"/>
              <w:rPr>
                <w:rFonts w:cstheme="minorHAnsi"/>
                <w:sz w:val="20"/>
                <w:szCs w:val="20"/>
              </w:rPr>
            </w:pPr>
            <w:r w:rsidRPr="00775267">
              <w:rPr>
                <w:rFonts w:cstheme="minorHAnsi"/>
                <w:sz w:val="20"/>
                <w:szCs w:val="20"/>
              </w:rPr>
              <w:t>Příjemce vytvořil smluvní podmínky pro aktivní řízení dodavatelských vztahů</w:t>
            </w:r>
            <w:r w:rsidR="00E85F88">
              <w:rPr>
                <w:rFonts w:cstheme="minorHAnsi"/>
                <w:sz w:val="20"/>
                <w:szCs w:val="20"/>
              </w:rPr>
              <w:t>,</w:t>
            </w:r>
            <w:r w:rsidRPr="00775267">
              <w:rPr>
                <w:rFonts w:cstheme="minorHAnsi"/>
                <w:sz w:val="20"/>
                <w:szCs w:val="20"/>
              </w:rPr>
              <w:t xml:space="preserve"> a</w:t>
            </w:r>
            <w:r w:rsidR="00E85F88">
              <w:rPr>
                <w:rFonts w:cstheme="minorHAnsi"/>
                <w:sz w:val="20"/>
                <w:szCs w:val="20"/>
              </w:rPr>
              <w:t>však</w:t>
            </w:r>
            <w:r w:rsidRPr="00775267">
              <w:rPr>
                <w:rFonts w:cstheme="minorHAnsi"/>
                <w:sz w:val="20"/>
                <w:szCs w:val="20"/>
              </w:rPr>
              <w:t xml:space="preserve"> tyto vztahy v průběhu realizace veřejné zakázky aktivně neřídil, což mělo dopad např. na technické problémy s pořízeným vybavením nebo</w:t>
            </w:r>
            <w:r w:rsidR="00E85F88">
              <w:rPr>
                <w:rFonts w:cstheme="minorHAnsi"/>
                <w:sz w:val="20"/>
                <w:szCs w:val="20"/>
              </w:rPr>
              <w:t xml:space="preserve"> to způsobilo</w:t>
            </w:r>
            <w:r w:rsidRPr="00775267">
              <w:rPr>
                <w:rFonts w:cstheme="minorHAnsi"/>
                <w:sz w:val="20"/>
                <w:szCs w:val="20"/>
              </w:rPr>
              <w:t xml:space="preserve"> nutnost odstávky </w:t>
            </w:r>
            <w:r w:rsidR="00E85F88" w:rsidRPr="00775267">
              <w:rPr>
                <w:rFonts w:cstheme="minorHAnsi"/>
                <w:sz w:val="20"/>
                <w:szCs w:val="20"/>
              </w:rPr>
              <w:t xml:space="preserve">péče </w:t>
            </w:r>
            <w:r w:rsidRPr="00775267">
              <w:rPr>
                <w:rFonts w:cstheme="minorHAnsi"/>
                <w:sz w:val="20"/>
                <w:szCs w:val="20"/>
              </w:rPr>
              <w:t>poskytované prostřednictvím pořízeného vybavení.</w:t>
            </w:r>
          </w:p>
          <w:p w14:paraId="1071B6A0" w14:textId="77777777" w:rsidR="00306808" w:rsidRPr="00775267" w:rsidRDefault="007E2A6B" w:rsidP="00C3436A">
            <w:pPr>
              <w:pStyle w:val="Odstavecseseznamem"/>
              <w:numPr>
                <w:ilvl w:val="0"/>
                <w:numId w:val="22"/>
              </w:numPr>
              <w:spacing w:after="0" w:line="240" w:lineRule="auto"/>
              <w:ind w:left="318" w:hanging="284"/>
              <w:jc w:val="both"/>
              <w:rPr>
                <w:rFonts w:cstheme="minorHAnsi"/>
                <w:sz w:val="20"/>
                <w:szCs w:val="20"/>
              </w:rPr>
            </w:pPr>
            <w:r>
              <w:rPr>
                <w:rFonts w:cstheme="minorHAnsi"/>
                <w:sz w:val="20"/>
                <w:szCs w:val="20"/>
              </w:rPr>
              <w:t>P</w:t>
            </w:r>
            <w:r w:rsidRPr="00775267">
              <w:rPr>
                <w:rFonts w:cstheme="minorHAnsi"/>
                <w:sz w:val="20"/>
                <w:szCs w:val="20"/>
              </w:rPr>
              <w:t>říjemce pořídil v nepřiměřené kvalitě zdravotnické vybavení, u</w:t>
            </w:r>
            <w:r w:rsidR="00386B53">
              <w:rPr>
                <w:rFonts w:cstheme="minorHAnsi"/>
                <w:sz w:val="20"/>
                <w:szCs w:val="20"/>
              </w:rPr>
              <w:t> </w:t>
            </w:r>
            <w:r w:rsidRPr="00775267">
              <w:rPr>
                <w:rFonts w:cstheme="minorHAnsi"/>
                <w:sz w:val="20"/>
                <w:szCs w:val="20"/>
              </w:rPr>
              <w:t xml:space="preserve">něhož </w:t>
            </w:r>
            <w:r w:rsidR="00E85F88" w:rsidRPr="00775267">
              <w:rPr>
                <w:rFonts w:cstheme="minorHAnsi"/>
                <w:sz w:val="20"/>
                <w:szCs w:val="20"/>
              </w:rPr>
              <w:t xml:space="preserve">lze </w:t>
            </w:r>
            <w:r>
              <w:rPr>
                <w:rFonts w:cstheme="minorHAnsi"/>
                <w:sz w:val="20"/>
                <w:szCs w:val="20"/>
              </w:rPr>
              <w:t>v</w:t>
            </w:r>
            <w:r w:rsidRPr="00775267">
              <w:rPr>
                <w:rFonts w:cstheme="minorHAnsi"/>
                <w:sz w:val="20"/>
                <w:szCs w:val="20"/>
              </w:rPr>
              <w:t>yužití funkcí/funkcionalit jednoznačně kvantifikovat</w:t>
            </w:r>
            <w:r>
              <w:rPr>
                <w:rFonts w:cstheme="minorHAnsi"/>
                <w:sz w:val="20"/>
                <w:szCs w:val="20"/>
              </w:rPr>
              <w:t>.</w:t>
            </w:r>
            <w:r w:rsidRPr="00775267">
              <w:rPr>
                <w:rFonts w:cstheme="minorHAnsi"/>
                <w:sz w:val="20"/>
                <w:szCs w:val="20"/>
              </w:rPr>
              <w:t xml:space="preserve"> </w:t>
            </w:r>
            <w:r>
              <w:rPr>
                <w:rFonts w:cstheme="minorHAnsi"/>
                <w:sz w:val="20"/>
                <w:szCs w:val="20"/>
              </w:rPr>
              <w:t>N</w:t>
            </w:r>
            <w:r w:rsidRPr="00775267">
              <w:rPr>
                <w:rFonts w:cstheme="minorHAnsi"/>
                <w:sz w:val="20"/>
                <w:szCs w:val="20"/>
              </w:rPr>
              <w:t xml:space="preserve">ěkolik z požadovaných parametrů bylo stanoveno nepřiměřeně potřebám zadavatele a deklarovanému účelu, neboť některé užitné vlastnosti (funkce/funkcionality) pořízeného zdravotnického vybavení nebyly zcela využívány, </w:t>
            </w:r>
            <w:r w:rsidR="00F06194">
              <w:rPr>
                <w:rFonts w:cstheme="minorHAnsi"/>
                <w:sz w:val="20"/>
                <w:szCs w:val="20"/>
              </w:rPr>
              <w:t xml:space="preserve">nebo </w:t>
            </w:r>
            <w:r w:rsidRPr="00775267">
              <w:rPr>
                <w:rFonts w:cstheme="minorHAnsi"/>
                <w:sz w:val="20"/>
                <w:szCs w:val="20"/>
              </w:rPr>
              <w:t>byly nesprávně nastaven</w:t>
            </w:r>
            <w:r w:rsidR="00E85F88">
              <w:rPr>
                <w:rFonts w:cstheme="minorHAnsi"/>
                <w:sz w:val="20"/>
                <w:szCs w:val="20"/>
              </w:rPr>
              <w:t>y</w:t>
            </w:r>
            <w:r w:rsidRPr="00775267">
              <w:rPr>
                <w:rFonts w:cstheme="minorHAnsi"/>
                <w:sz w:val="20"/>
                <w:szCs w:val="20"/>
              </w:rPr>
              <w:t xml:space="preserve"> technické parametry předmětu výběrového řízení.</w:t>
            </w:r>
          </w:p>
          <w:p w14:paraId="7577C9CD" w14:textId="77777777" w:rsidR="00306808" w:rsidRPr="00775267" w:rsidRDefault="007E2A6B" w:rsidP="00C3436A">
            <w:pPr>
              <w:pStyle w:val="Odstavecseseznamem"/>
              <w:numPr>
                <w:ilvl w:val="0"/>
                <w:numId w:val="22"/>
              </w:numPr>
              <w:spacing w:after="0" w:line="240" w:lineRule="auto"/>
              <w:ind w:left="318" w:hanging="284"/>
              <w:jc w:val="both"/>
              <w:rPr>
                <w:rFonts w:cstheme="minorHAnsi"/>
                <w:sz w:val="20"/>
                <w:szCs w:val="20"/>
              </w:rPr>
            </w:pPr>
            <w:r w:rsidRPr="00775267">
              <w:rPr>
                <w:rFonts w:cstheme="minorHAnsi"/>
                <w:sz w:val="20"/>
                <w:szCs w:val="20"/>
              </w:rPr>
              <w:t>Nebo větší množství kusů zdravotnického vybavení příjemce dlouhodobě nevyužívá (respektive není k</w:t>
            </w:r>
            <w:r w:rsidR="00D36C1C">
              <w:rPr>
                <w:rFonts w:cstheme="minorHAnsi"/>
                <w:sz w:val="20"/>
                <w:szCs w:val="20"/>
              </w:rPr>
              <w:t xml:space="preserve"> </w:t>
            </w:r>
            <w:r w:rsidRPr="00775267">
              <w:rPr>
                <w:rFonts w:cstheme="minorHAnsi"/>
                <w:sz w:val="20"/>
                <w:szCs w:val="20"/>
              </w:rPr>
              <w:t>dispozici pacientům), tj.</w:t>
            </w:r>
            <w:r w:rsidR="00E85F88">
              <w:rPr>
                <w:rFonts w:cstheme="minorHAnsi"/>
                <w:sz w:val="20"/>
                <w:szCs w:val="20"/>
              </w:rPr>
              <w:t> </w:t>
            </w:r>
            <w:r w:rsidRPr="00775267">
              <w:rPr>
                <w:rFonts w:cstheme="minorHAnsi"/>
                <w:sz w:val="20"/>
                <w:szCs w:val="20"/>
              </w:rPr>
              <w:t>bylo pořízeno nepřiměřené množství.</w:t>
            </w:r>
          </w:p>
        </w:tc>
      </w:tr>
      <w:tr w:rsidR="00D44C38" w14:paraId="017605B8" w14:textId="77777777" w:rsidTr="0096730A">
        <w:trPr>
          <w:jc w:val="center"/>
        </w:trPr>
        <w:tc>
          <w:tcPr>
            <w:tcW w:w="3257" w:type="dxa"/>
            <w:tcBorders>
              <w:top w:val="single" w:sz="4" w:space="0" w:color="000000"/>
              <w:left w:val="single" w:sz="4" w:space="0" w:color="000000"/>
              <w:bottom w:val="single" w:sz="4" w:space="0" w:color="000000"/>
              <w:right w:val="single" w:sz="4" w:space="0" w:color="000000"/>
            </w:tcBorders>
            <w:vAlign w:val="center"/>
            <w:hideMark/>
          </w:tcPr>
          <w:p w14:paraId="15802D91"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4.</w:t>
            </w:r>
          </w:p>
          <w:p w14:paraId="7160C07B" w14:textId="77777777" w:rsidR="00306808" w:rsidRPr="00775267" w:rsidRDefault="007E2A6B" w:rsidP="0096730A">
            <w:pPr>
              <w:spacing w:after="0" w:line="240" w:lineRule="auto"/>
              <w:jc w:val="center"/>
              <w:rPr>
                <w:rFonts w:cstheme="minorHAnsi"/>
                <w:b/>
                <w:sz w:val="20"/>
                <w:szCs w:val="20"/>
              </w:rPr>
            </w:pPr>
            <w:r w:rsidRPr="00775267">
              <w:rPr>
                <w:rFonts w:cstheme="minorHAnsi"/>
                <w:b/>
                <w:sz w:val="20"/>
                <w:szCs w:val="20"/>
              </w:rPr>
              <w:t>Vynaložené prostředky nejsou hospodárné</w:t>
            </w:r>
          </w:p>
        </w:tc>
        <w:tc>
          <w:tcPr>
            <w:tcW w:w="5805" w:type="dxa"/>
            <w:tcBorders>
              <w:top w:val="single" w:sz="4" w:space="0" w:color="000000"/>
              <w:left w:val="single" w:sz="4" w:space="0" w:color="000000"/>
              <w:bottom w:val="single" w:sz="4" w:space="0" w:color="000000"/>
              <w:right w:val="single" w:sz="4" w:space="0" w:color="000000"/>
            </w:tcBorders>
          </w:tcPr>
          <w:p w14:paraId="27C5205A" w14:textId="77777777" w:rsidR="00306808" w:rsidRPr="00775267" w:rsidRDefault="007E2A6B" w:rsidP="00C3436A">
            <w:pPr>
              <w:pStyle w:val="Odstavecseseznamem"/>
              <w:numPr>
                <w:ilvl w:val="0"/>
                <w:numId w:val="23"/>
              </w:numPr>
              <w:spacing w:after="0" w:line="240" w:lineRule="auto"/>
              <w:ind w:left="318" w:hanging="284"/>
              <w:jc w:val="both"/>
              <w:rPr>
                <w:rFonts w:cstheme="minorHAnsi"/>
                <w:sz w:val="20"/>
                <w:szCs w:val="20"/>
              </w:rPr>
            </w:pPr>
            <w:r w:rsidRPr="00775267">
              <w:rPr>
                <w:rFonts w:cstheme="minorHAnsi"/>
                <w:sz w:val="20"/>
                <w:szCs w:val="20"/>
              </w:rPr>
              <w:t>Dodavatelé hlavních aktivit projektu (zdravotnického vybavení, stavebních prací) nebyli vybráni v souladu se ZZVZ nebo metodickým pokynem pro zadáv</w:t>
            </w:r>
            <w:r w:rsidR="00D36C1C">
              <w:rPr>
                <w:rFonts w:cstheme="minorHAnsi"/>
                <w:sz w:val="20"/>
                <w:szCs w:val="20"/>
              </w:rPr>
              <w:t>á</w:t>
            </w:r>
            <w:r w:rsidRPr="00775267">
              <w:rPr>
                <w:rFonts w:cstheme="minorHAnsi"/>
                <w:sz w:val="20"/>
                <w:szCs w:val="20"/>
              </w:rPr>
              <w:t>ní veřejných zakázek. Zadavatel buď podle těchto předpisů vůbec nepostupoval</w:t>
            </w:r>
            <w:r w:rsidR="00D36C1C">
              <w:rPr>
                <w:rFonts w:cstheme="minorHAnsi"/>
                <w:sz w:val="20"/>
                <w:szCs w:val="20"/>
              </w:rPr>
              <w:t>,</w:t>
            </w:r>
            <w:r w:rsidRPr="00775267">
              <w:rPr>
                <w:rFonts w:cstheme="minorHAnsi"/>
                <w:sz w:val="20"/>
                <w:szCs w:val="20"/>
              </w:rPr>
              <w:t xml:space="preserve"> nebo podle těchto předpisů postupoval, ale dopustil se takového porušení, které mohlo mít zásadní vliv na výběr nejvhodnější nabídky.</w:t>
            </w:r>
          </w:p>
          <w:p w14:paraId="5076E54D" w14:textId="77777777" w:rsidR="00306808" w:rsidRPr="00775267" w:rsidRDefault="007E2A6B" w:rsidP="00C3436A">
            <w:pPr>
              <w:pStyle w:val="Odstavecseseznamem"/>
              <w:numPr>
                <w:ilvl w:val="0"/>
                <w:numId w:val="23"/>
              </w:numPr>
              <w:spacing w:after="0" w:line="240" w:lineRule="auto"/>
              <w:ind w:left="318" w:hanging="284"/>
              <w:jc w:val="both"/>
              <w:rPr>
                <w:rFonts w:cstheme="minorHAnsi"/>
                <w:sz w:val="20"/>
                <w:szCs w:val="20"/>
              </w:rPr>
            </w:pPr>
            <w:r w:rsidRPr="00775267">
              <w:rPr>
                <w:rFonts w:cstheme="minorHAnsi"/>
                <w:sz w:val="20"/>
                <w:szCs w:val="20"/>
              </w:rPr>
              <w:t xml:space="preserve">Příjemce nevytvořil smluvní podmínky pro aktivní řízení dodavatelských vztahů. V důsledku </w:t>
            </w:r>
            <w:r w:rsidR="00D36C1C">
              <w:rPr>
                <w:rFonts w:cstheme="minorHAnsi"/>
                <w:sz w:val="20"/>
                <w:szCs w:val="20"/>
              </w:rPr>
              <w:t xml:space="preserve">toho </w:t>
            </w:r>
            <w:r w:rsidRPr="00775267">
              <w:rPr>
                <w:rFonts w:cstheme="minorHAnsi"/>
                <w:sz w:val="20"/>
                <w:szCs w:val="20"/>
              </w:rPr>
              <w:t>došlo např. k technickým problémům s pořízeným vybavením a nemohla být po nějakou dobu poskytována péče prostřednictvím tohoto vybavení.</w:t>
            </w:r>
          </w:p>
          <w:p w14:paraId="7C47952F" w14:textId="77777777" w:rsidR="00306808" w:rsidRPr="00775267" w:rsidRDefault="007E2A6B" w:rsidP="00C3436A">
            <w:pPr>
              <w:pStyle w:val="Odstavecseseznamem"/>
              <w:numPr>
                <w:ilvl w:val="0"/>
                <w:numId w:val="23"/>
              </w:numPr>
              <w:spacing w:after="0" w:line="240" w:lineRule="auto"/>
              <w:ind w:left="318" w:hanging="284"/>
              <w:jc w:val="both"/>
              <w:rPr>
                <w:rFonts w:cstheme="minorHAnsi"/>
                <w:sz w:val="20"/>
                <w:szCs w:val="20"/>
              </w:rPr>
            </w:pPr>
            <w:r>
              <w:rPr>
                <w:rFonts w:cstheme="minorHAnsi"/>
                <w:sz w:val="20"/>
                <w:szCs w:val="20"/>
              </w:rPr>
              <w:t>P</w:t>
            </w:r>
            <w:r w:rsidRPr="00775267">
              <w:rPr>
                <w:rFonts w:cstheme="minorHAnsi"/>
                <w:sz w:val="20"/>
                <w:szCs w:val="20"/>
              </w:rPr>
              <w:t>říjemce pořídil v nepřiměřené kvalitě zdravotnické vybavení, u</w:t>
            </w:r>
            <w:r w:rsidR="00386B53">
              <w:rPr>
                <w:rFonts w:cstheme="minorHAnsi"/>
                <w:sz w:val="20"/>
                <w:szCs w:val="20"/>
              </w:rPr>
              <w:t> </w:t>
            </w:r>
            <w:r w:rsidRPr="00775267">
              <w:rPr>
                <w:rFonts w:cstheme="minorHAnsi"/>
                <w:sz w:val="20"/>
                <w:szCs w:val="20"/>
              </w:rPr>
              <w:t xml:space="preserve">něhož </w:t>
            </w:r>
            <w:r w:rsidR="00D36C1C" w:rsidRPr="00775267">
              <w:rPr>
                <w:rFonts w:cstheme="minorHAnsi"/>
                <w:sz w:val="20"/>
                <w:szCs w:val="20"/>
              </w:rPr>
              <w:t xml:space="preserve">lze </w:t>
            </w:r>
            <w:r>
              <w:rPr>
                <w:rFonts w:cstheme="minorHAnsi"/>
                <w:sz w:val="20"/>
                <w:szCs w:val="20"/>
              </w:rPr>
              <w:t>v</w:t>
            </w:r>
            <w:r w:rsidRPr="00775267">
              <w:rPr>
                <w:rFonts w:cstheme="minorHAnsi"/>
                <w:sz w:val="20"/>
                <w:szCs w:val="20"/>
              </w:rPr>
              <w:t>yužití funkcí/funkcionalit jednoznačně kvantifikovat</w:t>
            </w:r>
            <w:r w:rsidR="00D36C1C">
              <w:rPr>
                <w:rFonts w:cstheme="minorHAnsi"/>
                <w:sz w:val="20"/>
                <w:szCs w:val="20"/>
              </w:rPr>
              <w:t>.</w:t>
            </w:r>
            <w:r>
              <w:rPr>
                <w:rFonts w:cstheme="minorHAnsi"/>
                <w:sz w:val="20"/>
                <w:szCs w:val="20"/>
              </w:rPr>
              <w:t xml:space="preserve"> V</w:t>
            </w:r>
            <w:r w:rsidRPr="00775267">
              <w:rPr>
                <w:rFonts w:cstheme="minorHAnsi"/>
                <w:sz w:val="20"/>
                <w:szCs w:val="20"/>
              </w:rPr>
              <w:t xml:space="preserve">ětšina z požadovaných parametrů byla nepřiměřená potřebám zadavatele a deklarovanému účelu, tj. většina užitných vlastností (funkcí/funkcionalit) pořízeného zdravotnického vybavení nebyla zcela využívána. Příjemce tak pořídil zdravotnické vybavení v nepřiměřené kvalitě. </w:t>
            </w:r>
          </w:p>
          <w:p w14:paraId="61332096" w14:textId="77777777" w:rsidR="00306808" w:rsidRPr="00775267" w:rsidRDefault="007E2A6B" w:rsidP="00C3436A">
            <w:pPr>
              <w:pStyle w:val="Odstavecseseznamem"/>
              <w:numPr>
                <w:ilvl w:val="0"/>
                <w:numId w:val="23"/>
              </w:numPr>
              <w:spacing w:after="0" w:line="240" w:lineRule="auto"/>
              <w:ind w:left="318" w:hanging="284"/>
              <w:jc w:val="both"/>
              <w:rPr>
                <w:rFonts w:cstheme="minorHAnsi"/>
                <w:sz w:val="20"/>
                <w:szCs w:val="20"/>
              </w:rPr>
            </w:pPr>
            <w:r w:rsidRPr="00775267">
              <w:rPr>
                <w:rFonts w:cstheme="minorHAnsi"/>
                <w:sz w:val="20"/>
                <w:szCs w:val="20"/>
              </w:rPr>
              <w:t>Nebo větší množství zdravotnického vybavení příjemce dlouhodobě nevyužívá (respektive není k</w:t>
            </w:r>
            <w:r w:rsidR="00D36C1C">
              <w:rPr>
                <w:rFonts w:cstheme="minorHAnsi"/>
                <w:sz w:val="20"/>
                <w:szCs w:val="20"/>
              </w:rPr>
              <w:t xml:space="preserve"> </w:t>
            </w:r>
            <w:r w:rsidRPr="00775267">
              <w:rPr>
                <w:rFonts w:cstheme="minorHAnsi"/>
                <w:sz w:val="20"/>
                <w:szCs w:val="20"/>
              </w:rPr>
              <w:t>dispozici pacientům), tj.</w:t>
            </w:r>
            <w:r w:rsidR="00D36C1C">
              <w:rPr>
                <w:rFonts w:cstheme="minorHAnsi"/>
                <w:sz w:val="20"/>
                <w:szCs w:val="20"/>
              </w:rPr>
              <w:t> </w:t>
            </w:r>
            <w:r w:rsidRPr="00775267">
              <w:rPr>
                <w:rFonts w:cstheme="minorHAnsi"/>
                <w:sz w:val="20"/>
                <w:szCs w:val="20"/>
              </w:rPr>
              <w:t>bylo pořízeno nepřiměřené množství.</w:t>
            </w:r>
          </w:p>
        </w:tc>
      </w:tr>
    </w:tbl>
    <w:p w14:paraId="27C6148D" w14:textId="77777777" w:rsidR="00C472CF" w:rsidRPr="00306808" w:rsidRDefault="00C472CF" w:rsidP="00306808">
      <w:pPr>
        <w:spacing w:after="0" w:line="240" w:lineRule="auto"/>
        <w:rPr>
          <w:rFonts w:asciiTheme="majorHAnsi" w:hAnsiTheme="majorHAnsi" w:cstheme="majorHAnsi"/>
          <w:sz w:val="24"/>
          <w:szCs w:val="24"/>
        </w:rPr>
      </w:pPr>
    </w:p>
    <w:sectPr w:rsidR="00C472CF" w:rsidRPr="00306808" w:rsidSect="0030680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0DC2" w14:textId="77777777" w:rsidR="001825F1" w:rsidRDefault="001825F1" w:rsidP="00FA586B">
      <w:pPr>
        <w:spacing w:after="0" w:line="240" w:lineRule="auto"/>
      </w:pPr>
      <w:r>
        <w:separator/>
      </w:r>
    </w:p>
    <w:p w14:paraId="2C05BAD2" w14:textId="77777777" w:rsidR="001825F1" w:rsidRDefault="001825F1"/>
  </w:endnote>
  <w:endnote w:type="continuationSeparator" w:id="0">
    <w:p w14:paraId="1EAFDD18" w14:textId="77777777" w:rsidR="001825F1" w:rsidRDefault="001825F1" w:rsidP="00FA586B">
      <w:pPr>
        <w:spacing w:after="0" w:line="240" w:lineRule="auto"/>
      </w:pPr>
      <w:r>
        <w:continuationSeparator/>
      </w:r>
    </w:p>
    <w:p w14:paraId="5BC1A860" w14:textId="77777777" w:rsidR="001825F1" w:rsidRDefault="001825F1"/>
  </w:endnote>
  <w:endnote w:type="continuationNotice" w:id="1">
    <w:p w14:paraId="5CB07F24" w14:textId="77777777" w:rsidR="001825F1" w:rsidRDefault="001825F1">
      <w:pPr>
        <w:spacing w:after="0" w:line="240" w:lineRule="auto"/>
      </w:pPr>
    </w:p>
    <w:p w14:paraId="7A0A697B" w14:textId="77777777" w:rsidR="001825F1" w:rsidRDefault="0018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701482"/>
      <w:docPartObj>
        <w:docPartGallery w:val="Page Numbers (Bottom of Page)"/>
        <w:docPartUnique/>
      </w:docPartObj>
    </w:sdtPr>
    <w:sdtContent>
      <w:p w14:paraId="7962B46A" w14:textId="77777777" w:rsidR="001825F1" w:rsidRDefault="001825F1" w:rsidP="0069391C">
        <w:pPr>
          <w:pStyle w:val="Zpat"/>
          <w:jc w:val="center"/>
        </w:pPr>
        <w:r w:rsidRPr="00EF2E1E">
          <w:rPr>
            <w:sz w:val="24"/>
            <w:szCs w:val="24"/>
          </w:rPr>
          <w:fldChar w:fldCharType="begin"/>
        </w:r>
        <w:r w:rsidRPr="00EF2E1E">
          <w:rPr>
            <w:sz w:val="24"/>
            <w:szCs w:val="24"/>
          </w:rPr>
          <w:instrText>PAGE   \* MERGEFORMAT</w:instrText>
        </w:r>
        <w:r w:rsidRPr="00EF2E1E">
          <w:rPr>
            <w:sz w:val="24"/>
            <w:szCs w:val="24"/>
          </w:rPr>
          <w:fldChar w:fldCharType="separate"/>
        </w:r>
        <w:r>
          <w:rPr>
            <w:noProof/>
            <w:sz w:val="24"/>
            <w:szCs w:val="24"/>
          </w:rPr>
          <w:t>33</w:t>
        </w:r>
        <w:r w:rsidRPr="00EF2E1E">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0EA9" w14:textId="77777777" w:rsidR="001825F1" w:rsidRDefault="001825F1" w:rsidP="0069391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A620" w14:textId="77777777" w:rsidR="001825F1" w:rsidRDefault="001825F1" w:rsidP="00B15E26">
      <w:pPr>
        <w:spacing w:after="0" w:line="240" w:lineRule="auto"/>
      </w:pPr>
      <w:r>
        <w:separator/>
      </w:r>
    </w:p>
  </w:footnote>
  <w:footnote w:type="continuationSeparator" w:id="0">
    <w:p w14:paraId="0015CDAA" w14:textId="77777777" w:rsidR="001825F1" w:rsidRDefault="001825F1" w:rsidP="00FA586B">
      <w:pPr>
        <w:spacing w:after="0" w:line="240" w:lineRule="auto"/>
      </w:pPr>
      <w:r>
        <w:continuationSeparator/>
      </w:r>
    </w:p>
  </w:footnote>
  <w:footnote w:type="continuationNotice" w:id="1">
    <w:p w14:paraId="3ECB80F6" w14:textId="77777777" w:rsidR="001825F1" w:rsidRPr="00B15E26" w:rsidRDefault="001825F1" w:rsidP="00B15E26">
      <w:pPr>
        <w:pStyle w:val="Zpat"/>
      </w:pPr>
    </w:p>
  </w:footnote>
  <w:footnote w:id="2">
    <w:p w14:paraId="19045E66" w14:textId="77777777" w:rsidR="001825F1" w:rsidRDefault="001825F1">
      <w:pPr>
        <w:pStyle w:val="Textpoznpodarou"/>
      </w:pPr>
      <w:r>
        <w:rPr>
          <w:rStyle w:val="Znakapoznpodarou"/>
        </w:rPr>
        <w:footnoteRef/>
      </w:r>
      <w:r>
        <w:t xml:space="preserve"> </w:t>
      </w:r>
      <w:r>
        <w:tab/>
        <w:t>Ustanovení § 39 odst. 3 z</w:t>
      </w:r>
      <w:r w:rsidRPr="003333D3">
        <w:t>ákon</w:t>
      </w:r>
      <w:r>
        <w:t>a</w:t>
      </w:r>
      <w:r w:rsidRPr="003333D3">
        <w:t xml:space="preserve"> č. 218/2000 Sb., o rozpočtových pravidlech a o změně některých souvisejících zákonů (rozpočtová pravidla)</w:t>
      </w:r>
      <w:r>
        <w:t xml:space="preserve">. </w:t>
      </w:r>
    </w:p>
    <w:p w14:paraId="57A6253A" w14:textId="77777777" w:rsidR="001825F1" w:rsidRDefault="001825F1" w:rsidP="000D704F">
      <w:pPr>
        <w:pStyle w:val="Textpoznpodarou"/>
        <w:ind w:firstLine="0"/>
      </w:pPr>
      <w:r>
        <w:t xml:space="preserve">Článek 30 odst. 3 </w:t>
      </w:r>
      <w:r w:rsidRPr="003333D3">
        <w:t>nařízení (EU, EURATOM) č. 966/2012 Evropského parlamentu a Rady, kterým se stanoví finanční pravidla o souhrnném rozpočtu Unie a o zrušení nařízení Rady (ES, Euratom) č. 1605/2002.</w:t>
      </w:r>
    </w:p>
  </w:footnote>
  <w:footnote w:id="3">
    <w:p w14:paraId="1BEF086D" w14:textId="77777777" w:rsidR="001825F1" w:rsidRDefault="001825F1">
      <w:pPr>
        <w:pStyle w:val="Textpoznpodarou"/>
      </w:pPr>
      <w:r>
        <w:rPr>
          <w:rStyle w:val="Znakapoznpodarou"/>
        </w:rPr>
        <w:footnoteRef/>
      </w:r>
      <w:r>
        <w:t xml:space="preserve"> </w:t>
      </w:r>
      <w:r>
        <w:tab/>
        <w:t xml:space="preserve">Článek </w:t>
      </w:r>
      <w:r w:rsidRPr="000D0D83">
        <w:t>30 odst. 2</w:t>
      </w:r>
      <w:r>
        <w:t xml:space="preserve"> </w:t>
      </w:r>
      <w:r w:rsidRPr="003333D3">
        <w:t>nařízení č. 966/2012</w:t>
      </w:r>
      <w:r>
        <w:t>.</w:t>
      </w:r>
    </w:p>
  </w:footnote>
  <w:footnote w:id="4">
    <w:p w14:paraId="3C22F5B8" w14:textId="77777777" w:rsidR="001825F1" w:rsidRDefault="001825F1" w:rsidP="00A01F60">
      <w:pPr>
        <w:pStyle w:val="Textpoznpodarou"/>
      </w:pPr>
      <w:r>
        <w:rPr>
          <w:rStyle w:val="Znakapoznpodarou"/>
        </w:rPr>
        <w:footnoteRef/>
      </w:r>
      <w:r>
        <w:t xml:space="preserve"> </w:t>
      </w:r>
      <w:r>
        <w:tab/>
        <w:t>Peněžní prostředky poskytnuté a čerpané z prioritní osy 6: REACT-EU nebyly předmětem kontrolní akce NKÚ č. 22/04.</w:t>
      </w:r>
    </w:p>
  </w:footnote>
  <w:footnote w:id="5">
    <w:p w14:paraId="24396F8F" w14:textId="77777777" w:rsidR="001825F1" w:rsidRDefault="001825F1" w:rsidP="00A01F60">
      <w:pPr>
        <w:pStyle w:val="Textpoznpodarou"/>
      </w:pPr>
      <w:r>
        <w:rPr>
          <w:rStyle w:val="Znakapoznpodarou"/>
        </w:rPr>
        <w:footnoteRef/>
      </w:r>
      <w:r>
        <w:t xml:space="preserve"> </w:t>
      </w:r>
      <w:r>
        <w:tab/>
        <w:t xml:space="preserve">Zákon </w:t>
      </w:r>
      <w:r w:rsidRPr="005E78C6">
        <w:t>č. 372/2011 Sb., o zdravotních službách</w:t>
      </w:r>
      <w:r>
        <w:t xml:space="preserve"> </w:t>
      </w:r>
      <w:r w:rsidRPr="00E26E9B">
        <w:t>a podmínkách jejich poskytování (zákon o zdravotních službách)</w:t>
      </w:r>
      <w:r>
        <w:t>.</w:t>
      </w:r>
    </w:p>
  </w:footnote>
  <w:footnote w:id="6">
    <w:p w14:paraId="4A798103" w14:textId="77777777" w:rsidR="001825F1" w:rsidRDefault="001825F1">
      <w:pPr>
        <w:pStyle w:val="Textpoznpodarou"/>
      </w:pPr>
      <w:r>
        <w:rPr>
          <w:rStyle w:val="Znakapoznpodarou"/>
        </w:rPr>
        <w:footnoteRef/>
      </w:r>
      <w:r>
        <w:t xml:space="preserve"> </w:t>
      </w:r>
      <w:r>
        <w:tab/>
        <w:t>Kritéria přijatelnosti byla stanovena dvojího typu: napravitelná a nenapravitelná. Při prvním hodnocení žádost o podporu nemusela vyhovět napravitelným kritériím a žadatel ji na základě výzvy hodnotitele mohl upravit a doplnit. Oproti tomu nenapravitelná kritéria byla pro žadatele eliminační, tj. žádost o podporu při jejich nesplnění nebyla doporučena ke schválení.</w:t>
      </w:r>
    </w:p>
  </w:footnote>
  <w:footnote w:id="7">
    <w:p w14:paraId="3257358B" w14:textId="77777777" w:rsidR="001825F1" w:rsidRDefault="001825F1" w:rsidP="00A01F60">
      <w:pPr>
        <w:pStyle w:val="Textpoznpodarou"/>
      </w:pPr>
      <w:r>
        <w:rPr>
          <w:rStyle w:val="Znakapoznpodarou"/>
        </w:rPr>
        <w:footnoteRef/>
      </w:r>
      <w:r>
        <w:t xml:space="preserve"> </w:t>
      </w:r>
      <w:r>
        <w:tab/>
        <w:t xml:space="preserve">Dle článku 6 částky </w:t>
      </w:r>
      <w:r w:rsidRPr="004914CA">
        <w:t>7</w:t>
      </w:r>
      <w:r>
        <w:t>/</w:t>
      </w:r>
      <w:r w:rsidRPr="004914CA">
        <w:t>2013</w:t>
      </w:r>
      <w:r>
        <w:t xml:space="preserve"> </w:t>
      </w:r>
      <w:r w:rsidRPr="004914CA">
        <w:rPr>
          <w:i/>
        </w:rPr>
        <w:t>Věstníku Ministerstva zdravotnictví</w:t>
      </w:r>
      <w:r>
        <w:rPr>
          <w:i/>
        </w:rPr>
        <w:t xml:space="preserve"> ČR</w:t>
      </w:r>
      <w:r>
        <w:t xml:space="preserve"> se jedná o perinatologická centra intermediární péče, která navazují na perinatologická centra intenzivní péče.</w:t>
      </w:r>
    </w:p>
  </w:footnote>
  <w:footnote w:id="8">
    <w:p w14:paraId="56ADED16" w14:textId="77777777" w:rsidR="001825F1" w:rsidRDefault="001825F1" w:rsidP="00A01F60">
      <w:pPr>
        <w:pStyle w:val="Textpoznpodarou"/>
      </w:pPr>
      <w:r>
        <w:rPr>
          <w:rStyle w:val="Znakapoznpodarou"/>
        </w:rPr>
        <w:footnoteRef/>
      </w:r>
      <w:r>
        <w:t xml:space="preserve"> </w:t>
      </w:r>
      <w:r>
        <w:tab/>
      </w:r>
      <w:r w:rsidRPr="007541BC">
        <w:t xml:space="preserve">Region LAU1 (z anglického </w:t>
      </w:r>
      <w:r w:rsidRPr="007541BC">
        <w:rPr>
          <w:i/>
        </w:rPr>
        <w:t>Local administrative unit</w:t>
      </w:r>
      <w:r w:rsidRPr="007541BC">
        <w:t>, tj. místní správní jednotka) je na území ČR vymezen okresem.</w:t>
      </w:r>
    </w:p>
  </w:footnote>
  <w:footnote w:id="9">
    <w:p w14:paraId="696D4BCB" w14:textId="77777777" w:rsidR="001825F1" w:rsidRDefault="001825F1" w:rsidP="005C0E7D">
      <w:pPr>
        <w:pStyle w:val="Textpoznpodarou"/>
      </w:pPr>
      <w:r>
        <w:rPr>
          <w:rStyle w:val="Znakapoznpodarou"/>
          <w:rFonts w:eastAsiaTheme="majorEastAsia"/>
        </w:rPr>
        <w:footnoteRef/>
      </w:r>
      <w:r>
        <w:t xml:space="preserve"> </w:t>
      </w:r>
      <w:r>
        <w:tab/>
        <w:t>Zákon č. 95/2004 Sb., o podmínkách získávání a uznávání odborné způsobilosti a specializované způsobilosti k výkonu zdravotnického povolání lékaře, zubního lékaře a farmaceuta.</w:t>
      </w:r>
    </w:p>
  </w:footnote>
  <w:footnote w:id="10">
    <w:p w14:paraId="21018CAE" w14:textId="77777777" w:rsidR="001825F1" w:rsidRDefault="001825F1" w:rsidP="00CF6E38">
      <w:pPr>
        <w:pStyle w:val="Textpoznpodarou"/>
      </w:pPr>
      <w:r>
        <w:rPr>
          <w:rStyle w:val="Znakapoznpodarou"/>
        </w:rPr>
        <w:footnoteRef/>
      </w:r>
      <w:r>
        <w:t xml:space="preserve"> </w:t>
      </w:r>
      <w:r>
        <w:tab/>
        <w:t xml:space="preserve">Jednalo se například o </w:t>
      </w:r>
      <w:r w:rsidRPr="00E01BA0">
        <w:t>ergoterapi</w:t>
      </w:r>
      <w:r>
        <w:t>i</w:t>
      </w:r>
      <w:r w:rsidRPr="00E01BA0">
        <w:t xml:space="preserve"> a reedukac</w:t>
      </w:r>
      <w:r>
        <w:t>i</w:t>
      </w:r>
      <w:r w:rsidRPr="00E01BA0">
        <w:t>, laboratorní diagnostik</w:t>
      </w:r>
      <w:r>
        <w:t>u</w:t>
      </w:r>
      <w:r w:rsidRPr="00E01BA0">
        <w:t xml:space="preserve">, </w:t>
      </w:r>
      <w:r>
        <w:t xml:space="preserve">podpořena mohla být </w:t>
      </w:r>
      <w:r w:rsidRPr="00E01BA0">
        <w:t>laboratorní pracoviště hematologie a transfúzního lékařství v rozsahu cytologie</w:t>
      </w:r>
      <w:r>
        <w:t>,</w:t>
      </w:r>
      <w:r w:rsidRPr="00E01BA0">
        <w:t xml:space="preserve"> neodkladná přednemocniční péče</w:t>
      </w:r>
      <w:r>
        <w:t xml:space="preserve"> nebo </w:t>
      </w:r>
      <w:r w:rsidRPr="00E01BA0">
        <w:t>patologie v rozsahu histopatologick</w:t>
      </w:r>
      <w:r>
        <w:t>é</w:t>
      </w:r>
      <w:r w:rsidRPr="00E01BA0">
        <w:t xml:space="preserve"> laboratoř</w:t>
      </w:r>
      <w:r>
        <w:t>e.</w:t>
      </w:r>
    </w:p>
  </w:footnote>
  <w:footnote w:id="11">
    <w:p w14:paraId="537EB232" w14:textId="77777777" w:rsidR="001825F1" w:rsidRDefault="001825F1" w:rsidP="00A01F60">
      <w:pPr>
        <w:pStyle w:val="Textpoznpodarou"/>
      </w:pPr>
      <w:r>
        <w:rPr>
          <w:rStyle w:val="Znakapoznpodarou"/>
        </w:rPr>
        <w:footnoteRef/>
      </w:r>
      <w:r>
        <w:t xml:space="preserve"> </w:t>
      </w:r>
      <w:r>
        <w:tab/>
        <w:t>Dle ustanovení § 2 písm. o) zákona č. 320/2001 Sb., o finanční kontrole ve veřejné správě a o změně některých zákonů (zákon o finanční kontrole).</w:t>
      </w:r>
    </w:p>
  </w:footnote>
  <w:footnote w:id="12">
    <w:p w14:paraId="3E8710D7" w14:textId="77777777" w:rsidR="001825F1" w:rsidRDefault="001825F1" w:rsidP="00A01F60">
      <w:pPr>
        <w:pStyle w:val="Textpoznpodarou"/>
      </w:pPr>
      <w:r>
        <w:rPr>
          <w:rStyle w:val="Znakapoznpodarou"/>
        </w:rPr>
        <w:footnoteRef/>
      </w:r>
      <w:r>
        <w:t xml:space="preserve"> </w:t>
      </w:r>
      <w:r>
        <w:tab/>
        <w:t>Dle ustanovení § 2 písm. m) zákona č. 320/2001 Sb.</w:t>
      </w:r>
    </w:p>
  </w:footnote>
  <w:footnote w:id="13">
    <w:p w14:paraId="5E9DD86D" w14:textId="77777777" w:rsidR="001825F1" w:rsidRDefault="001825F1" w:rsidP="00A01F60">
      <w:pPr>
        <w:pStyle w:val="Textpoznpodarou"/>
      </w:pPr>
      <w:r>
        <w:rPr>
          <w:rStyle w:val="Znakapoznpodarou"/>
        </w:rPr>
        <w:footnoteRef/>
      </w:r>
      <w:r>
        <w:t xml:space="preserve"> </w:t>
      </w:r>
      <w:r>
        <w:tab/>
      </w:r>
      <w:r w:rsidRPr="00E26E9B">
        <w:t>Jedná se o subjekty poskytující veřejnou službu v oblasti zdravotní péče podle zákona č. 372/2011 Sb.</w:t>
      </w:r>
    </w:p>
  </w:footnote>
  <w:footnote w:id="14">
    <w:p w14:paraId="6884C302" w14:textId="77777777" w:rsidR="001825F1" w:rsidRDefault="001825F1" w:rsidP="00A01F60">
      <w:pPr>
        <w:pStyle w:val="Textpoznpodarou"/>
      </w:pPr>
      <w:r>
        <w:rPr>
          <w:rStyle w:val="Znakapoznpodarou"/>
        </w:rPr>
        <w:footnoteRef/>
      </w:r>
      <w:r>
        <w:t xml:space="preserve"> </w:t>
      </w:r>
      <w:r>
        <w:tab/>
        <w:t xml:space="preserve">Kontrolovatelný objem tvoří peněžní prostředky </w:t>
      </w:r>
      <w:r w:rsidRPr="007F0CDF">
        <w:t xml:space="preserve">poskytnuté příjemcům </w:t>
      </w:r>
      <w:r>
        <w:t xml:space="preserve">formou </w:t>
      </w:r>
      <w:r w:rsidRPr="007F0CDF">
        <w:t>podpory v rámci výzev č. 5 a</w:t>
      </w:r>
      <w:r>
        <w:t> </w:t>
      </w:r>
      <w:r w:rsidRPr="007F0CDF">
        <w:t>č. 31, které zahrnují částku ve výši 7</w:t>
      </w:r>
      <w:r>
        <w:t> </w:t>
      </w:r>
      <w:r w:rsidRPr="007F0CDF">
        <w:t>172</w:t>
      </w:r>
      <w:r>
        <w:t>,8 mil.</w:t>
      </w:r>
      <w:r w:rsidRPr="007F0CDF">
        <w:t xml:space="preserve"> Kč ze zdrojů EFRR a částku ve výši 368</w:t>
      </w:r>
      <w:r>
        <w:t>,1 mil. Kč</w:t>
      </w:r>
      <w:r w:rsidRPr="007F0CDF">
        <w:t xml:space="preserve"> ze zdrojů SR</w:t>
      </w:r>
      <w:r>
        <w:t xml:space="preserve">. </w:t>
      </w:r>
    </w:p>
  </w:footnote>
  <w:footnote w:id="15">
    <w:p w14:paraId="483A15C4" w14:textId="77777777" w:rsidR="001825F1" w:rsidRDefault="001825F1" w:rsidP="007C286F">
      <w:pPr>
        <w:pStyle w:val="Textpoznpodarou"/>
      </w:pPr>
      <w:r>
        <w:rPr>
          <w:rStyle w:val="Znakapoznpodarou"/>
        </w:rPr>
        <w:footnoteRef/>
      </w:r>
      <w:r>
        <w:t xml:space="preserve"> </w:t>
      </w:r>
      <w:r>
        <w:tab/>
        <w:t xml:space="preserve">Čerpání podpory na provedení stavebních prací bylo předmětem kontroly NKÚ u příjemce Fakultní nemocnice Brno v projektu </w:t>
      </w:r>
      <w:r w:rsidRPr="0013046C">
        <w:t>CZ.06.2.56/0.0/0.0/15_006/000</w:t>
      </w:r>
      <w:r>
        <w:t>1175.</w:t>
      </w:r>
    </w:p>
  </w:footnote>
  <w:footnote w:id="16">
    <w:p w14:paraId="7761EB93" w14:textId="77777777" w:rsidR="001825F1" w:rsidRDefault="001825F1" w:rsidP="00A01F60">
      <w:pPr>
        <w:pStyle w:val="Textpoznpodarou"/>
      </w:pPr>
      <w:r>
        <w:rPr>
          <w:rStyle w:val="Znakapoznpodarou"/>
        </w:rPr>
        <w:footnoteRef/>
      </w:r>
      <w:r>
        <w:t xml:space="preserve"> </w:t>
      </w:r>
      <w:r>
        <w:tab/>
      </w:r>
      <w:r w:rsidRPr="00026776">
        <w:t xml:space="preserve">Článek 30 odst. 3 </w:t>
      </w:r>
      <w:r>
        <w:t>n</w:t>
      </w:r>
      <w:r w:rsidRPr="00026776">
        <w:t>ařízení č. 966/2012</w:t>
      </w:r>
      <w:r>
        <w:t xml:space="preserve">, jenž mimo jiné stanoví, že </w:t>
      </w:r>
      <w:r w:rsidRPr="004F7FAB">
        <w:t>„</w:t>
      </w:r>
      <w:r w:rsidRPr="00FD32A1">
        <w:rPr>
          <w:i/>
        </w:rPr>
        <w:t>Pro všechny oblasti činností, na které se vztahuje rozpočet, musí být stanoveny konkrétní, měřitelné, dosažitelné, relevantní a časově vymezené cíle. Dosažení těchto cílů se kontroluje pomocí ukazatelů výkonnosti pro každou činnost…</w:t>
      </w:r>
      <w:r w:rsidRPr="004F7FAB">
        <w:t>“</w:t>
      </w:r>
      <w:r>
        <w:t xml:space="preserve"> Od srpna 2018 předmětnou část upravuje článek 33 odst. 3 </w:t>
      </w:r>
      <w:r w:rsidRPr="003333D3">
        <w:t>nařízení (EU, Euratom) č. 2018/1046, kterým se stanoví finanční pravidla pro</w:t>
      </w:r>
      <w:r>
        <w:t> </w:t>
      </w:r>
      <w:r w:rsidRPr="003333D3">
        <w:t>souhrnný rozpočet Unie, mění nařízení (EU) č. 1296/2013, (EU) č. 1301/2013, (EU) č. 1303/2013, (EU) č.</w:t>
      </w:r>
      <w:r>
        <w:t> </w:t>
      </w:r>
      <w:r w:rsidRPr="003333D3">
        <w:t>1304/2013, (EU) č. 1309/2013, (EU) č. 1316/2013, (EU) č. 223/2014 a (EU) č.</w:t>
      </w:r>
      <w:r>
        <w:t> </w:t>
      </w:r>
      <w:r w:rsidRPr="003333D3">
        <w:t>283/2014 a rozhodnutí č.</w:t>
      </w:r>
      <w:r>
        <w:t> </w:t>
      </w:r>
      <w:r w:rsidRPr="003333D3">
        <w:t>541/2014/EU a zrušuje nařízení (EU, Euratom) č.</w:t>
      </w:r>
      <w:r>
        <w:t> </w:t>
      </w:r>
      <w:r w:rsidRPr="003333D3">
        <w:t>966/2012</w:t>
      </w:r>
      <w:r>
        <w:t>.</w:t>
      </w:r>
    </w:p>
  </w:footnote>
  <w:footnote w:id="17">
    <w:p w14:paraId="02974B69" w14:textId="77777777" w:rsidR="001825F1" w:rsidRDefault="001825F1" w:rsidP="00A01F60">
      <w:pPr>
        <w:pStyle w:val="Textpoznpodarou"/>
      </w:pPr>
      <w:r>
        <w:rPr>
          <w:rStyle w:val="Znakapoznpodarou"/>
        </w:rPr>
        <w:footnoteRef/>
      </w:r>
      <w:r>
        <w:t xml:space="preserve"> </w:t>
      </w:r>
      <w:r>
        <w:tab/>
      </w:r>
      <w:r w:rsidRPr="006D3531">
        <w:t>V harmonogramu výzev na rok 2015 byla pro výzvu na vysoce specializovanou péči předpokládána alokace ze</w:t>
      </w:r>
      <w:r>
        <w:t> </w:t>
      </w:r>
      <w:r w:rsidRPr="006D3531">
        <w:t xml:space="preserve">zdrojů </w:t>
      </w:r>
      <w:r>
        <w:t>EFRR</w:t>
      </w:r>
      <w:r w:rsidRPr="006D3531">
        <w:t xml:space="preserve"> ve výši 1</w:t>
      </w:r>
      <w:r>
        <w:t> </w:t>
      </w:r>
      <w:r w:rsidRPr="006D3531">
        <w:t>052</w:t>
      </w:r>
      <w:r>
        <w:t>,</w:t>
      </w:r>
      <w:r w:rsidRPr="006D3531">
        <w:t>6</w:t>
      </w:r>
      <w:r>
        <w:t> mil.</w:t>
      </w:r>
      <w:r w:rsidRPr="006D3531">
        <w:t xml:space="preserve"> Kč. Z harmonogramu výzev na rok 2016 </w:t>
      </w:r>
      <w:r>
        <w:t>vyplývá, že</w:t>
      </w:r>
      <w:r w:rsidRPr="006D3531">
        <w:t xml:space="preserve"> pro výzvu na návaznou péči </w:t>
      </w:r>
      <w:r>
        <w:t xml:space="preserve">byla </w:t>
      </w:r>
      <w:r w:rsidRPr="006D3531">
        <w:t xml:space="preserve">předpokládána alokace ze zdrojů </w:t>
      </w:r>
      <w:r>
        <w:t>EFRR</w:t>
      </w:r>
      <w:r w:rsidRPr="006D3531">
        <w:t xml:space="preserve"> ve výši 3</w:t>
      </w:r>
      <w:r>
        <w:t> </w:t>
      </w:r>
      <w:r w:rsidRPr="006D3531">
        <w:t>400</w:t>
      </w:r>
      <w:r>
        <w:t>,</w:t>
      </w:r>
      <w:r w:rsidRPr="006D3531">
        <w:t>0</w:t>
      </w:r>
      <w:r>
        <w:t> mil.</w:t>
      </w:r>
      <w:r w:rsidRPr="006D3531">
        <w:t xml:space="preserve"> Kč. Na základě předběžného vyčíslení alokací pro</w:t>
      </w:r>
      <w:r>
        <w:t> </w:t>
      </w:r>
      <w:r w:rsidRPr="006D3531">
        <w:t>obě výzvy mělo být na podporu infrastruktury regionální zdravotní péče alokováno přibližně 57 % alokace SC</w:t>
      </w:r>
      <w:r>
        <w:t> </w:t>
      </w:r>
      <w:r w:rsidRPr="006D3531">
        <w:t>2.3</w:t>
      </w:r>
      <w:r>
        <w:t xml:space="preserve">. Podíl je vypočten k alokaci zdrojů EFRR ve výši </w:t>
      </w:r>
      <w:r w:rsidRPr="006D3531">
        <w:t>283</w:t>
      </w:r>
      <w:r>
        <w:t>,</w:t>
      </w:r>
      <w:r w:rsidRPr="006D3531">
        <w:t>5</w:t>
      </w:r>
      <w:r>
        <w:t xml:space="preserve"> mil. </w:t>
      </w:r>
      <w:r w:rsidRPr="006D3531">
        <w:t>€</w:t>
      </w:r>
      <w:r>
        <w:t xml:space="preserve"> na celý SC 2.3 na počátku realizace IROP, tj. 7 796,8 mil. Kč (při kurzu 27,50 Kč/€ platném na počátku realizace IROP).</w:t>
      </w:r>
    </w:p>
  </w:footnote>
  <w:footnote w:id="18">
    <w:p w14:paraId="0134A8EE" w14:textId="77777777" w:rsidR="001825F1" w:rsidRDefault="001825F1" w:rsidP="00A01F60">
      <w:pPr>
        <w:pStyle w:val="Textpoznpodarou"/>
      </w:pPr>
      <w:r>
        <w:rPr>
          <w:rStyle w:val="Znakapoznpodarou"/>
        </w:rPr>
        <w:footnoteRef/>
      </w:r>
      <w:r>
        <w:t xml:space="preserve"> </w:t>
      </w:r>
      <w:r>
        <w:tab/>
        <w:t>U</w:t>
      </w:r>
      <w:r w:rsidRPr="00A0513B">
        <w:t xml:space="preserve"> pěti projektů byla cílová hodnota indikátoru </w:t>
      </w:r>
      <w:r>
        <w:t>„</w:t>
      </w:r>
      <w:r>
        <w:rPr>
          <w:i/>
        </w:rPr>
        <w:t>k</w:t>
      </w:r>
      <w:r w:rsidRPr="00A0513B">
        <w:rPr>
          <w:i/>
        </w:rPr>
        <w:t>apacita modernizované vysoce specializované a návazné zdravotní péče</w:t>
      </w:r>
      <w:r>
        <w:t>“</w:t>
      </w:r>
      <w:r w:rsidRPr="00A0513B">
        <w:t xml:space="preserve"> </w:t>
      </w:r>
      <w:r>
        <w:t>nižší</w:t>
      </w:r>
      <w:r w:rsidRPr="00A0513B">
        <w:t xml:space="preserve"> než výchozí, přičemž </w:t>
      </w:r>
      <w:r>
        <w:t>ve dvou případech realizoval</w:t>
      </w:r>
      <w:r w:rsidRPr="00A0513B">
        <w:t xml:space="preserve"> stejný subjekt</w:t>
      </w:r>
      <w:r>
        <w:t xml:space="preserve"> po dvou projektech, u nichž byly vykazovány shodné výchozí a cílové hodnoty indikátoru. Z tohoto důvodu NKÚ započítal do celkového snížení kapacity rozdíl mezi cílovou a výchozí hodnotou pouze u jednoho z těchto projektů.</w:t>
      </w:r>
    </w:p>
  </w:footnote>
  <w:footnote w:id="19">
    <w:p w14:paraId="5C416543" w14:textId="77777777" w:rsidR="001825F1" w:rsidRDefault="001825F1">
      <w:pPr>
        <w:pStyle w:val="Textpoznpodarou"/>
      </w:pPr>
      <w:r>
        <w:rPr>
          <w:rStyle w:val="Znakapoznpodarou"/>
        </w:rPr>
        <w:footnoteRef/>
      </w:r>
      <w:r>
        <w:t xml:space="preserve"> </w:t>
      </w:r>
      <w:r>
        <w:tab/>
      </w:r>
      <w:r w:rsidRPr="00A30F8E">
        <w:t>Absorpční kapacita vyjadřuje míru schopnosti využít prostředky poskytované z</w:t>
      </w:r>
      <w:r>
        <w:t> veřejných zdrojů.</w:t>
      </w:r>
    </w:p>
  </w:footnote>
  <w:footnote w:id="20">
    <w:p w14:paraId="53D6B205" w14:textId="77777777" w:rsidR="001825F1" w:rsidRDefault="001825F1" w:rsidP="005C0E7D">
      <w:pPr>
        <w:pStyle w:val="Textpoznpodarou"/>
      </w:pPr>
      <w:r>
        <w:rPr>
          <w:rStyle w:val="Znakapoznpodarou"/>
        </w:rPr>
        <w:footnoteRef/>
      </w:r>
      <w:r>
        <w:t xml:space="preserve"> </w:t>
      </w:r>
      <w:r>
        <w:tab/>
        <w:t>Celková poptávka po dotačních zdrojích zahrnující také podporu deinstitucionalizace psychiatrické péče byla v rámci analýzy absorpční kapacity vyčíslena na 12 960 mil. Kč.</w:t>
      </w:r>
    </w:p>
  </w:footnote>
  <w:footnote w:id="21">
    <w:p w14:paraId="6E784C1F" w14:textId="77777777" w:rsidR="001825F1" w:rsidRDefault="001825F1" w:rsidP="005C0E7D">
      <w:pPr>
        <w:pStyle w:val="Textpoznpodarou"/>
      </w:pPr>
      <w:r>
        <w:rPr>
          <w:rStyle w:val="Znakapoznpodarou"/>
        </w:rPr>
        <w:footnoteRef/>
      </w:r>
      <w:r>
        <w:t xml:space="preserve"> </w:t>
      </w:r>
      <w:r>
        <w:tab/>
        <w:t xml:space="preserve">Celkem byla alokována ze zdrojů EFRR částka </w:t>
      </w:r>
      <w:r w:rsidRPr="00C41C30">
        <w:t>283</w:t>
      </w:r>
      <w:r>
        <w:t>,</w:t>
      </w:r>
      <w:r w:rsidRPr="00C41C30">
        <w:t>5</w:t>
      </w:r>
      <w:r>
        <w:t> mil.</w:t>
      </w:r>
      <w:r w:rsidRPr="00C41C30">
        <w:t xml:space="preserve"> €</w:t>
      </w:r>
      <w:r>
        <w:t xml:space="preserve">; k přepočtu byl využit </w:t>
      </w:r>
      <w:r w:rsidRPr="00C41C30">
        <w:t>kurz 27,50 Kč/€ platn</w:t>
      </w:r>
      <w:r>
        <w:t>ý</w:t>
      </w:r>
      <w:r w:rsidRPr="00C41C30">
        <w:t xml:space="preserve"> na</w:t>
      </w:r>
      <w:r>
        <w:t> </w:t>
      </w:r>
      <w:r w:rsidRPr="00C41C30">
        <w:t>počátku realizace IROP</w:t>
      </w:r>
      <w:r>
        <w:t>.</w:t>
      </w:r>
    </w:p>
  </w:footnote>
  <w:footnote w:id="22">
    <w:p w14:paraId="180D2718" w14:textId="77777777" w:rsidR="001825F1" w:rsidRDefault="001825F1" w:rsidP="005C0E7D">
      <w:pPr>
        <w:pStyle w:val="Textpoznpodarou"/>
      </w:pPr>
      <w:r>
        <w:rPr>
          <w:rStyle w:val="Znakapoznpodarou"/>
        </w:rPr>
        <w:footnoteRef/>
      </w:r>
      <w:r>
        <w:t xml:space="preserve"> </w:t>
      </w:r>
      <w:r>
        <w:tab/>
        <w:t xml:space="preserve">Článek </w:t>
      </w:r>
      <w:r w:rsidRPr="000D0D83">
        <w:t>30 odst. 2</w:t>
      </w:r>
      <w:r>
        <w:t xml:space="preserve"> nařízení</w:t>
      </w:r>
      <w:r w:rsidRPr="000D0D83">
        <w:t xml:space="preserve"> č.</w:t>
      </w:r>
      <w:r>
        <w:t> </w:t>
      </w:r>
      <w:r w:rsidRPr="000D0D83">
        <w:t>966/2012</w:t>
      </w:r>
      <w:r>
        <w:t>.</w:t>
      </w:r>
    </w:p>
  </w:footnote>
  <w:footnote w:id="23">
    <w:p w14:paraId="4BA17180" w14:textId="77777777" w:rsidR="001825F1" w:rsidRDefault="001825F1" w:rsidP="005C0E7D">
      <w:pPr>
        <w:pStyle w:val="Textpoznpodarou"/>
      </w:pPr>
      <w:r>
        <w:rPr>
          <w:rStyle w:val="Znakapoznpodarou"/>
        </w:rPr>
        <w:footnoteRef/>
      </w:r>
      <w:r>
        <w:t xml:space="preserve"> </w:t>
      </w:r>
      <w:r>
        <w:tab/>
        <w:t>R</w:t>
      </w:r>
      <w:r w:rsidRPr="000F57A0">
        <w:t xml:space="preserve">ozdíl </w:t>
      </w:r>
      <w:r>
        <w:t>o</w:t>
      </w:r>
      <w:r w:rsidRPr="000F57A0">
        <w:t xml:space="preserve">proti </w:t>
      </w:r>
      <w:r>
        <w:t>původním 45 náhradním projektům</w:t>
      </w:r>
      <w:r w:rsidRPr="000F57A0">
        <w:t xml:space="preserve"> </w:t>
      </w:r>
      <w:r>
        <w:t>vznikl tak</w:t>
      </w:r>
      <w:r w:rsidRPr="000F57A0">
        <w:t xml:space="preserve">, že dva </w:t>
      </w:r>
      <w:r>
        <w:t xml:space="preserve">z nich </w:t>
      </w:r>
      <w:r w:rsidRPr="000F57A0">
        <w:t xml:space="preserve">byly podpořeny </w:t>
      </w:r>
      <w:r>
        <w:t>již</w:t>
      </w:r>
      <w:r w:rsidRPr="000F57A0">
        <w:t xml:space="preserve"> v roce 2018 v</w:t>
      </w:r>
      <w:r>
        <w:t> </w:t>
      </w:r>
      <w:r w:rsidRPr="000F57A0">
        <w:t>rámci disponibilních zdrojů, které se uvolnily z důvodu ukončení realizace jednoho původně schváleného projektu</w:t>
      </w:r>
      <w:r>
        <w:t>,</w:t>
      </w:r>
      <w:r w:rsidRPr="000F57A0">
        <w:t xml:space="preserve"> a u jednoho náhradního projektu žadatel odmítl nabídku </w:t>
      </w:r>
      <w:r>
        <w:t xml:space="preserve">MMR </w:t>
      </w:r>
      <w:r w:rsidRPr="000F57A0">
        <w:t>k</w:t>
      </w:r>
      <w:r>
        <w:t> </w:t>
      </w:r>
      <w:r w:rsidRPr="000F57A0">
        <w:t>financování</w:t>
      </w:r>
      <w:r>
        <w:t>.</w:t>
      </w:r>
    </w:p>
  </w:footnote>
  <w:footnote w:id="24">
    <w:p w14:paraId="0B8C14AB" w14:textId="77777777" w:rsidR="001825F1" w:rsidRDefault="001825F1" w:rsidP="00A01F60">
      <w:pPr>
        <w:pStyle w:val="Textpoznpodarou"/>
      </w:pPr>
      <w:r>
        <w:rPr>
          <w:rStyle w:val="Znakapoznpodarou"/>
        </w:rPr>
        <w:footnoteRef/>
      </w:r>
      <w:r>
        <w:t xml:space="preserve"> </w:t>
      </w:r>
      <w:r>
        <w:tab/>
      </w:r>
      <w:r w:rsidRPr="00D54834">
        <w:t xml:space="preserve">SMART </w:t>
      </w:r>
      <w:r>
        <w:t xml:space="preserve">(z anglického </w:t>
      </w:r>
      <w:r w:rsidRPr="00FC0287">
        <w:rPr>
          <w:i/>
        </w:rPr>
        <w:t>Specific</w:t>
      </w:r>
      <w:r w:rsidRPr="00FC0287">
        <w:t xml:space="preserve">, </w:t>
      </w:r>
      <w:r w:rsidRPr="00FC0287">
        <w:rPr>
          <w:i/>
        </w:rPr>
        <w:t>Measurable</w:t>
      </w:r>
      <w:r w:rsidRPr="00FC0287">
        <w:t xml:space="preserve">, </w:t>
      </w:r>
      <w:r w:rsidRPr="00FC0287">
        <w:rPr>
          <w:i/>
        </w:rPr>
        <w:t>Achievable, Relevant, Time Specific</w:t>
      </w:r>
      <w:r w:rsidRPr="004F7FAB">
        <w:t>)</w:t>
      </w:r>
      <w:r w:rsidRPr="00A75431">
        <w:t xml:space="preserve"> </w:t>
      </w:r>
      <w:r w:rsidRPr="00D54834">
        <w:t>– principy používané v oblasti projektového řízení např</w:t>
      </w:r>
      <w:r>
        <w:t>íklad</w:t>
      </w:r>
      <w:r w:rsidRPr="00D54834">
        <w:t xml:space="preserve"> k hodnocení kvality stanovených cílů; tyto principy odpovídají požadavku uvedenému v článku 30 odst. 3 nařízení</w:t>
      </w:r>
      <w:r>
        <w:t xml:space="preserve"> č. 966/2012.</w:t>
      </w:r>
    </w:p>
  </w:footnote>
  <w:footnote w:id="25">
    <w:p w14:paraId="18019D72" w14:textId="77777777" w:rsidR="001825F1" w:rsidRDefault="001825F1" w:rsidP="00A01F60">
      <w:pPr>
        <w:pStyle w:val="Textpoznpodarou"/>
      </w:pPr>
      <w:r>
        <w:rPr>
          <w:rStyle w:val="Znakapoznpodarou"/>
        </w:rPr>
        <w:footnoteRef/>
      </w:r>
      <w:r>
        <w:t xml:space="preserve"> </w:t>
      </w:r>
      <w:r>
        <w:tab/>
        <w:t xml:space="preserve">Dle článku 30 odst. 3 nařízení č. 966/2012 musí být stanoveny </w:t>
      </w:r>
      <w:r w:rsidRPr="009E0659">
        <w:t>konkrétní, měřitelné, dosažitelné, relevantní</w:t>
      </w:r>
      <w:r>
        <w:t xml:space="preserve"> </w:t>
      </w:r>
      <w:r w:rsidRPr="009E0659">
        <w:t>a</w:t>
      </w:r>
      <w:r>
        <w:t> </w:t>
      </w:r>
      <w:r w:rsidRPr="009E0659">
        <w:t>časově vymezené cíle</w:t>
      </w:r>
      <w:r>
        <w:t xml:space="preserve"> pro všechny </w:t>
      </w:r>
      <w:r w:rsidRPr="009E0659">
        <w:t>oblasti činností, na které se vztahuje rozpočet</w:t>
      </w:r>
      <w:r>
        <w:t>.</w:t>
      </w:r>
    </w:p>
  </w:footnote>
  <w:footnote w:id="26">
    <w:p w14:paraId="1101D02B" w14:textId="77777777" w:rsidR="001825F1" w:rsidRDefault="001825F1" w:rsidP="00A75431">
      <w:pPr>
        <w:pStyle w:val="Textpoznpodarou"/>
      </w:pPr>
      <w:r>
        <w:rPr>
          <w:rStyle w:val="Znakapoznpodarou"/>
        </w:rPr>
        <w:footnoteRef/>
      </w:r>
      <w:r>
        <w:t xml:space="preserve"> </w:t>
      </w:r>
      <w:r>
        <w:tab/>
        <w:t xml:space="preserve">Projekt </w:t>
      </w:r>
      <w:r w:rsidRPr="00FA7D57">
        <w:t xml:space="preserve">CZ.06.2.56/0.0/0.0/15_006/0005514 </w:t>
      </w:r>
      <w:r w:rsidRPr="00EB7A7D">
        <w:rPr>
          <w:i/>
        </w:rPr>
        <w:t>Modernizace a obnova přístrojového vybavení onkogynekologické péče Nemocnice Jihlava</w:t>
      </w:r>
      <w:r w:rsidRPr="00FA7D57">
        <w:t xml:space="preserve"> a </w:t>
      </w:r>
      <w:r>
        <w:t xml:space="preserve">projekt </w:t>
      </w:r>
      <w:r w:rsidRPr="00FA7D57">
        <w:t xml:space="preserve">CZ.06.2.56/0.0/0.0/15_006/0002887 </w:t>
      </w:r>
      <w:r w:rsidRPr="00EB7A7D">
        <w:rPr>
          <w:i/>
        </w:rPr>
        <w:t>Vysoce specializovaná péče v oblasti onkogynekologie</w:t>
      </w:r>
      <w:r>
        <w:t>.</w:t>
      </w:r>
    </w:p>
  </w:footnote>
  <w:footnote w:id="27">
    <w:p w14:paraId="0D9BCC7A" w14:textId="77777777" w:rsidR="001825F1" w:rsidRDefault="001825F1" w:rsidP="00A01F60">
      <w:pPr>
        <w:pStyle w:val="Textpoznpodarou"/>
      </w:pPr>
      <w:r>
        <w:rPr>
          <w:rStyle w:val="Znakapoznpodarou"/>
        </w:rPr>
        <w:footnoteRef/>
      </w:r>
      <w:r>
        <w:t xml:space="preserve"> </w:t>
      </w:r>
      <w:r>
        <w:tab/>
      </w:r>
      <w:r w:rsidRPr="004F7FAB">
        <w:rPr>
          <w:i/>
        </w:rPr>
        <w:t>Metodický pokyn pro řízení výzev, hodnocení a výběr projektů v programovém období 2014–2020</w:t>
      </w:r>
      <w:r>
        <w:t>, kapitola 8.2.2.1.</w:t>
      </w:r>
    </w:p>
  </w:footnote>
  <w:footnote w:id="28">
    <w:p w14:paraId="2D002968" w14:textId="77777777" w:rsidR="001825F1" w:rsidRDefault="001825F1">
      <w:pPr>
        <w:pStyle w:val="Textpoznpodarou"/>
      </w:pPr>
      <w:r>
        <w:rPr>
          <w:rStyle w:val="Znakapoznpodarou"/>
        </w:rPr>
        <w:footnoteRef/>
      </w:r>
      <w:r>
        <w:t xml:space="preserve"> </w:t>
      </w:r>
      <w:r>
        <w:tab/>
        <w:t>ŽoZ – žádost o změnu.</w:t>
      </w:r>
    </w:p>
  </w:footnote>
  <w:footnote w:id="29">
    <w:p w14:paraId="7A414063" w14:textId="77777777" w:rsidR="001825F1" w:rsidRDefault="001825F1" w:rsidP="004B6B93">
      <w:pPr>
        <w:pStyle w:val="Textpoznpodarou"/>
      </w:pPr>
      <w:r>
        <w:rPr>
          <w:rStyle w:val="Znakapoznpodarou"/>
        </w:rPr>
        <w:footnoteRef/>
      </w:r>
      <w:r>
        <w:t xml:space="preserve"> </w:t>
      </w:r>
      <w:r>
        <w:tab/>
        <w:t xml:space="preserve">Jednotlivé fáze kontroly zadávacích řízení zahrnovaly kontrolu </w:t>
      </w:r>
      <w:r w:rsidRPr="00962ECD">
        <w:t>zpracování předběžného oznámení, oznámení a zadávací dokumentace (před vyhlášením zadávacího řízení),</w:t>
      </w:r>
      <w:r>
        <w:t xml:space="preserve"> </w:t>
      </w:r>
      <w:r w:rsidRPr="00962ECD">
        <w:t>průběhu zadávacího řízení, včetně postupu při</w:t>
      </w:r>
      <w:r>
        <w:t xml:space="preserve"> </w:t>
      </w:r>
      <w:r w:rsidRPr="00962ECD">
        <w:t>otevírání obálek a hodnocení (před uzavřením smlouvy)</w:t>
      </w:r>
      <w:r>
        <w:t xml:space="preserve">, ukončených zakázek s uzavřenou smlouvou (před proplacením první žádosti o platbu), předložených návrhů dodatků a </w:t>
      </w:r>
      <w:r w:rsidRPr="004B6B93">
        <w:t>uzavřených dodatků (s</w:t>
      </w:r>
      <w:r>
        <w:t> </w:t>
      </w:r>
      <w:r w:rsidRPr="004B6B93">
        <w:t>předložením posledního výdaje k proplacení)</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D20"/>
    <w:multiLevelType w:val="hybridMultilevel"/>
    <w:tmpl w:val="0E1EE274"/>
    <w:lvl w:ilvl="0" w:tplc="8A902A7A">
      <w:start w:val="1"/>
      <w:numFmt w:val="decimal"/>
      <w:lvlText w:val="%1."/>
      <w:lvlJc w:val="left"/>
      <w:pPr>
        <w:ind w:left="720" w:hanging="360"/>
      </w:pPr>
      <w:rPr>
        <w:rFonts w:hint="default"/>
      </w:rPr>
    </w:lvl>
    <w:lvl w:ilvl="1" w:tplc="F8F207BC" w:tentative="1">
      <w:start w:val="1"/>
      <w:numFmt w:val="lowerLetter"/>
      <w:lvlText w:val="%2."/>
      <w:lvlJc w:val="left"/>
      <w:pPr>
        <w:ind w:left="1440" w:hanging="360"/>
      </w:pPr>
    </w:lvl>
    <w:lvl w:ilvl="2" w:tplc="14CC4054" w:tentative="1">
      <w:start w:val="1"/>
      <w:numFmt w:val="lowerRoman"/>
      <w:lvlText w:val="%3."/>
      <w:lvlJc w:val="right"/>
      <w:pPr>
        <w:ind w:left="2160" w:hanging="180"/>
      </w:pPr>
    </w:lvl>
    <w:lvl w:ilvl="3" w:tplc="5906C9D4" w:tentative="1">
      <w:start w:val="1"/>
      <w:numFmt w:val="decimal"/>
      <w:lvlText w:val="%4."/>
      <w:lvlJc w:val="left"/>
      <w:pPr>
        <w:ind w:left="2880" w:hanging="360"/>
      </w:pPr>
    </w:lvl>
    <w:lvl w:ilvl="4" w:tplc="44248AC2" w:tentative="1">
      <w:start w:val="1"/>
      <w:numFmt w:val="lowerLetter"/>
      <w:lvlText w:val="%5."/>
      <w:lvlJc w:val="left"/>
      <w:pPr>
        <w:ind w:left="3600" w:hanging="360"/>
      </w:pPr>
    </w:lvl>
    <w:lvl w:ilvl="5" w:tplc="CCE023A2" w:tentative="1">
      <w:start w:val="1"/>
      <w:numFmt w:val="lowerRoman"/>
      <w:lvlText w:val="%6."/>
      <w:lvlJc w:val="right"/>
      <w:pPr>
        <w:ind w:left="4320" w:hanging="180"/>
      </w:pPr>
    </w:lvl>
    <w:lvl w:ilvl="6" w:tplc="696263DE" w:tentative="1">
      <w:start w:val="1"/>
      <w:numFmt w:val="decimal"/>
      <w:lvlText w:val="%7."/>
      <w:lvlJc w:val="left"/>
      <w:pPr>
        <w:ind w:left="5040" w:hanging="360"/>
      </w:pPr>
    </w:lvl>
    <w:lvl w:ilvl="7" w:tplc="D390BE5A" w:tentative="1">
      <w:start w:val="1"/>
      <w:numFmt w:val="lowerLetter"/>
      <w:lvlText w:val="%8."/>
      <w:lvlJc w:val="left"/>
      <w:pPr>
        <w:ind w:left="5760" w:hanging="360"/>
      </w:pPr>
    </w:lvl>
    <w:lvl w:ilvl="8" w:tplc="FF6C7F06" w:tentative="1">
      <w:start w:val="1"/>
      <w:numFmt w:val="lowerRoman"/>
      <w:lvlText w:val="%9."/>
      <w:lvlJc w:val="right"/>
      <w:pPr>
        <w:ind w:left="6480" w:hanging="180"/>
      </w:pPr>
    </w:lvl>
  </w:abstractNum>
  <w:abstractNum w:abstractNumId="1" w15:restartNumberingAfterBreak="0">
    <w:nsid w:val="097861CA"/>
    <w:multiLevelType w:val="hybridMultilevel"/>
    <w:tmpl w:val="6BD4010A"/>
    <w:lvl w:ilvl="0" w:tplc="028271BE">
      <w:start w:val="1"/>
      <w:numFmt w:val="upperLetter"/>
      <w:pStyle w:val="PodkapitolystiIVKZ"/>
      <w:lvlText w:val="%1."/>
      <w:lvlJc w:val="left"/>
      <w:pPr>
        <w:ind w:left="720" w:hanging="360"/>
      </w:pPr>
      <w:rPr>
        <w:rFonts w:hint="default"/>
      </w:rPr>
    </w:lvl>
    <w:lvl w:ilvl="1" w:tplc="10FACC76" w:tentative="1">
      <w:start w:val="1"/>
      <w:numFmt w:val="lowerLetter"/>
      <w:lvlText w:val="%2."/>
      <w:lvlJc w:val="left"/>
      <w:pPr>
        <w:ind w:left="1440" w:hanging="360"/>
      </w:pPr>
    </w:lvl>
    <w:lvl w:ilvl="2" w:tplc="673E34CC" w:tentative="1">
      <w:start w:val="1"/>
      <w:numFmt w:val="lowerRoman"/>
      <w:lvlText w:val="%3."/>
      <w:lvlJc w:val="right"/>
      <w:pPr>
        <w:ind w:left="2160" w:hanging="180"/>
      </w:pPr>
    </w:lvl>
    <w:lvl w:ilvl="3" w:tplc="D93ED652" w:tentative="1">
      <w:start w:val="1"/>
      <w:numFmt w:val="decimal"/>
      <w:lvlText w:val="%4."/>
      <w:lvlJc w:val="left"/>
      <w:pPr>
        <w:ind w:left="2880" w:hanging="360"/>
      </w:pPr>
    </w:lvl>
    <w:lvl w:ilvl="4" w:tplc="AD9005A0" w:tentative="1">
      <w:start w:val="1"/>
      <w:numFmt w:val="lowerLetter"/>
      <w:lvlText w:val="%5."/>
      <w:lvlJc w:val="left"/>
      <w:pPr>
        <w:ind w:left="3600" w:hanging="360"/>
      </w:pPr>
    </w:lvl>
    <w:lvl w:ilvl="5" w:tplc="034843B6" w:tentative="1">
      <w:start w:val="1"/>
      <w:numFmt w:val="lowerRoman"/>
      <w:lvlText w:val="%6."/>
      <w:lvlJc w:val="right"/>
      <w:pPr>
        <w:ind w:left="4320" w:hanging="180"/>
      </w:pPr>
    </w:lvl>
    <w:lvl w:ilvl="6" w:tplc="10ACFEFA" w:tentative="1">
      <w:start w:val="1"/>
      <w:numFmt w:val="decimal"/>
      <w:lvlText w:val="%7."/>
      <w:lvlJc w:val="left"/>
      <w:pPr>
        <w:ind w:left="5040" w:hanging="360"/>
      </w:pPr>
    </w:lvl>
    <w:lvl w:ilvl="7" w:tplc="456CA82C" w:tentative="1">
      <w:start w:val="1"/>
      <w:numFmt w:val="lowerLetter"/>
      <w:lvlText w:val="%8."/>
      <w:lvlJc w:val="left"/>
      <w:pPr>
        <w:ind w:left="5760" w:hanging="360"/>
      </w:pPr>
    </w:lvl>
    <w:lvl w:ilvl="8" w:tplc="1C949B98" w:tentative="1">
      <w:start w:val="1"/>
      <w:numFmt w:val="lowerRoman"/>
      <w:lvlText w:val="%9."/>
      <w:lvlJc w:val="right"/>
      <w:pPr>
        <w:ind w:left="6480" w:hanging="180"/>
      </w:pPr>
    </w:lvl>
  </w:abstractNum>
  <w:abstractNum w:abstractNumId="2" w15:restartNumberingAfterBreak="0">
    <w:nsid w:val="0D937BD6"/>
    <w:multiLevelType w:val="hybridMultilevel"/>
    <w:tmpl w:val="FF18CDBA"/>
    <w:lvl w:ilvl="0" w:tplc="5C9E7752">
      <w:start w:val="1"/>
      <w:numFmt w:val="upperLetter"/>
      <w:lvlText w:val="%1)"/>
      <w:lvlJc w:val="left"/>
      <w:pPr>
        <w:ind w:left="720" w:hanging="360"/>
      </w:pPr>
      <w:rPr>
        <w:rFonts w:hint="default"/>
      </w:rPr>
    </w:lvl>
    <w:lvl w:ilvl="1" w:tplc="2326BB3C" w:tentative="1">
      <w:start w:val="1"/>
      <w:numFmt w:val="lowerLetter"/>
      <w:lvlText w:val="%2."/>
      <w:lvlJc w:val="left"/>
      <w:pPr>
        <w:ind w:left="1440" w:hanging="360"/>
      </w:pPr>
    </w:lvl>
    <w:lvl w:ilvl="2" w:tplc="A4C6E7BC" w:tentative="1">
      <w:start w:val="1"/>
      <w:numFmt w:val="lowerRoman"/>
      <w:lvlText w:val="%3."/>
      <w:lvlJc w:val="right"/>
      <w:pPr>
        <w:ind w:left="2160" w:hanging="180"/>
      </w:pPr>
    </w:lvl>
    <w:lvl w:ilvl="3" w:tplc="98E03B3E" w:tentative="1">
      <w:start w:val="1"/>
      <w:numFmt w:val="decimal"/>
      <w:lvlText w:val="%4."/>
      <w:lvlJc w:val="left"/>
      <w:pPr>
        <w:ind w:left="2880" w:hanging="360"/>
      </w:pPr>
    </w:lvl>
    <w:lvl w:ilvl="4" w:tplc="406CC666" w:tentative="1">
      <w:start w:val="1"/>
      <w:numFmt w:val="lowerLetter"/>
      <w:lvlText w:val="%5."/>
      <w:lvlJc w:val="left"/>
      <w:pPr>
        <w:ind w:left="3600" w:hanging="360"/>
      </w:pPr>
    </w:lvl>
    <w:lvl w:ilvl="5" w:tplc="F370B37A" w:tentative="1">
      <w:start w:val="1"/>
      <w:numFmt w:val="lowerRoman"/>
      <w:lvlText w:val="%6."/>
      <w:lvlJc w:val="right"/>
      <w:pPr>
        <w:ind w:left="4320" w:hanging="180"/>
      </w:pPr>
    </w:lvl>
    <w:lvl w:ilvl="6" w:tplc="0126868A" w:tentative="1">
      <w:start w:val="1"/>
      <w:numFmt w:val="decimal"/>
      <w:lvlText w:val="%7."/>
      <w:lvlJc w:val="left"/>
      <w:pPr>
        <w:ind w:left="5040" w:hanging="360"/>
      </w:pPr>
    </w:lvl>
    <w:lvl w:ilvl="7" w:tplc="E2AA5728" w:tentative="1">
      <w:start w:val="1"/>
      <w:numFmt w:val="lowerLetter"/>
      <w:lvlText w:val="%8."/>
      <w:lvlJc w:val="left"/>
      <w:pPr>
        <w:ind w:left="5760" w:hanging="360"/>
      </w:pPr>
    </w:lvl>
    <w:lvl w:ilvl="8" w:tplc="FE362A62" w:tentative="1">
      <w:start w:val="1"/>
      <w:numFmt w:val="lowerRoman"/>
      <w:lvlText w:val="%9."/>
      <w:lvlJc w:val="right"/>
      <w:pPr>
        <w:ind w:left="6480" w:hanging="180"/>
      </w:pPr>
    </w:lvl>
  </w:abstractNum>
  <w:abstractNum w:abstractNumId="3" w15:restartNumberingAfterBreak="0">
    <w:nsid w:val="0DD37FEA"/>
    <w:multiLevelType w:val="hybridMultilevel"/>
    <w:tmpl w:val="14D8EACA"/>
    <w:lvl w:ilvl="0" w:tplc="F9DADFEC">
      <w:start w:val="1"/>
      <w:numFmt w:val="decimal"/>
      <w:pStyle w:val="JK3"/>
      <w:lvlText w:val="3.%1"/>
      <w:lvlJc w:val="left"/>
      <w:pPr>
        <w:ind w:left="720" w:hanging="360"/>
      </w:pPr>
      <w:rPr>
        <w:rFonts w:hint="default"/>
        <w:b/>
      </w:rPr>
    </w:lvl>
    <w:lvl w:ilvl="1" w:tplc="BB02ADFC" w:tentative="1">
      <w:start w:val="1"/>
      <w:numFmt w:val="lowerLetter"/>
      <w:lvlText w:val="%2."/>
      <w:lvlJc w:val="left"/>
      <w:pPr>
        <w:ind w:left="1440" w:hanging="360"/>
      </w:pPr>
    </w:lvl>
    <w:lvl w:ilvl="2" w:tplc="162CF6A6" w:tentative="1">
      <w:start w:val="1"/>
      <w:numFmt w:val="lowerRoman"/>
      <w:lvlText w:val="%3."/>
      <w:lvlJc w:val="right"/>
      <w:pPr>
        <w:ind w:left="2160" w:hanging="180"/>
      </w:pPr>
    </w:lvl>
    <w:lvl w:ilvl="3" w:tplc="F148D69C" w:tentative="1">
      <w:start w:val="1"/>
      <w:numFmt w:val="decimal"/>
      <w:lvlText w:val="%4."/>
      <w:lvlJc w:val="left"/>
      <w:pPr>
        <w:ind w:left="2880" w:hanging="360"/>
      </w:pPr>
    </w:lvl>
    <w:lvl w:ilvl="4" w:tplc="AD4A8604" w:tentative="1">
      <w:start w:val="1"/>
      <w:numFmt w:val="lowerLetter"/>
      <w:lvlText w:val="%5."/>
      <w:lvlJc w:val="left"/>
      <w:pPr>
        <w:ind w:left="3600" w:hanging="360"/>
      </w:pPr>
    </w:lvl>
    <w:lvl w:ilvl="5" w:tplc="EAF08CB4" w:tentative="1">
      <w:start w:val="1"/>
      <w:numFmt w:val="lowerRoman"/>
      <w:lvlText w:val="%6."/>
      <w:lvlJc w:val="right"/>
      <w:pPr>
        <w:ind w:left="4320" w:hanging="180"/>
      </w:pPr>
    </w:lvl>
    <w:lvl w:ilvl="6" w:tplc="7CB82890" w:tentative="1">
      <w:start w:val="1"/>
      <w:numFmt w:val="decimal"/>
      <w:lvlText w:val="%7."/>
      <w:lvlJc w:val="left"/>
      <w:pPr>
        <w:ind w:left="5040" w:hanging="360"/>
      </w:pPr>
    </w:lvl>
    <w:lvl w:ilvl="7" w:tplc="A93AA8C4" w:tentative="1">
      <w:start w:val="1"/>
      <w:numFmt w:val="lowerLetter"/>
      <w:lvlText w:val="%8."/>
      <w:lvlJc w:val="left"/>
      <w:pPr>
        <w:ind w:left="5760" w:hanging="360"/>
      </w:pPr>
    </w:lvl>
    <w:lvl w:ilvl="8" w:tplc="FEB885D8" w:tentative="1">
      <w:start w:val="1"/>
      <w:numFmt w:val="lowerRoman"/>
      <w:lvlText w:val="%9."/>
      <w:lvlJc w:val="right"/>
      <w:pPr>
        <w:ind w:left="6480" w:hanging="180"/>
      </w:pPr>
    </w:lvl>
  </w:abstractNum>
  <w:abstractNum w:abstractNumId="4" w15:restartNumberingAfterBreak="0">
    <w:nsid w:val="0F84675B"/>
    <w:multiLevelType w:val="hybridMultilevel"/>
    <w:tmpl w:val="1D76A9B2"/>
    <w:lvl w:ilvl="0" w:tplc="F670ADB2">
      <w:start w:val="1"/>
      <w:numFmt w:val="bullet"/>
      <w:lvlText w:val=""/>
      <w:lvlJc w:val="left"/>
      <w:pPr>
        <w:ind w:left="720" w:hanging="360"/>
      </w:pPr>
      <w:rPr>
        <w:rFonts w:ascii="Symbol" w:hAnsi="Symbol" w:hint="default"/>
      </w:rPr>
    </w:lvl>
    <w:lvl w:ilvl="1" w:tplc="FE76A42C">
      <w:numFmt w:val="bullet"/>
      <w:lvlText w:val="-"/>
      <w:lvlJc w:val="left"/>
      <w:pPr>
        <w:ind w:left="1440" w:hanging="360"/>
      </w:pPr>
      <w:rPr>
        <w:rFonts w:ascii="Calibri" w:eastAsiaTheme="minorHAnsi" w:hAnsi="Calibri" w:cs="Calibri" w:hint="default"/>
      </w:rPr>
    </w:lvl>
    <w:lvl w:ilvl="2" w:tplc="B3BA8134" w:tentative="1">
      <w:start w:val="1"/>
      <w:numFmt w:val="bullet"/>
      <w:lvlText w:val=""/>
      <w:lvlJc w:val="left"/>
      <w:pPr>
        <w:ind w:left="2160" w:hanging="360"/>
      </w:pPr>
      <w:rPr>
        <w:rFonts w:ascii="Wingdings" w:hAnsi="Wingdings" w:hint="default"/>
      </w:rPr>
    </w:lvl>
    <w:lvl w:ilvl="3" w:tplc="3A122582" w:tentative="1">
      <w:start w:val="1"/>
      <w:numFmt w:val="bullet"/>
      <w:lvlText w:val=""/>
      <w:lvlJc w:val="left"/>
      <w:pPr>
        <w:ind w:left="2880" w:hanging="360"/>
      </w:pPr>
      <w:rPr>
        <w:rFonts w:ascii="Symbol" w:hAnsi="Symbol" w:hint="default"/>
      </w:rPr>
    </w:lvl>
    <w:lvl w:ilvl="4" w:tplc="3AB4606C" w:tentative="1">
      <w:start w:val="1"/>
      <w:numFmt w:val="bullet"/>
      <w:lvlText w:val="o"/>
      <w:lvlJc w:val="left"/>
      <w:pPr>
        <w:ind w:left="3600" w:hanging="360"/>
      </w:pPr>
      <w:rPr>
        <w:rFonts w:ascii="Courier New" w:hAnsi="Courier New" w:cs="Courier New" w:hint="default"/>
      </w:rPr>
    </w:lvl>
    <w:lvl w:ilvl="5" w:tplc="839A10BE" w:tentative="1">
      <w:start w:val="1"/>
      <w:numFmt w:val="bullet"/>
      <w:lvlText w:val=""/>
      <w:lvlJc w:val="left"/>
      <w:pPr>
        <w:ind w:left="4320" w:hanging="360"/>
      </w:pPr>
      <w:rPr>
        <w:rFonts w:ascii="Wingdings" w:hAnsi="Wingdings" w:hint="default"/>
      </w:rPr>
    </w:lvl>
    <w:lvl w:ilvl="6" w:tplc="875AEBEC" w:tentative="1">
      <w:start w:val="1"/>
      <w:numFmt w:val="bullet"/>
      <w:lvlText w:val=""/>
      <w:lvlJc w:val="left"/>
      <w:pPr>
        <w:ind w:left="5040" w:hanging="360"/>
      </w:pPr>
      <w:rPr>
        <w:rFonts w:ascii="Symbol" w:hAnsi="Symbol" w:hint="default"/>
      </w:rPr>
    </w:lvl>
    <w:lvl w:ilvl="7" w:tplc="6DBE7D90" w:tentative="1">
      <w:start w:val="1"/>
      <w:numFmt w:val="bullet"/>
      <w:lvlText w:val="o"/>
      <w:lvlJc w:val="left"/>
      <w:pPr>
        <w:ind w:left="5760" w:hanging="360"/>
      </w:pPr>
      <w:rPr>
        <w:rFonts w:ascii="Courier New" w:hAnsi="Courier New" w:cs="Courier New" w:hint="default"/>
      </w:rPr>
    </w:lvl>
    <w:lvl w:ilvl="8" w:tplc="9758A552" w:tentative="1">
      <w:start w:val="1"/>
      <w:numFmt w:val="bullet"/>
      <w:lvlText w:val=""/>
      <w:lvlJc w:val="left"/>
      <w:pPr>
        <w:ind w:left="6480" w:hanging="360"/>
      </w:pPr>
      <w:rPr>
        <w:rFonts w:ascii="Wingdings" w:hAnsi="Wingdings" w:hint="default"/>
      </w:rPr>
    </w:lvl>
  </w:abstractNum>
  <w:abstractNum w:abstractNumId="5" w15:restartNumberingAfterBreak="0">
    <w:nsid w:val="10274E20"/>
    <w:multiLevelType w:val="hybridMultilevel"/>
    <w:tmpl w:val="B6AA07C0"/>
    <w:lvl w:ilvl="0" w:tplc="F3DE18FA">
      <w:start w:val="1"/>
      <w:numFmt w:val="lowerLetter"/>
      <w:lvlText w:val="%1)"/>
      <w:lvlJc w:val="left"/>
      <w:pPr>
        <w:ind w:left="1080" w:hanging="360"/>
      </w:pPr>
    </w:lvl>
    <w:lvl w:ilvl="1" w:tplc="9DFEB64A" w:tentative="1">
      <w:start w:val="1"/>
      <w:numFmt w:val="lowerLetter"/>
      <w:lvlText w:val="%2."/>
      <w:lvlJc w:val="left"/>
      <w:pPr>
        <w:ind w:left="1800" w:hanging="360"/>
      </w:pPr>
    </w:lvl>
    <w:lvl w:ilvl="2" w:tplc="C35AD3B8" w:tentative="1">
      <w:start w:val="1"/>
      <w:numFmt w:val="lowerRoman"/>
      <w:lvlText w:val="%3."/>
      <w:lvlJc w:val="right"/>
      <w:pPr>
        <w:ind w:left="2520" w:hanging="180"/>
      </w:pPr>
    </w:lvl>
    <w:lvl w:ilvl="3" w:tplc="CD4A4DCA" w:tentative="1">
      <w:start w:val="1"/>
      <w:numFmt w:val="decimal"/>
      <w:lvlText w:val="%4."/>
      <w:lvlJc w:val="left"/>
      <w:pPr>
        <w:ind w:left="3240" w:hanging="360"/>
      </w:pPr>
    </w:lvl>
    <w:lvl w:ilvl="4" w:tplc="CA14EAA8" w:tentative="1">
      <w:start w:val="1"/>
      <w:numFmt w:val="lowerLetter"/>
      <w:lvlText w:val="%5."/>
      <w:lvlJc w:val="left"/>
      <w:pPr>
        <w:ind w:left="3960" w:hanging="360"/>
      </w:pPr>
    </w:lvl>
    <w:lvl w:ilvl="5" w:tplc="C3D65A04" w:tentative="1">
      <w:start w:val="1"/>
      <w:numFmt w:val="lowerRoman"/>
      <w:lvlText w:val="%6."/>
      <w:lvlJc w:val="right"/>
      <w:pPr>
        <w:ind w:left="4680" w:hanging="180"/>
      </w:pPr>
    </w:lvl>
    <w:lvl w:ilvl="6" w:tplc="CF8EF73C" w:tentative="1">
      <w:start w:val="1"/>
      <w:numFmt w:val="decimal"/>
      <w:lvlText w:val="%7."/>
      <w:lvlJc w:val="left"/>
      <w:pPr>
        <w:ind w:left="5400" w:hanging="360"/>
      </w:pPr>
    </w:lvl>
    <w:lvl w:ilvl="7" w:tplc="407E8146" w:tentative="1">
      <w:start w:val="1"/>
      <w:numFmt w:val="lowerLetter"/>
      <w:lvlText w:val="%8."/>
      <w:lvlJc w:val="left"/>
      <w:pPr>
        <w:ind w:left="6120" w:hanging="360"/>
      </w:pPr>
    </w:lvl>
    <w:lvl w:ilvl="8" w:tplc="B7CE10D4" w:tentative="1">
      <w:start w:val="1"/>
      <w:numFmt w:val="lowerRoman"/>
      <w:lvlText w:val="%9."/>
      <w:lvlJc w:val="right"/>
      <w:pPr>
        <w:ind w:left="6840" w:hanging="180"/>
      </w:pPr>
    </w:lvl>
  </w:abstractNum>
  <w:abstractNum w:abstractNumId="6" w15:restartNumberingAfterBreak="0">
    <w:nsid w:val="10C041FE"/>
    <w:multiLevelType w:val="hybridMultilevel"/>
    <w:tmpl w:val="2DA8D42E"/>
    <w:lvl w:ilvl="0" w:tplc="22F2F998">
      <w:start w:val="1"/>
      <w:numFmt w:val="decimal"/>
      <w:pStyle w:val="JK1"/>
      <w:lvlText w:val="1.%1"/>
      <w:lvlJc w:val="left"/>
      <w:pPr>
        <w:ind w:left="720" w:hanging="360"/>
      </w:pPr>
      <w:rPr>
        <w:rFonts w:hint="default"/>
        <w:b/>
      </w:rPr>
    </w:lvl>
    <w:lvl w:ilvl="1" w:tplc="C80855D6" w:tentative="1">
      <w:start w:val="1"/>
      <w:numFmt w:val="lowerLetter"/>
      <w:lvlText w:val="%2."/>
      <w:lvlJc w:val="left"/>
      <w:pPr>
        <w:ind w:left="1440" w:hanging="360"/>
      </w:pPr>
    </w:lvl>
    <w:lvl w:ilvl="2" w:tplc="790067C6" w:tentative="1">
      <w:start w:val="1"/>
      <w:numFmt w:val="lowerRoman"/>
      <w:lvlText w:val="%3."/>
      <w:lvlJc w:val="right"/>
      <w:pPr>
        <w:ind w:left="2160" w:hanging="180"/>
      </w:pPr>
    </w:lvl>
    <w:lvl w:ilvl="3" w:tplc="A6187EFC" w:tentative="1">
      <w:start w:val="1"/>
      <w:numFmt w:val="decimal"/>
      <w:lvlText w:val="%4."/>
      <w:lvlJc w:val="left"/>
      <w:pPr>
        <w:ind w:left="2880" w:hanging="360"/>
      </w:pPr>
    </w:lvl>
    <w:lvl w:ilvl="4" w:tplc="2D94E3E4" w:tentative="1">
      <w:start w:val="1"/>
      <w:numFmt w:val="lowerLetter"/>
      <w:lvlText w:val="%5."/>
      <w:lvlJc w:val="left"/>
      <w:pPr>
        <w:ind w:left="3600" w:hanging="360"/>
      </w:pPr>
    </w:lvl>
    <w:lvl w:ilvl="5" w:tplc="41C822D4" w:tentative="1">
      <w:start w:val="1"/>
      <w:numFmt w:val="lowerRoman"/>
      <w:lvlText w:val="%6."/>
      <w:lvlJc w:val="right"/>
      <w:pPr>
        <w:ind w:left="4320" w:hanging="180"/>
      </w:pPr>
    </w:lvl>
    <w:lvl w:ilvl="6" w:tplc="A34081F6" w:tentative="1">
      <w:start w:val="1"/>
      <w:numFmt w:val="decimal"/>
      <w:lvlText w:val="%7."/>
      <w:lvlJc w:val="left"/>
      <w:pPr>
        <w:ind w:left="5040" w:hanging="360"/>
      </w:pPr>
    </w:lvl>
    <w:lvl w:ilvl="7" w:tplc="28B4E14E" w:tentative="1">
      <w:start w:val="1"/>
      <w:numFmt w:val="lowerLetter"/>
      <w:lvlText w:val="%8."/>
      <w:lvlJc w:val="left"/>
      <w:pPr>
        <w:ind w:left="5760" w:hanging="360"/>
      </w:pPr>
    </w:lvl>
    <w:lvl w:ilvl="8" w:tplc="09B23DAC" w:tentative="1">
      <w:start w:val="1"/>
      <w:numFmt w:val="lowerRoman"/>
      <w:lvlText w:val="%9."/>
      <w:lvlJc w:val="right"/>
      <w:pPr>
        <w:ind w:left="6480" w:hanging="180"/>
      </w:pPr>
    </w:lvl>
  </w:abstractNum>
  <w:abstractNum w:abstractNumId="7" w15:restartNumberingAfterBreak="0">
    <w:nsid w:val="11157FE4"/>
    <w:multiLevelType w:val="hybridMultilevel"/>
    <w:tmpl w:val="68CAA5A8"/>
    <w:lvl w:ilvl="0" w:tplc="97D07646">
      <w:start w:val="1"/>
      <w:numFmt w:val="bullet"/>
      <w:lvlText w:val="−"/>
      <w:lvlJc w:val="left"/>
      <w:pPr>
        <w:ind w:left="780" w:hanging="360"/>
      </w:pPr>
      <w:rPr>
        <w:rFonts w:ascii="Calibri" w:hAnsi="Calibri" w:hint="default"/>
      </w:rPr>
    </w:lvl>
    <w:lvl w:ilvl="1" w:tplc="F830E456" w:tentative="1">
      <w:start w:val="1"/>
      <w:numFmt w:val="bullet"/>
      <w:lvlText w:val="o"/>
      <w:lvlJc w:val="left"/>
      <w:pPr>
        <w:ind w:left="1500" w:hanging="360"/>
      </w:pPr>
      <w:rPr>
        <w:rFonts w:ascii="Courier New" w:hAnsi="Courier New" w:cs="Courier New" w:hint="default"/>
      </w:rPr>
    </w:lvl>
    <w:lvl w:ilvl="2" w:tplc="7E7A824E" w:tentative="1">
      <w:start w:val="1"/>
      <w:numFmt w:val="bullet"/>
      <w:lvlText w:val=""/>
      <w:lvlJc w:val="left"/>
      <w:pPr>
        <w:ind w:left="2220" w:hanging="360"/>
      </w:pPr>
      <w:rPr>
        <w:rFonts w:ascii="Wingdings" w:hAnsi="Wingdings" w:hint="default"/>
      </w:rPr>
    </w:lvl>
    <w:lvl w:ilvl="3" w:tplc="791E0A96" w:tentative="1">
      <w:start w:val="1"/>
      <w:numFmt w:val="bullet"/>
      <w:lvlText w:val=""/>
      <w:lvlJc w:val="left"/>
      <w:pPr>
        <w:ind w:left="2940" w:hanging="360"/>
      </w:pPr>
      <w:rPr>
        <w:rFonts w:ascii="Symbol" w:hAnsi="Symbol" w:hint="default"/>
      </w:rPr>
    </w:lvl>
    <w:lvl w:ilvl="4" w:tplc="7C30CF5E" w:tentative="1">
      <w:start w:val="1"/>
      <w:numFmt w:val="bullet"/>
      <w:lvlText w:val="o"/>
      <w:lvlJc w:val="left"/>
      <w:pPr>
        <w:ind w:left="3660" w:hanging="360"/>
      </w:pPr>
      <w:rPr>
        <w:rFonts w:ascii="Courier New" w:hAnsi="Courier New" w:cs="Courier New" w:hint="default"/>
      </w:rPr>
    </w:lvl>
    <w:lvl w:ilvl="5" w:tplc="C9E4CC52" w:tentative="1">
      <w:start w:val="1"/>
      <w:numFmt w:val="bullet"/>
      <w:lvlText w:val=""/>
      <w:lvlJc w:val="left"/>
      <w:pPr>
        <w:ind w:left="4380" w:hanging="360"/>
      </w:pPr>
      <w:rPr>
        <w:rFonts w:ascii="Wingdings" w:hAnsi="Wingdings" w:hint="default"/>
      </w:rPr>
    </w:lvl>
    <w:lvl w:ilvl="6" w:tplc="10E6AA9C" w:tentative="1">
      <w:start w:val="1"/>
      <w:numFmt w:val="bullet"/>
      <w:lvlText w:val=""/>
      <w:lvlJc w:val="left"/>
      <w:pPr>
        <w:ind w:left="5100" w:hanging="360"/>
      </w:pPr>
      <w:rPr>
        <w:rFonts w:ascii="Symbol" w:hAnsi="Symbol" w:hint="default"/>
      </w:rPr>
    </w:lvl>
    <w:lvl w:ilvl="7" w:tplc="CB700352" w:tentative="1">
      <w:start w:val="1"/>
      <w:numFmt w:val="bullet"/>
      <w:lvlText w:val="o"/>
      <w:lvlJc w:val="left"/>
      <w:pPr>
        <w:ind w:left="5820" w:hanging="360"/>
      </w:pPr>
      <w:rPr>
        <w:rFonts w:ascii="Courier New" w:hAnsi="Courier New" w:cs="Courier New" w:hint="default"/>
      </w:rPr>
    </w:lvl>
    <w:lvl w:ilvl="8" w:tplc="BC82695C" w:tentative="1">
      <w:start w:val="1"/>
      <w:numFmt w:val="bullet"/>
      <w:lvlText w:val=""/>
      <w:lvlJc w:val="left"/>
      <w:pPr>
        <w:ind w:left="6540" w:hanging="360"/>
      </w:pPr>
      <w:rPr>
        <w:rFonts w:ascii="Wingdings" w:hAnsi="Wingdings" w:hint="default"/>
      </w:rPr>
    </w:lvl>
  </w:abstractNum>
  <w:abstractNum w:abstractNumId="8" w15:restartNumberingAfterBreak="0">
    <w:nsid w:val="236F0B4C"/>
    <w:multiLevelType w:val="hybridMultilevel"/>
    <w:tmpl w:val="2DF442E6"/>
    <w:lvl w:ilvl="0" w:tplc="C86C79A0">
      <w:start w:val="1"/>
      <w:numFmt w:val="bullet"/>
      <w:lvlText w:val="−"/>
      <w:lvlJc w:val="left"/>
      <w:pPr>
        <w:ind w:left="720" w:hanging="360"/>
      </w:pPr>
      <w:rPr>
        <w:rFonts w:ascii="Calibri" w:hAnsi="Calibri" w:hint="default"/>
      </w:rPr>
    </w:lvl>
    <w:lvl w:ilvl="1" w:tplc="90A816DE" w:tentative="1">
      <w:start w:val="1"/>
      <w:numFmt w:val="bullet"/>
      <w:lvlText w:val="o"/>
      <w:lvlJc w:val="left"/>
      <w:pPr>
        <w:ind w:left="1440" w:hanging="360"/>
      </w:pPr>
      <w:rPr>
        <w:rFonts w:ascii="Courier New" w:hAnsi="Courier New" w:cs="Courier New" w:hint="default"/>
      </w:rPr>
    </w:lvl>
    <w:lvl w:ilvl="2" w:tplc="9BDCAE42" w:tentative="1">
      <w:start w:val="1"/>
      <w:numFmt w:val="bullet"/>
      <w:lvlText w:val=""/>
      <w:lvlJc w:val="left"/>
      <w:pPr>
        <w:ind w:left="2160" w:hanging="360"/>
      </w:pPr>
      <w:rPr>
        <w:rFonts w:ascii="Wingdings" w:hAnsi="Wingdings" w:hint="default"/>
      </w:rPr>
    </w:lvl>
    <w:lvl w:ilvl="3" w:tplc="93C2221A" w:tentative="1">
      <w:start w:val="1"/>
      <w:numFmt w:val="bullet"/>
      <w:lvlText w:val=""/>
      <w:lvlJc w:val="left"/>
      <w:pPr>
        <w:ind w:left="2880" w:hanging="360"/>
      </w:pPr>
      <w:rPr>
        <w:rFonts w:ascii="Symbol" w:hAnsi="Symbol" w:hint="default"/>
      </w:rPr>
    </w:lvl>
    <w:lvl w:ilvl="4" w:tplc="9B12735A" w:tentative="1">
      <w:start w:val="1"/>
      <w:numFmt w:val="bullet"/>
      <w:lvlText w:val="o"/>
      <w:lvlJc w:val="left"/>
      <w:pPr>
        <w:ind w:left="3600" w:hanging="360"/>
      </w:pPr>
      <w:rPr>
        <w:rFonts w:ascii="Courier New" w:hAnsi="Courier New" w:cs="Courier New" w:hint="default"/>
      </w:rPr>
    </w:lvl>
    <w:lvl w:ilvl="5" w:tplc="B83ECF98" w:tentative="1">
      <w:start w:val="1"/>
      <w:numFmt w:val="bullet"/>
      <w:lvlText w:val=""/>
      <w:lvlJc w:val="left"/>
      <w:pPr>
        <w:ind w:left="4320" w:hanging="360"/>
      </w:pPr>
      <w:rPr>
        <w:rFonts w:ascii="Wingdings" w:hAnsi="Wingdings" w:hint="default"/>
      </w:rPr>
    </w:lvl>
    <w:lvl w:ilvl="6" w:tplc="9482B0F6" w:tentative="1">
      <w:start w:val="1"/>
      <w:numFmt w:val="bullet"/>
      <w:lvlText w:val=""/>
      <w:lvlJc w:val="left"/>
      <w:pPr>
        <w:ind w:left="5040" w:hanging="360"/>
      </w:pPr>
      <w:rPr>
        <w:rFonts w:ascii="Symbol" w:hAnsi="Symbol" w:hint="default"/>
      </w:rPr>
    </w:lvl>
    <w:lvl w:ilvl="7" w:tplc="586C9B0C" w:tentative="1">
      <w:start w:val="1"/>
      <w:numFmt w:val="bullet"/>
      <w:lvlText w:val="o"/>
      <w:lvlJc w:val="left"/>
      <w:pPr>
        <w:ind w:left="5760" w:hanging="360"/>
      </w:pPr>
      <w:rPr>
        <w:rFonts w:ascii="Courier New" w:hAnsi="Courier New" w:cs="Courier New" w:hint="default"/>
      </w:rPr>
    </w:lvl>
    <w:lvl w:ilvl="8" w:tplc="C4A484AE" w:tentative="1">
      <w:start w:val="1"/>
      <w:numFmt w:val="bullet"/>
      <w:lvlText w:val=""/>
      <w:lvlJc w:val="left"/>
      <w:pPr>
        <w:ind w:left="6480" w:hanging="360"/>
      </w:pPr>
      <w:rPr>
        <w:rFonts w:ascii="Wingdings" w:hAnsi="Wingdings" w:hint="default"/>
      </w:rPr>
    </w:lvl>
  </w:abstractNum>
  <w:abstractNum w:abstractNumId="9" w15:restartNumberingAfterBreak="0">
    <w:nsid w:val="26AC53F9"/>
    <w:multiLevelType w:val="multilevel"/>
    <w:tmpl w:val="96745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A928F6"/>
    <w:multiLevelType w:val="hybridMultilevel"/>
    <w:tmpl w:val="43E61F34"/>
    <w:lvl w:ilvl="0" w:tplc="3EAA8B2A">
      <w:start w:val="1"/>
      <w:numFmt w:val="decimal"/>
      <w:lvlText w:val="%1."/>
      <w:lvlJc w:val="left"/>
      <w:pPr>
        <w:ind w:left="720" w:hanging="360"/>
      </w:pPr>
      <w:rPr>
        <w:rFonts w:hint="default"/>
      </w:rPr>
    </w:lvl>
    <w:lvl w:ilvl="1" w:tplc="578AD636" w:tentative="1">
      <w:start w:val="1"/>
      <w:numFmt w:val="lowerLetter"/>
      <w:lvlText w:val="%2."/>
      <w:lvlJc w:val="left"/>
      <w:pPr>
        <w:ind w:left="1440" w:hanging="360"/>
      </w:pPr>
    </w:lvl>
    <w:lvl w:ilvl="2" w:tplc="5A501BF0" w:tentative="1">
      <w:start w:val="1"/>
      <w:numFmt w:val="lowerRoman"/>
      <w:lvlText w:val="%3."/>
      <w:lvlJc w:val="right"/>
      <w:pPr>
        <w:ind w:left="2160" w:hanging="180"/>
      </w:pPr>
    </w:lvl>
    <w:lvl w:ilvl="3" w:tplc="18865160" w:tentative="1">
      <w:start w:val="1"/>
      <w:numFmt w:val="decimal"/>
      <w:lvlText w:val="%4."/>
      <w:lvlJc w:val="left"/>
      <w:pPr>
        <w:ind w:left="2880" w:hanging="360"/>
      </w:pPr>
    </w:lvl>
    <w:lvl w:ilvl="4" w:tplc="3D6CBC90" w:tentative="1">
      <w:start w:val="1"/>
      <w:numFmt w:val="lowerLetter"/>
      <w:lvlText w:val="%5."/>
      <w:lvlJc w:val="left"/>
      <w:pPr>
        <w:ind w:left="3600" w:hanging="360"/>
      </w:pPr>
    </w:lvl>
    <w:lvl w:ilvl="5" w:tplc="8E06E894" w:tentative="1">
      <w:start w:val="1"/>
      <w:numFmt w:val="lowerRoman"/>
      <w:lvlText w:val="%6."/>
      <w:lvlJc w:val="right"/>
      <w:pPr>
        <w:ind w:left="4320" w:hanging="180"/>
      </w:pPr>
    </w:lvl>
    <w:lvl w:ilvl="6" w:tplc="2118F6A6" w:tentative="1">
      <w:start w:val="1"/>
      <w:numFmt w:val="decimal"/>
      <w:lvlText w:val="%7."/>
      <w:lvlJc w:val="left"/>
      <w:pPr>
        <w:ind w:left="5040" w:hanging="360"/>
      </w:pPr>
    </w:lvl>
    <w:lvl w:ilvl="7" w:tplc="BE6821CE" w:tentative="1">
      <w:start w:val="1"/>
      <w:numFmt w:val="lowerLetter"/>
      <w:lvlText w:val="%8."/>
      <w:lvlJc w:val="left"/>
      <w:pPr>
        <w:ind w:left="5760" w:hanging="360"/>
      </w:pPr>
    </w:lvl>
    <w:lvl w:ilvl="8" w:tplc="504CE562" w:tentative="1">
      <w:start w:val="1"/>
      <w:numFmt w:val="lowerRoman"/>
      <w:lvlText w:val="%9."/>
      <w:lvlJc w:val="right"/>
      <w:pPr>
        <w:ind w:left="6480" w:hanging="180"/>
      </w:pPr>
    </w:lvl>
  </w:abstractNum>
  <w:abstractNum w:abstractNumId="11" w15:restartNumberingAfterBreak="0">
    <w:nsid w:val="336B4A5E"/>
    <w:multiLevelType w:val="hybridMultilevel"/>
    <w:tmpl w:val="BD469606"/>
    <w:lvl w:ilvl="0" w:tplc="26B2ED8C">
      <w:start w:val="1"/>
      <w:numFmt w:val="decimal"/>
      <w:pStyle w:val="KPseznamcislo"/>
      <w:lvlText w:val="%1."/>
      <w:lvlJc w:val="left"/>
      <w:pPr>
        <w:ind w:left="1080" w:hanging="360"/>
      </w:pPr>
      <w:rPr>
        <w:b w:val="0"/>
      </w:rPr>
    </w:lvl>
    <w:lvl w:ilvl="1" w:tplc="9D72B3BC" w:tentative="1">
      <w:start w:val="1"/>
      <w:numFmt w:val="lowerLetter"/>
      <w:lvlText w:val="%2."/>
      <w:lvlJc w:val="left"/>
      <w:pPr>
        <w:ind w:left="1800" w:hanging="360"/>
      </w:pPr>
    </w:lvl>
    <w:lvl w:ilvl="2" w:tplc="AB5C7A6E" w:tentative="1">
      <w:start w:val="1"/>
      <w:numFmt w:val="lowerRoman"/>
      <w:lvlText w:val="%3."/>
      <w:lvlJc w:val="right"/>
      <w:pPr>
        <w:ind w:left="2520" w:hanging="180"/>
      </w:pPr>
    </w:lvl>
    <w:lvl w:ilvl="3" w:tplc="57D4B278" w:tentative="1">
      <w:start w:val="1"/>
      <w:numFmt w:val="decimal"/>
      <w:lvlText w:val="%4."/>
      <w:lvlJc w:val="left"/>
      <w:pPr>
        <w:ind w:left="3240" w:hanging="360"/>
      </w:pPr>
    </w:lvl>
    <w:lvl w:ilvl="4" w:tplc="1390E892" w:tentative="1">
      <w:start w:val="1"/>
      <w:numFmt w:val="lowerLetter"/>
      <w:lvlText w:val="%5."/>
      <w:lvlJc w:val="left"/>
      <w:pPr>
        <w:ind w:left="3960" w:hanging="360"/>
      </w:pPr>
    </w:lvl>
    <w:lvl w:ilvl="5" w:tplc="CAE2E288" w:tentative="1">
      <w:start w:val="1"/>
      <w:numFmt w:val="lowerRoman"/>
      <w:lvlText w:val="%6."/>
      <w:lvlJc w:val="right"/>
      <w:pPr>
        <w:ind w:left="4680" w:hanging="180"/>
      </w:pPr>
    </w:lvl>
    <w:lvl w:ilvl="6" w:tplc="190AD4EA" w:tentative="1">
      <w:start w:val="1"/>
      <w:numFmt w:val="decimal"/>
      <w:lvlText w:val="%7."/>
      <w:lvlJc w:val="left"/>
      <w:pPr>
        <w:ind w:left="5400" w:hanging="360"/>
      </w:pPr>
    </w:lvl>
    <w:lvl w:ilvl="7" w:tplc="C758F1FC" w:tentative="1">
      <w:start w:val="1"/>
      <w:numFmt w:val="lowerLetter"/>
      <w:lvlText w:val="%8."/>
      <w:lvlJc w:val="left"/>
      <w:pPr>
        <w:ind w:left="6120" w:hanging="360"/>
      </w:pPr>
    </w:lvl>
    <w:lvl w:ilvl="8" w:tplc="D35C0D7C" w:tentative="1">
      <w:start w:val="1"/>
      <w:numFmt w:val="lowerRoman"/>
      <w:lvlText w:val="%9."/>
      <w:lvlJc w:val="right"/>
      <w:pPr>
        <w:ind w:left="6840" w:hanging="180"/>
      </w:pPr>
    </w:lvl>
  </w:abstractNum>
  <w:abstractNum w:abstractNumId="12" w15:restartNumberingAfterBreak="0">
    <w:nsid w:val="33FB6B6B"/>
    <w:multiLevelType w:val="hybridMultilevel"/>
    <w:tmpl w:val="6D0259E4"/>
    <w:lvl w:ilvl="0" w:tplc="E2A46336">
      <w:start w:val="1"/>
      <w:numFmt w:val="decimal"/>
      <w:lvlText w:val="%1."/>
      <w:lvlJc w:val="left"/>
      <w:pPr>
        <w:ind w:left="720" w:hanging="360"/>
      </w:pPr>
      <w:rPr>
        <w:rFonts w:hint="default"/>
      </w:rPr>
    </w:lvl>
    <w:lvl w:ilvl="1" w:tplc="937684AE" w:tentative="1">
      <w:start w:val="1"/>
      <w:numFmt w:val="lowerLetter"/>
      <w:lvlText w:val="%2."/>
      <w:lvlJc w:val="left"/>
      <w:pPr>
        <w:ind w:left="1440" w:hanging="360"/>
      </w:pPr>
    </w:lvl>
    <w:lvl w:ilvl="2" w:tplc="9F866FDC" w:tentative="1">
      <w:start w:val="1"/>
      <w:numFmt w:val="lowerRoman"/>
      <w:lvlText w:val="%3."/>
      <w:lvlJc w:val="right"/>
      <w:pPr>
        <w:ind w:left="2160" w:hanging="180"/>
      </w:pPr>
    </w:lvl>
    <w:lvl w:ilvl="3" w:tplc="C78CEF80" w:tentative="1">
      <w:start w:val="1"/>
      <w:numFmt w:val="decimal"/>
      <w:lvlText w:val="%4."/>
      <w:lvlJc w:val="left"/>
      <w:pPr>
        <w:ind w:left="2880" w:hanging="360"/>
      </w:pPr>
    </w:lvl>
    <w:lvl w:ilvl="4" w:tplc="93F6D3DE" w:tentative="1">
      <w:start w:val="1"/>
      <w:numFmt w:val="lowerLetter"/>
      <w:lvlText w:val="%5."/>
      <w:lvlJc w:val="left"/>
      <w:pPr>
        <w:ind w:left="3600" w:hanging="360"/>
      </w:pPr>
    </w:lvl>
    <w:lvl w:ilvl="5" w:tplc="8C087774" w:tentative="1">
      <w:start w:val="1"/>
      <w:numFmt w:val="lowerRoman"/>
      <w:lvlText w:val="%6."/>
      <w:lvlJc w:val="right"/>
      <w:pPr>
        <w:ind w:left="4320" w:hanging="180"/>
      </w:pPr>
    </w:lvl>
    <w:lvl w:ilvl="6" w:tplc="0616D3F0" w:tentative="1">
      <w:start w:val="1"/>
      <w:numFmt w:val="decimal"/>
      <w:lvlText w:val="%7."/>
      <w:lvlJc w:val="left"/>
      <w:pPr>
        <w:ind w:left="5040" w:hanging="360"/>
      </w:pPr>
    </w:lvl>
    <w:lvl w:ilvl="7" w:tplc="3FFE688C" w:tentative="1">
      <w:start w:val="1"/>
      <w:numFmt w:val="lowerLetter"/>
      <w:lvlText w:val="%8."/>
      <w:lvlJc w:val="left"/>
      <w:pPr>
        <w:ind w:left="5760" w:hanging="360"/>
      </w:pPr>
    </w:lvl>
    <w:lvl w:ilvl="8" w:tplc="39084FC0" w:tentative="1">
      <w:start w:val="1"/>
      <w:numFmt w:val="lowerRoman"/>
      <w:lvlText w:val="%9."/>
      <w:lvlJc w:val="right"/>
      <w:pPr>
        <w:ind w:left="6480" w:hanging="180"/>
      </w:pPr>
    </w:lvl>
  </w:abstractNum>
  <w:abstractNum w:abstractNumId="13" w15:restartNumberingAfterBreak="0">
    <w:nsid w:val="34875A30"/>
    <w:multiLevelType w:val="hybridMultilevel"/>
    <w:tmpl w:val="8F308FC0"/>
    <w:lvl w:ilvl="0" w:tplc="80BE7682">
      <w:start w:val="1"/>
      <w:numFmt w:val="decimal"/>
      <w:pStyle w:val="JK2"/>
      <w:lvlText w:val="2.%1"/>
      <w:lvlJc w:val="left"/>
      <w:pPr>
        <w:ind w:left="4755" w:hanging="360"/>
      </w:pPr>
      <w:rPr>
        <w:rFonts w:hint="default"/>
        <w:b/>
        <w:i w:val="0"/>
        <w:color w:val="auto"/>
      </w:rPr>
    </w:lvl>
    <w:lvl w:ilvl="1" w:tplc="EED03178">
      <w:start w:val="1"/>
      <w:numFmt w:val="lowerLetter"/>
      <w:lvlText w:val="%2."/>
      <w:lvlJc w:val="left"/>
      <w:pPr>
        <w:ind w:left="1440" w:hanging="360"/>
      </w:pPr>
    </w:lvl>
    <w:lvl w:ilvl="2" w:tplc="36887BBE" w:tentative="1">
      <w:start w:val="1"/>
      <w:numFmt w:val="lowerRoman"/>
      <w:lvlText w:val="%3."/>
      <w:lvlJc w:val="right"/>
      <w:pPr>
        <w:ind w:left="2160" w:hanging="180"/>
      </w:pPr>
    </w:lvl>
    <w:lvl w:ilvl="3" w:tplc="C540BBF2" w:tentative="1">
      <w:start w:val="1"/>
      <w:numFmt w:val="decimal"/>
      <w:lvlText w:val="%4."/>
      <w:lvlJc w:val="left"/>
      <w:pPr>
        <w:ind w:left="2880" w:hanging="360"/>
      </w:pPr>
    </w:lvl>
    <w:lvl w:ilvl="4" w:tplc="BEDEFDFE" w:tentative="1">
      <w:start w:val="1"/>
      <w:numFmt w:val="lowerLetter"/>
      <w:lvlText w:val="%5."/>
      <w:lvlJc w:val="left"/>
      <w:pPr>
        <w:ind w:left="3600" w:hanging="360"/>
      </w:pPr>
    </w:lvl>
    <w:lvl w:ilvl="5" w:tplc="95A09E74" w:tentative="1">
      <w:start w:val="1"/>
      <w:numFmt w:val="lowerRoman"/>
      <w:lvlText w:val="%6."/>
      <w:lvlJc w:val="right"/>
      <w:pPr>
        <w:ind w:left="4320" w:hanging="180"/>
      </w:pPr>
    </w:lvl>
    <w:lvl w:ilvl="6" w:tplc="61E869CA" w:tentative="1">
      <w:start w:val="1"/>
      <w:numFmt w:val="decimal"/>
      <w:lvlText w:val="%7."/>
      <w:lvlJc w:val="left"/>
      <w:pPr>
        <w:ind w:left="5040" w:hanging="360"/>
      </w:pPr>
    </w:lvl>
    <w:lvl w:ilvl="7" w:tplc="06A42CD8" w:tentative="1">
      <w:start w:val="1"/>
      <w:numFmt w:val="lowerLetter"/>
      <w:lvlText w:val="%8."/>
      <w:lvlJc w:val="left"/>
      <w:pPr>
        <w:ind w:left="5760" w:hanging="360"/>
      </w:pPr>
    </w:lvl>
    <w:lvl w:ilvl="8" w:tplc="B1569E28" w:tentative="1">
      <w:start w:val="1"/>
      <w:numFmt w:val="lowerRoman"/>
      <w:lvlText w:val="%9."/>
      <w:lvlJc w:val="right"/>
      <w:pPr>
        <w:ind w:left="6480" w:hanging="180"/>
      </w:pPr>
    </w:lvl>
  </w:abstractNum>
  <w:abstractNum w:abstractNumId="14" w15:restartNumberingAfterBreak="0">
    <w:nsid w:val="37B02CD2"/>
    <w:multiLevelType w:val="hybridMultilevel"/>
    <w:tmpl w:val="7C3ECCD2"/>
    <w:lvl w:ilvl="0" w:tplc="97005EDA">
      <w:start w:val="1"/>
      <w:numFmt w:val="decimal"/>
      <w:lvlText w:val="%1."/>
      <w:lvlJc w:val="left"/>
      <w:pPr>
        <w:ind w:left="720" w:hanging="360"/>
      </w:pPr>
      <w:rPr>
        <w:rFonts w:hint="default"/>
      </w:rPr>
    </w:lvl>
    <w:lvl w:ilvl="1" w:tplc="42D40B9E" w:tentative="1">
      <w:start w:val="1"/>
      <w:numFmt w:val="lowerLetter"/>
      <w:lvlText w:val="%2."/>
      <w:lvlJc w:val="left"/>
      <w:pPr>
        <w:ind w:left="1440" w:hanging="360"/>
      </w:pPr>
    </w:lvl>
    <w:lvl w:ilvl="2" w:tplc="F76445C2" w:tentative="1">
      <w:start w:val="1"/>
      <w:numFmt w:val="lowerRoman"/>
      <w:lvlText w:val="%3."/>
      <w:lvlJc w:val="right"/>
      <w:pPr>
        <w:ind w:left="2160" w:hanging="180"/>
      </w:pPr>
    </w:lvl>
    <w:lvl w:ilvl="3" w:tplc="71B21D3E" w:tentative="1">
      <w:start w:val="1"/>
      <w:numFmt w:val="decimal"/>
      <w:lvlText w:val="%4."/>
      <w:lvlJc w:val="left"/>
      <w:pPr>
        <w:ind w:left="2880" w:hanging="360"/>
      </w:pPr>
    </w:lvl>
    <w:lvl w:ilvl="4" w:tplc="51E8BB3C" w:tentative="1">
      <w:start w:val="1"/>
      <w:numFmt w:val="lowerLetter"/>
      <w:lvlText w:val="%5."/>
      <w:lvlJc w:val="left"/>
      <w:pPr>
        <w:ind w:left="3600" w:hanging="360"/>
      </w:pPr>
    </w:lvl>
    <w:lvl w:ilvl="5" w:tplc="74D2FB98" w:tentative="1">
      <w:start w:val="1"/>
      <w:numFmt w:val="lowerRoman"/>
      <w:lvlText w:val="%6."/>
      <w:lvlJc w:val="right"/>
      <w:pPr>
        <w:ind w:left="4320" w:hanging="180"/>
      </w:pPr>
    </w:lvl>
    <w:lvl w:ilvl="6" w:tplc="BE008D86" w:tentative="1">
      <w:start w:val="1"/>
      <w:numFmt w:val="decimal"/>
      <w:lvlText w:val="%7."/>
      <w:lvlJc w:val="left"/>
      <w:pPr>
        <w:ind w:left="5040" w:hanging="360"/>
      </w:pPr>
    </w:lvl>
    <w:lvl w:ilvl="7" w:tplc="C89457F8" w:tentative="1">
      <w:start w:val="1"/>
      <w:numFmt w:val="lowerLetter"/>
      <w:lvlText w:val="%8."/>
      <w:lvlJc w:val="left"/>
      <w:pPr>
        <w:ind w:left="5760" w:hanging="360"/>
      </w:pPr>
    </w:lvl>
    <w:lvl w:ilvl="8" w:tplc="2DEACA6A" w:tentative="1">
      <w:start w:val="1"/>
      <w:numFmt w:val="lowerRoman"/>
      <w:lvlText w:val="%9."/>
      <w:lvlJc w:val="right"/>
      <w:pPr>
        <w:ind w:left="6480" w:hanging="180"/>
      </w:pPr>
    </w:lvl>
  </w:abstractNum>
  <w:abstractNum w:abstractNumId="15" w15:restartNumberingAfterBreak="0">
    <w:nsid w:val="4CB21B8E"/>
    <w:multiLevelType w:val="hybridMultilevel"/>
    <w:tmpl w:val="6D96A6B6"/>
    <w:lvl w:ilvl="0" w:tplc="F32A563C">
      <w:start w:val="1"/>
      <w:numFmt w:val="decimal"/>
      <w:lvlText w:val="%1."/>
      <w:lvlJc w:val="left"/>
      <w:pPr>
        <w:ind w:left="720" w:hanging="360"/>
      </w:pPr>
      <w:rPr>
        <w:rFonts w:hint="default"/>
      </w:rPr>
    </w:lvl>
    <w:lvl w:ilvl="1" w:tplc="AC68BD9C" w:tentative="1">
      <w:start w:val="1"/>
      <w:numFmt w:val="bullet"/>
      <w:lvlText w:val="o"/>
      <w:lvlJc w:val="left"/>
      <w:pPr>
        <w:ind w:left="1440" w:hanging="360"/>
      </w:pPr>
      <w:rPr>
        <w:rFonts w:ascii="Courier New" w:hAnsi="Courier New" w:cs="Courier New" w:hint="default"/>
      </w:rPr>
    </w:lvl>
    <w:lvl w:ilvl="2" w:tplc="8B608C18" w:tentative="1">
      <w:start w:val="1"/>
      <w:numFmt w:val="bullet"/>
      <w:lvlText w:val=""/>
      <w:lvlJc w:val="left"/>
      <w:pPr>
        <w:ind w:left="2160" w:hanging="360"/>
      </w:pPr>
      <w:rPr>
        <w:rFonts w:ascii="Wingdings" w:hAnsi="Wingdings" w:hint="default"/>
      </w:rPr>
    </w:lvl>
    <w:lvl w:ilvl="3" w:tplc="0E18FAC6" w:tentative="1">
      <w:start w:val="1"/>
      <w:numFmt w:val="bullet"/>
      <w:lvlText w:val=""/>
      <w:lvlJc w:val="left"/>
      <w:pPr>
        <w:ind w:left="2880" w:hanging="360"/>
      </w:pPr>
      <w:rPr>
        <w:rFonts w:ascii="Symbol" w:hAnsi="Symbol" w:hint="default"/>
      </w:rPr>
    </w:lvl>
    <w:lvl w:ilvl="4" w:tplc="1F2AD9E8" w:tentative="1">
      <w:start w:val="1"/>
      <w:numFmt w:val="bullet"/>
      <w:lvlText w:val="o"/>
      <w:lvlJc w:val="left"/>
      <w:pPr>
        <w:ind w:left="3600" w:hanging="360"/>
      </w:pPr>
      <w:rPr>
        <w:rFonts w:ascii="Courier New" w:hAnsi="Courier New" w:cs="Courier New" w:hint="default"/>
      </w:rPr>
    </w:lvl>
    <w:lvl w:ilvl="5" w:tplc="59D24C8A" w:tentative="1">
      <w:start w:val="1"/>
      <w:numFmt w:val="bullet"/>
      <w:lvlText w:val=""/>
      <w:lvlJc w:val="left"/>
      <w:pPr>
        <w:ind w:left="4320" w:hanging="360"/>
      </w:pPr>
      <w:rPr>
        <w:rFonts w:ascii="Wingdings" w:hAnsi="Wingdings" w:hint="default"/>
      </w:rPr>
    </w:lvl>
    <w:lvl w:ilvl="6" w:tplc="B656A2DE" w:tentative="1">
      <w:start w:val="1"/>
      <w:numFmt w:val="bullet"/>
      <w:lvlText w:val=""/>
      <w:lvlJc w:val="left"/>
      <w:pPr>
        <w:ind w:left="5040" w:hanging="360"/>
      </w:pPr>
      <w:rPr>
        <w:rFonts w:ascii="Symbol" w:hAnsi="Symbol" w:hint="default"/>
      </w:rPr>
    </w:lvl>
    <w:lvl w:ilvl="7" w:tplc="923C6C66" w:tentative="1">
      <w:start w:val="1"/>
      <w:numFmt w:val="bullet"/>
      <w:lvlText w:val="o"/>
      <w:lvlJc w:val="left"/>
      <w:pPr>
        <w:ind w:left="5760" w:hanging="360"/>
      </w:pPr>
      <w:rPr>
        <w:rFonts w:ascii="Courier New" w:hAnsi="Courier New" w:cs="Courier New" w:hint="default"/>
      </w:rPr>
    </w:lvl>
    <w:lvl w:ilvl="8" w:tplc="FD065288" w:tentative="1">
      <w:start w:val="1"/>
      <w:numFmt w:val="bullet"/>
      <w:lvlText w:val=""/>
      <w:lvlJc w:val="left"/>
      <w:pPr>
        <w:ind w:left="6480" w:hanging="360"/>
      </w:pPr>
      <w:rPr>
        <w:rFonts w:ascii="Wingdings" w:hAnsi="Wingdings" w:hint="default"/>
      </w:rPr>
    </w:lvl>
  </w:abstractNum>
  <w:abstractNum w:abstractNumId="16" w15:restartNumberingAfterBreak="0">
    <w:nsid w:val="4CE94860"/>
    <w:multiLevelType w:val="hybridMultilevel"/>
    <w:tmpl w:val="A880CA6C"/>
    <w:lvl w:ilvl="0" w:tplc="DABCDB48">
      <w:start w:val="1"/>
      <w:numFmt w:val="decimal"/>
      <w:lvlText w:val="%1."/>
      <w:lvlJc w:val="left"/>
      <w:pPr>
        <w:ind w:left="720" w:hanging="360"/>
      </w:pPr>
      <w:rPr>
        <w:rFonts w:hint="default"/>
      </w:rPr>
    </w:lvl>
    <w:lvl w:ilvl="1" w:tplc="1BB8A164" w:tentative="1">
      <w:start w:val="1"/>
      <w:numFmt w:val="lowerLetter"/>
      <w:lvlText w:val="%2."/>
      <w:lvlJc w:val="left"/>
      <w:pPr>
        <w:ind w:left="1440" w:hanging="360"/>
      </w:pPr>
    </w:lvl>
    <w:lvl w:ilvl="2" w:tplc="0DDAD4A0" w:tentative="1">
      <w:start w:val="1"/>
      <w:numFmt w:val="lowerRoman"/>
      <w:lvlText w:val="%3."/>
      <w:lvlJc w:val="right"/>
      <w:pPr>
        <w:ind w:left="2160" w:hanging="180"/>
      </w:pPr>
    </w:lvl>
    <w:lvl w:ilvl="3" w:tplc="AAD8C2FE" w:tentative="1">
      <w:start w:val="1"/>
      <w:numFmt w:val="decimal"/>
      <w:lvlText w:val="%4."/>
      <w:lvlJc w:val="left"/>
      <w:pPr>
        <w:ind w:left="2880" w:hanging="360"/>
      </w:pPr>
    </w:lvl>
    <w:lvl w:ilvl="4" w:tplc="478AE5A4" w:tentative="1">
      <w:start w:val="1"/>
      <w:numFmt w:val="lowerLetter"/>
      <w:lvlText w:val="%5."/>
      <w:lvlJc w:val="left"/>
      <w:pPr>
        <w:ind w:left="3600" w:hanging="360"/>
      </w:pPr>
    </w:lvl>
    <w:lvl w:ilvl="5" w:tplc="4CAE405C" w:tentative="1">
      <w:start w:val="1"/>
      <w:numFmt w:val="lowerRoman"/>
      <w:lvlText w:val="%6."/>
      <w:lvlJc w:val="right"/>
      <w:pPr>
        <w:ind w:left="4320" w:hanging="180"/>
      </w:pPr>
    </w:lvl>
    <w:lvl w:ilvl="6" w:tplc="5DA88714" w:tentative="1">
      <w:start w:val="1"/>
      <w:numFmt w:val="decimal"/>
      <w:lvlText w:val="%7."/>
      <w:lvlJc w:val="left"/>
      <w:pPr>
        <w:ind w:left="5040" w:hanging="360"/>
      </w:pPr>
    </w:lvl>
    <w:lvl w:ilvl="7" w:tplc="8F3A3C2A" w:tentative="1">
      <w:start w:val="1"/>
      <w:numFmt w:val="lowerLetter"/>
      <w:lvlText w:val="%8."/>
      <w:lvlJc w:val="left"/>
      <w:pPr>
        <w:ind w:left="5760" w:hanging="360"/>
      </w:pPr>
    </w:lvl>
    <w:lvl w:ilvl="8" w:tplc="7A5EE670" w:tentative="1">
      <w:start w:val="1"/>
      <w:numFmt w:val="lowerRoman"/>
      <w:lvlText w:val="%9."/>
      <w:lvlJc w:val="right"/>
      <w:pPr>
        <w:ind w:left="6480" w:hanging="180"/>
      </w:pPr>
    </w:lvl>
  </w:abstractNum>
  <w:abstractNum w:abstractNumId="17" w15:restartNumberingAfterBreak="0">
    <w:nsid w:val="4FAA7AA7"/>
    <w:multiLevelType w:val="hybridMultilevel"/>
    <w:tmpl w:val="66DEAA98"/>
    <w:lvl w:ilvl="0" w:tplc="EF52C1C4">
      <w:start w:val="1"/>
      <w:numFmt w:val="bullet"/>
      <w:lvlText w:val="−"/>
      <w:lvlJc w:val="left"/>
      <w:pPr>
        <w:ind w:left="720" w:hanging="360"/>
      </w:pPr>
      <w:rPr>
        <w:rFonts w:ascii="Calibri" w:hAnsi="Calibri" w:hint="default"/>
      </w:rPr>
    </w:lvl>
    <w:lvl w:ilvl="1" w:tplc="3006D5E2" w:tentative="1">
      <w:start w:val="1"/>
      <w:numFmt w:val="bullet"/>
      <w:lvlText w:val="o"/>
      <w:lvlJc w:val="left"/>
      <w:pPr>
        <w:ind w:left="1440" w:hanging="360"/>
      </w:pPr>
      <w:rPr>
        <w:rFonts w:ascii="Courier New" w:hAnsi="Courier New" w:cs="Courier New" w:hint="default"/>
      </w:rPr>
    </w:lvl>
    <w:lvl w:ilvl="2" w:tplc="D45C763C" w:tentative="1">
      <w:start w:val="1"/>
      <w:numFmt w:val="bullet"/>
      <w:lvlText w:val=""/>
      <w:lvlJc w:val="left"/>
      <w:pPr>
        <w:ind w:left="2160" w:hanging="360"/>
      </w:pPr>
      <w:rPr>
        <w:rFonts w:ascii="Wingdings" w:hAnsi="Wingdings" w:hint="default"/>
      </w:rPr>
    </w:lvl>
    <w:lvl w:ilvl="3" w:tplc="6ADC024A" w:tentative="1">
      <w:start w:val="1"/>
      <w:numFmt w:val="bullet"/>
      <w:lvlText w:val=""/>
      <w:lvlJc w:val="left"/>
      <w:pPr>
        <w:ind w:left="2880" w:hanging="360"/>
      </w:pPr>
      <w:rPr>
        <w:rFonts w:ascii="Symbol" w:hAnsi="Symbol" w:hint="default"/>
      </w:rPr>
    </w:lvl>
    <w:lvl w:ilvl="4" w:tplc="3EE07D68" w:tentative="1">
      <w:start w:val="1"/>
      <w:numFmt w:val="bullet"/>
      <w:lvlText w:val="o"/>
      <w:lvlJc w:val="left"/>
      <w:pPr>
        <w:ind w:left="3600" w:hanging="360"/>
      </w:pPr>
      <w:rPr>
        <w:rFonts w:ascii="Courier New" w:hAnsi="Courier New" w:cs="Courier New" w:hint="default"/>
      </w:rPr>
    </w:lvl>
    <w:lvl w:ilvl="5" w:tplc="9F725D7A" w:tentative="1">
      <w:start w:val="1"/>
      <w:numFmt w:val="bullet"/>
      <w:lvlText w:val=""/>
      <w:lvlJc w:val="left"/>
      <w:pPr>
        <w:ind w:left="4320" w:hanging="360"/>
      </w:pPr>
      <w:rPr>
        <w:rFonts w:ascii="Wingdings" w:hAnsi="Wingdings" w:hint="default"/>
      </w:rPr>
    </w:lvl>
    <w:lvl w:ilvl="6" w:tplc="9020C250" w:tentative="1">
      <w:start w:val="1"/>
      <w:numFmt w:val="bullet"/>
      <w:lvlText w:val=""/>
      <w:lvlJc w:val="left"/>
      <w:pPr>
        <w:ind w:left="5040" w:hanging="360"/>
      </w:pPr>
      <w:rPr>
        <w:rFonts w:ascii="Symbol" w:hAnsi="Symbol" w:hint="default"/>
      </w:rPr>
    </w:lvl>
    <w:lvl w:ilvl="7" w:tplc="0A9657CA" w:tentative="1">
      <w:start w:val="1"/>
      <w:numFmt w:val="bullet"/>
      <w:lvlText w:val="o"/>
      <w:lvlJc w:val="left"/>
      <w:pPr>
        <w:ind w:left="5760" w:hanging="360"/>
      </w:pPr>
      <w:rPr>
        <w:rFonts w:ascii="Courier New" w:hAnsi="Courier New" w:cs="Courier New" w:hint="default"/>
      </w:rPr>
    </w:lvl>
    <w:lvl w:ilvl="8" w:tplc="669256F4" w:tentative="1">
      <w:start w:val="1"/>
      <w:numFmt w:val="bullet"/>
      <w:lvlText w:val=""/>
      <w:lvlJc w:val="left"/>
      <w:pPr>
        <w:ind w:left="6480" w:hanging="360"/>
      </w:pPr>
      <w:rPr>
        <w:rFonts w:ascii="Wingdings" w:hAnsi="Wingdings" w:hint="default"/>
      </w:rPr>
    </w:lvl>
  </w:abstractNum>
  <w:abstractNum w:abstractNumId="18" w15:restartNumberingAfterBreak="0">
    <w:nsid w:val="587E1F45"/>
    <w:multiLevelType w:val="hybridMultilevel"/>
    <w:tmpl w:val="F1BEB61C"/>
    <w:lvl w:ilvl="0" w:tplc="ECBECE98">
      <w:start w:val="1"/>
      <w:numFmt w:val="bullet"/>
      <w:pStyle w:val="KPodrazka1"/>
      <w:lvlText w:val=""/>
      <w:lvlJc w:val="left"/>
      <w:pPr>
        <w:ind w:left="720" w:hanging="360"/>
      </w:pPr>
      <w:rPr>
        <w:rFonts w:ascii="Symbol" w:hAnsi="Symbol" w:hint="default"/>
      </w:rPr>
    </w:lvl>
    <w:lvl w:ilvl="1" w:tplc="4AE0F082" w:tentative="1">
      <w:start w:val="1"/>
      <w:numFmt w:val="bullet"/>
      <w:lvlText w:val="o"/>
      <w:lvlJc w:val="left"/>
      <w:pPr>
        <w:ind w:left="1440" w:hanging="360"/>
      </w:pPr>
      <w:rPr>
        <w:rFonts w:ascii="Courier New" w:hAnsi="Courier New" w:cs="Courier New" w:hint="default"/>
      </w:rPr>
    </w:lvl>
    <w:lvl w:ilvl="2" w:tplc="5CBADEAE" w:tentative="1">
      <w:start w:val="1"/>
      <w:numFmt w:val="bullet"/>
      <w:lvlText w:val=""/>
      <w:lvlJc w:val="left"/>
      <w:pPr>
        <w:ind w:left="2160" w:hanging="360"/>
      </w:pPr>
      <w:rPr>
        <w:rFonts w:ascii="Wingdings" w:hAnsi="Wingdings" w:hint="default"/>
      </w:rPr>
    </w:lvl>
    <w:lvl w:ilvl="3" w:tplc="6FCC4170" w:tentative="1">
      <w:start w:val="1"/>
      <w:numFmt w:val="bullet"/>
      <w:lvlText w:val=""/>
      <w:lvlJc w:val="left"/>
      <w:pPr>
        <w:ind w:left="2880" w:hanging="360"/>
      </w:pPr>
      <w:rPr>
        <w:rFonts w:ascii="Symbol" w:hAnsi="Symbol" w:hint="default"/>
      </w:rPr>
    </w:lvl>
    <w:lvl w:ilvl="4" w:tplc="BB2878F2" w:tentative="1">
      <w:start w:val="1"/>
      <w:numFmt w:val="bullet"/>
      <w:lvlText w:val="o"/>
      <w:lvlJc w:val="left"/>
      <w:pPr>
        <w:ind w:left="3600" w:hanging="360"/>
      </w:pPr>
      <w:rPr>
        <w:rFonts w:ascii="Courier New" w:hAnsi="Courier New" w:cs="Courier New" w:hint="default"/>
      </w:rPr>
    </w:lvl>
    <w:lvl w:ilvl="5" w:tplc="5AB4FD04" w:tentative="1">
      <w:start w:val="1"/>
      <w:numFmt w:val="bullet"/>
      <w:lvlText w:val=""/>
      <w:lvlJc w:val="left"/>
      <w:pPr>
        <w:ind w:left="4320" w:hanging="360"/>
      </w:pPr>
      <w:rPr>
        <w:rFonts w:ascii="Wingdings" w:hAnsi="Wingdings" w:hint="default"/>
      </w:rPr>
    </w:lvl>
    <w:lvl w:ilvl="6" w:tplc="153E628C" w:tentative="1">
      <w:start w:val="1"/>
      <w:numFmt w:val="bullet"/>
      <w:lvlText w:val=""/>
      <w:lvlJc w:val="left"/>
      <w:pPr>
        <w:ind w:left="5040" w:hanging="360"/>
      </w:pPr>
      <w:rPr>
        <w:rFonts w:ascii="Symbol" w:hAnsi="Symbol" w:hint="default"/>
      </w:rPr>
    </w:lvl>
    <w:lvl w:ilvl="7" w:tplc="F6A6C97A" w:tentative="1">
      <w:start w:val="1"/>
      <w:numFmt w:val="bullet"/>
      <w:lvlText w:val="o"/>
      <w:lvlJc w:val="left"/>
      <w:pPr>
        <w:ind w:left="5760" w:hanging="360"/>
      </w:pPr>
      <w:rPr>
        <w:rFonts w:ascii="Courier New" w:hAnsi="Courier New" w:cs="Courier New" w:hint="default"/>
      </w:rPr>
    </w:lvl>
    <w:lvl w:ilvl="8" w:tplc="D49ACE74" w:tentative="1">
      <w:start w:val="1"/>
      <w:numFmt w:val="bullet"/>
      <w:lvlText w:val=""/>
      <w:lvlJc w:val="left"/>
      <w:pPr>
        <w:ind w:left="6480" w:hanging="360"/>
      </w:pPr>
      <w:rPr>
        <w:rFonts w:ascii="Wingdings" w:hAnsi="Wingdings" w:hint="default"/>
      </w:rPr>
    </w:lvl>
  </w:abstractNum>
  <w:abstractNum w:abstractNumId="19" w15:restartNumberingAfterBreak="0">
    <w:nsid w:val="63562C17"/>
    <w:multiLevelType w:val="hybridMultilevel"/>
    <w:tmpl w:val="A28C4512"/>
    <w:lvl w:ilvl="0" w:tplc="59EAD52C">
      <w:start w:val="1"/>
      <w:numFmt w:val="decimal"/>
      <w:pStyle w:val="JK4"/>
      <w:lvlText w:val="4.%1"/>
      <w:lvlJc w:val="left"/>
      <w:pPr>
        <w:ind w:left="3479" w:hanging="360"/>
      </w:pPr>
      <w:rPr>
        <w:rFonts w:hint="default"/>
        <w:b/>
        <w:i w:val="0"/>
        <w:color w:val="auto"/>
      </w:rPr>
    </w:lvl>
    <w:lvl w:ilvl="1" w:tplc="68783516" w:tentative="1">
      <w:start w:val="1"/>
      <w:numFmt w:val="lowerLetter"/>
      <w:lvlText w:val="%2."/>
      <w:lvlJc w:val="left"/>
      <w:pPr>
        <w:ind w:left="1440" w:hanging="360"/>
      </w:pPr>
    </w:lvl>
    <w:lvl w:ilvl="2" w:tplc="DF600268" w:tentative="1">
      <w:start w:val="1"/>
      <w:numFmt w:val="lowerRoman"/>
      <w:lvlText w:val="%3."/>
      <w:lvlJc w:val="right"/>
      <w:pPr>
        <w:ind w:left="2160" w:hanging="180"/>
      </w:pPr>
    </w:lvl>
    <w:lvl w:ilvl="3" w:tplc="BC021B42" w:tentative="1">
      <w:start w:val="1"/>
      <w:numFmt w:val="decimal"/>
      <w:lvlText w:val="%4."/>
      <w:lvlJc w:val="left"/>
      <w:pPr>
        <w:ind w:left="2880" w:hanging="360"/>
      </w:pPr>
    </w:lvl>
    <w:lvl w:ilvl="4" w:tplc="F842A75E" w:tentative="1">
      <w:start w:val="1"/>
      <w:numFmt w:val="lowerLetter"/>
      <w:lvlText w:val="%5."/>
      <w:lvlJc w:val="left"/>
      <w:pPr>
        <w:ind w:left="3600" w:hanging="360"/>
      </w:pPr>
    </w:lvl>
    <w:lvl w:ilvl="5" w:tplc="433CA0D8" w:tentative="1">
      <w:start w:val="1"/>
      <w:numFmt w:val="lowerRoman"/>
      <w:lvlText w:val="%6."/>
      <w:lvlJc w:val="right"/>
      <w:pPr>
        <w:ind w:left="4320" w:hanging="180"/>
      </w:pPr>
    </w:lvl>
    <w:lvl w:ilvl="6" w:tplc="1B447788" w:tentative="1">
      <w:start w:val="1"/>
      <w:numFmt w:val="decimal"/>
      <w:lvlText w:val="%7."/>
      <w:lvlJc w:val="left"/>
      <w:pPr>
        <w:ind w:left="5040" w:hanging="360"/>
      </w:pPr>
    </w:lvl>
    <w:lvl w:ilvl="7" w:tplc="1988ED0E" w:tentative="1">
      <w:start w:val="1"/>
      <w:numFmt w:val="lowerLetter"/>
      <w:lvlText w:val="%8."/>
      <w:lvlJc w:val="left"/>
      <w:pPr>
        <w:ind w:left="5760" w:hanging="360"/>
      </w:pPr>
    </w:lvl>
    <w:lvl w:ilvl="8" w:tplc="F8F8EFAE" w:tentative="1">
      <w:start w:val="1"/>
      <w:numFmt w:val="lowerRoman"/>
      <w:lvlText w:val="%9."/>
      <w:lvlJc w:val="right"/>
      <w:pPr>
        <w:ind w:left="6480" w:hanging="180"/>
      </w:pPr>
    </w:lvl>
  </w:abstractNum>
  <w:abstractNum w:abstractNumId="20" w15:restartNumberingAfterBreak="0">
    <w:nsid w:val="6791022F"/>
    <w:multiLevelType w:val="hybridMultilevel"/>
    <w:tmpl w:val="D9FE6A68"/>
    <w:lvl w:ilvl="0" w:tplc="CFF45EA4">
      <w:start w:val="1"/>
      <w:numFmt w:val="decimal"/>
      <w:lvlText w:val="%1."/>
      <w:lvlJc w:val="left"/>
      <w:pPr>
        <w:ind w:left="720" w:hanging="360"/>
      </w:pPr>
      <w:rPr>
        <w:rFonts w:hint="default"/>
      </w:rPr>
    </w:lvl>
    <w:lvl w:ilvl="1" w:tplc="2C1C9FA4" w:tentative="1">
      <w:start w:val="1"/>
      <w:numFmt w:val="lowerLetter"/>
      <w:lvlText w:val="%2."/>
      <w:lvlJc w:val="left"/>
      <w:pPr>
        <w:ind w:left="1440" w:hanging="360"/>
      </w:pPr>
    </w:lvl>
    <w:lvl w:ilvl="2" w:tplc="DF6A8806" w:tentative="1">
      <w:start w:val="1"/>
      <w:numFmt w:val="lowerRoman"/>
      <w:lvlText w:val="%3."/>
      <w:lvlJc w:val="right"/>
      <w:pPr>
        <w:ind w:left="2160" w:hanging="180"/>
      </w:pPr>
    </w:lvl>
    <w:lvl w:ilvl="3" w:tplc="D1A67560" w:tentative="1">
      <w:start w:val="1"/>
      <w:numFmt w:val="decimal"/>
      <w:lvlText w:val="%4."/>
      <w:lvlJc w:val="left"/>
      <w:pPr>
        <w:ind w:left="2880" w:hanging="360"/>
      </w:pPr>
    </w:lvl>
    <w:lvl w:ilvl="4" w:tplc="7B34FB3E" w:tentative="1">
      <w:start w:val="1"/>
      <w:numFmt w:val="lowerLetter"/>
      <w:lvlText w:val="%5."/>
      <w:lvlJc w:val="left"/>
      <w:pPr>
        <w:ind w:left="3600" w:hanging="360"/>
      </w:pPr>
    </w:lvl>
    <w:lvl w:ilvl="5" w:tplc="1BAAA6CA" w:tentative="1">
      <w:start w:val="1"/>
      <w:numFmt w:val="lowerRoman"/>
      <w:lvlText w:val="%6."/>
      <w:lvlJc w:val="right"/>
      <w:pPr>
        <w:ind w:left="4320" w:hanging="180"/>
      </w:pPr>
    </w:lvl>
    <w:lvl w:ilvl="6" w:tplc="23ACEECC" w:tentative="1">
      <w:start w:val="1"/>
      <w:numFmt w:val="decimal"/>
      <w:lvlText w:val="%7."/>
      <w:lvlJc w:val="left"/>
      <w:pPr>
        <w:ind w:left="5040" w:hanging="360"/>
      </w:pPr>
    </w:lvl>
    <w:lvl w:ilvl="7" w:tplc="C5AC139C" w:tentative="1">
      <w:start w:val="1"/>
      <w:numFmt w:val="lowerLetter"/>
      <w:lvlText w:val="%8."/>
      <w:lvlJc w:val="left"/>
      <w:pPr>
        <w:ind w:left="5760" w:hanging="360"/>
      </w:pPr>
    </w:lvl>
    <w:lvl w:ilvl="8" w:tplc="B2C23D16" w:tentative="1">
      <w:start w:val="1"/>
      <w:numFmt w:val="lowerRoman"/>
      <w:lvlText w:val="%9."/>
      <w:lvlJc w:val="right"/>
      <w:pPr>
        <w:ind w:left="6480" w:hanging="180"/>
      </w:pPr>
    </w:lvl>
  </w:abstractNum>
  <w:abstractNum w:abstractNumId="21" w15:restartNumberingAfterBreak="0">
    <w:nsid w:val="6F1B2E71"/>
    <w:multiLevelType w:val="hybridMultilevel"/>
    <w:tmpl w:val="E1DEB978"/>
    <w:lvl w:ilvl="0" w:tplc="50DA52EA">
      <w:start w:val="1"/>
      <w:numFmt w:val="upperRoman"/>
      <w:pStyle w:val="Nadpismsk"/>
      <w:lvlText w:val="%1."/>
      <w:lvlJc w:val="right"/>
      <w:pPr>
        <w:ind w:left="3621" w:hanging="360"/>
      </w:pPr>
      <w:rPr>
        <w:b/>
        <w:sz w:val="32"/>
        <w:szCs w:val="32"/>
      </w:rPr>
    </w:lvl>
    <w:lvl w:ilvl="1" w:tplc="561A7642" w:tentative="1">
      <w:start w:val="1"/>
      <w:numFmt w:val="lowerLetter"/>
      <w:lvlText w:val="%2."/>
      <w:lvlJc w:val="left"/>
      <w:pPr>
        <w:ind w:left="2160" w:hanging="360"/>
      </w:pPr>
    </w:lvl>
    <w:lvl w:ilvl="2" w:tplc="677EA54C" w:tentative="1">
      <w:start w:val="1"/>
      <w:numFmt w:val="lowerRoman"/>
      <w:lvlText w:val="%3."/>
      <w:lvlJc w:val="right"/>
      <w:pPr>
        <w:ind w:left="2880" w:hanging="180"/>
      </w:pPr>
    </w:lvl>
    <w:lvl w:ilvl="3" w:tplc="D13A40D0" w:tentative="1">
      <w:start w:val="1"/>
      <w:numFmt w:val="decimal"/>
      <w:lvlText w:val="%4."/>
      <w:lvlJc w:val="left"/>
      <w:pPr>
        <w:ind w:left="3600" w:hanging="360"/>
      </w:pPr>
    </w:lvl>
    <w:lvl w:ilvl="4" w:tplc="CE8C9012" w:tentative="1">
      <w:start w:val="1"/>
      <w:numFmt w:val="lowerLetter"/>
      <w:lvlText w:val="%5."/>
      <w:lvlJc w:val="left"/>
      <w:pPr>
        <w:ind w:left="4320" w:hanging="360"/>
      </w:pPr>
    </w:lvl>
    <w:lvl w:ilvl="5" w:tplc="6D3873AC" w:tentative="1">
      <w:start w:val="1"/>
      <w:numFmt w:val="lowerRoman"/>
      <w:lvlText w:val="%6."/>
      <w:lvlJc w:val="right"/>
      <w:pPr>
        <w:ind w:left="5040" w:hanging="180"/>
      </w:pPr>
    </w:lvl>
    <w:lvl w:ilvl="6" w:tplc="0DF61212" w:tentative="1">
      <w:start w:val="1"/>
      <w:numFmt w:val="decimal"/>
      <w:lvlText w:val="%7."/>
      <w:lvlJc w:val="left"/>
      <w:pPr>
        <w:ind w:left="5760" w:hanging="360"/>
      </w:pPr>
    </w:lvl>
    <w:lvl w:ilvl="7" w:tplc="78246A8E" w:tentative="1">
      <w:start w:val="1"/>
      <w:numFmt w:val="lowerLetter"/>
      <w:lvlText w:val="%8."/>
      <w:lvlJc w:val="left"/>
      <w:pPr>
        <w:ind w:left="6480" w:hanging="360"/>
      </w:pPr>
    </w:lvl>
    <w:lvl w:ilvl="8" w:tplc="274E4A58" w:tentative="1">
      <w:start w:val="1"/>
      <w:numFmt w:val="lowerRoman"/>
      <w:lvlText w:val="%9."/>
      <w:lvlJc w:val="right"/>
      <w:pPr>
        <w:ind w:left="7200" w:hanging="180"/>
      </w:pPr>
    </w:lvl>
  </w:abstractNum>
  <w:abstractNum w:abstractNumId="22" w15:restartNumberingAfterBreak="0">
    <w:nsid w:val="72834E9C"/>
    <w:multiLevelType w:val="hybridMultilevel"/>
    <w:tmpl w:val="0954298A"/>
    <w:lvl w:ilvl="0" w:tplc="DE3667D0">
      <w:start w:val="1"/>
      <w:numFmt w:val="bullet"/>
      <w:lvlText w:val=""/>
      <w:lvlJc w:val="left"/>
      <w:pPr>
        <w:ind w:left="780" w:hanging="360"/>
      </w:pPr>
      <w:rPr>
        <w:rFonts w:ascii="Symbol" w:hAnsi="Symbol" w:hint="default"/>
      </w:rPr>
    </w:lvl>
    <w:lvl w:ilvl="1" w:tplc="3146DB6A" w:tentative="1">
      <w:start w:val="1"/>
      <w:numFmt w:val="bullet"/>
      <w:lvlText w:val="o"/>
      <w:lvlJc w:val="left"/>
      <w:pPr>
        <w:ind w:left="1500" w:hanging="360"/>
      </w:pPr>
      <w:rPr>
        <w:rFonts w:ascii="Courier New" w:hAnsi="Courier New" w:cs="Courier New" w:hint="default"/>
      </w:rPr>
    </w:lvl>
    <w:lvl w:ilvl="2" w:tplc="03B812C0" w:tentative="1">
      <w:start w:val="1"/>
      <w:numFmt w:val="bullet"/>
      <w:lvlText w:val=""/>
      <w:lvlJc w:val="left"/>
      <w:pPr>
        <w:ind w:left="2220" w:hanging="360"/>
      </w:pPr>
      <w:rPr>
        <w:rFonts w:ascii="Wingdings" w:hAnsi="Wingdings" w:hint="default"/>
      </w:rPr>
    </w:lvl>
    <w:lvl w:ilvl="3" w:tplc="BE44DBBE" w:tentative="1">
      <w:start w:val="1"/>
      <w:numFmt w:val="bullet"/>
      <w:lvlText w:val=""/>
      <w:lvlJc w:val="left"/>
      <w:pPr>
        <w:ind w:left="2940" w:hanging="360"/>
      </w:pPr>
      <w:rPr>
        <w:rFonts w:ascii="Symbol" w:hAnsi="Symbol" w:hint="default"/>
      </w:rPr>
    </w:lvl>
    <w:lvl w:ilvl="4" w:tplc="BE3A2F64" w:tentative="1">
      <w:start w:val="1"/>
      <w:numFmt w:val="bullet"/>
      <w:lvlText w:val="o"/>
      <w:lvlJc w:val="left"/>
      <w:pPr>
        <w:ind w:left="3660" w:hanging="360"/>
      </w:pPr>
      <w:rPr>
        <w:rFonts w:ascii="Courier New" w:hAnsi="Courier New" w:cs="Courier New" w:hint="default"/>
      </w:rPr>
    </w:lvl>
    <w:lvl w:ilvl="5" w:tplc="56F2D930" w:tentative="1">
      <w:start w:val="1"/>
      <w:numFmt w:val="bullet"/>
      <w:lvlText w:val=""/>
      <w:lvlJc w:val="left"/>
      <w:pPr>
        <w:ind w:left="4380" w:hanging="360"/>
      </w:pPr>
      <w:rPr>
        <w:rFonts w:ascii="Wingdings" w:hAnsi="Wingdings" w:hint="default"/>
      </w:rPr>
    </w:lvl>
    <w:lvl w:ilvl="6" w:tplc="B4383F3A" w:tentative="1">
      <w:start w:val="1"/>
      <w:numFmt w:val="bullet"/>
      <w:lvlText w:val=""/>
      <w:lvlJc w:val="left"/>
      <w:pPr>
        <w:ind w:left="5100" w:hanging="360"/>
      </w:pPr>
      <w:rPr>
        <w:rFonts w:ascii="Symbol" w:hAnsi="Symbol" w:hint="default"/>
      </w:rPr>
    </w:lvl>
    <w:lvl w:ilvl="7" w:tplc="0464C146" w:tentative="1">
      <w:start w:val="1"/>
      <w:numFmt w:val="bullet"/>
      <w:lvlText w:val="o"/>
      <w:lvlJc w:val="left"/>
      <w:pPr>
        <w:ind w:left="5820" w:hanging="360"/>
      </w:pPr>
      <w:rPr>
        <w:rFonts w:ascii="Courier New" w:hAnsi="Courier New" w:cs="Courier New" w:hint="default"/>
      </w:rPr>
    </w:lvl>
    <w:lvl w:ilvl="8" w:tplc="44E472EE" w:tentative="1">
      <w:start w:val="1"/>
      <w:numFmt w:val="bullet"/>
      <w:lvlText w:val=""/>
      <w:lvlJc w:val="left"/>
      <w:pPr>
        <w:ind w:left="6540" w:hanging="360"/>
      </w:pPr>
      <w:rPr>
        <w:rFonts w:ascii="Wingdings" w:hAnsi="Wingdings" w:hint="default"/>
      </w:rPr>
    </w:lvl>
  </w:abstractNum>
  <w:abstractNum w:abstractNumId="23" w15:restartNumberingAfterBreak="0">
    <w:nsid w:val="750049BB"/>
    <w:multiLevelType w:val="hybridMultilevel"/>
    <w:tmpl w:val="8F6CCFBC"/>
    <w:lvl w:ilvl="0" w:tplc="0B76308E">
      <w:start w:val="1"/>
      <w:numFmt w:val="upperLetter"/>
      <w:lvlText w:val="%1)"/>
      <w:lvlJc w:val="left"/>
      <w:pPr>
        <w:ind w:left="720" w:hanging="360"/>
      </w:pPr>
      <w:rPr>
        <w:rFonts w:hint="default"/>
      </w:rPr>
    </w:lvl>
    <w:lvl w:ilvl="1" w:tplc="4758473C" w:tentative="1">
      <w:start w:val="1"/>
      <w:numFmt w:val="lowerLetter"/>
      <w:lvlText w:val="%2."/>
      <w:lvlJc w:val="left"/>
      <w:pPr>
        <w:ind w:left="1440" w:hanging="360"/>
      </w:pPr>
    </w:lvl>
    <w:lvl w:ilvl="2" w:tplc="19229CE8" w:tentative="1">
      <w:start w:val="1"/>
      <w:numFmt w:val="lowerRoman"/>
      <w:lvlText w:val="%3."/>
      <w:lvlJc w:val="right"/>
      <w:pPr>
        <w:ind w:left="2160" w:hanging="180"/>
      </w:pPr>
    </w:lvl>
    <w:lvl w:ilvl="3" w:tplc="ED94D65E" w:tentative="1">
      <w:start w:val="1"/>
      <w:numFmt w:val="decimal"/>
      <w:lvlText w:val="%4."/>
      <w:lvlJc w:val="left"/>
      <w:pPr>
        <w:ind w:left="2880" w:hanging="360"/>
      </w:pPr>
    </w:lvl>
    <w:lvl w:ilvl="4" w:tplc="4BC66EA0" w:tentative="1">
      <w:start w:val="1"/>
      <w:numFmt w:val="lowerLetter"/>
      <w:lvlText w:val="%5."/>
      <w:lvlJc w:val="left"/>
      <w:pPr>
        <w:ind w:left="3600" w:hanging="360"/>
      </w:pPr>
    </w:lvl>
    <w:lvl w:ilvl="5" w:tplc="6EB6B702" w:tentative="1">
      <w:start w:val="1"/>
      <w:numFmt w:val="lowerRoman"/>
      <w:lvlText w:val="%6."/>
      <w:lvlJc w:val="right"/>
      <w:pPr>
        <w:ind w:left="4320" w:hanging="180"/>
      </w:pPr>
    </w:lvl>
    <w:lvl w:ilvl="6" w:tplc="69AC71FC" w:tentative="1">
      <w:start w:val="1"/>
      <w:numFmt w:val="decimal"/>
      <w:lvlText w:val="%7."/>
      <w:lvlJc w:val="left"/>
      <w:pPr>
        <w:ind w:left="5040" w:hanging="360"/>
      </w:pPr>
    </w:lvl>
    <w:lvl w:ilvl="7" w:tplc="566CD166" w:tentative="1">
      <w:start w:val="1"/>
      <w:numFmt w:val="lowerLetter"/>
      <w:lvlText w:val="%8."/>
      <w:lvlJc w:val="left"/>
      <w:pPr>
        <w:ind w:left="5760" w:hanging="360"/>
      </w:pPr>
    </w:lvl>
    <w:lvl w:ilvl="8" w:tplc="BDBC5CA8" w:tentative="1">
      <w:start w:val="1"/>
      <w:numFmt w:val="lowerRoman"/>
      <w:lvlText w:val="%9."/>
      <w:lvlJc w:val="right"/>
      <w:pPr>
        <w:ind w:left="6480" w:hanging="180"/>
      </w:pPr>
    </w:lvl>
  </w:abstractNum>
  <w:abstractNum w:abstractNumId="24" w15:restartNumberingAfterBreak="0">
    <w:nsid w:val="769D49B7"/>
    <w:multiLevelType w:val="hybridMultilevel"/>
    <w:tmpl w:val="5B646BA2"/>
    <w:lvl w:ilvl="0" w:tplc="DD5A80D2">
      <w:start w:val="1"/>
      <w:numFmt w:val="decimal"/>
      <w:lvlText w:val="%1."/>
      <w:lvlJc w:val="left"/>
      <w:pPr>
        <w:ind w:left="720" w:hanging="360"/>
      </w:pPr>
      <w:rPr>
        <w:rFonts w:hint="default"/>
      </w:rPr>
    </w:lvl>
    <w:lvl w:ilvl="1" w:tplc="7B32D2B4" w:tentative="1">
      <w:start w:val="1"/>
      <w:numFmt w:val="lowerLetter"/>
      <w:lvlText w:val="%2."/>
      <w:lvlJc w:val="left"/>
      <w:pPr>
        <w:ind w:left="1440" w:hanging="360"/>
      </w:pPr>
    </w:lvl>
    <w:lvl w:ilvl="2" w:tplc="CD92DCCA" w:tentative="1">
      <w:start w:val="1"/>
      <w:numFmt w:val="lowerRoman"/>
      <w:lvlText w:val="%3."/>
      <w:lvlJc w:val="right"/>
      <w:pPr>
        <w:ind w:left="2160" w:hanging="180"/>
      </w:pPr>
    </w:lvl>
    <w:lvl w:ilvl="3" w:tplc="EBF6E6E4" w:tentative="1">
      <w:start w:val="1"/>
      <w:numFmt w:val="decimal"/>
      <w:lvlText w:val="%4."/>
      <w:lvlJc w:val="left"/>
      <w:pPr>
        <w:ind w:left="2880" w:hanging="360"/>
      </w:pPr>
    </w:lvl>
    <w:lvl w:ilvl="4" w:tplc="3ED6E394" w:tentative="1">
      <w:start w:val="1"/>
      <w:numFmt w:val="lowerLetter"/>
      <w:lvlText w:val="%5."/>
      <w:lvlJc w:val="left"/>
      <w:pPr>
        <w:ind w:left="3600" w:hanging="360"/>
      </w:pPr>
    </w:lvl>
    <w:lvl w:ilvl="5" w:tplc="45D0AB48" w:tentative="1">
      <w:start w:val="1"/>
      <w:numFmt w:val="lowerRoman"/>
      <w:lvlText w:val="%6."/>
      <w:lvlJc w:val="right"/>
      <w:pPr>
        <w:ind w:left="4320" w:hanging="180"/>
      </w:pPr>
    </w:lvl>
    <w:lvl w:ilvl="6" w:tplc="70E8CFD2" w:tentative="1">
      <w:start w:val="1"/>
      <w:numFmt w:val="decimal"/>
      <w:lvlText w:val="%7."/>
      <w:lvlJc w:val="left"/>
      <w:pPr>
        <w:ind w:left="5040" w:hanging="360"/>
      </w:pPr>
    </w:lvl>
    <w:lvl w:ilvl="7" w:tplc="2F88DB40" w:tentative="1">
      <w:start w:val="1"/>
      <w:numFmt w:val="lowerLetter"/>
      <w:lvlText w:val="%8."/>
      <w:lvlJc w:val="left"/>
      <w:pPr>
        <w:ind w:left="5760" w:hanging="360"/>
      </w:pPr>
    </w:lvl>
    <w:lvl w:ilvl="8" w:tplc="CE5C271A" w:tentative="1">
      <w:start w:val="1"/>
      <w:numFmt w:val="lowerRoman"/>
      <w:lvlText w:val="%9."/>
      <w:lvlJc w:val="right"/>
      <w:pPr>
        <w:ind w:left="6480" w:hanging="180"/>
      </w:pPr>
    </w:lvl>
  </w:abstractNum>
  <w:abstractNum w:abstractNumId="25" w15:restartNumberingAfterBreak="0">
    <w:nsid w:val="7795742B"/>
    <w:multiLevelType w:val="hybridMultilevel"/>
    <w:tmpl w:val="F8207AF6"/>
    <w:lvl w:ilvl="0" w:tplc="35C09140">
      <w:start w:val="1"/>
      <w:numFmt w:val="bullet"/>
      <w:lvlText w:val=""/>
      <w:lvlJc w:val="left"/>
      <w:pPr>
        <w:ind w:left="1440" w:hanging="360"/>
      </w:pPr>
      <w:rPr>
        <w:rFonts w:ascii="Symbol" w:hAnsi="Symbol" w:hint="default"/>
      </w:rPr>
    </w:lvl>
    <w:lvl w:ilvl="1" w:tplc="CFE2A7F6" w:tentative="1">
      <w:start w:val="1"/>
      <w:numFmt w:val="bullet"/>
      <w:lvlText w:val="o"/>
      <w:lvlJc w:val="left"/>
      <w:pPr>
        <w:ind w:left="2160" w:hanging="360"/>
      </w:pPr>
      <w:rPr>
        <w:rFonts w:ascii="Courier New" w:hAnsi="Courier New" w:cs="Courier New" w:hint="default"/>
      </w:rPr>
    </w:lvl>
    <w:lvl w:ilvl="2" w:tplc="27241734" w:tentative="1">
      <w:start w:val="1"/>
      <w:numFmt w:val="bullet"/>
      <w:lvlText w:val=""/>
      <w:lvlJc w:val="left"/>
      <w:pPr>
        <w:ind w:left="2880" w:hanging="360"/>
      </w:pPr>
      <w:rPr>
        <w:rFonts w:ascii="Wingdings" w:hAnsi="Wingdings" w:hint="default"/>
      </w:rPr>
    </w:lvl>
    <w:lvl w:ilvl="3" w:tplc="97D2D3C4" w:tentative="1">
      <w:start w:val="1"/>
      <w:numFmt w:val="bullet"/>
      <w:lvlText w:val=""/>
      <w:lvlJc w:val="left"/>
      <w:pPr>
        <w:ind w:left="3600" w:hanging="360"/>
      </w:pPr>
      <w:rPr>
        <w:rFonts w:ascii="Symbol" w:hAnsi="Symbol" w:hint="default"/>
      </w:rPr>
    </w:lvl>
    <w:lvl w:ilvl="4" w:tplc="80C6C960" w:tentative="1">
      <w:start w:val="1"/>
      <w:numFmt w:val="bullet"/>
      <w:lvlText w:val="o"/>
      <w:lvlJc w:val="left"/>
      <w:pPr>
        <w:ind w:left="4320" w:hanging="360"/>
      </w:pPr>
      <w:rPr>
        <w:rFonts w:ascii="Courier New" w:hAnsi="Courier New" w:cs="Courier New" w:hint="default"/>
      </w:rPr>
    </w:lvl>
    <w:lvl w:ilvl="5" w:tplc="EDC2EFA6" w:tentative="1">
      <w:start w:val="1"/>
      <w:numFmt w:val="bullet"/>
      <w:lvlText w:val=""/>
      <w:lvlJc w:val="left"/>
      <w:pPr>
        <w:ind w:left="5040" w:hanging="360"/>
      </w:pPr>
      <w:rPr>
        <w:rFonts w:ascii="Wingdings" w:hAnsi="Wingdings" w:hint="default"/>
      </w:rPr>
    </w:lvl>
    <w:lvl w:ilvl="6" w:tplc="6A1C2346" w:tentative="1">
      <w:start w:val="1"/>
      <w:numFmt w:val="bullet"/>
      <w:lvlText w:val=""/>
      <w:lvlJc w:val="left"/>
      <w:pPr>
        <w:ind w:left="5760" w:hanging="360"/>
      </w:pPr>
      <w:rPr>
        <w:rFonts w:ascii="Symbol" w:hAnsi="Symbol" w:hint="default"/>
      </w:rPr>
    </w:lvl>
    <w:lvl w:ilvl="7" w:tplc="B9DA73A0" w:tentative="1">
      <w:start w:val="1"/>
      <w:numFmt w:val="bullet"/>
      <w:lvlText w:val="o"/>
      <w:lvlJc w:val="left"/>
      <w:pPr>
        <w:ind w:left="6480" w:hanging="360"/>
      </w:pPr>
      <w:rPr>
        <w:rFonts w:ascii="Courier New" w:hAnsi="Courier New" w:cs="Courier New" w:hint="default"/>
      </w:rPr>
    </w:lvl>
    <w:lvl w:ilvl="8" w:tplc="5F662AC4"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21"/>
  </w:num>
  <w:num w:numId="4">
    <w:abstractNumId w:val="13"/>
  </w:num>
  <w:num w:numId="5">
    <w:abstractNumId w:val="19"/>
  </w:num>
  <w:num w:numId="6">
    <w:abstractNumId w:val="18"/>
  </w:num>
  <w:num w:numId="7">
    <w:abstractNumId w:val="4"/>
  </w:num>
  <w:num w:numId="8">
    <w:abstractNumId w:val="5"/>
  </w:num>
  <w:num w:numId="9">
    <w:abstractNumId w:val="1"/>
  </w:num>
  <w:num w:numId="10">
    <w:abstractNumId w:val="22"/>
  </w:num>
  <w:num w:numId="11">
    <w:abstractNumId w:val="7"/>
  </w:num>
  <w:num w:numId="12">
    <w:abstractNumId w:val="3"/>
  </w:num>
  <w:num w:numId="13">
    <w:abstractNumId w:val="25"/>
  </w:num>
  <w:num w:numId="14">
    <w:abstractNumId w:val="15"/>
  </w:num>
  <w:num w:numId="15">
    <w:abstractNumId w:val="2"/>
  </w:num>
  <w:num w:numId="16">
    <w:abstractNumId w:val="23"/>
  </w:num>
  <w:num w:numId="17">
    <w:abstractNumId w:val="20"/>
  </w:num>
  <w:num w:numId="18">
    <w:abstractNumId w:val="0"/>
  </w:num>
  <w:num w:numId="19">
    <w:abstractNumId w:val="10"/>
  </w:num>
  <w:num w:numId="20">
    <w:abstractNumId w:val="16"/>
  </w:num>
  <w:num w:numId="21">
    <w:abstractNumId w:val="14"/>
  </w:num>
  <w:num w:numId="22">
    <w:abstractNumId w:val="12"/>
  </w:num>
  <w:num w:numId="23">
    <w:abstractNumId w:val="24"/>
  </w:num>
  <w:num w:numId="24">
    <w:abstractNumId w:val="8"/>
  </w:num>
  <w:num w:numId="25">
    <w:abstractNumId w:val="17"/>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2F"/>
    <w:rsid w:val="000000BA"/>
    <w:rsid w:val="00000728"/>
    <w:rsid w:val="00000741"/>
    <w:rsid w:val="00001120"/>
    <w:rsid w:val="00001A74"/>
    <w:rsid w:val="00001B30"/>
    <w:rsid w:val="000028A7"/>
    <w:rsid w:val="00003D2A"/>
    <w:rsid w:val="000043D6"/>
    <w:rsid w:val="000046DF"/>
    <w:rsid w:val="00004933"/>
    <w:rsid w:val="000056E1"/>
    <w:rsid w:val="00005AD0"/>
    <w:rsid w:val="00005B06"/>
    <w:rsid w:val="00005B0E"/>
    <w:rsid w:val="000060B4"/>
    <w:rsid w:val="000062FE"/>
    <w:rsid w:val="0000655E"/>
    <w:rsid w:val="0000665F"/>
    <w:rsid w:val="000068DA"/>
    <w:rsid w:val="00006B62"/>
    <w:rsid w:val="0000712B"/>
    <w:rsid w:val="0000724C"/>
    <w:rsid w:val="0000744A"/>
    <w:rsid w:val="0001102D"/>
    <w:rsid w:val="00011530"/>
    <w:rsid w:val="00011841"/>
    <w:rsid w:val="00011AB2"/>
    <w:rsid w:val="00011B6F"/>
    <w:rsid w:val="00011D39"/>
    <w:rsid w:val="00012127"/>
    <w:rsid w:val="00012EBC"/>
    <w:rsid w:val="0001353C"/>
    <w:rsid w:val="00013910"/>
    <w:rsid w:val="00014C30"/>
    <w:rsid w:val="0001550E"/>
    <w:rsid w:val="0001562E"/>
    <w:rsid w:val="00015744"/>
    <w:rsid w:val="00015DB1"/>
    <w:rsid w:val="000164AF"/>
    <w:rsid w:val="00016FC2"/>
    <w:rsid w:val="00017121"/>
    <w:rsid w:val="0001722B"/>
    <w:rsid w:val="00017322"/>
    <w:rsid w:val="0001771B"/>
    <w:rsid w:val="00017796"/>
    <w:rsid w:val="00017E4C"/>
    <w:rsid w:val="00020188"/>
    <w:rsid w:val="000203D5"/>
    <w:rsid w:val="00020B96"/>
    <w:rsid w:val="00021B0C"/>
    <w:rsid w:val="000228B6"/>
    <w:rsid w:val="00022BCB"/>
    <w:rsid w:val="00022CA4"/>
    <w:rsid w:val="00022D64"/>
    <w:rsid w:val="00022E9A"/>
    <w:rsid w:val="00023391"/>
    <w:rsid w:val="00023FD4"/>
    <w:rsid w:val="00024AC7"/>
    <w:rsid w:val="00024B1E"/>
    <w:rsid w:val="000250A9"/>
    <w:rsid w:val="0002583C"/>
    <w:rsid w:val="00025984"/>
    <w:rsid w:val="00025D84"/>
    <w:rsid w:val="0002617D"/>
    <w:rsid w:val="00026207"/>
    <w:rsid w:val="00026776"/>
    <w:rsid w:val="00026CE2"/>
    <w:rsid w:val="00027C84"/>
    <w:rsid w:val="00027E25"/>
    <w:rsid w:val="00027F74"/>
    <w:rsid w:val="00030372"/>
    <w:rsid w:val="000309B6"/>
    <w:rsid w:val="00030CD5"/>
    <w:rsid w:val="00031215"/>
    <w:rsid w:val="000313DA"/>
    <w:rsid w:val="00031ED9"/>
    <w:rsid w:val="000321FD"/>
    <w:rsid w:val="00032FC2"/>
    <w:rsid w:val="000332AF"/>
    <w:rsid w:val="0003337C"/>
    <w:rsid w:val="0003360A"/>
    <w:rsid w:val="00033ACC"/>
    <w:rsid w:val="00033AD6"/>
    <w:rsid w:val="00033C61"/>
    <w:rsid w:val="00033D94"/>
    <w:rsid w:val="0003492F"/>
    <w:rsid w:val="0003547C"/>
    <w:rsid w:val="000356F0"/>
    <w:rsid w:val="00035976"/>
    <w:rsid w:val="00035D67"/>
    <w:rsid w:val="0003629A"/>
    <w:rsid w:val="00036B5A"/>
    <w:rsid w:val="00036DCF"/>
    <w:rsid w:val="0003727C"/>
    <w:rsid w:val="00037347"/>
    <w:rsid w:val="0003778F"/>
    <w:rsid w:val="00037AFF"/>
    <w:rsid w:val="0004155E"/>
    <w:rsid w:val="00041DA3"/>
    <w:rsid w:val="0004213C"/>
    <w:rsid w:val="000428CC"/>
    <w:rsid w:val="000429B7"/>
    <w:rsid w:val="0004311B"/>
    <w:rsid w:val="0004317C"/>
    <w:rsid w:val="00043A2F"/>
    <w:rsid w:val="00043B01"/>
    <w:rsid w:val="00044246"/>
    <w:rsid w:val="0004455C"/>
    <w:rsid w:val="00044FD4"/>
    <w:rsid w:val="00045D0D"/>
    <w:rsid w:val="000460B7"/>
    <w:rsid w:val="000462E8"/>
    <w:rsid w:val="00046F3E"/>
    <w:rsid w:val="00047BFD"/>
    <w:rsid w:val="000501FE"/>
    <w:rsid w:val="00050445"/>
    <w:rsid w:val="00050E5A"/>
    <w:rsid w:val="00051427"/>
    <w:rsid w:val="00051603"/>
    <w:rsid w:val="00051B2C"/>
    <w:rsid w:val="000522AB"/>
    <w:rsid w:val="00052AF6"/>
    <w:rsid w:val="000530F1"/>
    <w:rsid w:val="00053660"/>
    <w:rsid w:val="000547BA"/>
    <w:rsid w:val="0005481B"/>
    <w:rsid w:val="00054B14"/>
    <w:rsid w:val="000552BA"/>
    <w:rsid w:val="000558A0"/>
    <w:rsid w:val="00055C1F"/>
    <w:rsid w:val="00055C31"/>
    <w:rsid w:val="00055C56"/>
    <w:rsid w:val="00055DBC"/>
    <w:rsid w:val="00055DEF"/>
    <w:rsid w:val="00056601"/>
    <w:rsid w:val="00056D2B"/>
    <w:rsid w:val="00056F3B"/>
    <w:rsid w:val="0005773B"/>
    <w:rsid w:val="0005776D"/>
    <w:rsid w:val="00057805"/>
    <w:rsid w:val="00057B14"/>
    <w:rsid w:val="0006001B"/>
    <w:rsid w:val="000602CB"/>
    <w:rsid w:val="000605A7"/>
    <w:rsid w:val="00060B90"/>
    <w:rsid w:val="000610EC"/>
    <w:rsid w:val="000614F2"/>
    <w:rsid w:val="00061B77"/>
    <w:rsid w:val="000624C9"/>
    <w:rsid w:val="00062FB1"/>
    <w:rsid w:val="00063054"/>
    <w:rsid w:val="00063507"/>
    <w:rsid w:val="00063AEE"/>
    <w:rsid w:val="00063BA3"/>
    <w:rsid w:val="00063C9E"/>
    <w:rsid w:val="00063F2D"/>
    <w:rsid w:val="00064091"/>
    <w:rsid w:val="0006470A"/>
    <w:rsid w:val="00064FC8"/>
    <w:rsid w:val="00065C15"/>
    <w:rsid w:val="00067064"/>
    <w:rsid w:val="000710D3"/>
    <w:rsid w:val="00071560"/>
    <w:rsid w:val="00071985"/>
    <w:rsid w:val="00071E77"/>
    <w:rsid w:val="000731DE"/>
    <w:rsid w:val="00073C30"/>
    <w:rsid w:val="00073F5F"/>
    <w:rsid w:val="0007405B"/>
    <w:rsid w:val="0007424F"/>
    <w:rsid w:val="000744B4"/>
    <w:rsid w:val="0007482A"/>
    <w:rsid w:val="00074B0A"/>
    <w:rsid w:val="000762F7"/>
    <w:rsid w:val="00076583"/>
    <w:rsid w:val="00076B09"/>
    <w:rsid w:val="00076EC4"/>
    <w:rsid w:val="000773BD"/>
    <w:rsid w:val="00077561"/>
    <w:rsid w:val="00077620"/>
    <w:rsid w:val="00077890"/>
    <w:rsid w:val="00077C76"/>
    <w:rsid w:val="00077FD6"/>
    <w:rsid w:val="000800A9"/>
    <w:rsid w:val="0008087D"/>
    <w:rsid w:val="00080D05"/>
    <w:rsid w:val="000812EE"/>
    <w:rsid w:val="000816C1"/>
    <w:rsid w:val="0008192C"/>
    <w:rsid w:val="000820E1"/>
    <w:rsid w:val="0008249C"/>
    <w:rsid w:val="00082603"/>
    <w:rsid w:val="000827F4"/>
    <w:rsid w:val="0008316D"/>
    <w:rsid w:val="00083B49"/>
    <w:rsid w:val="00083E30"/>
    <w:rsid w:val="00084ADD"/>
    <w:rsid w:val="0008503E"/>
    <w:rsid w:val="000852EF"/>
    <w:rsid w:val="0008587C"/>
    <w:rsid w:val="00085E27"/>
    <w:rsid w:val="000863A2"/>
    <w:rsid w:val="00086634"/>
    <w:rsid w:val="000866A2"/>
    <w:rsid w:val="000867B1"/>
    <w:rsid w:val="00086B3A"/>
    <w:rsid w:val="000904F4"/>
    <w:rsid w:val="00090C44"/>
    <w:rsid w:val="000916FC"/>
    <w:rsid w:val="00091AF6"/>
    <w:rsid w:val="00091D14"/>
    <w:rsid w:val="00092040"/>
    <w:rsid w:val="00092508"/>
    <w:rsid w:val="00092696"/>
    <w:rsid w:val="00092828"/>
    <w:rsid w:val="00092BD0"/>
    <w:rsid w:val="00092DD2"/>
    <w:rsid w:val="00094142"/>
    <w:rsid w:val="00094B54"/>
    <w:rsid w:val="00095E59"/>
    <w:rsid w:val="00095F83"/>
    <w:rsid w:val="000961C8"/>
    <w:rsid w:val="00096A0D"/>
    <w:rsid w:val="00097220"/>
    <w:rsid w:val="00097438"/>
    <w:rsid w:val="000976FE"/>
    <w:rsid w:val="000979BB"/>
    <w:rsid w:val="00097A99"/>
    <w:rsid w:val="00097C11"/>
    <w:rsid w:val="00097F2E"/>
    <w:rsid w:val="000A08D0"/>
    <w:rsid w:val="000A2139"/>
    <w:rsid w:val="000A2810"/>
    <w:rsid w:val="000A2BEF"/>
    <w:rsid w:val="000A2E52"/>
    <w:rsid w:val="000A3086"/>
    <w:rsid w:val="000A360F"/>
    <w:rsid w:val="000A3629"/>
    <w:rsid w:val="000A3889"/>
    <w:rsid w:val="000A3FCC"/>
    <w:rsid w:val="000A4218"/>
    <w:rsid w:val="000A429E"/>
    <w:rsid w:val="000A4B0A"/>
    <w:rsid w:val="000A4B20"/>
    <w:rsid w:val="000A5E27"/>
    <w:rsid w:val="000A628C"/>
    <w:rsid w:val="000A6DD9"/>
    <w:rsid w:val="000A6DDA"/>
    <w:rsid w:val="000A6DF3"/>
    <w:rsid w:val="000A7E55"/>
    <w:rsid w:val="000B028F"/>
    <w:rsid w:val="000B06C2"/>
    <w:rsid w:val="000B0B98"/>
    <w:rsid w:val="000B112B"/>
    <w:rsid w:val="000B14C9"/>
    <w:rsid w:val="000B191F"/>
    <w:rsid w:val="000B1F8A"/>
    <w:rsid w:val="000B2246"/>
    <w:rsid w:val="000B2370"/>
    <w:rsid w:val="000B2DBB"/>
    <w:rsid w:val="000B3235"/>
    <w:rsid w:val="000B423F"/>
    <w:rsid w:val="000B4844"/>
    <w:rsid w:val="000B4847"/>
    <w:rsid w:val="000B4894"/>
    <w:rsid w:val="000B4AAE"/>
    <w:rsid w:val="000B54DB"/>
    <w:rsid w:val="000B553F"/>
    <w:rsid w:val="000B5892"/>
    <w:rsid w:val="000B5CB3"/>
    <w:rsid w:val="000B638B"/>
    <w:rsid w:val="000B74FB"/>
    <w:rsid w:val="000B7A47"/>
    <w:rsid w:val="000B7F0B"/>
    <w:rsid w:val="000C0353"/>
    <w:rsid w:val="000C0407"/>
    <w:rsid w:val="000C0FDE"/>
    <w:rsid w:val="000C1A09"/>
    <w:rsid w:val="000C263E"/>
    <w:rsid w:val="000C2756"/>
    <w:rsid w:val="000C2D09"/>
    <w:rsid w:val="000C3AC1"/>
    <w:rsid w:val="000C3B99"/>
    <w:rsid w:val="000C3C92"/>
    <w:rsid w:val="000C3E4A"/>
    <w:rsid w:val="000C3E8B"/>
    <w:rsid w:val="000C3EF0"/>
    <w:rsid w:val="000C40C6"/>
    <w:rsid w:val="000C4F51"/>
    <w:rsid w:val="000C519B"/>
    <w:rsid w:val="000C639B"/>
    <w:rsid w:val="000C6947"/>
    <w:rsid w:val="000C7DD1"/>
    <w:rsid w:val="000D0D83"/>
    <w:rsid w:val="000D12E4"/>
    <w:rsid w:val="000D14D6"/>
    <w:rsid w:val="000D1610"/>
    <w:rsid w:val="000D164F"/>
    <w:rsid w:val="000D18D2"/>
    <w:rsid w:val="000D2028"/>
    <w:rsid w:val="000D21A2"/>
    <w:rsid w:val="000D2AD1"/>
    <w:rsid w:val="000D3712"/>
    <w:rsid w:val="000D4265"/>
    <w:rsid w:val="000D4416"/>
    <w:rsid w:val="000D475F"/>
    <w:rsid w:val="000D52BB"/>
    <w:rsid w:val="000D59BC"/>
    <w:rsid w:val="000D5CA8"/>
    <w:rsid w:val="000D6030"/>
    <w:rsid w:val="000D654D"/>
    <w:rsid w:val="000D704F"/>
    <w:rsid w:val="000D70F0"/>
    <w:rsid w:val="000D7221"/>
    <w:rsid w:val="000D73BD"/>
    <w:rsid w:val="000D7853"/>
    <w:rsid w:val="000D7A10"/>
    <w:rsid w:val="000D7D3D"/>
    <w:rsid w:val="000D7D57"/>
    <w:rsid w:val="000D7D97"/>
    <w:rsid w:val="000D7E53"/>
    <w:rsid w:val="000D7EEE"/>
    <w:rsid w:val="000E05AF"/>
    <w:rsid w:val="000E0985"/>
    <w:rsid w:val="000E0AA1"/>
    <w:rsid w:val="000E137C"/>
    <w:rsid w:val="000E1393"/>
    <w:rsid w:val="000E13C8"/>
    <w:rsid w:val="000E1429"/>
    <w:rsid w:val="000E1B3B"/>
    <w:rsid w:val="000E3475"/>
    <w:rsid w:val="000E3642"/>
    <w:rsid w:val="000E366F"/>
    <w:rsid w:val="000E3D0B"/>
    <w:rsid w:val="000E47DF"/>
    <w:rsid w:val="000E4F6E"/>
    <w:rsid w:val="000E54AE"/>
    <w:rsid w:val="000E5AFE"/>
    <w:rsid w:val="000E738B"/>
    <w:rsid w:val="000E7AC3"/>
    <w:rsid w:val="000F0507"/>
    <w:rsid w:val="000F06BE"/>
    <w:rsid w:val="000F0848"/>
    <w:rsid w:val="000F1DB4"/>
    <w:rsid w:val="000F2CF9"/>
    <w:rsid w:val="000F2EA2"/>
    <w:rsid w:val="000F3291"/>
    <w:rsid w:val="000F344B"/>
    <w:rsid w:val="000F36CB"/>
    <w:rsid w:val="000F387D"/>
    <w:rsid w:val="000F394C"/>
    <w:rsid w:val="000F3DD1"/>
    <w:rsid w:val="000F3F8D"/>
    <w:rsid w:val="000F42FE"/>
    <w:rsid w:val="000F4684"/>
    <w:rsid w:val="000F4AC4"/>
    <w:rsid w:val="000F4E26"/>
    <w:rsid w:val="000F57A0"/>
    <w:rsid w:val="000F583B"/>
    <w:rsid w:val="000F5EF3"/>
    <w:rsid w:val="000F66A9"/>
    <w:rsid w:val="000F6985"/>
    <w:rsid w:val="000F69CD"/>
    <w:rsid w:val="000F6A15"/>
    <w:rsid w:val="000F77E0"/>
    <w:rsid w:val="000F7A70"/>
    <w:rsid w:val="000F7AD3"/>
    <w:rsid w:val="00102240"/>
    <w:rsid w:val="00102BBF"/>
    <w:rsid w:val="0010386B"/>
    <w:rsid w:val="00103AC5"/>
    <w:rsid w:val="00103FB9"/>
    <w:rsid w:val="0010416F"/>
    <w:rsid w:val="00104217"/>
    <w:rsid w:val="00104397"/>
    <w:rsid w:val="001046D7"/>
    <w:rsid w:val="00104800"/>
    <w:rsid w:val="001049BE"/>
    <w:rsid w:val="00104B20"/>
    <w:rsid w:val="00104D55"/>
    <w:rsid w:val="0010562A"/>
    <w:rsid w:val="00105744"/>
    <w:rsid w:val="00105D87"/>
    <w:rsid w:val="001071C8"/>
    <w:rsid w:val="00107203"/>
    <w:rsid w:val="00107F3F"/>
    <w:rsid w:val="001104C0"/>
    <w:rsid w:val="00110B72"/>
    <w:rsid w:val="00110BC6"/>
    <w:rsid w:val="00110BDC"/>
    <w:rsid w:val="001117D6"/>
    <w:rsid w:val="001124C7"/>
    <w:rsid w:val="00112759"/>
    <w:rsid w:val="00112D13"/>
    <w:rsid w:val="0011312E"/>
    <w:rsid w:val="0011345C"/>
    <w:rsid w:val="0011349D"/>
    <w:rsid w:val="00113AFC"/>
    <w:rsid w:val="0011468C"/>
    <w:rsid w:val="0011587B"/>
    <w:rsid w:val="00115D58"/>
    <w:rsid w:val="001162CD"/>
    <w:rsid w:val="00116A13"/>
    <w:rsid w:val="001173DD"/>
    <w:rsid w:val="00117800"/>
    <w:rsid w:val="0012001B"/>
    <w:rsid w:val="00120416"/>
    <w:rsid w:val="00120A44"/>
    <w:rsid w:val="00120A94"/>
    <w:rsid w:val="00121186"/>
    <w:rsid w:val="001216A2"/>
    <w:rsid w:val="001217CE"/>
    <w:rsid w:val="00121A98"/>
    <w:rsid w:val="0012202E"/>
    <w:rsid w:val="00122684"/>
    <w:rsid w:val="0012269D"/>
    <w:rsid w:val="00123258"/>
    <w:rsid w:val="00123C18"/>
    <w:rsid w:val="00124B87"/>
    <w:rsid w:val="00125105"/>
    <w:rsid w:val="00125E64"/>
    <w:rsid w:val="0012624A"/>
    <w:rsid w:val="001267EA"/>
    <w:rsid w:val="00126C06"/>
    <w:rsid w:val="00126D6D"/>
    <w:rsid w:val="00126EB3"/>
    <w:rsid w:val="00127CB9"/>
    <w:rsid w:val="00127F23"/>
    <w:rsid w:val="0013046C"/>
    <w:rsid w:val="00130A3E"/>
    <w:rsid w:val="00130C1C"/>
    <w:rsid w:val="00132133"/>
    <w:rsid w:val="001323A4"/>
    <w:rsid w:val="0013268C"/>
    <w:rsid w:val="00132E22"/>
    <w:rsid w:val="00132E86"/>
    <w:rsid w:val="00133569"/>
    <w:rsid w:val="001346D5"/>
    <w:rsid w:val="001350B1"/>
    <w:rsid w:val="00135876"/>
    <w:rsid w:val="00135BE8"/>
    <w:rsid w:val="00135F5B"/>
    <w:rsid w:val="0013604F"/>
    <w:rsid w:val="00136C64"/>
    <w:rsid w:val="00136C8A"/>
    <w:rsid w:val="00137642"/>
    <w:rsid w:val="0014042D"/>
    <w:rsid w:val="00140C4A"/>
    <w:rsid w:val="001410D8"/>
    <w:rsid w:val="00141236"/>
    <w:rsid w:val="00141937"/>
    <w:rsid w:val="00141967"/>
    <w:rsid w:val="001420DC"/>
    <w:rsid w:val="001425F8"/>
    <w:rsid w:val="001429E5"/>
    <w:rsid w:val="00142CBC"/>
    <w:rsid w:val="00143388"/>
    <w:rsid w:val="00143957"/>
    <w:rsid w:val="00143B6F"/>
    <w:rsid w:val="00144085"/>
    <w:rsid w:val="00144ADB"/>
    <w:rsid w:val="0014529B"/>
    <w:rsid w:val="00146606"/>
    <w:rsid w:val="001469FD"/>
    <w:rsid w:val="00146BAD"/>
    <w:rsid w:val="001471F4"/>
    <w:rsid w:val="001472D8"/>
    <w:rsid w:val="00147DEA"/>
    <w:rsid w:val="00147EEE"/>
    <w:rsid w:val="00150171"/>
    <w:rsid w:val="00150488"/>
    <w:rsid w:val="001508BA"/>
    <w:rsid w:val="00150DB4"/>
    <w:rsid w:val="00150EB9"/>
    <w:rsid w:val="001515A5"/>
    <w:rsid w:val="0015171B"/>
    <w:rsid w:val="00151C56"/>
    <w:rsid w:val="00151EF6"/>
    <w:rsid w:val="001520C9"/>
    <w:rsid w:val="00152287"/>
    <w:rsid w:val="00152623"/>
    <w:rsid w:val="001527E1"/>
    <w:rsid w:val="001529F1"/>
    <w:rsid w:val="00154084"/>
    <w:rsid w:val="00154502"/>
    <w:rsid w:val="00156129"/>
    <w:rsid w:val="00156838"/>
    <w:rsid w:val="00156C1F"/>
    <w:rsid w:val="00156D1E"/>
    <w:rsid w:val="00156F84"/>
    <w:rsid w:val="00157388"/>
    <w:rsid w:val="00160896"/>
    <w:rsid w:val="00160E63"/>
    <w:rsid w:val="001614E9"/>
    <w:rsid w:val="001615AF"/>
    <w:rsid w:val="00161D05"/>
    <w:rsid w:val="00161E34"/>
    <w:rsid w:val="00161F59"/>
    <w:rsid w:val="00162DD3"/>
    <w:rsid w:val="00163936"/>
    <w:rsid w:val="001641DA"/>
    <w:rsid w:val="00164F1C"/>
    <w:rsid w:val="00164F87"/>
    <w:rsid w:val="0016544D"/>
    <w:rsid w:val="00165522"/>
    <w:rsid w:val="00165822"/>
    <w:rsid w:val="0016607C"/>
    <w:rsid w:val="001660DA"/>
    <w:rsid w:val="00167270"/>
    <w:rsid w:val="001677A3"/>
    <w:rsid w:val="00167B68"/>
    <w:rsid w:val="00170454"/>
    <w:rsid w:val="0017090C"/>
    <w:rsid w:val="00171283"/>
    <w:rsid w:val="001717DA"/>
    <w:rsid w:val="0017199F"/>
    <w:rsid w:val="00172833"/>
    <w:rsid w:val="001728A9"/>
    <w:rsid w:val="00172F29"/>
    <w:rsid w:val="00172FD2"/>
    <w:rsid w:val="001737B0"/>
    <w:rsid w:val="001737C3"/>
    <w:rsid w:val="00173953"/>
    <w:rsid w:val="00173C67"/>
    <w:rsid w:val="001740D2"/>
    <w:rsid w:val="00174B9D"/>
    <w:rsid w:val="00174EED"/>
    <w:rsid w:val="001758C5"/>
    <w:rsid w:val="001759B5"/>
    <w:rsid w:val="00175C7F"/>
    <w:rsid w:val="001761BB"/>
    <w:rsid w:val="00176EFE"/>
    <w:rsid w:val="00177059"/>
    <w:rsid w:val="00177445"/>
    <w:rsid w:val="0017771C"/>
    <w:rsid w:val="001778DD"/>
    <w:rsid w:val="00177A34"/>
    <w:rsid w:val="00177CE0"/>
    <w:rsid w:val="00177E18"/>
    <w:rsid w:val="001810BA"/>
    <w:rsid w:val="0018196A"/>
    <w:rsid w:val="00181EB1"/>
    <w:rsid w:val="0018202D"/>
    <w:rsid w:val="001825F1"/>
    <w:rsid w:val="00182673"/>
    <w:rsid w:val="001832DE"/>
    <w:rsid w:val="00183502"/>
    <w:rsid w:val="00183A1F"/>
    <w:rsid w:val="00183F3F"/>
    <w:rsid w:val="001841BF"/>
    <w:rsid w:val="0018424F"/>
    <w:rsid w:val="00184413"/>
    <w:rsid w:val="001861C2"/>
    <w:rsid w:val="0018643E"/>
    <w:rsid w:val="0018662D"/>
    <w:rsid w:val="00186CEF"/>
    <w:rsid w:val="001871C6"/>
    <w:rsid w:val="00187EC4"/>
    <w:rsid w:val="00187F0D"/>
    <w:rsid w:val="001907B3"/>
    <w:rsid w:val="00190839"/>
    <w:rsid w:val="0019084E"/>
    <w:rsid w:val="00190CEB"/>
    <w:rsid w:val="0019169B"/>
    <w:rsid w:val="001919F8"/>
    <w:rsid w:val="00192467"/>
    <w:rsid w:val="00192ADC"/>
    <w:rsid w:val="00192CF9"/>
    <w:rsid w:val="00193003"/>
    <w:rsid w:val="001931E0"/>
    <w:rsid w:val="00193836"/>
    <w:rsid w:val="00194270"/>
    <w:rsid w:val="001943EF"/>
    <w:rsid w:val="00194EBD"/>
    <w:rsid w:val="0019532F"/>
    <w:rsid w:val="001953BF"/>
    <w:rsid w:val="00195C63"/>
    <w:rsid w:val="001960F9"/>
    <w:rsid w:val="001968D7"/>
    <w:rsid w:val="00196F51"/>
    <w:rsid w:val="001978BA"/>
    <w:rsid w:val="00197E5E"/>
    <w:rsid w:val="001A0091"/>
    <w:rsid w:val="001A0686"/>
    <w:rsid w:val="001A0B55"/>
    <w:rsid w:val="001A0C27"/>
    <w:rsid w:val="001A11A3"/>
    <w:rsid w:val="001A193B"/>
    <w:rsid w:val="001A2846"/>
    <w:rsid w:val="001A29D6"/>
    <w:rsid w:val="001A2B53"/>
    <w:rsid w:val="001A3570"/>
    <w:rsid w:val="001A3CA9"/>
    <w:rsid w:val="001A42F7"/>
    <w:rsid w:val="001A4F81"/>
    <w:rsid w:val="001A51F5"/>
    <w:rsid w:val="001A53F2"/>
    <w:rsid w:val="001A54A9"/>
    <w:rsid w:val="001A61F5"/>
    <w:rsid w:val="001A7EAE"/>
    <w:rsid w:val="001B086D"/>
    <w:rsid w:val="001B0EF2"/>
    <w:rsid w:val="001B1309"/>
    <w:rsid w:val="001B1E78"/>
    <w:rsid w:val="001B2366"/>
    <w:rsid w:val="001B269D"/>
    <w:rsid w:val="001B3BAD"/>
    <w:rsid w:val="001B3D84"/>
    <w:rsid w:val="001B3F22"/>
    <w:rsid w:val="001B46CE"/>
    <w:rsid w:val="001B49D1"/>
    <w:rsid w:val="001B4E4A"/>
    <w:rsid w:val="001B67C7"/>
    <w:rsid w:val="001B6ABF"/>
    <w:rsid w:val="001B6ACD"/>
    <w:rsid w:val="001B7C66"/>
    <w:rsid w:val="001B7EA6"/>
    <w:rsid w:val="001B7F4A"/>
    <w:rsid w:val="001C0F3D"/>
    <w:rsid w:val="001C1112"/>
    <w:rsid w:val="001C1984"/>
    <w:rsid w:val="001C1E3E"/>
    <w:rsid w:val="001C27CF"/>
    <w:rsid w:val="001C28F3"/>
    <w:rsid w:val="001C2B73"/>
    <w:rsid w:val="001C2ECE"/>
    <w:rsid w:val="001C3187"/>
    <w:rsid w:val="001C3A2B"/>
    <w:rsid w:val="001C4632"/>
    <w:rsid w:val="001C4A40"/>
    <w:rsid w:val="001C4D85"/>
    <w:rsid w:val="001C4FA9"/>
    <w:rsid w:val="001C5850"/>
    <w:rsid w:val="001C5FE6"/>
    <w:rsid w:val="001C60CB"/>
    <w:rsid w:val="001C61F1"/>
    <w:rsid w:val="001C645F"/>
    <w:rsid w:val="001C68F4"/>
    <w:rsid w:val="001C6DFD"/>
    <w:rsid w:val="001C7493"/>
    <w:rsid w:val="001D026D"/>
    <w:rsid w:val="001D0785"/>
    <w:rsid w:val="001D0A42"/>
    <w:rsid w:val="001D1140"/>
    <w:rsid w:val="001D12B9"/>
    <w:rsid w:val="001D172A"/>
    <w:rsid w:val="001D1DEB"/>
    <w:rsid w:val="001D21CC"/>
    <w:rsid w:val="001D2275"/>
    <w:rsid w:val="001D28E0"/>
    <w:rsid w:val="001D2C6F"/>
    <w:rsid w:val="001D3122"/>
    <w:rsid w:val="001D3156"/>
    <w:rsid w:val="001D434A"/>
    <w:rsid w:val="001D4FAD"/>
    <w:rsid w:val="001D53B5"/>
    <w:rsid w:val="001D580B"/>
    <w:rsid w:val="001D5A88"/>
    <w:rsid w:val="001D5CA4"/>
    <w:rsid w:val="001D5DD4"/>
    <w:rsid w:val="001D615F"/>
    <w:rsid w:val="001D623B"/>
    <w:rsid w:val="001D6BA7"/>
    <w:rsid w:val="001D6E1D"/>
    <w:rsid w:val="001D6FBF"/>
    <w:rsid w:val="001D7048"/>
    <w:rsid w:val="001D793B"/>
    <w:rsid w:val="001D7ECB"/>
    <w:rsid w:val="001E015D"/>
    <w:rsid w:val="001E0A3E"/>
    <w:rsid w:val="001E1065"/>
    <w:rsid w:val="001E11F3"/>
    <w:rsid w:val="001E1410"/>
    <w:rsid w:val="001E1728"/>
    <w:rsid w:val="001E19CB"/>
    <w:rsid w:val="001E1A17"/>
    <w:rsid w:val="001E21F5"/>
    <w:rsid w:val="001E2499"/>
    <w:rsid w:val="001E337E"/>
    <w:rsid w:val="001E45D4"/>
    <w:rsid w:val="001E500B"/>
    <w:rsid w:val="001E51A0"/>
    <w:rsid w:val="001E5276"/>
    <w:rsid w:val="001E55CC"/>
    <w:rsid w:val="001E59AF"/>
    <w:rsid w:val="001E657B"/>
    <w:rsid w:val="001E657F"/>
    <w:rsid w:val="001E756E"/>
    <w:rsid w:val="001E7B3D"/>
    <w:rsid w:val="001F016A"/>
    <w:rsid w:val="001F0A62"/>
    <w:rsid w:val="001F0B2C"/>
    <w:rsid w:val="001F21D1"/>
    <w:rsid w:val="001F2794"/>
    <w:rsid w:val="001F2B23"/>
    <w:rsid w:val="001F2BF9"/>
    <w:rsid w:val="001F3105"/>
    <w:rsid w:val="001F326C"/>
    <w:rsid w:val="001F35E0"/>
    <w:rsid w:val="001F3867"/>
    <w:rsid w:val="001F3BB2"/>
    <w:rsid w:val="001F3C81"/>
    <w:rsid w:val="001F4B53"/>
    <w:rsid w:val="001F5DD0"/>
    <w:rsid w:val="001F5E7B"/>
    <w:rsid w:val="001F6321"/>
    <w:rsid w:val="001F6633"/>
    <w:rsid w:val="001F6A32"/>
    <w:rsid w:val="001F6D22"/>
    <w:rsid w:val="001F6E77"/>
    <w:rsid w:val="001F7081"/>
    <w:rsid w:val="001F776C"/>
    <w:rsid w:val="002001AF"/>
    <w:rsid w:val="002011FA"/>
    <w:rsid w:val="002015CB"/>
    <w:rsid w:val="00201994"/>
    <w:rsid w:val="00201C79"/>
    <w:rsid w:val="00202701"/>
    <w:rsid w:val="00203ECC"/>
    <w:rsid w:val="00203FE7"/>
    <w:rsid w:val="0020406A"/>
    <w:rsid w:val="0020420E"/>
    <w:rsid w:val="00205390"/>
    <w:rsid w:val="00205729"/>
    <w:rsid w:val="00205819"/>
    <w:rsid w:val="00205EE0"/>
    <w:rsid w:val="002064AB"/>
    <w:rsid w:val="00207539"/>
    <w:rsid w:val="00207928"/>
    <w:rsid w:val="0021036B"/>
    <w:rsid w:val="0021060E"/>
    <w:rsid w:val="00211D82"/>
    <w:rsid w:val="00211FBF"/>
    <w:rsid w:val="002120D8"/>
    <w:rsid w:val="00212113"/>
    <w:rsid w:val="00212335"/>
    <w:rsid w:val="002127D0"/>
    <w:rsid w:val="00212BC1"/>
    <w:rsid w:val="00213508"/>
    <w:rsid w:val="002149C8"/>
    <w:rsid w:val="00214DB3"/>
    <w:rsid w:val="00214F11"/>
    <w:rsid w:val="0021523F"/>
    <w:rsid w:val="002161B1"/>
    <w:rsid w:val="00216477"/>
    <w:rsid w:val="002165F8"/>
    <w:rsid w:val="00216955"/>
    <w:rsid w:val="002179E8"/>
    <w:rsid w:val="00217A95"/>
    <w:rsid w:val="00217BE6"/>
    <w:rsid w:val="00220AA4"/>
    <w:rsid w:val="00220CB0"/>
    <w:rsid w:val="00220D2D"/>
    <w:rsid w:val="00221A24"/>
    <w:rsid w:val="00221C32"/>
    <w:rsid w:val="00221C5E"/>
    <w:rsid w:val="0022201C"/>
    <w:rsid w:val="00222199"/>
    <w:rsid w:val="00222667"/>
    <w:rsid w:val="00222A92"/>
    <w:rsid w:val="00222E80"/>
    <w:rsid w:val="002230AB"/>
    <w:rsid w:val="00223819"/>
    <w:rsid w:val="00224FE8"/>
    <w:rsid w:val="002250BA"/>
    <w:rsid w:val="0022511D"/>
    <w:rsid w:val="0022561F"/>
    <w:rsid w:val="002256E5"/>
    <w:rsid w:val="00225762"/>
    <w:rsid w:val="002264B6"/>
    <w:rsid w:val="00226DAA"/>
    <w:rsid w:val="00227528"/>
    <w:rsid w:val="00227D07"/>
    <w:rsid w:val="00227EA0"/>
    <w:rsid w:val="00230563"/>
    <w:rsid w:val="00230F4D"/>
    <w:rsid w:val="00231917"/>
    <w:rsid w:val="00231C91"/>
    <w:rsid w:val="00231F35"/>
    <w:rsid w:val="002324AA"/>
    <w:rsid w:val="00232735"/>
    <w:rsid w:val="00232EB7"/>
    <w:rsid w:val="002332F5"/>
    <w:rsid w:val="002336DC"/>
    <w:rsid w:val="00233B62"/>
    <w:rsid w:val="00233BD2"/>
    <w:rsid w:val="00233CFB"/>
    <w:rsid w:val="00233FDE"/>
    <w:rsid w:val="00234394"/>
    <w:rsid w:val="002348E1"/>
    <w:rsid w:val="00234ED4"/>
    <w:rsid w:val="00235536"/>
    <w:rsid w:val="0023553E"/>
    <w:rsid w:val="00235B6E"/>
    <w:rsid w:val="00235B87"/>
    <w:rsid w:val="00236117"/>
    <w:rsid w:val="00236305"/>
    <w:rsid w:val="002366EB"/>
    <w:rsid w:val="00237347"/>
    <w:rsid w:val="002375AF"/>
    <w:rsid w:val="00237A67"/>
    <w:rsid w:val="00237FE9"/>
    <w:rsid w:val="00240331"/>
    <w:rsid w:val="002404D9"/>
    <w:rsid w:val="0024063C"/>
    <w:rsid w:val="00240861"/>
    <w:rsid w:val="00241984"/>
    <w:rsid w:val="00241993"/>
    <w:rsid w:val="00241D97"/>
    <w:rsid w:val="0024217D"/>
    <w:rsid w:val="00242488"/>
    <w:rsid w:val="002428E1"/>
    <w:rsid w:val="00242BF7"/>
    <w:rsid w:val="00243083"/>
    <w:rsid w:val="00243477"/>
    <w:rsid w:val="00243B62"/>
    <w:rsid w:val="00243CF1"/>
    <w:rsid w:val="00243D35"/>
    <w:rsid w:val="00243DC4"/>
    <w:rsid w:val="00244706"/>
    <w:rsid w:val="00244ECC"/>
    <w:rsid w:val="00245505"/>
    <w:rsid w:val="0024594F"/>
    <w:rsid w:val="00245AE0"/>
    <w:rsid w:val="00246466"/>
    <w:rsid w:val="00246C73"/>
    <w:rsid w:val="002474EC"/>
    <w:rsid w:val="00247995"/>
    <w:rsid w:val="00247A50"/>
    <w:rsid w:val="00247C8C"/>
    <w:rsid w:val="00247EA1"/>
    <w:rsid w:val="00250BC9"/>
    <w:rsid w:val="00250CE3"/>
    <w:rsid w:val="00250E8F"/>
    <w:rsid w:val="00251792"/>
    <w:rsid w:val="002523C9"/>
    <w:rsid w:val="002524D7"/>
    <w:rsid w:val="002529B6"/>
    <w:rsid w:val="0025482D"/>
    <w:rsid w:val="00254CB7"/>
    <w:rsid w:val="00254DA1"/>
    <w:rsid w:val="00256246"/>
    <w:rsid w:val="00256302"/>
    <w:rsid w:val="002563AB"/>
    <w:rsid w:val="00256FEC"/>
    <w:rsid w:val="002603CD"/>
    <w:rsid w:val="00260B47"/>
    <w:rsid w:val="00260D0B"/>
    <w:rsid w:val="00260D4B"/>
    <w:rsid w:val="00261377"/>
    <w:rsid w:val="00261673"/>
    <w:rsid w:val="002616C0"/>
    <w:rsid w:val="00261858"/>
    <w:rsid w:val="00261D99"/>
    <w:rsid w:val="00261F4E"/>
    <w:rsid w:val="00261FBD"/>
    <w:rsid w:val="00262748"/>
    <w:rsid w:val="00262AE0"/>
    <w:rsid w:val="002631A8"/>
    <w:rsid w:val="002633B5"/>
    <w:rsid w:val="00263705"/>
    <w:rsid w:val="00263901"/>
    <w:rsid w:val="00263E14"/>
    <w:rsid w:val="00263E38"/>
    <w:rsid w:val="00264494"/>
    <w:rsid w:val="00264A0B"/>
    <w:rsid w:val="00264A35"/>
    <w:rsid w:val="00264D70"/>
    <w:rsid w:val="00264EBE"/>
    <w:rsid w:val="00265AB2"/>
    <w:rsid w:val="002666C7"/>
    <w:rsid w:val="00266891"/>
    <w:rsid w:val="00266A33"/>
    <w:rsid w:val="0026743E"/>
    <w:rsid w:val="002676D4"/>
    <w:rsid w:val="00267921"/>
    <w:rsid w:val="00267BAE"/>
    <w:rsid w:val="00267DA5"/>
    <w:rsid w:val="00267F50"/>
    <w:rsid w:val="00270899"/>
    <w:rsid w:val="002709D7"/>
    <w:rsid w:val="00271B62"/>
    <w:rsid w:val="00271E52"/>
    <w:rsid w:val="002728B3"/>
    <w:rsid w:val="0027290E"/>
    <w:rsid w:val="00273102"/>
    <w:rsid w:val="0027378C"/>
    <w:rsid w:val="00273859"/>
    <w:rsid w:val="00274585"/>
    <w:rsid w:val="00274ABE"/>
    <w:rsid w:val="00274AE5"/>
    <w:rsid w:val="00274DF0"/>
    <w:rsid w:val="002752EC"/>
    <w:rsid w:val="002757F4"/>
    <w:rsid w:val="00275868"/>
    <w:rsid w:val="002763C3"/>
    <w:rsid w:val="0027725D"/>
    <w:rsid w:val="00277CE0"/>
    <w:rsid w:val="00280471"/>
    <w:rsid w:val="0028059A"/>
    <w:rsid w:val="0028084F"/>
    <w:rsid w:val="00281755"/>
    <w:rsid w:val="00281A57"/>
    <w:rsid w:val="00281AF5"/>
    <w:rsid w:val="00281C2D"/>
    <w:rsid w:val="00282685"/>
    <w:rsid w:val="002826F9"/>
    <w:rsid w:val="00282E05"/>
    <w:rsid w:val="0028308B"/>
    <w:rsid w:val="002833D7"/>
    <w:rsid w:val="00283924"/>
    <w:rsid w:val="00284276"/>
    <w:rsid w:val="002844ED"/>
    <w:rsid w:val="00285033"/>
    <w:rsid w:val="002852F0"/>
    <w:rsid w:val="00285969"/>
    <w:rsid w:val="00285BF3"/>
    <w:rsid w:val="002863F6"/>
    <w:rsid w:val="00286754"/>
    <w:rsid w:val="00286F14"/>
    <w:rsid w:val="00287954"/>
    <w:rsid w:val="00290220"/>
    <w:rsid w:val="002910DD"/>
    <w:rsid w:val="00291DCC"/>
    <w:rsid w:val="0029266B"/>
    <w:rsid w:val="00292790"/>
    <w:rsid w:val="00292957"/>
    <w:rsid w:val="00292A00"/>
    <w:rsid w:val="002931ED"/>
    <w:rsid w:val="00293C94"/>
    <w:rsid w:val="00293D77"/>
    <w:rsid w:val="00293E0D"/>
    <w:rsid w:val="002946E7"/>
    <w:rsid w:val="00294990"/>
    <w:rsid w:val="00294DB2"/>
    <w:rsid w:val="002950C8"/>
    <w:rsid w:val="002951C2"/>
    <w:rsid w:val="0029527C"/>
    <w:rsid w:val="0029531C"/>
    <w:rsid w:val="002959D6"/>
    <w:rsid w:val="002962DA"/>
    <w:rsid w:val="002963C1"/>
    <w:rsid w:val="00296B2F"/>
    <w:rsid w:val="00296C25"/>
    <w:rsid w:val="002970B3"/>
    <w:rsid w:val="00297C21"/>
    <w:rsid w:val="00297EA0"/>
    <w:rsid w:val="00297ED2"/>
    <w:rsid w:val="002A2CB2"/>
    <w:rsid w:val="002A3F81"/>
    <w:rsid w:val="002A410F"/>
    <w:rsid w:val="002A424A"/>
    <w:rsid w:val="002A442B"/>
    <w:rsid w:val="002A4C8E"/>
    <w:rsid w:val="002A4DBE"/>
    <w:rsid w:val="002A55C3"/>
    <w:rsid w:val="002A5734"/>
    <w:rsid w:val="002A5EA9"/>
    <w:rsid w:val="002A611C"/>
    <w:rsid w:val="002A65AC"/>
    <w:rsid w:val="002A6A2A"/>
    <w:rsid w:val="002A6C37"/>
    <w:rsid w:val="002A7223"/>
    <w:rsid w:val="002A7319"/>
    <w:rsid w:val="002A74C9"/>
    <w:rsid w:val="002A74EC"/>
    <w:rsid w:val="002A774F"/>
    <w:rsid w:val="002A79BE"/>
    <w:rsid w:val="002A7B93"/>
    <w:rsid w:val="002A7D7E"/>
    <w:rsid w:val="002B0D31"/>
    <w:rsid w:val="002B10A3"/>
    <w:rsid w:val="002B18FB"/>
    <w:rsid w:val="002B1917"/>
    <w:rsid w:val="002B214F"/>
    <w:rsid w:val="002B2740"/>
    <w:rsid w:val="002B2DFA"/>
    <w:rsid w:val="002B3373"/>
    <w:rsid w:val="002B3661"/>
    <w:rsid w:val="002B3D7F"/>
    <w:rsid w:val="002B480D"/>
    <w:rsid w:val="002B481B"/>
    <w:rsid w:val="002B5A04"/>
    <w:rsid w:val="002B5F65"/>
    <w:rsid w:val="002B62B5"/>
    <w:rsid w:val="002B78AD"/>
    <w:rsid w:val="002C0469"/>
    <w:rsid w:val="002C0556"/>
    <w:rsid w:val="002C0758"/>
    <w:rsid w:val="002C101C"/>
    <w:rsid w:val="002C11A5"/>
    <w:rsid w:val="002C1445"/>
    <w:rsid w:val="002C150C"/>
    <w:rsid w:val="002C1587"/>
    <w:rsid w:val="002C161C"/>
    <w:rsid w:val="002C1B6A"/>
    <w:rsid w:val="002C270D"/>
    <w:rsid w:val="002C27EE"/>
    <w:rsid w:val="002C2D32"/>
    <w:rsid w:val="002C2EEF"/>
    <w:rsid w:val="002C3C31"/>
    <w:rsid w:val="002C3E08"/>
    <w:rsid w:val="002C3F74"/>
    <w:rsid w:val="002C41DC"/>
    <w:rsid w:val="002C41EF"/>
    <w:rsid w:val="002C58A1"/>
    <w:rsid w:val="002C64C4"/>
    <w:rsid w:val="002C68B1"/>
    <w:rsid w:val="002C6AAC"/>
    <w:rsid w:val="002C6B9C"/>
    <w:rsid w:val="002C6F62"/>
    <w:rsid w:val="002C7699"/>
    <w:rsid w:val="002D0E4D"/>
    <w:rsid w:val="002D11E3"/>
    <w:rsid w:val="002D131F"/>
    <w:rsid w:val="002D18E3"/>
    <w:rsid w:val="002D1D39"/>
    <w:rsid w:val="002D1D96"/>
    <w:rsid w:val="002D1DB5"/>
    <w:rsid w:val="002D1DE3"/>
    <w:rsid w:val="002D1F88"/>
    <w:rsid w:val="002D34C9"/>
    <w:rsid w:val="002D46E6"/>
    <w:rsid w:val="002D4ADF"/>
    <w:rsid w:val="002D4BFF"/>
    <w:rsid w:val="002D4C74"/>
    <w:rsid w:val="002D528B"/>
    <w:rsid w:val="002D528D"/>
    <w:rsid w:val="002D5AC0"/>
    <w:rsid w:val="002D61E6"/>
    <w:rsid w:val="002D69B1"/>
    <w:rsid w:val="002D6D6E"/>
    <w:rsid w:val="002D7192"/>
    <w:rsid w:val="002D7D18"/>
    <w:rsid w:val="002E02EB"/>
    <w:rsid w:val="002E06DF"/>
    <w:rsid w:val="002E0F4D"/>
    <w:rsid w:val="002E17BB"/>
    <w:rsid w:val="002E1A8A"/>
    <w:rsid w:val="002E1C1B"/>
    <w:rsid w:val="002E2CD9"/>
    <w:rsid w:val="002E32D5"/>
    <w:rsid w:val="002E43BD"/>
    <w:rsid w:val="002E4D85"/>
    <w:rsid w:val="002E4DC6"/>
    <w:rsid w:val="002E6231"/>
    <w:rsid w:val="002E6886"/>
    <w:rsid w:val="002E68AB"/>
    <w:rsid w:val="002E7017"/>
    <w:rsid w:val="002F0749"/>
    <w:rsid w:val="002F0C65"/>
    <w:rsid w:val="002F17FF"/>
    <w:rsid w:val="002F1B0B"/>
    <w:rsid w:val="002F1FE0"/>
    <w:rsid w:val="002F2B5F"/>
    <w:rsid w:val="002F30FE"/>
    <w:rsid w:val="002F3FCA"/>
    <w:rsid w:val="002F40DE"/>
    <w:rsid w:val="002F415F"/>
    <w:rsid w:val="002F567A"/>
    <w:rsid w:val="002F593D"/>
    <w:rsid w:val="002F5E7B"/>
    <w:rsid w:val="002F60FB"/>
    <w:rsid w:val="002F61AE"/>
    <w:rsid w:val="002F6C2E"/>
    <w:rsid w:val="002F6C7F"/>
    <w:rsid w:val="002F6F77"/>
    <w:rsid w:val="002F710F"/>
    <w:rsid w:val="002F7243"/>
    <w:rsid w:val="003003FE"/>
    <w:rsid w:val="00300415"/>
    <w:rsid w:val="003006B2"/>
    <w:rsid w:val="003009EF"/>
    <w:rsid w:val="00300CAA"/>
    <w:rsid w:val="00300EA8"/>
    <w:rsid w:val="00301023"/>
    <w:rsid w:val="003026AC"/>
    <w:rsid w:val="00302826"/>
    <w:rsid w:val="00302F7A"/>
    <w:rsid w:val="003041FD"/>
    <w:rsid w:val="00304BCC"/>
    <w:rsid w:val="00304F86"/>
    <w:rsid w:val="00305039"/>
    <w:rsid w:val="0030504B"/>
    <w:rsid w:val="00305699"/>
    <w:rsid w:val="00305742"/>
    <w:rsid w:val="003066A4"/>
    <w:rsid w:val="00306808"/>
    <w:rsid w:val="00306DD0"/>
    <w:rsid w:val="0030744C"/>
    <w:rsid w:val="00307756"/>
    <w:rsid w:val="00307DA0"/>
    <w:rsid w:val="00307F79"/>
    <w:rsid w:val="003107E1"/>
    <w:rsid w:val="00310DD7"/>
    <w:rsid w:val="00310DF4"/>
    <w:rsid w:val="003114CF"/>
    <w:rsid w:val="00311553"/>
    <w:rsid w:val="0031179A"/>
    <w:rsid w:val="003118F9"/>
    <w:rsid w:val="00311D5B"/>
    <w:rsid w:val="003122E3"/>
    <w:rsid w:val="00312974"/>
    <w:rsid w:val="00313B39"/>
    <w:rsid w:val="00313ED6"/>
    <w:rsid w:val="003143C1"/>
    <w:rsid w:val="00314846"/>
    <w:rsid w:val="00315428"/>
    <w:rsid w:val="00315879"/>
    <w:rsid w:val="003158A9"/>
    <w:rsid w:val="00315AC9"/>
    <w:rsid w:val="00315D55"/>
    <w:rsid w:val="003165DA"/>
    <w:rsid w:val="00316C94"/>
    <w:rsid w:val="00316CFE"/>
    <w:rsid w:val="00316DF0"/>
    <w:rsid w:val="003177D1"/>
    <w:rsid w:val="003209F1"/>
    <w:rsid w:val="00320C67"/>
    <w:rsid w:val="00320CD7"/>
    <w:rsid w:val="003219B2"/>
    <w:rsid w:val="00321DEA"/>
    <w:rsid w:val="00321FB5"/>
    <w:rsid w:val="00322752"/>
    <w:rsid w:val="00323BBD"/>
    <w:rsid w:val="00323CA8"/>
    <w:rsid w:val="00324553"/>
    <w:rsid w:val="003247D2"/>
    <w:rsid w:val="00324977"/>
    <w:rsid w:val="00324B76"/>
    <w:rsid w:val="003254F8"/>
    <w:rsid w:val="003256BD"/>
    <w:rsid w:val="003258CF"/>
    <w:rsid w:val="00325D6B"/>
    <w:rsid w:val="003260E5"/>
    <w:rsid w:val="0032615D"/>
    <w:rsid w:val="00326CBC"/>
    <w:rsid w:val="00326E4E"/>
    <w:rsid w:val="0032773A"/>
    <w:rsid w:val="003279C1"/>
    <w:rsid w:val="00330340"/>
    <w:rsid w:val="00330359"/>
    <w:rsid w:val="003304E9"/>
    <w:rsid w:val="003309AE"/>
    <w:rsid w:val="003312CE"/>
    <w:rsid w:val="003312FD"/>
    <w:rsid w:val="003328C6"/>
    <w:rsid w:val="00332A96"/>
    <w:rsid w:val="00332C99"/>
    <w:rsid w:val="003332D4"/>
    <w:rsid w:val="003333D3"/>
    <w:rsid w:val="0033362D"/>
    <w:rsid w:val="00334292"/>
    <w:rsid w:val="003342C3"/>
    <w:rsid w:val="00334B1B"/>
    <w:rsid w:val="00334F58"/>
    <w:rsid w:val="0033511D"/>
    <w:rsid w:val="00335757"/>
    <w:rsid w:val="00335A32"/>
    <w:rsid w:val="00335DE5"/>
    <w:rsid w:val="00335F78"/>
    <w:rsid w:val="003361A5"/>
    <w:rsid w:val="00337347"/>
    <w:rsid w:val="00337B02"/>
    <w:rsid w:val="00337D88"/>
    <w:rsid w:val="00340CCD"/>
    <w:rsid w:val="00340F6F"/>
    <w:rsid w:val="00341087"/>
    <w:rsid w:val="00341333"/>
    <w:rsid w:val="003419BB"/>
    <w:rsid w:val="00341D81"/>
    <w:rsid w:val="00342359"/>
    <w:rsid w:val="00342684"/>
    <w:rsid w:val="003426F9"/>
    <w:rsid w:val="00342878"/>
    <w:rsid w:val="00342A64"/>
    <w:rsid w:val="00342B25"/>
    <w:rsid w:val="003431DC"/>
    <w:rsid w:val="00343308"/>
    <w:rsid w:val="00343749"/>
    <w:rsid w:val="0034425A"/>
    <w:rsid w:val="00344FDE"/>
    <w:rsid w:val="00345482"/>
    <w:rsid w:val="00345783"/>
    <w:rsid w:val="00345FEC"/>
    <w:rsid w:val="003460AD"/>
    <w:rsid w:val="0034616E"/>
    <w:rsid w:val="00347904"/>
    <w:rsid w:val="00347A1E"/>
    <w:rsid w:val="00347BCA"/>
    <w:rsid w:val="003502A7"/>
    <w:rsid w:val="00350328"/>
    <w:rsid w:val="00350C02"/>
    <w:rsid w:val="00350F9B"/>
    <w:rsid w:val="0035100E"/>
    <w:rsid w:val="00351069"/>
    <w:rsid w:val="00351435"/>
    <w:rsid w:val="00351C5B"/>
    <w:rsid w:val="0035274D"/>
    <w:rsid w:val="00352A3C"/>
    <w:rsid w:val="00353348"/>
    <w:rsid w:val="003539A2"/>
    <w:rsid w:val="00353C94"/>
    <w:rsid w:val="003541EE"/>
    <w:rsid w:val="0035443B"/>
    <w:rsid w:val="0035476F"/>
    <w:rsid w:val="003553BD"/>
    <w:rsid w:val="00355AE9"/>
    <w:rsid w:val="00356333"/>
    <w:rsid w:val="003564B4"/>
    <w:rsid w:val="00356578"/>
    <w:rsid w:val="00356E07"/>
    <w:rsid w:val="00357037"/>
    <w:rsid w:val="003573E1"/>
    <w:rsid w:val="00357595"/>
    <w:rsid w:val="00357C61"/>
    <w:rsid w:val="00360DC5"/>
    <w:rsid w:val="00361301"/>
    <w:rsid w:val="0036137E"/>
    <w:rsid w:val="0036178E"/>
    <w:rsid w:val="00361B7A"/>
    <w:rsid w:val="0036206D"/>
    <w:rsid w:val="00362CA9"/>
    <w:rsid w:val="0036334B"/>
    <w:rsid w:val="00363B45"/>
    <w:rsid w:val="00363F0A"/>
    <w:rsid w:val="00363FEF"/>
    <w:rsid w:val="00364282"/>
    <w:rsid w:val="0036458A"/>
    <w:rsid w:val="00364870"/>
    <w:rsid w:val="00364DCE"/>
    <w:rsid w:val="00364E88"/>
    <w:rsid w:val="0036553E"/>
    <w:rsid w:val="003658EE"/>
    <w:rsid w:val="00365E7E"/>
    <w:rsid w:val="0036765A"/>
    <w:rsid w:val="00367E20"/>
    <w:rsid w:val="00367E48"/>
    <w:rsid w:val="0037053E"/>
    <w:rsid w:val="0037076A"/>
    <w:rsid w:val="00370CAE"/>
    <w:rsid w:val="00371178"/>
    <w:rsid w:val="003711EC"/>
    <w:rsid w:val="0037124B"/>
    <w:rsid w:val="0037152B"/>
    <w:rsid w:val="0037166F"/>
    <w:rsid w:val="00371716"/>
    <w:rsid w:val="00371AD6"/>
    <w:rsid w:val="00372611"/>
    <w:rsid w:val="0037293B"/>
    <w:rsid w:val="00372E60"/>
    <w:rsid w:val="00372FC2"/>
    <w:rsid w:val="00373806"/>
    <w:rsid w:val="00373FF0"/>
    <w:rsid w:val="0037478B"/>
    <w:rsid w:val="00374EC7"/>
    <w:rsid w:val="00374FA2"/>
    <w:rsid w:val="00375091"/>
    <w:rsid w:val="00375917"/>
    <w:rsid w:val="00375F54"/>
    <w:rsid w:val="00376126"/>
    <w:rsid w:val="0037613D"/>
    <w:rsid w:val="00376ECF"/>
    <w:rsid w:val="00377058"/>
    <w:rsid w:val="00377ADD"/>
    <w:rsid w:val="0038056C"/>
    <w:rsid w:val="003806A1"/>
    <w:rsid w:val="00380A67"/>
    <w:rsid w:val="00380BE5"/>
    <w:rsid w:val="00380CAB"/>
    <w:rsid w:val="00381A6B"/>
    <w:rsid w:val="00381BD2"/>
    <w:rsid w:val="00381C0B"/>
    <w:rsid w:val="00381CD8"/>
    <w:rsid w:val="00381EFD"/>
    <w:rsid w:val="0038211D"/>
    <w:rsid w:val="0038212E"/>
    <w:rsid w:val="00382618"/>
    <w:rsid w:val="00382682"/>
    <w:rsid w:val="003826C7"/>
    <w:rsid w:val="003835DE"/>
    <w:rsid w:val="00383EE4"/>
    <w:rsid w:val="00384755"/>
    <w:rsid w:val="00384B57"/>
    <w:rsid w:val="0038542A"/>
    <w:rsid w:val="0038542F"/>
    <w:rsid w:val="00385898"/>
    <w:rsid w:val="00385D98"/>
    <w:rsid w:val="00386123"/>
    <w:rsid w:val="00386B53"/>
    <w:rsid w:val="00386E7B"/>
    <w:rsid w:val="00387665"/>
    <w:rsid w:val="00387A3E"/>
    <w:rsid w:val="00387B59"/>
    <w:rsid w:val="00387F29"/>
    <w:rsid w:val="00387FB6"/>
    <w:rsid w:val="00390328"/>
    <w:rsid w:val="00390A71"/>
    <w:rsid w:val="003913C5"/>
    <w:rsid w:val="003916FA"/>
    <w:rsid w:val="00391D0C"/>
    <w:rsid w:val="00392821"/>
    <w:rsid w:val="00392B4B"/>
    <w:rsid w:val="00392FF8"/>
    <w:rsid w:val="00393891"/>
    <w:rsid w:val="00393FEF"/>
    <w:rsid w:val="003940FD"/>
    <w:rsid w:val="00394DBC"/>
    <w:rsid w:val="00394DDC"/>
    <w:rsid w:val="00395A8F"/>
    <w:rsid w:val="00396135"/>
    <w:rsid w:val="003965B0"/>
    <w:rsid w:val="00396D8E"/>
    <w:rsid w:val="00397524"/>
    <w:rsid w:val="00397FC5"/>
    <w:rsid w:val="003A09E5"/>
    <w:rsid w:val="003A0FD8"/>
    <w:rsid w:val="003A1349"/>
    <w:rsid w:val="003A1BCF"/>
    <w:rsid w:val="003A21CF"/>
    <w:rsid w:val="003A2255"/>
    <w:rsid w:val="003A23D5"/>
    <w:rsid w:val="003A2809"/>
    <w:rsid w:val="003A288E"/>
    <w:rsid w:val="003A2EE7"/>
    <w:rsid w:val="003A3BF4"/>
    <w:rsid w:val="003A3E1E"/>
    <w:rsid w:val="003A3E8E"/>
    <w:rsid w:val="003A4F11"/>
    <w:rsid w:val="003A4F63"/>
    <w:rsid w:val="003A5398"/>
    <w:rsid w:val="003A544A"/>
    <w:rsid w:val="003A54E4"/>
    <w:rsid w:val="003A55DA"/>
    <w:rsid w:val="003A55DB"/>
    <w:rsid w:val="003A59F4"/>
    <w:rsid w:val="003A62F0"/>
    <w:rsid w:val="003A662C"/>
    <w:rsid w:val="003A6CE2"/>
    <w:rsid w:val="003A6E5D"/>
    <w:rsid w:val="003A7441"/>
    <w:rsid w:val="003A7926"/>
    <w:rsid w:val="003A795B"/>
    <w:rsid w:val="003A7B4D"/>
    <w:rsid w:val="003B0019"/>
    <w:rsid w:val="003B0925"/>
    <w:rsid w:val="003B154C"/>
    <w:rsid w:val="003B1BC3"/>
    <w:rsid w:val="003B1ECD"/>
    <w:rsid w:val="003B25C2"/>
    <w:rsid w:val="003B2A9C"/>
    <w:rsid w:val="003B2B4E"/>
    <w:rsid w:val="003B31B9"/>
    <w:rsid w:val="003B3708"/>
    <w:rsid w:val="003B38A8"/>
    <w:rsid w:val="003B3DDA"/>
    <w:rsid w:val="003B3F03"/>
    <w:rsid w:val="003B454A"/>
    <w:rsid w:val="003B4A3E"/>
    <w:rsid w:val="003B5219"/>
    <w:rsid w:val="003B544A"/>
    <w:rsid w:val="003B5868"/>
    <w:rsid w:val="003B5A0D"/>
    <w:rsid w:val="003B6172"/>
    <w:rsid w:val="003B620A"/>
    <w:rsid w:val="003B677B"/>
    <w:rsid w:val="003B6B57"/>
    <w:rsid w:val="003B708B"/>
    <w:rsid w:val="003B7CBA"/>
    <w:rsid w:val="003B7DA7"/>
    <w:rsid w:val="003B7DC6"/>
    <w:rsid w:val="003C0434"/>
    <w:rsid w:val="003C098F"/>
    <w:rsid w:val="003C0B8A"/>
    <w:rsid w:val="003C0F08"/>
    <w:rsid w:val="003C2849"/>
    <w:rsid w:val="003C2EB0"/>
    <w:rsid w:val="003C36F2"/>
    <w:rsid w:val="003C3BCA"/>
    <w:rsid w:val="003C3E44"/>
    <w:rsid w:val="003C3E5C"/>
    <w:rsid w:val="003C3E88"/>
    <w:rsid w:val="003C49F3"/>
    <w:rsid w:val="003C4DD3"/>
    <w:rsid w:val="003C4E2E"/>
    <w:rsid w:val="003C5A1C"/>
    <w:rsid w:val="003C5CC7"/>
    <w:rsid w:val="003C6188"/>
    <w:rsid w:val="003C61C3"/>
    <w:rsid w:val="003C61F8"/>
    <w:rsid w:val="003C68A3"/>
    <w:rsid w:val="003C6BC0"/>
    <w:rsid w:val="003C6E3A"/>
    <w:rsid w:val="003C7073"/>
    <w:rsid w:val="003C7247"/>
    <w:rsid w:val="003C734D"/>
    <w:rsid w:val="003D04DF"/>
    <w:rsid w:val="003D08BF"/>
    <w:rsid w:val="003D099F"/>
    <w:rsid w:val="003D153C"/>
    <w:rsid w:val="003D182B"/>
    <w:rsid w:val="003D18CA"/>
    <w:rsid w:val="003D2730"/>
    <w:rsid w:val="003D285F"/>
    <w:rsid w:val="003D4957"/>
    <w:rsid w:val="003D49E5"/>
    <w:rsid w:val="003D4D26"/>
    <w:rsid w:val="003D5FB1"/>
    <w:rsid w:val="003D64F1"/>
    <w:rsid w:val="003D6D11"/>
    <w:rsid w:val="003D7502"/>
    <w:rsid w:val="003D7731"/>
    <w:rsid w:val="003E03DB"/>
    <w:rsid w:val="003E0B65"/>
    <w:rsid w:val="003E0DE7"/>
    <w:rsid w:val="003E155B"/>
    <w:rsid w:val="003E16D5"/>
    <w:rsid w:val="003E1CCB"/>
    <w:rsid w:val="003E1D2C"/>
    <w:rsid w:val="003E26E2"/>
    <w:rsid w:val="003E296D"/>
    <w:rsid w:val="003E3A9A"/>
    <w:rsid w:val="003E4055"/>
    <w:rsid w:val="003E438E"/>
    <w:rsid w:val="003E4526"/>
    <w:rsid w:val="003E52C8"/>
    <w:rsid w:val="003E6845"/>
    <w:rsid w:val="003E6C53"/>
    <w:rsid w:val="003E6E74"/>
    <w:rsid w:val="003E6F2D"/>
    <w:rsid w:val="003E7095"/>
    <w:rsid w:val="003E739B"/>
    <w:rsid w:val="003E7434"/>
    <w:rsid w:val="003E74C1"/>
    <w:rsid w:val="003E795E"/>
    <w:rsid w:val="003F002B"/>
    <w:rsid w:val="003F0114"/>
    <w:rsid w:val="003F055C"/>
    <w:rsid w:val="003F06AB"/>
    <w:rsid w:val="003F0A9B"/>
    <w:rsid w:val="003F1B10"/>
    <w:rsid w:val="003F1DC4"/>
    <w:rsid w:val="003F1E97"/>
    <w:rsid w:val="003F26E0"/>
    <w:rsid w:val="003F2750"/>
    <w:rsid w:val="003F606E"/>
    <w:rsid w:val="003F6B4D"/>
    <w:rsid w:val="003F6CF5"/>
    <w:rsid w:val="003F71C0"/>
    <w:rsid w:val="003F79E6"/>
    <w:rsid w:val="003F7A3E"/>
    <w:rsid w:val="003F7C64"/>
    <w:rsid w:val="003F7C89"/>
    <w:rsid w:val="00400309"/>
    <w:rsid w:val="00400675"/>
    <w:rsid w:val="004007C6"/>
    <w:rsid w:val="004008BB"/>
    <w:rsid w:val="00400AEC"/>
    <w:rsid w:val="00400CD3"/>
    <w:rsid w:val="00401071"/>
    <w:rsid w:val="00401893"/>
    <w:rsid w:val="00401D11"/>
    <w:rsid w:val="00401E0B"/>
    <w:rsid w:val="00402074"/>
    <w:rsid w:val="00402A02"/>
    <w:rsid w:val="004030D4"/>
    <w:rsid w:val="004034C4"/>
    <w:rsid w:val="004034DA"/>
    <w:rsid w:val="004036EC"/>
    <w:rsid w:val="004052E2"/>
    <w:rsid w:val="004053FF"/>
    <w:rsid w:val="004057A9"/>
    <w:rsid w:val="004057F7"/>
    <w:rsid w:val="00405F0F"/>
    <w:rsid w:val="00406658"/>
    <w:rsid w:val="00407B56"/>
    <w:rsid w:val="0041070F"/>
    <w:rsid w:val="00410C3E"/>
    <w:rsid w:val="00411D3A"/>
    <w:rsid w:val="00412021"/>
    <w:rsid w:val="00412277"/>
    <w:rsid w:val="00412C77"/>
    <w:rsid w:val="004133F0"/>
    <w:rsid w:val="0041356B"/>
    <w:rsid w:val="00413887"/>
    <w:rsid w:val="00413997"/>
    <w:rsid w:val="00413A78"/>
    <w:rsid w:val="00413D8B"/>
    <w:rsid w:val="00413DAF"/>
    <w:rsid w:val="00414639"/>
    <w:rsid w:val="00414685"/>
    <w:rsid w:val="00414927"/>
    <w:rsid w:val="00414C5D"/>
    <w:rsid w:val="00414D46"/>
    <w:rsid w:val="0041549F"/>
    <w:rsid w:val="00415AF7"/>
    <w:rsid w:val="00415D64"/>
    <w:rsid w:val="00415EEF"/>
    <w:rsid w:val="00416801"/>
    <w:rsid w:val="00416864"/>
    <w:rsid w:val="0041690F"/>
    <w:rsid w:val="004169AE"/>
    <w:rsid w:val="0041751A"/>
    <w:rsid w:val="00420B0D"/>
    <w:rsid w:val="00420DA3"/>
    <w:rsid w:val="00420DDD"/>
    <w:rsid w:val="00421791"/>
    <w:rsid w:val="004221BB"/>
    <w:rsid w:val="00422B2A"/>
    <w:rsid w:val="00422F18"/>
    <w:rsid w:val="004236FA"/>
    <w:rsid w:val="00423842"/>
    <w:rsid w:val="00423B61"/>
    <w:rsid w:val="00424902"/>
    <w:rsid w:val="00424D39"/>
    <w:rsid w:val="0042526A"/>
    <w:rsid w:val="00425A9F"/>
    <w:rsid w:val="00425D7B"/>
    <w:rsid w:val="00426460"/>
    <w:rsid w:val="004266B6"/>
    <w:rsid w:val="00426B9B"/>
    <w:rsid w:val="00426D3A"/>
    <w:rsid w:val="004278EF"/>
    <w:rsid w:val="00427CB3"/>
    <w:rsid w:val="0043191A"/>
    <w:rsid w:val="00433482"/>
    <w:rsid w:val="00434A71"/>
    <w:rsid w:val="00434CF4"/>
    <w:rsid w:val="00434D1D"/>
    <w:rsid w:val="00434DF9"/>
    <w:rsid w:val="00434E24"/>
    <w:rsid w:val="00435771"/>
    <w:rsid w:val="00435B07"/>
    <w:rsid w:val="00435CFA"/>
    <w:rsid w:val="00435D2D"/>
    <w:rsid w:val="00437743"/>
    <w:rsid w:val="004378E2"/>
    <w:rsid w:val="0044069C"/>
    <w:rsid w:val="00440AE6"/>
    <w:rsid w:val="00441584"/>
    <w:rsid w:val="004424F6"/>
    <w:rsid w:val="00442C0F"/>
    <w:rsid w:val="0044302C"/>
    <w:rsid w:val="004431C3"/>
    <w:rsid w:val="00443894"/>
    <w:rsid w:val="0044394A"/>
    <w:rsid w:val="00443B7E"/>
    <w:rsid w:val="00443EBF"/>
    <w:rsid w:val="004443C0"/>
    <w:rsid w:val="00444786"/>
    <w:rsid w:val="00445495"/>
    <w:rsid w:val="004457D2"/>
    <w:rsid w:val="004458A9"/>
    <w:rsid w:val="00445912"/>
    <w:rsid w:val="00445A24"/>
    <w:rsid w:val="004477BD"/>
    <w:rsid w:val="00447C43"/>
    <w:rsid w:val="00450268"/>
    <w:rsid w:val="0045037F"/>
    <w:rsid w:val="0045046D"/>
    <w:rsid w:val="00450E1E"/>
    <w:rsid w:val="00450EC2"/>
    <w:rsid w:val="00451B60"/>
    <w:rsid w:val="0045241C"/>
    <w:rsid w:val="00452CB6"/>
    <w:rsid w:val="00452F84"/>
    <w:rsid w:val="00453250"/>
    <w:rsid w:val="00453D24"/>
    <w:rsid w:val="00453E78"/>
    <w:rsid w:val="0045469E"/>
    <w:rsid w:val="0045494B"/>
    <w:rsid w:val="0045538E"/>
    <w:rsid w:val="004553C8"/>
    <w:rsid w:val="00455495"/>
    <w:rsid w:val="004555C5"/>
    <w:rsid w:val="0045598F"/>
    <w:rsid w:val="00455DE5"/>
    <w:rsid w:val="0045610B"/>
    <w:rsid w:val="00456521"/>
    <w:rsid w:val="00456A66"/>
    <w:rsid w:val="00457CA5"/>
    <w:rsid w:val="004603B6"/>
    <w:rsid w:val="004609BE"/>
    <w:rsid w:val="00460B2A"/>
    <w:rsid w:val="00460F00"/>
    <w:rsid w:val="00461558"/>
    <w:rsid w:val="004616F5"/>
    <w:rsid w:val="00462119"/>
    <w:rsid w:val="004623D6"/>
    <w:rsid w:val="00462679"/>
    <w:rsid w:val="00462A63"/>
    <w:rsid w:val="00462B07"/>
    <w:rsid w:val="00463412"/>
    <w:rsid w:val="004641E1"/>
    <w:rsid w:val="004645BA"/>
    <w:rsid w:val="00464602"/>
    <w:rsid w:val="00464619"/>
    <w:rsid w:val="00464DDC"/>
    <w:rsid w:val="00465412"/>
    <w:rsid w:val="00465418"/>
    <w:rsid w:val="00465720"/>
    <w:rsid w:val="00466205"/>
    <w:rsid w:val="00466534"/>
    <w:rsid w:val="00467A33"/>
    <w:rsid w:val="00470EBC"/>
    <w:rsid w:val="00471114"/>
    <w:rsid w:val="00471A0E"/>
    <w:rsid w:val="004730A1"/>
    <w:rsid w:val="004736D6"/>
    <w:rsid w:val="004740E3"/>
    <w:rsid w:val="00474903"/>
    <w:rsid w:val="00474DD7"/>
    <w:rsid w:val="00474EFE"/>
    <w:rsid w:val="004750A4"/>
    <w:rsid w:val="00475592"/>
    <w:rsid w:val="004755B9"/>
    <w:rsid w:val="0047615B"/>
    <w:rsid w:val="004761E3"/>
    <w:rsid w:val="0047642C"/>
    <w:rsid w:val="004767E4"/>
    <w:rsid w:val="004779EF"/>
    <w:rsid w:val="00480405"/>
    <w:rsid w:val="00480806"/>
    <w:rsid w:val="00481431"/>
    <w:rsid w:val="00482193"/>
    <w:rsid w:val="00482532"/>
    <w:rsid w:val="00482FEE"/>
    <w:rsid w:val="00483699"/>
    <w:rsid w:val="00483A4E"/>
    <w:rsid w:val="00483AA7"/>
    <w:rsid w:val="0048401E"/>
    <w:rsid w:val="004847A4"/>
    <w:rsid w:val="00484D0E"/>
    <w:rsid w:val="00484E7F"/>
    <w:rsid w:val="00485260"/>
    <w:rsid w:val="00485797"/>
    <w:rsid w:val="00485F74"/>
    <w:rsid w:val="00486072"/>
    <w:rsid w:val="00486FFD"/>
    <w:rsid w:val="004872D9"/>
    <w:rsid w:val="00487316"/>
    <w:rsid w:val="00487B86"/>
    <w:rsid w:val="00487D2D"/>
    <w:rsid w:val="00487D9F"/>
    <w:rsid w:val="0049003B"/>
    <w:rsid w:val="00490CAD"/>
    <w:rsid w:val="00490FC0"/>
    <w:rsid w:val="00491054"/>
    <w:rsid w:val="004914CA"/>
    <w:rsid w:val="00491C57"/>
    <w:rsid w:val="004920BA"/>
    <w:rsid w:val="00492167"/>
    <w:rsid w:val="00492857"/>
    <w:rsid w:val="00493A7E"/>
    <w:rsid w:val="00493AB2"/>
    <w:rsid w:val="00494E08"/>
    <w:rsid w:val="00495E33"/>
    <w:rsid w:val="00495E3F"/>
    <w:rsid w:val="0049643C"/>
    <w:rsid w:val="00496E17"/>
    <w:rsid w:val="004976CF"/>
    <w:rsid w:val="00497BB0"/>
    <w:rsid w:val="00497E32"/>
    <w:rsid w:val="004A01AB"/>
    <w:rsid w:val="004A0257"/>
    <w:rsid w:val="004A0C4D"/>
    <w:rsid w:val="004A1A06"/>
    <w:rsid w:val="004A1A74"/>
    <w:rsid w:val="004A214A"/>
    <w:rsid w:val="004A246D"/>
    <w:rsid w:val="004A2A6D"/>
    <w:rsid w:val="004A2C83"/>
    <w:rsid w:val="004A42DA"/>
    <w:rsid w:val="004A45BC"/>
    <w:rsid w:val="004A4EFB"/>
    <w:rsid w:val="004A5171"/>
    <w:rsid w:val="004A5521"/>
    <w:rsid w:val="004A56AE"/>
    <w:rsid w:val="004A5E35"/>
    <w:rsid w:val="004A5FD8"/>
    <w:rsid w:val="004A64B7"/>
    <w:rsid w:val="004A6B6A"/>
    <w:rsid w:val="004A6E68"/>
    <w:rsid w:val="004A6F04"/>
    <w:rsid w:val="004A77AE"/>
    <w:rsid w:val="004A785C"/>
    <w:rsid w:val="004A7EA1"/>
    <w:rsid w:val="004B0E83"/>
    <w:rsid w:val="004B1731"/>
    <w:rsid w:val="004B180D"/>
    <w:rsid w:val="004B1A30"/>
    <w:rsid w:val="004B25CE"/>
    <w:rsid w:val="004B26C6"/>
    <w:rsid w:val="004B282D"/>
    <w:rsid w:val="004B2968"/>
    <w:rsid w:val="004B2A13"/>
    <w:rsid w:val="004B2CB1"/>
    <w:rsid w:val="004B35E1"/>
    <w:rsid w:val="004B4257"/>
    <w:rsid w:val="004B4D61"/>
    <w:rsid w:val="004B4EA2"/>
    <w:rsid w:val="004B537D"/>
    <w:rsid w:val="004B58FA"/>
    <w:rsid w:val="004B625D"/>
    <w:rsid w:val="004B63C1"/>
    <w:rsid w:val="004B63DB"/>
    <w:rsid w:val="004B6578"/>
    <w:rsid w:val="004B66D7"/>
    <w:rsid w:val="004B6A3E"/>
    <w:rsid w:val="004B6B93"/>
    <w:rsid w:val="004B6D8B"/>
    <w:rsid w:val="004B7875"/>
    <w:rsid w:val="004B7906"/>
    <w:rsid w:val="004C03B3"/>
    <w:rsid w:val="004C15F8"/>
    <w:rsid w:val="004C16CC"/>
    <w:rsid w:val="004C16FB"/>
    <w:rsid w:val="004C1C02"/>
    <w:rsid w:val="004C1F16"/>
    <w:rsid w:val="004C20D7"/>
    <w:rsid w:val="004C2B80"/>
    <w:rsid w:val="004C2CF3"/>
    <w:rsid w:val="004C2E92"/>
    <w:rsid w:val="004C36C2"/>
    <w:rsid w:val="004C37B9"/>
    <w:rsid w:val="004C3C04"/>
    <w:rsid w:val="004C572D"/>
    <w:rsid w:val="004C5F04"/>
    <w:rsid w:val="004C663F"/>
    <w:rsid w:val="004C7156"/>
    <w:rsid w:val="004C79DC"/>
    <w:rsid w:val="004C7A6F"/>
    <w:rsid w:val="004C7E5F"/>
    <w:rsid w:val="004D0011"/>
    <w:rsid w:val="004D1C73"/>
    <w:rsid w:val="004D24AC"/>
    <w:rsid w:val="004D264E"/>
    <w:rsid w:val="004D292E"/>
    <w:rsid w:val="004D2F8F"/>
    <w:rsid w:val="004D3301"/>
    <w:rsid w:val="004D36BB"/>
    <w:rsid w:val="004D467B"/>
    <w:rsid w:val="004D4736"/>
    <w:rsid w:val="004D50D4"/>
    <w:rsid w:val="004D580B"/>
    <w:rsid w:val="004D5ACC"/>
    <w:rsid w:val="004D6191"/>
    <w:rsid w:val="004D73C2"/>
    <w:rsid w:val="004E153E"/>
    <w:rsid w:val="004E1D2B"/>
    <w:rsid w:val="004E1E7B"/>
    <w:rsid w:val="004E1F3E"/>
    <w:rsid w:val="004E1FEA"/>
    <w:rsid w:val="004E2151"/>
    <w:rsid w:val="004E228C"/>
    <w:rsid w:val="004E22C5"/>
    <w:rsid w:val="004E2C93"/>
    <w:rsid w:val="004E4E19"/>
    <w:rsid w:val="004E57C2"/>
    <w:rsid w:val="004E64AE"/>
    <w:rsid w:val="004E7309"/>
    <w:rsid w:val="004E7AC6"/>
    <w:rsid w:val="004F01AD"/>
    <w:rsid w:val="004F0C31"/>
    <w:rsid w:val="004F1031"/>
    <w:rsid w:val="004F175D"/>
    <w:rsid w:val="004F1EC6"/>
    <w:rsid w:val="004F26FA"/>
    <w:rsid w:val="004F2A57"/>
    <w:rsid w:val="004F2B40"/>
    <w:rsid w:val="004F2C13"/>
    <w:rsid w:val="004F2D1A"/>
    <w:rsid w:val="004F3158"/>
    <w:rsid w:val="004F31AE"/>
    <w:rsid w:val="004F3CE3"/>
    <w:rsid w:val="004F45B4"/>
    <w:rsid w:val="004F4D7C"/>
    <w:rsid w:val="004F4E99"/>
    <w:rsid w:val="004F6818"/>
    <w:rsid w:val="004F6997"/>
    <w:rsid w:val="004F717E"/>
    <w:rsid w:val="004F7190"/>
    <w:rsid w:val="004F7FAB"/>
    <w:rsid w:val="005000E2"/>
    <w:rsid w:val="00500368"/>
    <w:rsid w:val="0050101C"/>
    <w:rsid w:val="005021A8"/>
    <w:rsid w:val="00502F2B"/>
    <w:rsid w:val="005036AA"/>
    <w:rsid w:val="00503DD8"/>
    <w:rsid w:val="0050415B"/>
    <w:rsid w:val="005048BF"/>
    <w:rsid w:val="00504CF4"/>
    <w:rsid w:val="005054EB"/>
    <w:rsid w:val="00505B27"/>
    <w:rsid w:val="00505D2B"/>
    <w:rsid w:val="00506024"/>
    <w:rsid w:val="00506074"/>
    <w:rsid w:val="0050670F"/>
    <w:rsid w:val="005068F6"/>
    <w:rsid w:val="005070F8"/>
    <w:rsid w:val="00507194"/>
    <w:rsid w:val="00510403"/>
    <w:rsid w:val="00510A6C"/>
    <w:rsid w:val="0051129D"/>
    <w:rsid w:val="005117AD"/>
    <w:rsid w:val="00511BF4"/>
    <w:rsid w:val="00512350"/>
    <w:rsid w:val="0051275F"/>
    <w:rsid w:val="0051300D"/>
    <w:rsid w:val="005130B3"/>
    <w:rsid w:val="00513276"/>
    <w:rsid w:val="00513AE2"/>
    <w:rsid w:val="00514107"/>
    <w:rsid w:val="00514348"/>
    <w:rsid w:val="00514AA1"/>
    <w:rsid w:val="00515050"/>
    <w:rsid w:val="00515A6A"/>
    <w:rsid w:val="00516476"/>
    <w:rsid w:val="00516563"/>
    <w:rsid w:val="00517C03"/>
    <w:rsid w:val="00517E8E"/>
    <w:rsid w:val="00517FCA"/>
    <w:rsid w:val="00517FFC"/>
    <w:rsid w:val="005202AD"/>
    <w:rsid w:val="00520633"/>
    <w:rsid w:val="0052067A"/>
    <w:rsid w:val="00520D7B"/>
    <w:rsid w:val="00521119"/>
    <w:rsid w:val="0052116D"/>
    <w:rsid w:val="005221C8"/>
    <w:rsid w:val="00522412"/>
    <w:rsid w:val="00523058"/>
    <w:rsid w:val="00523D25"/>
    <w:rsid w:val="00523D67"/>
    <w:rsid w:val="00523F57"/>
    <w:rsid w:val="00524288"/>
    <w:rsid w:val="00524961"/>
    <w:rsid w:val="00524C41"/>
    <w:rsid w:val="00524D37"/>
    <w:rsid w:val="00525473"/>
    <w:rsid w:val="005255C4"/>
    <w:rsid w:val="00525AA5"/>
    <w:rsid w:val="00525D87"/>
    <w:rsid w:val="00526265"/>
    <w:rsid w:val="005266AF"/>
    <w:rsid w:val="00526CDB"/>
    <w:rsid w:val="0052706F"/>
    <w:rsid w:val="005277B2"/>
    <w:rsid w:val="00527960"/>
    <w:rsid w:val="00527EE1"/>
    <w:rsid w:val="005304BA"/>
    <w:rsid w:val="00530E58"/>
    <w:rsid w:val="005314AE"/>
    <w:rsid w:val="0053158B"/>
    <w:rsid w:val="00531886"/>
    <w:rsid w:val="005318F5"/>
    <w:rsid w:val="00531EEA"/>
    <w:rsid w:val="00532045"/>
    <w:rsid w:val="005326C8"/>
    <w:rsid w:val="00532A49"/>
    <w:rsid w:val="00533169"/>
    <w:rsid w:val="00533578"/>
    <w:rsid w:val="005337CF"/>
    <w:rsid w:val="0053504C"/>
    <w:rsid w:val="005350A2"/>
    <w:rsid w:val="005358A8"/>
    <w:rsid w:val="00535FFC"/>
    <w:rsid w:val="0053615F"/>
    <w:rsid w:val="00536632"/>
    <w:rsid w:val="00537481"/>
    <w:rsid w:val="00537615"/>
    <w:rsid w:val="00537A1E"/>
    <w:rsid w:val="00537C07"/>
    <w:rsid w:val="005402F9"/>
    <w:rsid w:val="0054030F"/>
    <w:rsid w:val="00540500"/>
    <w:rsid w:val="00540A00"/>
    <w:rsid w:val="00540F79"/>
    <w:rsid w:val="005415CE"/>
    <w:rsid w:val="005427BB"/>
    <w:rsid w:val="0054302B"/>
    <w:rsid w:val="00543561"/>
    <w:rsid w:val="005435FA"/>
    <w:rsid w:val="00543627"/>
    <w:rsid w:val="00543E16"/>
    <w:rsid w:val="00543EBF"/>
    <w:rsid w:val="005442CC"/>
    <w:rsid w:val="005445F8"/>
    <w:rsid w:val="0054488E"/>
    <w:rsid w:val="005453CB"/>
    <w:rsid w:val="005458E7"/>
    <w:rsid w:val="00546852"/>
    <w:rsid w:val="00550728"/>
    <w:rsid w:val="00551093"/>
    <w:rsid w:val="00551D60"/>
    <w:rsid w:val="00551E5F"/>
    <w:rsid w:val="00551EB6"/>
    <w:rsid w:val="00552671"/>
    <w:rsid w:val="00552E9B"/>
    <w:rsid w:val="00552F30"/>
    <w:rsid w:val="00554427"/>
    <w:rsid w:val="00554AC9"/>
    <w:rsid w:val="00554C84"/>
    <w:rsid w:val="00554E16"/>
    <w:rsid w:val="005561CE"/>
    <w:rsid w:val="0055658D"/>
    <w:rsid w:val="00556778"/>
    <w:rsid w:val="00556BBE"/>
    <w:rsid w:val="00556DA0"/>
    <w:rsid w:val="00557104"/>
    <w:rsid w:val="00557445"/>
    <w:rsid w:val="005578A0"/>
    <w:rsid w:val="005578D2"/>
    <w:rsid w:val="005600CA"/>
    <w:rsid w:val="00560C3C"/>
    <w:rsid w:val="00560DBD"/>
    <w:rsid w:val="005611EE"/>
    <w:rsid w:val="00562001"/>
    <w:rsid w:val="00562921"/>
    <w:rsid w:val="00562E03"/>
    <w:rsid w:val="00563E7E"/>
    <w:rsid w:val="005642ED"/>
    <w:rsid w:val="005648F9"/>
    <w:rsid w:val="005649F1"/>
    <w:rsid w:val="00564AA2"/>
    <w:rsid w:val="00564AE2"/>
    <w:rsid w:val="00564B68"/>
    <w:rsid w:val="00565558"/>
    <w:rsid w:val="00565A52"/>
    <w:rsid w:val="00565BD0"/>
    <w:rsid w:val="00565CC8"/>
    <w:rsid w:val="00565CF3"/>
    <w:rsid w:val="005662A6"/>
    <w:rsid w:val="00566392"/>
    <w:rsid w:val="00566D4B"/>
    <w:rsid w:val="00567885"/>
    <w:rsid w:val="005719EC"/>
    <w:rsid w:val="00571EAA"/>
    <w:rsid w:val="005723E2"/>
    <w:rsid w:val="005725BA"/>
    <w:rsid w:val="005726ED"/>
    <w:rsid w:val="00572EA4"/>
    <w:rsid w:val="00573D7C"/>
    <w:rsid w:val="00574FDF"/>
    <w:rsid w:val="005750DD"/>
    <w:rsid w:val="005755F5"/>
    <w:rsid w:val="00575DFD"/>
    <w:rsid w:val="00576A0A"/>
    <w:rsid w:val="00577106"/>
    <w:rsid w:val="00577523"/>
    <w:rsid w:val="005775EC"/>
    <w:rsid w:val="00577C01"/>
    <w:rsid w:val="00577F25"/>
    <w:rsid w:val="005802D6"/>
    <w:rsid w:val="00580D41"/>
    <w:rsid w:val="00581862"/>
    <w:rsid w:val="00582B29"/>
    <w:rsid w:val="00582BFB"/>
    <w:rsid w:val="00582E93"/>
    <w:rsid w:val="005833D3"/>
    <w:rsid w:val="0058352B"/>
    <w:rsid w:val="00583A31"/>
    <w:rsid w:val="005841C4"/>
    <w:rsid w:val="005846CC"/>
    <w:rsid w:val="005847F5"/>
    <w:rsid w:val="00585103"/>
    <w:rsid w:val="0058562B"/>
    <w:rsid w:val="00585980"/>
    <w:rsid w:val="00585993"/>
    <w:rsid w:val="00585BBB"/>
    <w:rsid w:val="0058669A"/>
    <w:rsid w:val="00586974"/>
    <w:rsid w:val="00586AE7"/>
    <w:rsid w:val="00586CC0"/>
    <w:rsid w:val="00586FBC"/>
    <w:rsid w:val="00587044"/>
    <w:rsid w:val="005873B4"/>
    <w:rsid w:val="005906AE"/>
    <w:rsid w:val="00590AA0"/>
    <w:rsid w:val="00590BD7"/>
    <w:rsid w:val="00590CA6"/>
    <w:rsid w:val="00590F8E"/>
    <w:rsid w:val="00591C67"/>
    <w:rsid w:val="00592193"/>
    <w:rsid w:val="005922E5"/>
    <w:rsid w:val="00592395"/>
    <w:rsid w:val="005927E2"/>
    <w:rsid w:val="00592AF3"/>
    <w:rsid w:val="00593F87"/>
    <w:rsid w:val="0059453B"/>
    <w:rsid w:val="00596078"/>
    <w:rsid w:val="005962D2"/>
    <w:rsid w:val="0059668A"/>
    <w:rsid w:val="00596E10"/>
    <w:rsid w:val="0059747F"/>
    <w:rsid w:val="00597533"/>
    <w:rsid w:val="005976B9"/>
    <w:rsid w:val="0059777D"/>
    <w:rsid w:val="005A0095"/>
    <w:rsid w:val="005A1017"/>
    <w:rsid w:val="005A10E5"/>
    <w:rsid w:val="005A112C"/>
    <w:rsid w:val="005A167D"/>
    <w:rsid w:val="005A1AB7"/>
    <w:rsid w:val="005A2D84"/>
    <w:rsid w:val="005A3274"/>
    <w:rsid w:val="005A45F9"/>
    <w:rsid w:val="005A4A8E"/>
    <w:rsid w:val="005A619D"/>
    <w:rsid w:val="005A6979"/>
    <w:rsid w:val="005A6A3D"/>
    <w:rsid w:val="005A7269"/>
    <w:rsid w:val="005A72A2"/>
    <w:rsid w:val="005A7F3C"/>
    <w:rsid w:val="005B01B2"/>
    <w:rsid w:val="005B0A22"/>
    <w:rsid w:val="005B0AA2"/>
    <w:rsid w:val="005B1056"/>
    <w:rsid w:val="005B1922"/>
    <w:rsid w:val="005B1B88"/>
    <w:rsid w:val="005B1FAC"/>
    <w:rsid w:val="005B20BF"/>
    <w:rsid w:val="005B2530"/>
    <w:rsid w:val="005B35E7"/>
    <w:rsid w:val="005B3BC1"/>
    <w:rsid w:val="005B433E"/>
    <w:rsid w:val="005B485F"/>
    <w:rsid w:val="005B48AA"/>
    <w:rsid w:val="005B5291"/>
    <w:rsid w:val="005B539D"/>
    <w:rsid w:val="005B610D"/>
    <w:rsid w:val="005B621C"/>
    <w:rsid w:val="005B6FA4"/>
    <w:rsid w:val="005B7AB2"/>
    <w:rsid w:val="005C0E7D"/>
    <w:rsid w:val="005C1418"/>
    <w:rsid w:val="005C14B8"/>
    <w:rsid w:val="005C1912"/>
    <w:rsid w:val="005C1AF1"/>
    <w:rsid w:val="005C1E6B"/>
    <w:rsid w:val="005C1E83"/>
    <w:rsid w:val="005C208E"/>
    <w:rsid w:val="005C25B4"/>
    <w:rsid w:val="005C270D"/>
    <w:rsid w:val="005C2CBB"/>
    <w:rsid w:val="005C2F35"/>
    <w:rsid w:val="005C3489"/>
    <w:rsid w:val="005C3657"/>
    <w:rsid w:val="005C380D"/>
    <w:rsid w:val="005C3938"/>
    <w:rsid w:val="005C3A77"/>
    <w:rsid w:val="005C5148"/>
    <w:rsid w:val="005C55F9"/>
    <w:rsid w:val="005C70B5"/>
    <w:rsid w:val="005C765E"/>
    <w:rsid w:val="005C7683"/>
    <w:rsid w:val="005D0695"/>
    <w:rsid w:val="005D179B"/>
    <w:rsid w:val="005D198E"/>
    <w:rsid w:val="005D2A47"/>
    <w:rsid w:val="005D2CEC"/>
    <w:rsid w:val="005D2EF5"/>
    <w:rsid w:val="005D3BB7"/>
    <w:rsid w:val="005D49D6"/>
    <w:rsid w:val="005D4CC9"/>
    <w:rsid w:val="005D5BFE"/>
    <w:rsid w:val="005D70CB"/>
    <w:rsid w:val="005D718F"/>
    <w:rsid w:val="005D7606"/>
    <w:rsid w:val="005D7DA0"/>
    <w:rsid w:val="005D7DD4"/>
    <w:rsid w:val="005D7F57"/>
    <w:rsid w:val="005E01D4"/>
    <w:rsid w:val="005E0434"/>
    <w:rsid w:val="005E1410"/>
    <w:rsid w:val="005E295B"/>
    <w:rsid w:val="005E3D48"/>
    <w:rsid w:val="005E4435"/>
    <w:rsid w:val="005E4718"/>
    <w:rsid w:val="005E48EF"/>
    <w:rsid w:val="005E4B45"/>
    <w:rsid w:val="005E5010"/>
    <w:rsid w:val="005E51BD"/>
    <w:rsid w:val="005E5939"/>
    <w:rsid w:val="005E5D86"/>
    <w:rsid w:val="005E6084"/>
    <w:rsid w:val="005E61FF"/>
    <w:rsid w:val="005E63C5"/>
    <w:rsid w:val="005E685D"/>
    <w:rsid w:val="005E68DD"/>
    <w:rsid w:val="005E71FF"/>
    <w:rsid w:val="005E7495"/>
    <w:rsid w:val="005E7615"/>
    <w:rsid w:val="005E78C6"/>
    <w:rsid w:val="005F004A"/>
    <w:rsid w:val="005F019A"/>
    <w:rsid w:val="005F07A9"/>
    <w:rsid w:val="005F0942"/>
    <w:rsid w:val="005F0B08"/>
    <w:rsid w:val="005F2594"/>
    <w:rsid w:val="005F29BD"/>
    <w:rsid w:val="005F2E6D"/>
    <w:rsid w:val="005F2EB9"/>
    <w:rsid w:val="005F3201"/>
    <w:rsid w:val="005F3AFB"/>
    <w:rsid w:val="005F4662"/>
    <w:rsid w:val="005F47CD"/>
    <w:rsid w:val="005F4A50"/>
    <w:rsid w:val="005F54FC"/>
    <w:rsid w:val="005F63A2"/>
    <w:rsid w:val="005F6418"/>
    <w:rsid w:val="005F6587"/>
    <w:rsid w:val="005F6EEF"/>
    <w:rsid w:val="005F7083"/>
    <w:rsid w:val="005F72FC"/>
    <w:rsid w:val="005F7406"/>
    <w:rsid w:val="005F746B"/>
    <w:rsid w:val="005F79F7"/>
    <w:rsid w:val="006003CB"/>
    <w:rsid w:val="00600500"/>
    <w:rsid w:val="00600D66"/>
    <w:rsid w:val="00600E47"/>
    <w:rsid w:val="006011B8"/>
    <w:rsid w:val="00601796"/>
    <w:rsid w:val="0060190F"/>
    <w:rsid w:val="00601E8F"/>
    <w:rsid w:val="00602AD9"/>
    <w:rsid w:val="00602C33"/>
    <w:rsid w:val="00602F73"/>
    <w:rsid w:val="00602F7A"/>
    <w:rsid w:val="006043FD"/>
    <w:rsid w:val="00604F44"/>
    <w:rsid w:val="00605817"/>
    <w:rsid w:val="006058C2"/>
    <w:rsid w:val="00605A98"/>
    <w:rsid w:val="00606A20"/>
    <w:rsid w:val="00607358"/>
    <w:rsid w:val="0060749A"/>
    <w:rsid w:val="00607598"/>
    <w:rsid w:val="00607AB6"/>
    <w:rsid w:val="006100F6"/>
    <w:rsid w:val="00610198"/>
    <w:rsid w:val="0061036B"/>
    <w:rsid w:val="00610745"/>
    <w:rsid w:val="00610D2D"/>
    <w:rsid w:val="0061114B"/>
    <w:rsid w:val="00611A8B"/>
    <w:rsid w:val="00611FF7"/>
    <w:rsid w:val="006120C9"/>
    <w:rsid w:val="006125FD"/>
    <w:rsid w:val="0061340C"/>
    <w:rsid w:val="00613C80"/>
    <w:rsid w:val="00613DAE"/>
    <w:rsid w:val="0061401F"/>
    <w:rsid w:val="00614133"/>
    <w:rsid w:val="0061479B"/>
    <w:rsid w:val="00614A36"/>
    <w:rsid w:val="00614EB4"/>
    <w:rsid w:val="00615BFF"/>
    <w:rsid w:val="00615ED1"/>
    <w:rsid w:val="00616665"/>
    <w:rsid w:val="00616888"/>
    <w:rsid w:val="00616999"/>
    <w:rsid w:val="00616C35"/>
    <w:rsid w:val="006171F5"/>
    <w:rsid w:val="00617E0E"/>
    <w:rsid w:val="00617EBD"/>
    <w:rsid w:val="006207D5"/>
    <w:rsid w:val="0062127C"/>
    <w:rsid w:val="006218C4"/>
    <w:rsid w:val="00621CB3"/>
    <w:rsid w:val="00621D3C"/>
    <w:rsid w:val="00622034"/>
    <w:rsid w:val="00622701"/>
    <w:rsid w:val="00622FB4"/>
    <w:rsid w:val="0062348E"/>
    <w:rsid w:val="00623F9A"/>
    <w:rsid w:val="00624120"/>
    <w:rsid w:val="00624198"/>
    <w:rsid w:val="0062453A"/>
    <w:rsid w:val="00624553"/>
    <w:rsid w:val="006246F2"/>
    <w:rsid w:val="0062484D"/>
    <w:rsid w:val="00624D4E"/>
    <w:rsid w:val="0062577B"/>
    <w:rsid w:val="0062597B"/>
    <w:rsid w:val="00625C23"/>
    <w:rsid w:val="00625E07"/>
    <w:rsid w:val="006261DD"/>
    <w:rsid w:val="0062638F"/>
    <w:rsid w:val="006263D7"/>
    <w:rsid w:val="00626958"/>
    <w:rsid w:val="00626CC7"/>
    <w:rsid w:val="00626D26"/>
    <w:rsid w:val="00626DFD"/>
    <w:rsid w:val="00626FBD"/>
    <w:rsid w:val="006277F4"/>
    <w:rsid w:val="00627BD1"/>
    <w:rsid w:val="00630208"/>
    <w:rsid w:val="00630B64"/>
    <w:rsid w:val="006311ED"/>
    <w:rsid w:val="0063191C"/>
    <w:rsid w:val="00632155"/>
    <w:rsid w:val="006326FB"/>
    <w:rsid w:val="00632F30"/>
    <w:rsid w:val="00633030"/>
    <w:rsid w:val="0063359E"/>
    <w:rsid w:val="00634C5A"/>
    <w:rsid w:val="00634FE2"/>
    <w:rsid w:val="006350C9"/>
    <w:rsid w:val="00635316"/>
    <w:rsid w:val="0063564E"/>
    <w:rsid w:val="00635769"/>
    <w:rsid w:val="00636025"/>
    <w:rsid w:val="00636212"/>
    <w:rsid w:val="006364B3"/>
    <w:rsid w:val="0063665B"/>
    <w:rsid w:val="00636EA4"/>
    <w:rsid w:val="0063703B"/>
    <w:rsid w:val="0063709A"/>
    <w:rsid w:val="00637C7F"/>
    <w:rsid w:val="00637CD9"/>
    <w:rsid w:val="00637CE2"/>
    <w:rsid w:val="00637CE3"/>
    <w:rsid w:val="00640167"/>
    <w:rsid w:val="00640C5C"/>
    <w:rsid w:val="00640FAA"/>
    <w:rsid w:val="00641968"/>
    <w:rsid w:val="0064266C"/>
    <w:rsid w:val="006427D0"/>
    <w:rsid w:val="0064294C"/>
    <w:rsid w:val="0064308D"/>
    <w:rsid w:val="0064322D"/>
    <w:rsid w:val="00643441"/>
    <w:rsid w:val="006441EE"/>
    <w:rsid w:val="00644D18"/>
    <w:rsid w:val="00645EF1"/>
    <w:rsid w:val="00646562"/>
    <w:rsid w:val="00646A02"/>
    <w:rsid w:val="00646FB1"/>
    <w:rsid w:val="0064714D"/>
    <w:rsid w:val="00647168"/>
    <w:rsid w:val="00647521"/>
    <w:rsid w:val="00650019"/>
    <w:rsid w:val="00650451"/>
    <w:rsid w:val="0065049D"/>
    <w:rsid w:val="0065077C"/>
    <w:rsid w:val="006514DF"/>
    <w:rsid w:val="00651921"/>
    <w:rsid w:val="006519AC"/>
    <w:rsid w:val="006522F2"/>
    <w:rsid w:val="0065324F"/>
    <w:rsid w:val="006532B0"/>
    <w:rsid w:val="00653492"/>
    <w:rsid w:val="0065363C"/>
    <w:rsid w:val="0065364F"/>
    <w:rsid w:val="00653727"/>
    <w:rsid w:val="0065394F"/>
    <w:rsid w:val="00654754"/>
    <w:rsid w:val="00654774"/>
    <w:rsid w:val="0065492B"/>
    <w:rsid w:val="00654B54"/>
    <w:rsid w:val="00656227"/>
    <w:rsid w:val="0065634C"/>
    <w:rsid w:val="00656938"/>
    <w:rsid w:val="00656E9A"/>
    <w:rsid w:val="00657166"/>
    <w:rsid w:val="00657344"/>
    <w:rsid w:val="00657EA5"/>
    <w:rsid w:val="006606D0"/>
    <w:rsid w:val="00660EFB"/>
    <w:rsid w:val="00660F38"/>
    <w:rsid w:val="00660FC8"/>
    <w:rsid w:val="00662355"/>
    <w:rsid w:val="00662E45"/>
    <w:rsid w:val="006637A0"/>
    <w:rsid w:val="00663BDB"/>
    <w:rsid w:val="00664997"/>
    <w:rsid w:val="00664A11"/>
    <w:rsid w:val="00665B6E"/>
    <w:rsid w:val="00665D33"/>
    <w:rsid w:val="0066618F"/>
    <w:rsid w:val="006665BA"/>
    <w:rsid w:val="0066695C"/>
    <w:rsid w:val="00666AC4"/>
    <w:rsid w:val="00666BEE"/>
    <w:rsid w:val="00666F08"/>
    <w:rsid w:val="0066762D"/>
    <w:rsid w:val="006676BF"/>
    <w:rsid w:val="00667B0C"/>
    <w:rsid w:val="006701B5"/>
    <w:rsid w:val="006710E3"/>
    <w:rsid w:val="00671252"/>
    <w:rsid w:val="006717B1"/>
    <w:rsid w:val="00672471"/>
    <w:rsid w:val="00672D64"/>
    <w:rsid w:val="006734E0"/>
    <w:rsid w:val="0067372B"/>
    <w:rsid w:val="006739BE"/>
    <w:rsid w:val="00673F13"/>
    <w:rsid w:val="0067434F"/>
    <w:rsid w:val="00674E0C"/>
    <w:rsid w:val="0067549A"/>
    <w:rsid w:val="00676828"/>
    <w:rsid w:val="00676D1F"/>
    <w:rsid w:val="00680658"/>
    <w:rsid w:val="00680E9F"/>
    <w:rsid w:val="00681059"/>
    <w:rsid w:val="00681526"/>
    <w:rsid w:val="006823F6"/>
    <w:rsid w:val="0068297C"/>
    <w:rsid w:val="00682D93"/>
    <w:rsid w:val="00683337"/>
    <w:rsid w:val="0068393B"/>
    <w:rsid w:val="00684B7D"/>
    <w:rsid w:val="00684C24"/>
    <w:rsid w:val="00684D57"/>
    <w:rsid w:val="006861C5"/>
    <w:rsid w:val="00686383"/>
    <w:rsid w:val="006868D6"/>
    <w:rsid w:val="00687634"/>
    <w:rsid w:val="00687903"/>
    <w:rsid w:val="00687A18"/>
    <w:rsid w:val="00687A90"/>
    <w:rsid w:val="00687CC7"/>
    <w:rsid w:val="00687DC4"/>
    <w:rsid w:val="0069020E"/>
    <w:rsid w:val="006907BC"/>
    <w:rsid w:val="00692122"/>
    <w:rsid w:val="00692A79"/>
    <w:rsid w:val="00692FEA"/>
    <w:rsid w:val="006932C5"/>
    <w:rsid w:val="00693507"/>
    <w:rsid w:val="0069391C"/>
    <w:rsid w:val="00694734"/>
    <w:rsid w:val="00694B5C"/>
    <w:rsid w:val="00694C44"/>
    <w:rsid w:val="00694D0B"/>
    <w:rsid w:val="00694D7B"/>
    <w:rsid w:val="00695C0A"/>
    <w:rsid w:val="00695C2C"/>
    <w:rsid w:val="0069600C"/>
    <w:rsid w:val="0069622D"/>
    <w:rsid w:val="006962E4"/>
    <w:rsid w:val="006968FC"/>
    <w:rsid w:val="00696FF4"/>
    <w:rsid w:val="006971B5"/>
    <w:rsid w:val="00697266"/>
    <w:rsid w:val="006978B8"/>
    <w:rsid w:val="006A0DB6"/>
    <w:rsid w:val="006A16FF"/>
    <w:rsid w:val="006A190C"/>
    <w:rsid w:val="006A29FB"/>
    <w:rsid w:val="006A2E81"/>
    <w:rsid w:val="006A3317"/>
    <w:rsid w:val="006A3F08"/>
    <w:rsid w:val="006A4494"/>
    <w:rsid w:val="006A462F"/>
    <w:rsid w:val="006A4764"/>
    <w:rsid w:val="006A4CDF"/>
    <w:rsid w:val="006A581D"/>
    <w:rsid w:val="006A5FB5"/>
    <w:rsid w:val="006A61AF"/>
    <w:rsid w:val="006A65FF"/>
    <w:rsid w:val="006A686A"/>
    <w:rsid w:val="006A6BA0"/>
    <w:rsid w:val="006A6D67"/>
    <w:rsid w:val="006A7143"/>
    <w:rsid w:val="006A7884"/>
    <w:rsid w:val="006A799F"/>
    <w:rsid w:val="006A7C8E"/>
    <w:rsid w:val="006A7D79"/>
    <w:rsid w:val="006B02C5"/>
    <w:rsid w:val="006B1679"/>
    <w:rsid w:val="006B1984"/>
    <w:rsid w:val="006B1BCE"/>
    <w:rsid w:val="006B1D9A"/>
    <w:rsid w:val="006B2CF1"/>
    <w:rsid w:val="006B2D3E"/>
    <w:rsid w:val="006B3647"/>
    <w:rsid w:val="006B39C6"/>
    <w:rsid w:val="006B437B"/>
    <w:rsid w:val="006B516A"/>
    <w:rsid w:val="006B5411"/>
    <w:rsid w:val="006B5DB6"/>
    <w:rsid w:val="006B617C"/>
    <w:rsid w:val="006B68F3"/>
    <w:rsid w:val="006B6923"/>
    <w:rsid w:val="006B6BB1"/>
    <w:rsid w:val="006B6C17"/>
    <w:rsid w:val="006B6EDB"/>
    <w:rsid w:val="006B6EDC"/>
    <w:rsid w:val="006B6EE5"/>
    <w:rsid w:val="006C00AD"/>
    <w:rsid w:val="006C15AD"/>
    <w:rsid w:val="006C161A"/>
    <w:rsid w:val="006C1AB1"/>
    <w:rsid w:val="006C1F2F"/>
    <w:rsid w:val="006C2200"/>
    <w:rsid w:val="006C27DB"/>
    <w:rsid w:val="006C2DEE"/>
    <w:rsid w:val="006C3083"/>
    <w:rsid w:val="006C40F7"/>
    <w:rsid w:val="006C4C1B"/>
    <w:rsid w:val="006C4EC6"/>
    <w:rsid w:val="006C535E"/>
    <w:rsid w:val="006C567F"/>
    <w:rsid w:val="006C58E4"/>
    <w:rsid w:val="006C5A97"/>
    <w:rsid w:val="006C5F7C"/>
    <w:rsid w:val="006C6DC1"/>
    <w:rsid w:val="006C71BF"/>
    <w:rsid w:val="006C7B07"/>
    <w:rsid w:val="006C7ED2"/>
    <w:rsid w:val="006D0CEA"/>
    <w:rsid w:val="006D0FB3"/>
    <w:rsid w:val="006D10F5"/>
    <w:rsid w:val="006D198D"/>
    <w:rsid w:val="006D1B2B"/>
    <w:rsid w:val="006D2E10"/>
    <w:rsid w:val="006D3531"/>
    <w:rsid w:val="006D42B3"/>
    <w:rsid w:val="006D6790"/>
    <w:rsid w:val="006D791D"/>
    <w:rsid w:val="006D79B0"/>
    <w:rsid w:val="006E005E"/>
    <w:rsid w:val="006E0CAE"/>
    <w:rsid w:val="006E0F0D"/>
    <w:rsid w:val="006E1294"/>
    <w:rsid w:val="006E1555"/>
    <w:rsid w:val="006E156E"/>
    <w:rsid w:val="006E1DF4"/>
    <w:rsid w:val="006E2188"/>
    <w:rsid w:val="006E256E"/>
    <w:rsid w:val="006E2803"/>
    <w:rsid w:val="006E2D4A"/>
    <w:rsid w:val="006E318D"/>
    <w:rsid w:val="006E31BD"/>
    <w:rsid w:val="006E32DA"/>
    <w:rsid w:val="006E379F"/>
    <w:rsid w:val="006E43CD"/>
    <w:rsid w:val="006E49EC"/>
    <w:rsid w:val="006E507A"/>
    <w:rsid w:val="006E50D1"/>
    <w:rsid w:val="006E5152"/>
    <w:rsid w:val="006E66B2"/>
    <w:rsid w:val="006E769B"/>
    <w:rsid w:val="006E7839"/>
    <w:rsid w:val="006E785B"/>
    <w:rsid w:val="006E7A60"/>
    <w:rsid w:val="006E7F5E"/>
    <w:rsid w:val="006F028A"/>
    <w:rsid w:val="006F03F0"/>
    <w:rsid w:val="006F04C7"/>
    <w:rsid w:val="006F076F"/>
    <w:rsid w:val="006F174B"/>
    <w:rsid w:val="006F1B08"/>
    <w:rsid w:val="006F1E98"/>
    <w:rsid w:val="006F217F"/>
    <w:rsid w:val="006F21DC"/>
    <w:rsid w:val="006F247D"/>
    <w:rsid w:val="006F2B91"/>
    <w:rsid w:val="006F2C9D"/>
    <w:rsid w:val="006F300E"/>
    <w:rsid w:val="006F3423"/>
    <w:rsid w:val="006F3959"/>
    <w:rsid w:val="006F4215"/>
    <w:rsid w:val="006F42FA"/>
    <w:rsid w:val="006F43C7"/>
    <w:rsid w:val="006F4988"/>
    <w:rsid w:val="006F5B51"/>
    <w:rsid w:val="006F5DE3"/>
    <w:rsid w:val="006F6DEB"/>
    <w:rsid w:val="006F71FD"/>
    <w:rsid w:val="006F759D"/>
    <w:rsid w:val="006F7AE5"/>
    <w:rsid w:val="006F7E44"/>
    <w:rsid w:val="006F7F25"/>
    <w:rsid w:val="00700201"/>
    <w:rsid w:val="007003EA"/>
    <w:rsid w:val="00700673"/>
    <w:rsid w:val="007006A9"/>
    <w:rsid w:val="0070131F"/>
    <w:rsid w:val="007016FA"/>
    <w:rsid w:val="0070322D"/>
    <w:rsid w:val="0070324A"/>
    <w:rsid w:val="00703299"/>
    <w:rsid w:val="00703F45"/>
    <w:rsid w:val="00704062"/>
    <w:rsid w:val="00704413"/>
    <w:rsid w:val="00704C15"/>
    <w:rsid w:val="007052A3"/>
    <w:rsid w:val="0070579C"/>
    <w:rsid w:val="00705C69"/>
    <w:rsid w:val="00705CF0"/>
    <w:rsid w:val="007065DD"/>
    <w:rsid w:val="007071C1"/>
    <w:rsid w:val="007072DF"/>
    <w:rsid w:val="00707EAE"/>
    <w:rsid w:val="00710A1C"/>
    <w:rsid w:val="00710BAC"/>
    <w:rsid w:val="00711442"/>
    <w:rsid w:val="007114A7"/>
    <w:rsid w:val="007118FE"/>
    <w:rsid w:val="007121C5"/>
    <w:rsid w:val="00712240"/>
    <w:rsid w:val="007122EC"/>
    <w:rsid w:val="007122F1"/>
    <w:rsid w:val="007128C5"/>
    <w:rsid w:val="00712D64"/>
    <w:rsid w:val="00713844"/>
    <w:rsid w:val="007141B4"/>
    <w:rsid w:val="00714616"/>
    <w:rsid w:val="00714DDC"/>
    <w:rsid w:val="00715843"/>
    <w:rsid w:val="00715BD7"/>
    <w:rsid w:val="00716287"/>
    <w:rsid w:val="007162B4"/>
    <w:rsid w:val="0071710A"/>
    <w:rsid w:val="00717AB5"/>
    <w:rsid w:val="00720429"/>
    <w:rsid w:val="00720777"/>
    <w:rsid w:val="00720F7E"/>
    <w:rsid w:val="007211C2"/>
    <w:rsid w:val="007216A8"/>
    <w:rsid w:val="00722741"/>
    <w:rsid w:val="00722E01"/>
    <w:rsid w:val="00723177"/>
    <w:rsid w:val="00723B94"/>
    <w:rsid w:val="00724F17"/>
    <w:rsid w:val="007254E0"/>
    <w:rsid w:val="00725773"/>
    <w:rsid w:val="007257E7"/>
    <w:rsid w:val="0072620D"/>
    <w:rsid w:val="00726343"/>
    <w:rsid w:val="00726A00"/>
    <w:rsid w:val="00727265"/>
    <w:rsid w:val="007273A4"/>
    <w:rsid w:val="00730796"/>
    <w:rsid w:val="00731936"/>
    <w:rsid w:val="0073199E"/>
    <w:rsid w:val="00731B69"/>
    <w:rsid w:val="00731E7D"/>
    <w:rsid w:val="00732043"/>
    <w:rsid w:val="007324E9"/>
    <w:rsid w:val="007329B9"/>
    <w:rsid w:val="00733CDF"/>
    <w:rsid w:val="0073424B"/>
    <w:rsid w:val="0073429C"/>
    <w:rsid w:val="007342B7"/>
    <w:rsid w:val="00734703"/>
    <w:rsid w:val="007348CB"/>
    <w:rsid w:val="00734C8D"/>
    <w:rsid w:val="00735C51"/>
    <w:rsid w:val="00735D42"/>
    <w:rsid w:val="007361F2"/>
    <w:rsid w:val="007370B4"/>
    <w:rsid w:val="007373E6"/>
    <w:rsid w:val="007401EE"/>
    <w:rsid w:val="007405E3"/>
    <w:rsid w:val="00741BFC"/>
    <w:rsid w:val="00741C63"/>
    <w:rsid w:val="0074208C"/>
    <w:rsid w:val="00744915"/>
    <w:rsid w:val="00744BE8"/>
    <w:rsid w:val="00745F9F"/>
    <w:rsid w:val="00746716"/>
    <w:rsid w:val="00747020"/>
    <w:rsid w:val="0075054C"/>
    <w:rsid w:val="0075092D"/>
    <w:rsid w:val="00750F4A"/>
    <w:rsid w:val="00751D7D"/>
    <w:rsid w:val="00752299"/>
    <w:rsid w:val="007526FB"/>
    <w:rsid w:val="00752B59"/>
    <w:rsid w:val="00754131"/>
    <w:rsid w:val="007541BC"/>
    <w:rsid w:val="00754874"/>
    <w:rsid w:val="00754B0D"/>
    <w:rsid w:val="00754EF9"/>
    <w:rsid w:val="00755405"/>
    <w:rsid w:val="00757057"/>
    <w:rsid w:val="0075760A"/>
    <w:rsid w:val="007578A1"/>
    <w:rsid w:val="007602B6"/>
    <w:rsid w:val="007603F8"/>
    <w:rsid w:val="00760737"/>
    <w:rsid w:val="007610B1"/>
    <w:rsid w:val="007613EC"/>
    <w:rsid w:val="00761E4C"/>
    <w:rsid w:val="00761FEB"/>
    <w:rsid w:val="0076260D"/>
    <w:rsid w:val="00763D93"/>
    <w:rsid w:val="00764AA8"/>
    <w:rsid w:val="00765332"/>
    <w:rsid w:val="0076556B"/>
    <w:rsid w:val="0076635A"/>
    <w:rsid w:val="007664DC"/>
    <w:rsid w:val="00766876"/>
    <w:rsid w:val="00766F90"/>
    <w:rsid w:val="00767175"/>
    <w:rsid w:val="007700AF"/>
    <w:rsid w:val="00770760"/>
    <w:rsid w:val="007712B5"/>
    <w:rsid w:val="00771CD5"/>
    <w:rsid w:val="0077271C"/>
    <w:rsid w:val="00773923"/>
    <w:rsid w:val="00774346"/>
    <w:rsid w:val="00774BAC"/>
    <w:rsid w:val="00774BD7"/>
    <w:rsid w:val="0077521E"/>
    <w:rsid w:val="00775267"/>
    <w:rsid w:val="00775976"/>
    <w:rsid w:val="007759BF"/>
    <w:rsid w:val="00775DE3"/>
    <w:rsid w:val="00776085"/>
    <w:rsid w:val="00776462"/>
    <w:rsid w:val="00776747"/>
    <w:rsid w:val="007768E0"/>
    <w:rsid w:val="00776DD8"/>
    <w:rsid w:val="007772CE"/>
    <w:rsid w:val="00777656"/>
    <w:rsid w:val="007776B4"/>
    <w:rsid w:val="00777BAD"/>
    <w:rsid w:val="00780759"/>
    <w:rsid w:val="00780CC9"/>
    <w:rsid w:val="00781185"/>
    <w:rsid w:val="00781909"/>
    <w:rsid w:val="0078210F"/>
    <w:rsid w:val="007824DA"/>
    <w:rsid w:val="00782AA6"/>
    <w:rsid w:val="00783359"/>
    <w:rsid w:val="00783598"/>
    <w:rsid w:val="00783A61"/>
    <w:rsid w:val="007846F9"/>
    <w:rsid w:val="0078536A"/>
    <w:rsid w:val="00785933"/>
    <w:rsid w:val="0078641B"/>
    <w:rsid w:val="007865B9"/>
    <w:rsid w:val="00786610"/>
    <w:rsid w:val="00786D7C"/>
    <w:rsid w:val="00786D9A"/>
    <w:rsid w:val="0078733F"/>
    <w:rsid w:val="00787A0A"/>
    <w:rsid w:val="00787E0A"/>
    <w:rsid w:val="00787E0B"/>
    <w:rsid w:val="00790108"/>
    <w:rsid w:val="007901D5"/>
    <w:rsid w:val="00791491"/>
    <w:rsid w:val="00791BCB"/>
    <w:rsid w:val="00791C04"/>
    <w:rsid w:val="00793BB2"/>
    <w:rsid w:val="00794108"/>
    <w:rsid w:val="007942C3"/>
    <w:rsid w:val="007943B3"/>
    <w:rsid w:val="007943F2"/>
    <w:rsid w:val="0079442B"/>
    <w:rsid w:val="00795863"/>
    <w:rsid w:val="00795D6B"/>
    <w:rsid w:val="00797773"/>
    <w:rsid w:val="007A02BB"/>
    <w:rsid w:val="007A0371"/>
    <w:rsid w:val="007A19CA"/>
    <w:rsid w:val="007A36FF"/>
    <w:rsid w:val="007A3737"/>
    <w:rsid w:val="007A3C08"/>
    <w:rsid w:val="007A4028"/>
    <w:rsid w:val="007A4327"/>
    <w:rsid w:val="007A47B9"/>
    <w:rsid w:val="007A633F"/>
    <w:rsid w:val="007A6EC6"/>
    <w:rsid w:val="007A73FD"/>
    <w:rsid w:val="007A778F"/>
    <w:rsid w:val="007A7A32"/>
    <w:rsid w:val="007B0273"/>
    <w:rsid w:val="007B02B2"/>
    <w:rsid w:val="007B0636"/>
    <w:rsid w:val="007B1531"/>
    <w:rsid w:val="007B15B1"/>
    <w:rsid w:val="007B31E9"/>
    <w:rsid w:val="007B33CD"/>
    <w:rsid w:val="007B35FA"/>
    <w:rsid w:val="007B42CD"/>
    <w:rsid w:val="007B4B24"/>
    <w:rsid w:val="007B4C29"/>
    <w:rsid w:val="007B4DB2"/>
    <w:rsid w:val="007B5077"/>
    <w:rsid w:val="007B5517"/>
    <w:rsid w:val="007B5828"/>
    <w:rsid w:val="007B5ACB"/>
    <w:rsid w:val="007B6522"/>
    <w:rsid w:val="007B669C"/>
    <w:rsid w:val="007B6AA6"/>
    <w:rsid w:val="007B6BF5"/>
    <w:rsid w:val="007B7348"/>
    <w:rsid w:val="007B7924"/>
    <w:rsid w:val="007B7B56"/>
    <w:rsid w:val="007B7C1E"/>
    <w:rsid w:val="007B7C57"/>
    <w:rsid w:val="007B7D0A"/>
    <w:rsid w:val="007C0D05"/>
    <w:rsid w:val="007C14C0"/>
    <w:rsid w:val="007C15BE"/>
    <w:rsid w:val="007C18E9"/>
    <w:rsid w:val="007C1922"/>
    <w:rsid w:val="007C1C7F"/>
    <w:rsid w:val="007C1FDC"/>
    <w:rsid w:val="007C2152"/>
    <w:rsid w:val="007C286F"/>
    <w:rsid w:val="007C28B1"/>
    <w:rsid w:val="007C2C91"/>
    <w:rsid w:val="007C2CBC"/>
    <w:rsid w:val="007C31AF"/>
    <w:rsid w:val="007C3FAA"/>
    <w:rsid w:val="007C42F0"/>
    <w:rsid w:val="007C4501"/>
    <w:rsid w:val="007C45C7"/>
    <w:rsid w:val="007C479E"/>
    <w:rsid w:val="007C4C7C"/>
    <w:rsid w:val="007C4CC6"/>
    <w:rsid w:val="007C58F2"/>
    <w:rsid w:val="007C5B8B"/>
    <w:rsid w:val="007C6439"/>
    <w:rsid w:val="007C64E0"/>
    <w:rsid w:val="007C6C67"/>
    <w:rsid w:val="007C6D65"/>
    <w:rsid w:val="007C6DA3"/>
    <w:rsid w:val="007C7C43"/>
    <w:rsid w:val="007C7FE5"/>
    <w:rsid w:val="007D0A3A"/>
    <w:rsid w:val="007D0B08"/>
    <w:rsid w:val="007D159B"/>
    <w:rsid w:val="007D180A"/>
    <w:rsid w:val="007D1A73"/>
    <w:rsid w:val="007D2095"/>
    <w:rsid w:val="007D2186"/>
    <w:rsid w:val="007D24D5"/>
    <w:rsid w:val="007D2B98"/>
    <w:rsid w:val="007D3C25"/>
    <w:rsid w:val="007D3CBB"/>
    <w:rsid w:val="007D3D39"/>
    <w:rsid w:val="007D3DCE"/>
    <w:rsid w:val="007D48EC"/>
    <w:rsid w:val="007D51C0"/>
    <w:rsid w:val="007D5A00"/>
    <w:rsid w:val="007D5DA3"/>
    <w:rsid w:val="007D6129"/>
    <w:rsid w:val="007D6390"/>
    <w:rsid w:val="007D6517"/>
    <w:rsid w:val="007D6684"/>
    <w:rsid w:val="007D66DD"/>
    <w:rsid w:val="007D789A"/>
    <w:rsid w:val="007D7A12"/>
    <w:rsid w:val="007D7DA2"/>
    <w:rsid w:val="007D7FAC"/>
    <w:rsid w:val="007E00D1"/>
    <w:rsid w:val="007E01B5"/>
    <w:rsid w:val="007E027C"/>
    <w:rsid w:val="007E0508"/>
    <w:rsid w:val="007E0DCE"/>
    <w:rsid w:val="007E164F"/>
    <w:rsid w:val="007E16E6"/>
    <w:rsid w:val="007E1B1B"/>
    <w:rsid w:val="007E2A6B"/>
    <w:rsid w:val="007E2B96"/>
    <w:rsid w:val="007E2D5A"/>
    <w:rsid w:val="007E34D6"/>
    <w:rsid w:val="007E525B"/>
    <w:rsid w:val="007E551E"/>
    <w:rsid w:val="007E5F38"/>
    <w:rsid w:val="007E5F82"/>
    <w:rsid w:val="007E66F2"/>
    <w:rsid w:val="007E6B10"/>
    <w:rsid w:val="007E6D0B"/>
    <w:rsid w:val="007E78A7"/>
    <w:rsid w:val="007E79CA"/>
    <w:rsid w:val="007E7A20"/>
    <w:rsid w:val="007E7B72"/>
    <w:rsid w:val="007E7EB0"/>
    <w:rsid w:val="007F02F0"/>
    <w:rsid w:val="007F05BB"/>
    <w:rsid w:val="007F08EA"/>
    <w:rsid w:val="007F0CDF"/>
    <w:rsid w:val="007F1A1B"/>
    <w:rsid w:val="007F1AE0"/>
    <w:rsid w:val="007F20B5"/>
    <w:rsid w:val="007F2118"/>
    <w:rsid w:val="007F2A09"/>
    <w:rsid w:val="007F2D0D"/>
    <w:rsid w:val="007F3316"/>
    <w:rsid w:val="007F3A7A"/>
    <w:rsid w:val="007F3C70"/>
    <w:rsid w:val="007F3DF3"/>
    <w:rsid w:val="007F5152"/>
    <w:rsid w:val="007F5247"/>
    <w:rsid w:val="007F57F9"/>
    <w:rsid w:val="007F5E32"/>
    <w:rsid w:val="007F663A"/>
    <w:rsid w:val="007F7CFD"/>
    <w:rsid w:val="00800522"/>
    <w:rsid w:val="00800C43"/>
    <w:rsid w:val="00801592"/>
    <w:rsid w:val="0080174E"/>
    <w:rsid w:val="00801C59"/>
    <w:rsid w:val="008023B4"/>
    <w:rsid w:val="008025E1"/>
    <w:rsid w:val="0080278A"/>
    <w:rsid w:val="00804896"/>
    <w:rsid w:val="00804FD2"/>
    <w:rsid w:val="008050C0"/>
    <w:rsid w:val="00805110"/>
    <w:rsid w:val="0080580C"/>
    <w:rsid w:val="00805948"/>
    <w:rsid w:val="00805A05"/>
    <w:rsid w:val="00805B5B"/>
    <w:rsid w:val="0080668F"/>
    <w:rsid w:val="00807330"/>
    <w:rsid w:val="008079BB"/>
    <w:rsid w:val="00807BDF"/>
    <w:rsid w:val="00807E55"/>
    <w:rsid w:val="008102A9"/>
    <w:rsid w:val="008102EB"/>
    <w:rsid w:val="008104DD"/>
    <w:rsid w:val="00810596"/>
    <w:rsid w:val="008106E8"/>
    <w:rsid w:val="0081093A"/>
    <w:rsid w:val="00810AAE"/>
    <w:rsid w:val="00810B93"/>
    <w:rsid w:val="00811273"/>
    <w:rsid w:val="0081128A"/>
    <w:rsid w:val="008115BD"/>
    <w:rsid w:val="008116E0"/>
    <w:rsid w:val="008122A3"/>
    <w:rsid w:val="00812577"/>
    <w:rsid w:val="0081294E"/>
    <w:rsid w:val="00813243"/>
    <w:rsid w:val="00813D88"/>
    <w:rsid w:val="008143A1"/>
    <w:rsid w:val="008146A8"/>
    <w:rsid w:val="00815116"/>
    <w:rsid w:val="0081594E"/>
    <w:rsid w:val="00815A2D"/>
    <w:rsid w:val="00815AD7"/>
    <w:rsid w:val="00815C41"/>
    <w:rsid w:val="00815D7D"/>
    <w:rsid w:val="00815FDB"/>
    <w:rsid w:val="0081601A"/>
    <w:rsid w:val="008165B7"/>
    <w:rsid w:val="0081663A"/>
    <w:rsid w:val="008166B3"/>
    <w:rsid w:val="00816A82"/>
    <w:rsid w:val="008171E6"/>
    <w:rsid w:val="00817EA5"/>
    <w:rsid w:val="00820258"/>
    <w:rsid w:val="0082065F"/>
    <w:rsid w:val="00820A70"/>
    <w:rsid w:val="008219AB"/>
    <w:rsid w:val="00821CBB"/>
    <w:rsid w:val="00821D5A"/>
    <w:rsid w:val="00821FC0"/>
    <w:rsid w:val="00822499"/>
    <w:rsid w:val="00822DD6"/>
    <w:rsid w:val="00822ED7"/>
    <w:rsid w:val="008234FB"/>
    <w:rsid w:val="00823B58"/>
    <w:rsid w:val="0082453A"/>
    <w:rsid w:val="00824942"/>
    <w:rsid w:val="00824A28"/>
    <w:rsid w:val="00824B15"/>
    <w:rsid w:val="00824B19"/>
    <w:rsid w:val="00824FDF"/>
    <w:rsid w:val="008262FB"/>
    <w:rsid w:val="00826F08"/>
    <w:rsid w:val="0082704B"/>
    <w:rsid w:val="00827B27"/>
    <w:rsid w:val="0083026D"/>
    <w:rsid w:val="00830326"/>
    <w:rsid w:val="00830C56"/>
    <w:rsid w:val="00832761"/>
    <w:rsid w:val="008328AC"/>
    <w:rsid w:val="00832E40"/>
    <w:rsid w:val="00833165"/>
    <w:rsid w:val="00833AE3"/>
    <w:rsid w:val="00833E1F"/>
    <w:rsid w:val="00833EE0"/>
    <w:rsid w:val="008340FA"/>
    <w:rsid w:val="00834206"/>
    <w:rsid w:val="00834B16"/>
    <w:rsid w:val="00834BEB"/>
    <w:rsid w:val="00834C04"/>
    <w:rsid w:val="008351D2"/>
    <w:rsid w:val="0083590F"/>
    <w:rsid w:val="00836345"/>
    <w:rsid w:val="008369AF"/>
    <w:rsid w:val="00836B35"/>
    <w:rsid w:val="00836C37"/>
    <w:rsid w:val="00836EDE"/>
    <w:rsid w:val="00837521"/>
    <w:rsid w:val="00837707"/>
    <w:rsid w:val="00837B23"/>
    <w:rsid w:val="008401C4"/>
    <w:rsid w:val="00840BDB"/>
    <w:rsid w:val="00840DC7"/>
    <w:rsid w:val="008411D8"/>
    <w:rsid w:val="00841AC0"/>
    <w:rsid w:val="008424DE"/>
    <w:rsid w:val="0084296D"/>
    <w:rsid w:val="00842D60"/>
    <w:rsid w:val="00843665"/>
    <w:rsid w:val="008436F4"/>
    <w:rsid w:val="00843ACF"/>
    <w:rsid w:val="00843E64"/>
    <w:rsid w:val="008442E5"/>
    <w:rsid w:val="0084434D"/>
    <w:rsid w:val="00844DB1"/>
    <w:rsid w:val="00845BDB"/>
    <w:rsid w:val="00846006"/>
    <w:rsid w:val="00846213"/>
    <w:rsid w:val="0084684B"/>
    <w:rsid w:val="00847219"/>
    <w:rsid w:val="00847AAC"/>
    <w:rsid w:val="00847AF9"/>
    <w:rsid w:val="00850193"/>
    <w:rsid w:val="00852853"/>
    <w:rsid w:val="00853701"/>
    <w:rsid w:val="008541D7"/>
    <w:rsid w:val="008549FD"/>
    <w:rsid w:val="00854ADE"/>
    <w:rsid w:val="00855A4E"/>
    <w:rsid w:val="00856C69"/>
    <w:rsid w:val="00856D5A"/>
    <w:rsid w:val="00857587"/>
    <w:rsid w:val="00857621"/>
    <w:rsid w:val="00857722"/>
    <w:rsid w:val="008577EE"/>
    <w:rsid w:val="00857BA1"/>
    <w:rsid w:val="00860470"/>
    <w:rsid w:val="00860696"/>
    <w:rsid w:val="00860BDA"/>
    <w:rsid w:val="0086102A"/>
    <w:rsid w:val="0086192D"/>
    <w:rsid w:val="00861BD7"/>
    <w:rsid w:val="00861C5A"/>
    <w:rsid w:val="008626B4"/>
    <w:rsid w:val="008629FE"/>
    <w:rsid w:val="00862A97"/>
    <w:rsid w:val="00862EFC"/>
    <w:rsid w:val="00863214"/>
    <w:rsid w:val="0086388A"/>
    <w:rsid w:val="0086396D"/>
    <w:rsid w:val="00863FE9"/>
    <w:rsid w:val="00864C65"/>
    <w:rsid w:val="00864FAF"/>
    <w:rsid w:val="0086577A"/>
    <w:rsid w:val="00865AB8"/>
    <w:rsid w:val="0086659D"/>
    <w:rsid w:val="00866A69"/>
    <w:rsid w:val="00866FD5"/>
    <w:rsid w:val="0086787F"/>
    <w:rsid w:val="008679C4"/>
    <w:rsid w:val="00867F46"/>
    <w:rsid w:val="0087021A"/>
    <w:rsid w:val="00870656"/>
    <w:rsid w:val="00872539"/>
    <w:rsid w:val="0087270B"/>
    <w:rsid w:val="00872728"/>
    <w:rsid w:val="00872E94"/>
    <w:rsid w:val="00872EE3"/>
    <w:rsid w:val="00872F28"/>
    <w:rsid w:val="008734F1"/>
    <w:rsid w:val="00874D01"/>
    <w:rsid w:val="008750C1"/>
    <w:rsid w:val="00875260"/>
    <w:rsid w:val="00875330"/>
    <w:rsid w:val="008758D9"/>
    <w:rsid w:val="00875B15"/>
    <w:rsid w:val="00875FB3"/>
    <w:rsid w:val="008761F9"/>
    <w:rsid w:val="0087695C"/>
    <w:rsid w:val="00876E44"/>
    <w:rsid w:val="0087707F"/>
    <w:rsid w:val="00877224"/>
    <w:rsid w:val="00877657"/>
    <w:rsid w:val="00877D70"/>
    <w:rsid w:val="00877DAA"/>
    <w:rsid w:val="00880EF4"/>
    <w:rsid w:val="00880FA1"/>
    <w:rsid w:val="00881315"/>
    <w:rsid w:val="00881445"/>
    <w:rsid w:val="00881AAA"/>
    <w:rsid w:val="0088226F"/>
    <w:rsid w:val="00882EDF"/>
    <w:rsid w:val="008830E8"/>
    <w:rsid w:val="0088438E"/>
    <w:rsid w:val="0088449C"/>
    <w:rsid w:val="00884A8B"/>
    <w:rsid w:val="00884F5D"/>
    <w:rsid w:val="00885C3C"/>
    <w:rsid w:val="00885DA0"/>
    <w:rsid w:val="00886619"/>
    <w:rsid w:val="00886A86"/>
    <w:rsid w:val="00886F95"/>
    <w:rsid w:val="008871C1"/>
    <w:rsid w:val="008873DB"/>
    <w:rsid w:val="008877AE"/>
    <w:rsid w:val="008877F7"/>
    <w:rsid w:val="008903F1"/>
    <w:rsid w:val="00890926"/>
    <w:rsid w:val="00890A40"/>
    <w:rsid w:val="00891211"/>
    <w:rsid w:val="0089184E"/>
    <w:rsid w:val="008919DB"/>
    <w:rsid w:val="008921A4"/>
    <w:rsid w:val="008921C2"/>
    <w:rsid w:val="00892C20"/>
    <w:rsid w:val="00892DD2"/>
    <w:rsid w:val="00893128"/>
    <w:rsid w:val="00893796"/>
    <w:rsid w:val="008938A6"/>
    <w:rsid w:val="008938FB"/>
    <w:rsid w:val="00893948"/>
    <w:rsid w:val="0089492D"/>
    <w:rsid w:val="00894A6B"/>
    <w:rsid w:val="00894DA2"/>
    <w:rsid w:val="008953AE"/>
    <w:rsid w:val="008958DB"/>
    <w:rsid w:val="00895B36"/>
    <w:rsid w:val="008964DF"/>
    <w:rsid w:val="00896866"/>
    <w:rsid w:val="0089697F"/>
    <w:rsid w:val="00897A0A"/>
    <w:rsid w:val="00897F1F"/>
    <w:rsid w:val="008A03B9"/>
    <w:rsid w:val="008A11A5"/>
    <w:rsid w:val="008A1767"/>
    <w:rsid w:val="008A1BB9"/>
    <w:rsid w:val="008A1DEF"/>
    <w:rsid w:val="008A2FF0"/>
    <w:rsid w:val="008A35F5"/>
    <w:rsid w:val="008A37C1"/>
    <w:rsid w:val="008A38E3"/>
    <w:rsid w:val="008A3D4E"/>
    <w:rsid w:val="008A3E7F"/>
    <w:rsid w:val="008A3E86"/>
    <w:rsid w:val="008A446D"/>
    <w:rsid w:val="008A4590"/>
    <w:rsid w:val="008A4773"/>
    <w:rsid w:val="008A4841"/>
    <w:rsid w:val="008A4C4A"/>
    <w:rsid w:val="008A4E3B"/>
    <w:rsid w:val="008A5315"/>
    <w:rsid w:val="008A6015"/>
    <w:rsid w:val="008A67AF"/>
    <w:rsid w:val="008A6B64"/>
    <w:rsid w:val="008A725D"/>
    <w:rsid w:val="008B032E"/>
    <w:rsid w:val="008B037C"/>
    <w:rsid w:val="008B0609"/>
    <w:rsid w:val="008B0DC7"/>
    <w:rsid w:val="008B12E5"/>
    <w:rsid w:val="008B1498"/>
    <w:rsid w:val="008B1789"/>
    <w:rsid w:val="008B1F34"/>
    <w:rsid w:val="008B237B"/>
    <w:rsid w:val="008B2F52"/>
    <w:rsid w:val="008B3B29"/>
    <w:rsid w:val="008B3D08"/>
    <w:rsid w:val="008B4116"/>
    <w:rsid w:val="008B43C7"/>
    <w:rsid w:val="008B48F4"/>
    <w:rsid w:val="008B506E"/>
    <w:rsid w:val="008B5147"/>
    <w:rsid w:val="008B5186"/>
    <w:rsid w:val="008B5517"/>
    <w:rsid w:val="008B5D9B"/>
    <w:rsid w:val="008B5E9B"/>
    <w:rsid w:val="008B62D2"/>
    <w:rsid w:val="008B67CF"/>
    <w:rsid w:val="008B68B2"/>
    <w:rsid w:val="008B74EB"/>
    <w:rsid w:val="008B773A"/>
    <w:rsid w:val="008B7930"/>
    <w:rsid w:val="008C0277"/>
    <w:rsid w:val="008C048E"/>
    <w:rsid w:val="008C0CE7"/>
    <w:rsid w:val="008C14CB"/>
    <w:rsid w:val="008C2093"/>
    <w:rsid w:val="008C35F8"/>
    <w:rsid w:val="008C375C"/>
    <w:rsid w:val="008C37E5"/>
    <w:rsid w:val="008C3A85"/>
    <w:rsid w:val="008C40AC"/>
    <w:rsid w:val="008C4DED"/>
    <w:rsid w:val="008C6123"/>
    <w:rsid w:val="008C65FD"/>
    <w:rsid w:val="008C6EEB"/>
    <w:rsid w:val="008C79D1"/>
    <w:rsid w:val="008C7CC3"/>
    <w:rsid w:val="008C7EC2"/>
    <w:rsid w:val="008D0506"/>
    <w:rsid w:val="008D0677"/>
    <w:rsid w:val="008D07E4"/>
    <w:rsid w:val="008D141E"/>
    <w:rsid w:val="008D22D2"/>
    <w:rsid w:val="008D3486"/>
    <w:rsid w:val="008D37BC"/>
    <w:rsid w:val="008D3844"/>
    <w:rsid w:val="008D4AB9"/>
    <w:rsid w:val="008D55EB"/>
    <w:rsid w:val="008D7F74"/>
    <w:rsid w:val="008E03CD"/>
    <w:rsid w:val="008E09B1"/>
    <w:rsid w:val="008E0E33"/>
    <w:rsid w:val="008E156F"/>
    <w:rsid w:val="008E1981"/>
    <w:rsid w:val="008E1A0C"/>
    <w:rsid w:val="008E2464"/>
    <w:rsid w:val="008E27F0"/>
    <w:rsid w:val="008E2CE3"/>
    <w:rsid w:val="008E3712"/>
    <w:rsid w:val="008E3DDB"/>
    <w:rsid w:val="008E3DE6"/>
    <w:rsid w:val="008E3E10"/>
    <w:rsid w:val="008E53AF"/>
    <w:rsid w:val="008E5A98"/>
    <w:rsid w:val="008E5FFB"/>
    <w:rsid w:val="008E6950"/>
    <w:rsid w:val="008E6A70"/>
    <w:rsid w:val="008F05F8"/>
    <w:rsid w:val="008F1D8A"/>
    <w:rsid w:val="008F2156"/>
    <w:rsid w:val="008F23F3"/>
    <w:rsid w:val="008F2459"/>
    <w:rsid w:val="008F2490"/>
    <w:rsid w:val="008F2D7E"/>
    <w:rsid w:val="008F3886"/>
    <w:rsid w:val="008F3CCB"/>
    <w:rsid w:val="008F3DBC"/>
    <w:rsid w:val="008F3DBD"/>
    <w:rsid w:val="008F4013"/>
    <w:rsid w:val="008F4243"/>
    <w:rsid w:val="008F4262"/>
    <w:rsid w:val="008F447E"/>
    <w:rsid w:val="008F537E"/>
    <w:rsid w:val="008F5A4E"/>
    <w:rsid w:val="008F5A7B"/>
    <w:rsid w:val="008F5B86"/>
    <w:rsid w:val="008F5C3E"/>
    <w:rsid w:val="008F62D7"/>
    <w:rsid w:val="008F62F9"/>
    <w:rsid w:val="008F6C75"/>
    <w:rsid w:val="008F725C"/>
    <w:rsid w:val="008F735A"/>
    <w:rsid w:val="008F74B3"/>
    <w:rsid w:val="008F77D1"/>
    <w:rsid w:val="00900E0A"/>
    <w:rsid w:val="009012C7"/>
    <w:rsid w:val="00901820"/>
    <w:rsid w:val="00901BC3"/>
    <w:rsid w:val="009023DC"/>
    <w:rsid w:val="0090264A"/>
    <w:rsid w:val="00902AA1"/>
    <w:rsid w:val="009032E3"/>
    <w:rsid w:val="00903687"/>
    <w:rsid w:val="00903A0D"/>
    <w:rsid w:val="00903BC1"/>
    <w:rsid w:val="00903CCD"/>
    <w:rsid w:val="00903F04"/>
    <w:rsid w:val="00904017"/>
    <w:rsid w:val="009046D1"/>
    <w:rsid w:val="0090502A"/>
    <w:rsid w:val="00905C5F"/>
    <w:rsid w:val="009066D9"/>
    <w:rsid w:val="009066F9"/>
    <w:rsid w:val="009068E6"/>
    <w:rsid w:val="00906EAF"/>
    <w:rsid w:val="00907770"/>
    <w:rsid w:val="009105BC"/>
    <w:rsid w:val="0091060E"/>
    <w:rsid w:val="009108E1"/>
    <w:rsid w:val="00910CB8"/>
    <w:rsid w:val="00913B9C"/>
    <w:rsid w:val="00913F68"/>
    <w:rsid w:val="00914B7B"/>
    <w:rsid w:val="0091550F"/>
    <w:rsid w:val="00915574"/>
    <w:rsid w:val="009158F0"/>
    <w:rsid w:val="00915A20"/>
    <w:rsid w:val="00915A3C"/>
    <w:rsid w:val="00915FC6"/>
    <w:rsid w:val="009169B6"/>
    <w:rsid w:val="00916C8C"/>
    <w:rsid w:val="0091750F"/>
    <w:rsid w:val="00917ACD"/>
    <w:rsid w:val="00917D89"/>
    <w:rsid w:val="00920E52"/>
    <w:rsid w:val="009216D2"/>
    <w:rsid w:val="009220EB"/>
    <w:rsid w:val="0092223F"/>
    <w:rsid w:val="009223D7"/>
    <w:rsid w:val="00923212"/>
    <w:rsid w:val="00923472"/>
    <w:rsid w:val="00923EF1"/>
    <w:rsid w:val="009249E1"/>
    <w:rsid w:val="00924DCE"/>
    <w:rsid w:val="009259E7"/>
    <w:rsid w:val="00925AAF"/>
    <w:rsid w:val="00925D16"/>
    <w:rsid w:val="00926923"/>
    <w:rsid w:val="00926C02"/>
    <w:rsid w:val="00926EB2"/>
    <w:rsid w:val="00927BAF"/>
    <w:rsid w:val="009303EF"/>
    <w:rsid w:val="00930945"/>
    <w:rsid w:val="00930D9D"/>
    <w:rsid w:val="00930E13"/>
    <w:rsid w:val="0093122D"/>
    <w:rsid w:val="00931246"/>
    <w:rsid w:val="00931C60"/>
    <w:rsid w:val="00931E5F"/>
    <w:rsid w:val="0093243A"/>
    <w:rsid w:val="009325B3"/>
    <w:rsid w:val="00932B0C"/>
    <w:rsid w:val="009337BB"/>
    <w:rsid w:val="00933D9F"/>
    <w:rsid w:val="00934215"/>
    <w:rsid w:val="00934291"/>
    <w:rsid w:val="0093502D"/>
    <w:rsid w:val="009350D7"/>
    <w:rsid w:val="009357CB"/>
    <w:rsid w:val="00935933"/>
    <w:rsid w:val="00935BCF"/>
    <w:rsid w:val="0093677C"/>
    <w:rsid w:val="009367B4"/>
    <w:rsid w:val="0093742C"/>
    <w:rsid w:val="009378B8"/>
    <w:rsid w:val="00937A09"/>
    <w:rsid w:val="00937CD6"/>
    <w:rsid w:val="00937F7B"/>
    <w:rsid w:val="009402FB"/>
    <w:rsid w:val="0094085F"/>
    <w:rsid w:val="00940E14"/>
    <w:rsid w:val="009411C4"/>
    <w:rsid w:val="00941515"/>
    <w:rsid w:val="009416E0"/>
    <w:rsid w:val="00941CA4"/>
    <w:rsid w:val="00942330"/>
    <w:rsid w:val="009423D3"/>
    <w:rsid w:val="009425A2"/>
    <w:rsid w:val="00942627"/>
    <w:rsid w:val="0094276E"/>
    <w:rsid w:val="00942A21"/>
    <w:rsid w:val="009430BE"/>
    <w:rsid w:val="00943291"/>
    <w:rsid w:val="009435E6"/>
    <w:rsid w:val="009438AB"/>
    <w:rsid w:val="00943F9A"/>
    <w:rsid w:val="00944370"/>
    <w:rsid w:val="00944A94"/>
    <w:rsid w:val="00944D1F"/>
    <w:rsid w:val="009453D5"/>
    <w:rsid w:val="0094551B"/>
    <w:rsid w:val="0094576B"/>
    <w:rsid w:val="00945A5C"/>
    <w:rsid w:val="00945D53"/>
    <w:rsid w:val="00946164"/>
    <w:rsid w:val="00946350"/>
    <w:rsid w:val="009464A2"/>
    <w:rsid w:val="00946D23"/>
    <w:rsid w:val="00947607"/>
    <w:rsid w:val="00947B7A"/>
    <w:rsid w:val="00950CC0"/>
    <w:rsid w:val="00950F59"/>
    <w:rsid w:val="009511DF"/>
    <w:rsid w:val="00951AAD"/>
    <w:rsid w:val="00952942"/>
    <w:rsid w:val="009533DE"/>
    <w:rsid w:val="0095363B"/>
    <w:rsid w:val="00953E37"/>
    <w:rsid w:val="009542E6"/>
    <w:rsid w:val="0095453E"/>
    <w:rsid w:val="009549A9"/>
    <w:rsid w:val="00955013"/>
    <w:rsid w:val="00955221"/>
    <w:rsid w:val="00955640"/>
    <w:rsid w:val="009564BB"/>
    <w:rsid w:val="00956DF4"/>
    <w:rsid w:val="00956E84"/>
    <w:rsid w:val="00956FA5"/>
    <w:rsid w:val="0095709E"/>
    <w:rsid w:val="009570F0"/>
    <w:rsid w:val="00957908"/>
    <w:rsid w:val="0095791D"/>
    <w:rsid w:val="00957CA7"/>
    <w:rsid w:val="00957E43"/>
    <w:rsid w:val="009602F4"/>
    <w:rsid w:val="00960331"/>
    <w:rsid w:val="00960EE0"/>
    <w:rsid w:val="0096133E"/>
    <w:rsid w:val="009621E7"/>
    <w:rsid w:val="0096257F"/>
    <w:rsid w:val="00962BF7"/>
    <w:rsid w:val="00962ECD"/>
    <w:rsid w:val="009632D0"/>
    <w:rsid w:val="00963748"/>
    <w:rsid w:val="00963C86"/>
    <w:rsid w:val="00964398"/>
    <w:rsid w:val="009647C6"/>
    <w:rsid w:val="0096481D"/>
    <w:rsid w:val="009650F0"/>
    <w:rsid w:val="00965C30"/>
    <w:rsid w:val="00965E4E"/>
    <w:rsid w:val="00965F81"/>
    <w:rsid w:val="00966687"/>
    <w:rsid w:val="0096684B"/>
    <w:rsid w:val="00966AD3"/>
    <w:rsid w:val="00966CCF"/>
    <w:rsid w:val="00966FF9"/>
    <w:rsid w:val="00967016"/>
    <w:rsid w:val="0096730A"/>
    <w:rsid w:val="00967839"/>
    <w:rsid w:val="00967EAE"/>
    <w:rsid w:val="009707E8"/>
    <w:rsid w:val="00970A8B"/>
    <w:rsid w:val="00970BE3"/>
    <w:rsid w:val="00971D49"/>
    <w:rsid w:val="009722A8"/>
    <w:rsid w:val="00973921"/>
    <w:rsid w:val="00973AF9"/>
    <w:rsid w:val="00973B07"/>
    <w:rsid w:val="00973E41"/>
    <w:rsid w:val="00974450"/>
    <w:rsid w:val="00974945"/>
    <w:rsid w:val="00974C55"/>
    <w:rsid w:val="00974C5D"/>
    <w:rsid w:val="00975ED0"/>
    <w:rsid w:val="009765E7"/>
    <w:rsid w:val="009773D5"/>
    <w:rsid w:val="00980365"/>
    <w:rsid w:val="00980C4B"/>
    <w:rsid w:val="00980E45"/>
    <w:rsid w:val="0098134E"/>
    <w:rsid w:val="0098225E"/>
    <w:rsid w:val="00982616"/>
    <w:rsid w:val="009835C9"/>
    <w:rsid w:val="009839C4"/>
    <w:rsid w:val="00983A59"/>
    <w:rsid w:val="00984777"/>
    <w:rsid w:val="0098585C"/>
    <w:rsid w:val="009858F8"/>
    <w:rsid w:val="00985B0B"/>
    <w:rsid w:val="009866EB"/>
    <w:rsid w:val="00986D06"/>
    <w:rsid w:val="00987A3E"/>
    <w:rsid w:val="00987B7B"/>
    <w:rsid w:val="009901B6"/>
    <w:rsid w:val="009914F6"/>
    <w:rsid w:val="00991509"/>
    <w:rsid w:val="00991571"/>
    <w:rsid w:val="009918FD"/>
    <w:rsid w:val="0099278D"/>
    <w:rsid w:val="00993490"/>
    <w:rsid w:val="00993F95"/>
    <w:rsid w:val="0099446D"/>
    <w:rsid w:val="009944D3"/>
    <w:rsid w:val="009947F6"/>
    <w:rsid w:val="00994AC3"/>
    <w:rsid w:val="00994E39"/>
    <w:rsid w:val="009951AC"/>
    <w:rsid w:val="009975EB"/>
    <w:rsid w:val="00997A79"/>
    <w:rsid w:val="009A093B"/>
    <w:rsid w:val="009A0B4F"/>
    <w:rsid w:val="009A0D9D"/>
    <w:rsid w:val="009A159F"/>
    <w:rsid w:val="009A1D1F"/>
    <w:rsid w:val="009A1DFE"/>
    <w:rsid w:val="009A2B6B"/>
    <w:rsid w:val="009A2C83"/>
    <w:rsid w:val="009A2D81"/>
    <w:rsid w:val="009A2D9C"/>
    <w:rsid w:val="009A3237"/>
    <w:rsid w:val="009A3839"/>
    <w:rsid w:val="009A39A8"/>
    <w:rsid w:val="009A3B30"/>
    <w:rsid w:val="009A3B90"/>
    <w:rsid w:val="009A3E66"/>
    <w:rsid w:val="009A3FA9"/>
    <w:rsid w:val="009A432B"/>
    <w:rsid w:val="009A4866"/>
    <w:rsid w:val="009A488A"/>
    <w:rsid w:val="009A4A1A"/>
    <w:rsid w:val="009A4C6E"/>
    <w:rsid w:val="009A5985"/>
    <w:rsid w:val="009A6A1B"/>
    <w:rsid w:val="009A6CFF"/>
    <w:rsid w:val="009A78F3"/>
    <w:rsid w:val="009B02CA"/>
    <w:rsid w:val="009B0BEB"/>
    <w:rsid w:val="009B0E55"/>
    <w:rsid w:val="009B2112"/>
    <w:rsid w:val="009B28C0"/>
    <w:rsid w:val="009B28E0"/>
    <w:rsid w:val="009B2BE2"/>
    <w:rsid w:val="009B2CBB"/>
    <w:rsid w:val="009B3D7C"/>
    <w:rsid w:val="009B4632"/>
    <w:rsid w:val="009B5581"/>
    <w:rsid w:val="009B5916"/>
    <w:rsid w:val="009B5AB9"/>
    <w:rsid w:val="009B5B4F"/>
    <w:rsid w:val="009B5D1D"/>
    <w:rsid w:val="009B6398"/>
    <w:rsid w:val="009B64B9"/>
    <w:rsid w:val="009B6992"/>
    <w:rsid w:val="009B6A59"/>
    <w:rsid w:val="009B7872"/>
    <w:rsid w:val="009B7BDB"/>
    <w:rsid w:val="009C1188"/>
    <w:rsid w:val="009C18CD"/>
    <w:rsid w:val="009C2101"/>
    <w:rsid w:val="009C2D09"/>
    <w:rsid w:val="009C2F9A"/>
    <w:rsid w:val="009C3535"/>
    <w:rsid w:val="009C3EB6"/>
    <w:rsid w:val="009C4A48"/>
    <w:rsid w:val="009C4E9A"/>
    <w:rsid w:val="009C54E6"/>
    <w:rsid w:val="009C55A8"/>
    <w:rsid w:val="009C5910"/>
    <w:rsid w:val="009C5DAE"/>
    <w:rsid w:val="009C6DB9"/>
    <w:rsid w:val="009C703E"/>
    <w:rsid w:val="009C7857"/>
    <w:rsid w:val="009D0796"/>
    <w:rsid w:val="009D1694"/>
    <w:rsid w:val="009D2166"/>
    <w:rsid w:val="009D2199"/>
    <w:rsid w:val="009D222A"/>
    <w:rsid w:val="009D33CE"/>
    <w:rsid w:val="009D3E86"/>
    <w:rsid w:val="009D44D5"/>
    <w:rsid w:val="009D486C"/>
    <w:rsid w:val="009D58C0"/>
    <w:rsid w:val="009D5BA4"/>
    <w:rsid w:val="009D62CF"/>
    <w:rsid w:val="009D667D"/>
    <w:rsid w:val="009E0659"/>
    <w:rsid w:val="009E074D"/>
    <w:rsid w:val="009E0BDE"/>
    <w:rsid w:val="009E1EBA"/>
    <w:rsid w:val="009E23C5"/>
    <w:rsid w:val="009E307E"/>
    <w:rsid w:val="009E30AD"/>
    <w:rsid w:val="009E341F"/>
    <w:rsid w:val="009E34E8"/>
    <w:rsid w:val="009E3A50"/>
    <w:rsid w:val="009E56B9"/>
    <w:rsid w:val="009E5A02"/>
    <w:rsid w:val="009E6064"/>
    <w:rsid w:val="009E68E0"/>
    <w:rsid w:val="009E6C20"/>
    <w:rsid w:val="009E6EC1"/>
    <w:rsid w:val="009E7273"/>
    <w:rsid w:val="009E749B"/>
    <w:rsid w:val="009F0073"/>
    <w:rsid w:val="009F09D2"/>
    <w:rsid w:val="009F0F9E"/>
    <w:rsid w:val="009F1552"/>
    <w:rsid w:val="009F1F4F"/>
    <w:rsid w:val="009F1F95"/>
    <w:rsid w:val="009F21F5"/>
    <w:rsid w:val="009F23CA"/>
    <w:rsid w:val="009F2470"/>
    <w:rsid w:val="009F248F"/>
    <w:rsid w:val="009F24AF"/>
    <w:rsid w:val="009F2D28"/>
    <w:rsid w:val="009F2E58"/>
    <w:rsid w:val="009F32D0"/>
    <w:rsid w:val="009F346F"/>
    <w:rsid w:val="009F3627"/>
    <w:rsid w:val="009F3B59"/>
    <w:rsid w:val="009F45DC"/>
    <w:rsid w:val="009F4668"/>
    <w:rsid w:val="009F4DD6"/>
    <w:rsid w:val="009F518E"/>
    <w:rsid w:val="009F54A4"/>
    <w:rsid w:val="009F54B9"/>
    <w:rsid w:val="009F54F1"/>
    <w:rsid w:val="009F5649"/>
    <w:rsid w:val="009F6A26"/>
    <w:rsid w:val="009F6D20"/>
    <w:rsid w:val="009F7C34"/>
    <w:rsid w:val="009F7EC4"/>
    <w:rsid w:val="00A00C20"/>
    <w:rsid w:val="00A00C4D"/>
    <w:rsid w:val="00A011C7"/>
    <w:rsid w:val="00A015AA"/>
    <w:rsid w:val="00A01EC3"/>
    <w:rsid w:val="00A01F60"/>
    <w:rsid w:val="00A02AD4"/>
    <w:rsid w:val="00A02C80"/>
    <w:rsid w:val="00A02D9F"/>
    <w:rsid w:val="00A02FA0"/>
    <w:rsid w:val="00A03DB3"/>
    <w:rsid w:val="00A04FA2"/>
    <w:rsid w:val="00A0513B"/>
    <w:rsid w:val="00A054E0"/>
    <w:rsid w:val="00A0598A"/>
    <w:rsid w:val="00A0619D"/>
    <w:rsid w:val="00A0631C"/>
    <w:rsid w:val="00A06D35"/>
    <w:rsid w:val="00A11310"/>
    <w:rsid w:val="00A124EC"/>
    <w:rsid w:val="00A12A84"/>
    <w:rsid w:val="00A12B57"/>
    <w:rsid w:val="00A13009"/>
    <w:rsid w:val="00A135F5"/>
    <w:rsid w:val="00A139DA"/>
    <w:rsid w:val="00A141D1"/>
    <w:rsid w:val="00A142A9"/>
    <w:rsid w:val="00A14CF9"/>
    <w:rsid w:val="00A14F01"/>
    <w:rsid w:val="00A15626"/>
    <w:rsid w:val="00A15A64"/>
    <w:rsid w:val="00A15C3A"/>
    <w:rsid w:val="00A16178"/>
    <w:rsid w:val="00A16758"/>
    <w:rsid w:val="00A168FC"/>
    <w:rsid w:val="00A1697D"/>
    <w:rsid w:val="00A172F5"/>
    <w:rsid w:val="00A17845"/>
    <w:rsid w:val="00A178FC"/>
    <w:rsid w:val="00A17AAC"/>
    <w:rsid w:val="00A17E0B"/>
    <w:rsid w:val="00A200E9"/>
    <w:rsid w:val="00A2063B"/>
    <w:rsid w:val="00A20B7A"/>
    <w:rsid w:val="00A20F64"/>
    <w:rsid w:val="00A229C4"/>
    <w:rsid w:val="00A231DF"/>
    <w:rsid w:val="00A23340"/>
    <w:rsid w:val="00A23E08"/>
    <w:rsid w:val="00A23E2C"/>
    <w:rsid w:val="00A2403C"/>
    <w:rsid w:val="00A2429A"/>
    <w:rsid w:val="00A244F3"/>
    <w:rsid w:val="00A24AD0"/>
    <w:rsid w:val="00A25D88"/>
    <w:rsid w:val="00A26096"/>
    <w:rsid w:val="00A261E7"/>
    <w:rsid w:val="00A265E9"/>
    <w:rsid w:val="00A269BD"/>
    <w:rsid w:val="00A26DD0"/>
    <w:rsid w:val="00A27590"/>
    <w:rsid w:val="00A2760A"/>
    <w:rsid w:val="00A27E20"/>
    <w:rsid w:val="00A301F9"/>
    <w:rsid w:val="00A302AC"/>
    <w:rsid w:val="00A3070E"/>
    <w:rsid w:val="00A30B57"/>
    <w:rsid w:val="00A30D51"/>
    <w:rsid w:val="00A30F8E"/>
    <w:rsid w:val="00A313AD"/>
    <w:rsid w:val="00A3179E"/>
    <w:rsid w:val="00A31ACB"/>
    <w:rsid w:val="00A328A1"/>
    <w:rsid w:val="00A32CB1"/>
    <w:rsid w:val="00A32F89"/>
    <w:rsid w:val="00A33BBB"/>
    <w:rsid w:val="00A341D4"/>
    <w:rsid w:val="00A351D3"/>
    <w:rsid w:val="00A36044"/>
    <w:rsid w:val="00A36155"/>
    <w:rsid w:val="00A3620E"/>
    <w:rsid w:val="00A362EC"/>
    <w:rsid w:val="00A364CC"/>
    <w:rsid w:val="00A36805"/>
    <w:rsid w:val="00A36C53"/>
    <w:rsid w:val="00A36DAE"/>
    <w:rsid w:val="00A36F1C"/>
    <w:rsid w:val="00A37335"/>
    <w:rsid w:val="00A37BE7"/>
    <w:rsid w:val="00A4031F"/>
    <w:rsid w:val="00A403F6"/>
    <w:rsid w:val="00A4065C"/>
    <w:rsid w:val="00A4097A"/>
    <w:rsid w:val="00A40AA0"/>
    <w:rsid w:val="00A40EE5"/>
    <w:rsid w:val="00A418E5"/>
    <w:rsid w:val="00A41AC4"/>
    <w:rsid w:val="00A4227C"/>
    <w:rsid w:val="00A423F3"/>
    <w:rsid w:val="00A430B2"/>
    <w:rsid w:val="00A43505"/>
    <w:rsid w:val="00A436B9"/>
    <w:rsid w:val="00A43789"/>
    <w:rsid w:val="00A4383C"/>
    <w:rsid w:val="00A43D1B"/>
    <w:rsid w:val="00A441B7"/>
    <w:rsid w:val="00A443A6"/>
    <w:rsid w:val="00A44D58"/>
    <w:rsid w:val="00A4532A"/>
    <w:rsid w:val="00A458EF"/>
    <w:rsid w:val="00A45E72"/>
    <w:rsid w:val="00A46177"/>
    <w:rsid w:val="00A46196"/>
    <w:rsid w:val="00A463FA"/>
    <w:rsid w:val="00A464D8"/>
    <w:rsid w:val="00A468BE"/>
    <w:rsid w:val="00A46A06"/>
    <w:rsid w:val="00A46BF2"/>
    <w:rsid w:val="00A47930"/>
    <w:rsid w:val="00A50DDA"/>
    <w:rsid w:val="00A5197C"/>
    <w:rsid w:val="00A52CA1"/>
    <w:rsid w:val="00A536AA"/>
    <w:rsid w:val="00A53E6C"/>
    <w:rsid w:val="00A54694"/>
    <w:rsid w:val="00A558F6"/>
    <w:rsid w:val="00A5590D"/>
    <w:rsid w:val="00A55E8D"/>
    <w:rsid w:val="00A5611A"/>
    <w:rsid w:val="00A56395"/>
    <w:rsid w:val="00A5641F"/>
    <w:rsid w:val="00A568F9"/>
    <w:rsid w:val="00A5705F"/>
    <w:rsid w:val="00A5727F"/>
    <w:rsid w:val="00A576B5"/>
    <w:rsid w:val="00A57C91"/>
    <w:rsid w:val="00A57D3A"/>
    <w:rsid w:val="00A603B7"/>
    <w:rsid w:val="00A604F3"/>
    <w:rsid w:val="00A609BA"/>
    <w:rsid w:val="00A60D46"/>
    <w:rsid w:val="00A610AE"/>
    <w:rsid w:val="00A61A67"/>
    <w:rsid w:val="00A61AA2"/>
    <w:rsid w:val="00A61C61"/>
    <w:rsid w:val="00A61F02"/>
    <w:rsid w:val="00A621CA"/>
    <w:rsid w:val="00A62205"/>
    <w:rsid w:val="00A63315"/>
    <w:rsid w:val="00A634C8"/>
    <w:rsid w:val="00A63D4C"/>
    <w:rsid w:val="00A63E4A"/>
    <w:rsid w:val="00A646F5"/>
    <w:rsid w:val="00A65537"/>
    <w:rsid w:val="00A6589B"/>
    <w:rsid w:val="00A66570"/>
    <w:rsid w:val="00A66F60"/>
    <w:rsid w:val="00A671A0"/>
    <w:rsid w:val="00A6740B"/>
    <w:rsid w:val="00A6753A"/>
    <w:rsid w:val="00A675B6"/>
    <w:rsid w:val="00A67637"/>
    <w:rsid w:val="00A676FB"/>
    <w:rsid w:val="00A67DA1"/>
    <w:rsid w:val="00A700EA"/>
    <w:rsid w:val="00A71362"/>
    <w:rsid w:val="00A717BE"/>
    <w:rsid w:val="00A717CB"/>
    <w:rsid w:val="00A723E5"/>
    <w:rsid w:val="00A7335D"/>
    <w:rsid w:val="00A733C4"/>
    <w:rsid w:val="00A73480"/>
    <w:rsid w:val="00A7419F"/>
    <w:rsid w:val="00A74EBE"/>
    <w:rsid w:val="00A750F7"/>
    <w:rsid w:val="00A75431"/>
    <w:rsid w:val="00A755CA"/>
    <w:rsid w:val="00A75CEF"/>
    <w:rsid w:val="00A76049"/>
    <w:rsid w:val="00A760DB"/>
    <w:rsid w:val="00A76505"/>
    <w:rsid w:val="00A76B87"/>
    <w:rsid w:val="00A76F85"/>
    <w:rsid w:val="00A775FF"/>
    <w:rsid w:val="00A7762D"/>
    <w:rsid w:val="00A807D7"/>
    <w:rsid w:val="00A80B21"/>
    <w:rsid w:val="00A80B71"/>
    <w:rsid w:val="00A80E81"/>
    <w:rsid w:val="00A8205C"/>
    <w:rsid w:val="00A8244F"/>
    <w:rsid w:val="00A8273E"/>
    <w:rsid w:val="00A82B48"/>
    <w:rsid w:val="00A82D8A"/>
    <w:rsid w:val="00A82E68"/>
    <w:rsid w:val="00A83261"/>
    <w:rsid w:val="00A83340"/>
    <w:rsid w:val="00A83930"/>
    <w:rsid w:val="00A84199"/>
    <w:rsid w:val="00A84B90"/>
    <w:rsid w:val="00A84D31"/>
    <w:rsid w:val="00A85409"/>
    <w:rsid w:val="00A85587"/>
    <w:rsid w:val="00A86186"/>
    <w:rsid w:val="00A87157"/>
    <w:rsid w:val="00A87BC3"/>
    <w:rsid w:val="00A9033F"/>
    <w:rsid w:val="00A90634"/>
    <w:rsid w:val="00A9083A"/>
    <w:rsid w:val="00A90A0E"/>
    <w:rsid w:val="00A90B6B"/>
    <w:rsid w:val="00A90BE1"/>
    <w:rsid w:val="00A90EAA"/>
    <w:rsid w:val="00A910FA"/>
    <w:rsid w:val="00A9229D"/>
    <w:rsid w:val="00A92584"/>
    <w:rsid w:val="00A92ACA"/>
    <w:rsid w:val="00A94199"/>
    <w:rsid w:val="00A94447"/>
    <w:rsid w:val="00A948FF"/>
    <w:rsid w:val="00A94912"/>
    <w:rsid w:val="00A94E8A"/>
    <w:rsid w:val="00A94EB1"/>
    <w:rsid w:val="00A95047"/>
    <w:rsid w:val="00A951FE"/>
    <w:rsid w:val="00A95378"/>
    <w:rsid w:val="00A954E2"/>
    <w:rsid w:val="00A956DC"/>
    <w:rsid w:val="00A959D0"/>
    <w:rsid w:val="00A95C93"/>
    <w:rsid w:val="00A9684E"/>
    <w:rsid w:val="00A96D0E"/>
    <w:rsid w:val="00A96EA9"/>
    <w:rsid w:val="00A97705"/>
    <w:rsid w:val="00A97D6B"/>
    <w:rsid w:val="00AA01D1"/>
    <w:rsid w:val="00AA0D89"/>
    <w:rsid w:val="00AA2711"/>
    <w:rsid w:val="00AA2D2B"/>
    <w:rsid w:val="00AA39A9"/>
    <w:rsid w:val="00AA3AAE"/>
    <w:rsid w:val="00AA3DE6"/>
    <w:rsid w:val="00AA4490"/>
    <w:rsid w:val="00AA462F"/>
    <w:rsid w:val="00AA4E24"/>
    <w:rsid w:val="00AA4E49"/>
    <w:rsid w:val="00AA4E89"/>
    <w:rsid w:val="00AA4F55"/>
    <w:rsid w:val="00AA581D"/>
    <w:rsid w:val="00AA5E8B"/>
    <w:rsid w:val="00AA6630"/>
    <w:rsid w:val="00AA772E"/>
    <w:rsid w:val="00AB0356"/>
    <w:rsid w:val="00AB03A3"/>
    <w:rsid w:val="00AB04E1"/>
    <w:rsid w:val="00AB087B"/>
    <w:rsid w:val="00AB0D3B"/>
    <w:rsid w:val="00AB12EB"/>
    <w:rsid w:val="00AB1687"/>
    <w:rsid w:val="00AB1A9A"/>
    <w:rsid w:val="00AB256E"/>
    <w:rsid w:val="00AB2986"/>
    <w:rsid w:val="00AB2B22"/>
    <w:rsid w:val="00AB39F0"/>
    <w:rsid w:val="00AB3D1E"/>
    <w:rsid w:val="00AB3D71"/>
    <w:rsid w:val="00AB44DE"/>
    <w:rsid w:val="00AB4A5C"/>
    <w:rsid w:val="00AB4DF9"/>
    <w:rsid w:val="00AB5FBC"/>
    <w:rsid w:val="00AB620E"/>
    <w:rsid w:val="00AB688E"/>
    <w:rsid w:val="00AB689A"/>
    <w:rsid w:val="00AB7447"/>
    <w:rsid w:val="00AB747D"/>
    <w:rsid w:val="00AB7A0E"/>
    <w:rsid w:val="00AC054C"/>
    <w:rsid w:val="00AC077C"/>
    <w:rsid w:val="00AC08BD"/>
    <w:rsid w:val="00AC0940"/>
    <w:rsid w:val="00AC0AA3"/>
    <w:rsid w:val="00AC18D6"/>
    <w:rsid w:val="00AC18EB"/>
    <w:rsid w:val="00AC1D1A"/>
    <w:rsid w:val="00AC1F83"/>
    <w:rsid w:val="00AC2447"/>
    <w:rsid w:val="00AC2F19"/>
    <w:rsid w:val="00AC319F"/>
    <w:rsid w:val="00AC3A25"/>
    <w:rsid w:val="00AC3BD6"/>
    <w:rsid w:val="00AC3C2F"/>
    <w:rsid w:val="00AC5A5E"/>
    <w:rsid w:val="00AC5AB6"/>
    <w:rsid w:val="00AC61A7"/>
    <w:rsid w:val="00AC63DC"/>
    <w:rsid w:val="00AC7393"/>
    <w:rsid w:val="00AC7565"/>
    <w:rsid w:val="00AD02C3"/>
    <w:rsid w:val="00AD0726"/>
    <w:rsid w:val="00AD0DA1"/>
    <w:rsid w:val="00AD10D4"/>
    <w:rsid w:val="00AD1A57"/>
    <w:rsid w:val="00AD1E21"/>
    <w:rsid w:val="00AD2BAC"/>
    <w:rsid w:val="00AD2E7B"/>
    <w:rsid w:val="00AD36CF"/>
    <w:rsid w:val="00AD4A1F"/>
    <w:rsid w:val="00AD4A2D"/>
    <w:rsid w:val="00AD5103"/>
    <w:rsid w:val="00AD574A"/>
    <w:rsid w:val="00AD636D"/>
    <w:rsid w:val="00AD6C02"/>
    <w:rsid w:val="00AD6C24"/>
    <w:rsid w:val="00AD7BFF"/>
    <w:rsid w:val="00AE006A"/>
    <w:rsid w:val="00AE0553"/>
    <w:rsid w:val="00AE0EFD"/>
    <w:rsid w:val="00AE15B5"/>
    <w:rsid w:val="00AE2687"/>
    <w:rsid w:val="00AE2B16"/>
    <w:rsid w:val="00AE2C32"/>
    <w:rsid w:val="00AE2C65"/>
    <w:rsid w:val="00AE2DB8"/>
    <w:rsid w:val="00AE2DE6"/>
    <w:rsid w:val="00AE2ECD"/>
    <w:rsid w:val="00AE3164"/>
    <w:rsid w:val="00AE35DD"/>
    <w:rsid w:val="00AE380C"/>
    <w:rsid w:val="00AE5EE7"/>
    <w:rsid w:val="00AE6059"/>
    <w:rsid w:val="00AE609B"/>
    <w:rsid w:val="00AE655D"/>
    <w:rsid w:val="00AE67C0"/>
    <w:rsid w:val="00AE6E9D"/>
    <w:rsid w:val="00AE7737"/>
    <w:rsid w:val="00AE7903"/>
    <w:rsid w:val="00AE7D8A"/>
    <w:rsid w:val="00AE7DA3"/>
    <w:rsid w:val="00AF00E0"/>
    <w:rsid w:val="00AF0E4B"/>
    <w:rsid w:val="00AF1141"/>
    <w:rsid w:val="00AF19E7"/>
    <w:rsid w:val="00AF1B96"/>
    <w:rsid w:val="00AF28B1"/>
    <w:rsid w:val="00AF2C2B"/>
    <w:rsid w:val="00AF3237"/>
    <w:rsid w:val="00AF392B"/>
    <w:rsid w:val="00AF401B"/>
    <w:rsid w:val="00AF40D9"/>
    <w:rsid w:val="00AF52A6"/>
    <w:rsid w:val="00AF542E"/>
    <w:rsid w:val="00AF5A44"/>
    <w:rsid w:val="00AF5B0A"/>
    <w:rsid w:val="00AF642D"/>
    <w:rsid w:val="00AF654A"/>
    <w:rsid w:val="00AF7B52"/>
    <w:rsid w:val="00AF7B75"/>
    <w:rsid w:val="00AF7EF6"/>
    <w:rsid w:val="00B00607"/>
    <w:rsid w:val="00B0069E"/>
    <w:rsid w:val="00B017A7"/>
    <w:rsid w:val="00B01ABC"/>
    <w:rsid w:val="00B01C25"/>
    <w:rsid w:val="00B022FA"/>
    <w:rsid w:val="00B02A59"/>
    <w:rsid w:val="00B02B64"/>
    <w:rsid w:val="00B02B69"/>
    <w:rsid w:val="00B02E8E"/>
    <w:rsid w:val="00B04305"/>
    <w:rsid w:val="00B048CA"/>
    <w:rsid w:val="00B0493F"/>
    <w:rsid w:val="00B04CC4"/>
    <w:rsid w:val="00B05230"/>
    <w:rsid w:val="00B05543"/>
    <w:rsid w:val="00B0591D"/>
    <w:rsid w:val="00B0599C"/>
    <w:rsid w:val="00B05D1B"/>
    <w:rsid w:val="00B05E93"/>
    <w:rsid w:val="00B06103"/>
    <w:rsid w:val="00B06474"/>
    <w:rsid w:val="00B072AA"/>
    <w:rsid w:val="00B07531"/>
    <w:rsid w:val="00B07637"/>
    <w:rsid w:val="00B0763F"/>
    <w:rsid w:val="00B07781"/>
    <w:rsid w:val="00B10314"/>
    <w:rsid w:val="00B1117A"/>
    <w:rsid w:val="00B11277"/>
    <w:rsid w:val="00B11C5B"/>
    <w:rsid w:val="00B121DC"/>
    <w:rsid w:val="00B12AB4"/>
    <w:rsid w:val="00B1328A"/>
    <w:rsid w:val="00B136BE"/>
    <w:rsid w:val="00B15396"/>
    <w:rsid w:val="00B15E26"/>
    <w:rsid w:val="00B15E3D"/>
    <w:rsid w:val="00B1602D"/>
    <w:rsid w:val="00B162DC"/>
    <w:rsid w:val="00B166EE"/>
    <w:rsid w:val="00B213E4"/>
    <w:rsid w:val="00B2198B"/>
    <w:rsid w:val="00B21B1A"/>
    <w:rsid w:val="00B21F39"/>
    <w:rsid w:val="00B2238B"/>
    <w:rsid w:val="00B224A6"/>
    <w:rsid w:val="00B23041"/>
    <w:rsid w:val="00B240A9"/>
    <w:rsid w:val="00B242C2"/>
    <w:rsid w:val="00B2448C"/>
    <w:rsid w:val="00B24DE4"/>
    <w:rsid w:val="00B25C8A"/>
    <w:rsid w:val="00B25CD7"/>
    <w:rsid w:val="00B260AF"/>
    <w:rsid w:val="00B26D42"/>
    <w:rsid w:val="00B278A8"/>
    <w:rsid w:val="00B27EB3"/>
    <w:rsid w:val="00B27EC2"/>
    <w:rsid w:val="00B30227"/>
    <w:rsid w:val="00B305FB"/>
    <w:rsid w:val="00B32603"/>
    <w:rsid w:val="00B32A1B"/>
    <w:rsid w:val="00B32BC4"/>
    <w:rsid w:val="00B32C6C"/>
    <w:rsid w:val="00B32E6C"/>
    <w:rsid w:val="00B32ECB"/>
    <w:rsid w:val="00B334B4"/>
    <w:rsid w:val="00B337F2"/>
    <w:rsid w:val="00B33BAE"/>
    <w:rsid w:val="00B350A9"/>
    <w:rsid w:val="00B35AA9"/>
    <w:rsid w:val="00B36084"/>
    <w:rsid w:val="00B36541"/>
    <w:rsid w:val="00B36CD5"/>
    <w:rsid w:val="00B36CDE"/>
    <w:rsid w:val="00B36F43"/>
    <w:rsid w:val="00B3773E"/>
    <w:rsid w:val="00B379FE"/>
    <w:rsid w:val="00B40AB3"/>
    <w:rsid w:val="00B4180F"/>
    <w:rsid w:val="00B41D88"/>
    <w:rsid w:val="00B41F68"/>
    <w:rsid w:val="00B42240"/>
    <w:rsid w:val="00B42EC5"/>
    <w:rsid w:val="00B43144"/>
    <w:rsid w:val="00B433F3"/>
    <w:rsid w:val="00B437BE"/>
    <w:rsid w:val="00B438D3"/>
    <w:rsid w:val="00B43D8F"/>
    <w:rsid w:val="00B43E80"/>
    <w:rsid w:val="00B44017"/>
    <w:rsid w:val="00B4430E"/>
    <w:rsid w:val="00B45600"/>
    <w:rsid w:val="00B45AA6"/>
    <w:rsid w:val="00B46292"/>
    <w:rsid w:val="00B46293"/>
    <w:rsid w:val="00B46298"/>
    <w:rsid w:val="00B462A8"/>
    <w:rsid w:val="00B4646E"/>
    <w:rsid w:val="00B4656D"/>
    <w:rsid w:val="00B4685D"/>
    <w:rsid w:val="00B46A96"/>
    <w:rsid w:val="00B46B5C"/>
    <w:rsid w:val="00B46C7B"/>
    <w:rsid w:val="00B46ECE"/>
    <w:rsid w:val="00B47782"/>
    <w:rsid w:val="00B47C81"/>
    <w:rsid w:val="00B504CC"/>
    <w:rsid w:val="00B50A2D"/>
    <w:rsid w:val="00B5243E"/>
    <w:rsid w:val="00B5266D"/>
    <w:rsid w:val="00B526CC"/>
    <w:rsid w:val="00B53AED"/>
    <w:rsid w:val="00B5442C"/>
    <w:rsid w:val="00B54498"/>
    <w:rsid w:val="00B54A6D"/>
    <w:rsid w:val="00B54FBC"/>
    <w:rsid w:val="00B55270"/>
    <w:rsid w:val="00B55490"/>
    <w:rsid w:val="00B5562A"/>
    <w:rsid w:val="00B562EA"/>
    <w:rsid w:val="00B569EE"/>
    <w:rsid w:val="00B575BE"/>
    <w:rsid w:val="00B600F3"/>
    <w:rsid w:val="00B60222"/>
    <w:rsid w:val="00B608C9"/>
    <w:rsid w:val="00B6117A"/>
    <w:rsid w:val="00B6180D"/>
    <w:rsid w:val="00B61D6F"/>
    <w:rsid w:val="00B62482"/>
    <w:rsid w:val="00B62839"/>
    <w:rsid w:val="00B62DFF"/>
    <w:rsid w:val="00B631E8"/>
    <w:rsid w:val="00B635DC"/>
    <w:rsid w:val="00B63DEE"/>
    <w:rsid w:val="00B63FD1"/>
    <w:rsid w:val="00B6402D"/>
    <w:rsid w:val="00B640EA"/>
    <w:rsid w:val="00B641E6"/>
    <w:rsid w:val="00B644E9"/>
    <w:rsid w:val="00B64AB9"/>
    <w:rsid w:val="00B64FA1"/>
    <w:rsid w:val="00B656E4"/>
    <w:rsid w:val="00B6574B"/>
    <w:rsid w:val="00B65D2D"/>
    <w:rsid w:val="00B65DF6"/>
    <w:rsid w:val="00B665CD"/>
    <w:rsid w:val="00B66D87"/>
    <w:rsid w:val="00B67177"/>
    <w:rsid w:val="00B6738D"/>
    <w:rsid w:val="00B67864"/>
    <w:rsid w:val="00B67BEE"/>
    <w:rsid w:val="00B67E12"/>
    <w:rsid w:val="00B70290"/>
    <w:rsid w:val="00B71071"/>
    <w:rsid w:val="00B72DBF"/>
    <w:rsid w:val="00B7364E"/>
    <w:rsid w:val="00B74340"/>
    <w:rsid w:val="00B744F4"/>
    <w:rsid w:val="00B74749"/>
    <w:rsid w:val="00B748E3"/>
    <w:rsid w:val="00B74A15"/>
    <w:rsid w:val="00B75D75"/>
    <w:rsid w:val="00B75FD4"/>
    <w:rsid w:val="00B76196"/>
    <w:rsid w:val="00B76551"/>
    <w:rsid w:val="00B7674B"/>
    <w:rsid w:val="00B76D5A"/>
    <w:rsid w:val="00B76E84"/>
    <w:rsid w:val="00B76F26"/>
    <w:rsid w:val="00B770A0"/>
    <w:rsid w:val="00B8042B"/>
    <w:rsid w:val="00B805C4"/>
    <w:rsid w:val="00B80662"/>
    <w:rsid w:val="00B806FD"/>
    <w:rsid w:val="00B8118D"/>
    <w:rsid w:val="00B813A1"/>
    <w:rsid w:val="00B814EF"/>
    <w:rsid w:val="00B81F4E"/>
    <w:rsid w:val="00B828C5"/>
    <w:rsid w:val="00B82F91"/>
    <w:rsid w:val="00B832C4"/>
    <w:rsid w:val="00B83763"/>
    <w:rsid w:val="00B83ACC"/>
    <w:rsid w:val="00B8406B"/>
    <w:rsid w:val="00B84497"/>
    <w:rsid w:val="00B8476E"/>
    <w:rsid w:val="00B84C8D"/>
    <w:rsid w:val="00B85812"/>
    <w:rsid w:val="00B85D77"/>
    <w:rsid w:val="00B85F0A"/>
    <w:rsid w:val="00B868B0"/>
    <w:rsid w:val="00B8740B"/>
    <w:rsid w:val="00B874D5"/>
    <w:rsid w:val="00B875D8"/>
    <w:rsid w:val="00B87AFE"/>
    <w:rsid w:val="00B900DE"/>
    <w:rsid w:val="00B901AE"/>
    <w:rsid w:val="00B9049E"/>
    <w:rsid w:val="00B90816"/>
    <w:rsid w:val="00B90B0F"/>
    <w:rsid w:val="00B916BF"/>
    <w:rsid w:val="00B91D95"/>
    <w:rsid w:val="00B91D9D"/>
    <w:rsid w:val="00B92DC1"/>
    <w:rsid w:val="00B938C0"/>
    <w:rsid w:val="00B93F6B"/>
    <w:rsid w:val="00B9408C"/>
    <w:rsid w:val="00B952FA"/>
    <w:rsid w:val="00B9548C"/>
    <w:rsid w:val="00B95677"/>
    <w:rsid w:val="00B95CB8"/>
    <w:rsid w:val="00B965E0"/>
    <w:rsid w:val="00B96C86"/>
    <w:rsid w:val="00B96DAF"/>
    <w:rsid w:val="00B96DC8"/>
    <w:rsid w:val="00B9750F"/>
    <w:rsid w:val="00B9765B"/>
    <w:rsid w:val="00B977FA"/>
    <w:rsid w:val="00BA0851"/>
    <w:rsid w:val="00BA1007"/>
    <w:rsid w:val="00BA1362"/>
    <w:rsid w:val="00BA194F"/>
    <w:rsid w:val="00BA298E"/>
    <w:rsid w:val="00BA2F0F"/>
    <w:rsid w:val="00BA3463"/>
    <w:rsid w:val="00BA36C6"/>
    <w:rsid w:val="00BA41C1"/>
    <w:rsid w:val="00BA423A"/>
    <w:rsid w:val="00BA51E6"/>
    <w:rsid w:val="00BA5422"/>
    <w:rsid w:val="00BA60CC"/>
    <w:rsid w:val="00BA6ED8"/>
    <w:rsid w:val="00BA7326"/>
    <w:rsid w:val="00BA781C"/>
    <w:rsid w:val="00BA79E5"/>
    <w:rsid w:val="00BA7B51"/>
    <w:rsid w:val="00BA7D68"/>
    <w:rsid w:val="00BB0119"/>
    <w:rsid w:val="00BB0184"/>
    <w:rsid w:val="00BB0294"/>
    <w:rsid w:val="00BB0CB0"/>
    <w:rsid w:val="00BB14BA"/>
    <w:rsid w:val="00BB1F99"/>
    <w:rsid w:val="00BB2D57"/>
    <w:rsid w:val="00BB3366"/>
    <w:rsid w:val="00BB339F"/>
    <w:rsid w:val="00BB39EB"/>
    <w:rsid w:val="00BB3DCD"/>
    <w:rsid w:val="00BB3E35"/>
    <w:rsid w:val="00BB44A1"/>
    <w:rsid w:val="00BB4C06"/>
    <w:rsid w:val="00BB4EC5"/>
    <w:rsid w:val="00BB56FE"/>
    <w:rsid w:val="00BB5757"/>
    <w:rsid w:val="00BB6538"/>
    <w:rsid w:val="00BB6C5E"/>
    <w:rsid w:val="00BB6F9A"/>
    <w:rsid w:val="00BB7D26"/>
    <w:rsid w:val="00BC01BC"/>
    <w:rsid w:val="00BC05FE"/>
    <w:rsid w:val="00BC06AF"/>
    <w:rsid w:val="00BC1138"/>
    <w:rsid w:val="00BC13B4"/>
    <w:rsid w:val="00BC1AD8"/>
    <w:rsid w:val="00BC1BC6"/>
    <w:rsid w:val="00BC23E2"/>
    <w:rsid w:val="00BC29BE"/>
    <w:rsid w:val="00BC2DD8"/>
    <w:rsid w:val="00BC2FB7"/>
    <w:rsid w:val="00BC395F"/>
    <w:rsid w:val="00BC3B57"/>
    <w:rsid w:val="00BC453F"/>
    <w:rsid w:val="00BC4C1A"/>
    <w:rsid w:val="00BC4ED5"/>
    <w:rsid w:val="00BC4FFB"/>
    <w:rsid w:val="00BC57F9"/>
    <w:rsid w:val="00BC5A1B"/>
    <w:rsid w:val="00BC5F4D"/>
    <w:rsid w:val="00BC684A"/>
    <w:rsid w:val="00BC6D71"/>
    <w:rsid w:val="00BC6F7E"/>
    <w:rsid w:val="00BC728C"/>
    <w:rsid w:val="00BC769F"/>
    <w:rsid w:val="00BC7866"/>
    <w:rsid w:val="00BC79EE"/>
    <w:rsid w:val="00BD02E7"/>
    <w:rsid w:val="00BD03E0"/>
    <w:rsid w:val="00BD0524"/>
    <w:rsid w:val="00BD05F7"/>
    <w:rsid w:val="00BD08E6"/>
    <w:rsid w:val="00BD0AB5"/>
    <w:rsid w:val="00BD1197"/>
    <w:rsid w:val="00BD19E9"/>
    <w:rsid w:val="00BD2390"/>
    <w:rsid w:val="00BD294A"/>
    <w:rsid w:val="00BD2C8E"/>
    <w:rsid w:val="00BD2CC8"/>
    <w:rsid w:val="00BD2F08"/>
    <w:rsid w:val="00BD3307"/>
    <w:rsid w:val="00BD367A"/>
    <w:rsid w:val="00BD3725"/>
    <w:rsid w:val="00BD492B"/>
    <w:rsid w:val="00BD5DB1"/>
    <w:rsid w:val="00BD5FF4"/>
    <w:rsid w:val="00BD6A84"/>
    <w:rsid w:val="00BD6BA6"/>
    <w:rsid w:val="00BD6D90"/>
    <w:rsid w:val="00BD6EAD"/>
    <w:rsid w:val="00BD78F3"/>
    <w:rsid w:val="00BD7EBB"/>
    <w:rsid w:val="00BD7FDB"/>
    <w:rsid w:val="00BE01D7"/>
    <w:rsid w:val="00BE0FD8"/>
    <w:rsid w:val="00BE175E"/>
    <w:rsid w:val="00BE1842"/>
    <w:rsid w:val="00BE278C"/>
    <w:rsid w:val="00BE2790"/>
    <w:rsid w:val="00BE2EEB"/>
    <w:rsid w:val="00BE3CDB"/>
    <w:rsid w:val="00BE41C1"/>
    <w:rsid w:val="00BE4FA0"/>
    <w:rsid w:val="00BE5816"/>
    <w:rsid w:val="00BE59A6"/>
    <w:rsid w:val="00BE5A50"/>
    <w:rsid w:val="00BE625B"/>
    <w:rsid w:val="00BE6C8A"/>
    <w:rsid w:val="00BE7643"/>
    <w:rsid w:val="00BF021C"/>
    <w:rsid w:val="00BF0C3B"/>
    <w:rsid w:val="00BF10E3"/>
    <w:rsid w:val="00BF111E"/>
    <w:rsid w:val="00BF1533"/>
    <w:rsid w:val="00BF157A"/>
    <w:rsid w:val="00BF1670"/>
    <w:rsid w:val="00BF21FD"/>
    <w:rsid w:val="00BF2AF5"/>
    <w:rsid w:val="00BF2B8D"/>
    <w:rsid w:val="00BF3407"/>
    <w:rsid w:val="00BF3632"/>
    <w:rsid w:val="00BF3C80"/>
    <w:rsid w:val="00BF3EED"/>
    <w:rsid w:val="00BF4698"/>
    <w:rsid w:val="00BF479A"/>
    <w:rsid w:val="00BF4AEF"/>
    <w:rsid w:val="00BF645B"/>
    <w:rsid w:val="00BF6511"/>
    <w:rsid w:val="00BF65FC"/>
    <w:rsid w:val="00BF7274"/>
    <w:rsid w:val="00BF77B1"/>
    <w:rsid w:val="00BF77E7"/>
    <w:rsid w:val="00BF7B0C"/>
    <w:rsid w:val="00C00439"/>
    <w:rsid w:val="00C00BB5"/>
    <w:rsid w:val="00C00BB7"/>
    <w:rsid w:val="00C00CC0"/>
    <w:rsid w:val="00C011B7"/>
    <w:rsid w:val="00C012CF"/>
    <w:rsid w:val="00C0194F"/>
    <w:rsid w:val="00C02995"/>
    <w:rsid w:val="00C035FB"/>
    <w:rsid w:val="00C043AC"/>
    <w:rsid w:val="00C0484D"/>
    <w:rsid w:val="00C04EB6"/>
    <w:rsid w:val="00C0505E"/>
    <w:rsid w:val="00C05AB9"/>
    <w:rsid w:val="00C05ABB"/>
    <w:rsid w:val="00C05CB4"/>
    <w:rsid w:val="00C05FF2"/>
    <w:rsid w:val="00C064A9"/>
    <w:rsid w:val="00C06854"/>
    <w:rsid w:val="00C06BE6"/>
    <w:rsid w:val="00C06C8E"/>
    <w:rsid w:val="00C07403"/>
    <w:rsid w:val="00C07724"/>
    <w:rsid w:val="00C07EB8"/>
    <w:rsid w:val="00C10483"/>
    <w:rsid w:val="00C10758"/>
    <w:rsid w:val="00C10F82"/>
    <w:rsid w:val="00C1269B"/>
    <w:rsid w:val="00C127AB"/>
    <w:rsid w:val="00C128B1"/>
    <w:rsid w:val="00C13046"/>
    <w:rsid w:val="00C13598"/>
    <w:rsid w:val="00C1364C"/>
    <w:rsid w:val="00C14018"/>
    <w:rsid w:val="00C141F6"/>
    <w:rsid w:val="00C14A81"/>
    <w:rsid w:val="00C14F3B"/>
    <w:rsid w:val="00C1509A"/>
    <w:rsid w:val="00C1526E"/>
    <w:rsid w:val="00C1539D"/>
    <w:rsid w:val="00C155BC"/>
    <w:rsid w:val="00C1572D"/>
    <w:rsid w:val="00C16054"/>
    <w:rsid w:val="00C16E8C"/>
    <w:rsid w:val="00C178D8"/>
    <w:rsid w:val="00C17DBC"/>
    <w:rsid w:val="00C17E1E"/>
    <w:rsid w:val="00C17F75"/>
    <w:rsid w:val="00C20103"/>
    <w:rsid w:val="00C20401"/>
    <w:rsid w:val="00C2152E"/>
    <w:rsid w:val="00C217D6"/>
    <w:rsid w:val="00C218B4"/>
    <w:rsid w:val="00C21C11"/>
    <w:rsid w:val="00C21EC3"/>
    <w:rsid w:val="00C23637"/>
    <w:rsid w:val="00C23907"/>
    <w:rsid w:val="00C23B94"/>
    <w:rsid w:val="00C23C47"/>
    <w:rsid w:val="00C2459F"/>
    <w:rsid w:val="00C2460C"/>
    <w:rsid w:val="00C24881"/>
    <w:rsid w:val="00C253E2"/>
    <w:rsid w:val="00C2551C"/>
    <w:rsid w:val="00C25F42"/>
    <w:rsid w:val="00C26F14"/>
    <w:rsid w:val="00C27046"/>
    <w:rsid w:val="00C27BC1"/>
    <w:rsid w:val="00C27D33"/>
    <w:rsid w:val="00C31770"/>
    <w:rsid w:val="00C31D6C"/>
    <w:rsid w:val="00C31F20"/>
    <w:rsid w:val="00C32BC0"/>
    <w:rsid w:val="00C33706"/>
    <w:rsid w:val="00C33890"/>
    <w:rsid w:val="00C33A3A"/>
    <w:rsid w:val="00C33B0E"/>
    <w:rsid w:val="00C33B27"/>
    <w:rsid w:val="00C340BF"/>
    <w:rsid w:val="00C3436A"/>
    <w:rsid w:val="00C3454C"/>
    <w:rsid w:val="00C3485E"/>
    <w:rsid w:val="00C34BEE"/>
    <w:rsid w:val="00C3528E"/>
    <w:rsid w:val="00C353B2"/>
    <w:rsid w:val="00C354C4"/>
    <w:rsid w:val="00C35711"/>
    <w:rsid w:val="00C3591F"/>
    <w:rsid w:val="00C35E13"/>
    <w:rsid w:val="00C35EBA"/>
    <w:rsid w:val="00C36267"/>
    <w:rsid w:val="00C36869"/>
    <w:rsid w:val="00C372F6"/>
    <w:rsid w:val="00C376F0"/>
    <w:rsid w:val="00C37BDF"/>
    <w:rsid w:val="00C37F2C"/>
    <w:rsid w:val="00C41727"/>
    <w:rsid w:val="00C41C30"/>
    <w:rsid w:val="00C41E34"/>
    <w:rsid w:val="00C42028"/>
    <w:rsid w:val="00C42168"/>
    <w:rsid w:val="00C42A2E"/>
    <w:rsid w:val="00C43777"/>
    <w:rsid w:val="00C44099"/>
    <w:rsid w:val="00C440AA"/>
    <w:rsid w:val="00C443F1"/>
    <w:rsid w:val="00C44C43"/>
    <w:rsid w:val="00C44D94"/>
    <w:rsid w:val="00C454D9"/>
    <w:rsid w:val="00C4596A"/>
    <w:rsid w:val="00C464C2"/>
    <w:rsid w:val="00C469AD"/>
    <w:rsid w:val="00C46C66"/>
    <w:rsid w:val="00C46D51"/>
    <w:rsid w:val="00C4717D"/>
    <w:rsid w:val="00C472CF"/>
    <w:rsid w:val="00C477FD"/>
    <w:rsid w:val="00C4789A"/>
    <w:rsid w:val="00C50B3D"/>
    <w:rsid w:val="00C510BB"/>
    <w:rsid w:val="00C52113"/>
    <w:rsid w:val="00C52577"/>
    <w:rsid w:val="00C52920"/>
    <w:rsid w:val="00C529D0"/>
    <w:rsid w:val="00C540B3"/>
    <w:rsid w:val="00C54302"/>
    <w:rsid w:val="00C54508"/>
    <w:rsid w:val="00C545E4"/>
    <w:rsid w:val="00C549D3"/>
    <w:rsid w:val="00C54CBC"/>
    <w:rsid w:val="00C54DF1"/>
    <w:rsid w:val="00C551E4"/>
    <w:rsid w:val="00C551E8"/>
    <w:rsid w:val="00C55371"/>
    <w:rsid w:val="00C55A0D"/>
    <w:rsid w:val="00C566D9"/>
    <w:rsid w:val="00C5680A"/>
    <w:rsid w:val="00C5681C"/>
    <w:rsid w:val="00C56BF7"/>
    <w:rsid w:val="00C57E22"/>
    <w:rsid w:val="00C60744"/>
    <w:rsid w:val="00C619C4"/>
    <w:rsid w:val="00C62F66"/>
    <w:rsid w:val="00C6337E"/>
    <w:rsid w:val="00C635D3"/>
    <w:rsid w:val="00C63635"/>
    <w:rsid w:val="00C63DF1"/>
    <w:rsid w:val="00C64270"/>
    <w:rsid w:val="00C64549"/>
    <w:rsid w:val="00C64ABE"/>
    <w:rsid w:val="00C64FD3"/>
    <w:rsid w:val="00C65D56"/>
    <w:rsid w:val="00C66884"/>
    <w:rsid w:val="00C67BD7"/>
    <w:rsid w:val="00C67D05"/>
    <w:rsid w:val="00C7094C"/>
    <w:rsid w:val="00C7136D"/>
    <w:rsid w:val="00C71AD4"/>
    <w:rsid w:val="00C7227F"/>
    <w:rsid w:val="00C72365"/>
    <w:rsid w:val="00C72EB1"/>
    <w:rsid w:val="00C7342C"/>
    <w:rsid w:val="00C73532"/>
    <w:rsid w:val="00C735CE"/>
    <w:rsid w:val="00C75491"/>
    <w:rsid w:val="00C756B4"/>
    <w:rsid w:val="00C76E81"/>
    <w:rsid w:val="00C77227"/>
    <w:rsid w:val="00C77296"/>
    <w:rsid w:val="00C77F38"/>
    <w:rsid w:val="00C8043A"/>
    <w:rsid w:val="00C8049F"/>
    <w:rsid w:val="00C80602"/>
    <w:rsid w:val="00C806B5"/>
    <w:rsid w:val="00C81389"/>
    <w:rsid w:val="00C814C0"/>
    <w:rsid w:val="00C81F77"/>
    <w:rsid w:val="00C82114"/>
    <w:rsid w:val="00C82BDA"/>
    <w:rsid w:val="00C82D83"/>
    <w:rsid w:val="00C83167"/>
    <w:rsid w:val="00C8339C"/>
    <w:rsid w:val="00C83CCF"/>
    <w:rsid w:val="00C84507"/>
    <w:rsid w:val="00C847E5"/>
    <w:rsid w:val="00C84CD9"/>
    <w:rsid w:val="00C8529A"/>
    <w:rsid w:val="00C85AAC"/>
    <w:rsid w:val="00C86B16"/>
    <w:rsid w:val="00C86DA4"/>
    <w:rsid w:val="00C8701A"/>
    <w:rsid w:val="00C87562"/>
    <w:rsid w:val="00C87CEF"/>
    <w:rsid w:val="00C87E3E"/>
    <w:rsid w:val="00C90723"/>
    <w:rsid w:val="00C90D64"/>
    <w:rsid w:val="00C910F1"/>
    <w:rsid w:val="00C91ADE"/>
    <w:rsid w:val="00C9209D"/>
    <w:rsid w:val="00C9243F"/>
    <w:rsid w:val="00C92734"/>
    <w:rsid w:val="00C93311"/>
    <w:rsid w:val="00C933D2"/>
    <w:rsid w:val="00C93DD9"/>
    <w:rsid w:val="00C941F0"/>
    <w:rsid w:val="00C94A28"/>
    <w:rsid w:val="00C94ED2"/>
    <w:rsid w:val="00C95108"/>
    <w:rsid w:val="00C951F0"/>
    <w:rsid w:val="00C95C9C"/>
    <w:rsid w:val="00C95EA9"/>
    <w:rsid w:val="00C963D1"/>
    <w:rsid w:val="00C976AE"/>
    <w:rsid w:val="00C97F58"/>
    <w:rsid w:val="00CA025D"/>
    <w:rsid w:val="00CA0704"/>
    <w:rsid w:val="00CA0B28"/>
    <w:rsid w:val="00CA1029"/>
    <w:rsid w:val="00CA1290"/>
    <w:rsid w:val="00CA141E"/>
    <w:rsid w:val="00CA1485"/>
    <w:rsid w:val="00CA15D2"/>
    <w:rsid w:val="00CA1907"/>
    <w:rsid w:val="00CA1A5C"/>
    <w:rsid w:val="00CA1B14"/>
    <w:rsid w:val="00CA1B83"/>
    <w:rsid w:val="00CA1BB7"/>
    <w:rsid w:val="00CA21C5"/>
    <w:rsid w:val="00CA2E85"/>
    <w:rsid w:val="00CA3031"/>
    <w:rsid w:val="00CA3AF1"/>
    <w:rsid w:val="00CA4235"/>
    <w:rsid w:val="00CA4CC9"/>
    <w:rsid w:val="00CA5238"/>
    <w:rsid w:val="00CA53AA"/>
    <w:rsid w:val="00CA56C4"/>
    <w:rsid w:val="00CA585B"/>
    <w:rsid w:val="00CA6080"/>
    <w:rsid w:val="00CA6714"/>
    <w:rsid w:val="00CA6CA0"/>
    <w:rsid w:val="00CA6D1A"/>
    <w:rsid w:val="00CA77FB"/>
    <w:rsid w:val="00CA7B46"/>
    <w:rsid w:val="00CA7FF5"/>
    <w:rsid w:val="00CB0087"/>
    <w:rsid w:val="00CB0E19"/>
    <w:rsid w:val="00CB0FFB"/>
    <w:rsid w:val="00CB186B"/>
    <w:rsid w:val="00CB1C4B"/>
    <w:rsid w:val="00CB24D6"/>
    <w:rsid w:val="00CB26FB"/>
    <w:rsid w:val="00CB2B4B"/>
    <w:rsid w:val="00CB2F9A"/>
    <w:rsid w:val="00CB3156"/>
    <w:rsid w:val="00CB33D8"/>
    <w:rsid w:val="00CB4333"/>
    <w:rsid w:val="00CB49FC"/>
    <w:rsid w:val="00CB566E"/>
    <w:rsid w:val="00CB56BC"/>
    <w:rsid w:val="00CB5D27"/>
    <w:rsid w:val="00CB6445"/>
    <w:rsid w:val="00CB6EA6"/>
    <w:rsid w:val="00CB6F09"/>
    <w:rsid w:val="00CB7AC4"/>
    <w:rsid w:val="00CC0BEB"/>
    <w:rsid w:val="00CC0F31"/>
    <w:rsid w:val="00CC103E"/>
    <w:rsid w:val="00CC1A19"/>
    <w:rsid w:val="00CC1B16"/>
    <w:rsid w:val="00CC2FA3"/>
    <w:rsid w:val="00CC39E9"/>
    <w:rsid w:val="00CC3CCF"/>
    <w:rsid w:val="00CC3F9F"/>
    <w:rsid w:val="00CC4256"/>
    <w:rsid w:val="00CC4C7A"/>
    <w:rsid w:val="00CC4CB7"/>
    <w:rsid w:val="00CC53C7"/>
    <w:rsid w:val="00CC5988"/>
    <w:rsid w:val="00CC608C"/>
    <w:rsid w:val="00CC69E0"/>
    <w:rsid w:val="00CC78D0"/>
    <w:rsid w:val="00CC7914"/>
    <w:rsid w:val="00CD03DD"/>
    <w:rsid w:val="00CD05E0"/>
    <w:rsid w:val="00CD0CAB"/>
    <w:rsid w:val="00CD0CD0"/>
    <w:rsid w:val="00CD0DF2"/>
    <w:rsid w:val="00CD129D"/>
    <w:rsid w:val="00CD1811"/>
    <w:rsid w:val="00CD1B51"/>
    <w:rsid w:val="00CD3052"/>
    <w:rsid w:val="00CD34BB"/>
    <w:rsid w:val="00CD36E5"/>
    <w:rsid w:val="00CD388C"/>
    <w:rsid w:val="00CD3D51"/>
    <w:rsid w:val="00CD4DCF"/>
    <w:rsid w:val="00CD503C"/>
    <w:rsid w:val="00CD69A9"/>
    <w:rsid w:val="00CD6B75"/>
    <w:rsid w:val="00CD7215"/>
    <w:rsid w:val="00CD7583"/>
    <w:rsid w:val="00CD76FA"/>
    <w:rsid w:val="00CD7733"/>
    <w:rsid w:val="00CE0B0D"/>
    <w:rsid w:val="00CE0CF0"/>
    <w:rsid w:val="00CE118E"/>
    <w:rsid w:val="00CE1195"/>
    <w:rsid w:val="00CE11E2"/>
    <w:rsid w:val="00CE1297"/>
    <w:rsid w:val="00CE1BB1"/>
    <w:rsid w:val="00CE1C3D"/>
    <w:rsid w:val="00CE2752"/>
    <w:rsid w:val="00CE3659"/>
    <w:rsid w:val="00CE381C"/>
    <w:rsid w:val="00CE4977"/>
    <w:rsid w:val="00CE4F8F"/>
    <w:rsid w:val="00CE571B"/>
    <w:rsid w:val="00CE5DA4"/>
    <w:rsid w:val="00CE6755"/>
    <w:rsid w:val="00CE6AC8"/>
    <w:rsid w:val="00CE722E"/>
    <w:rsid w:val="00CE7C24"/>
    <w:rsid w:val="00CF06BF"/>
    <w:rsid w:val="00CF0D3F"/>
    <w:rsid w:val="00CF0FF8"/>
    <w:rsid w:val="00CF10EF"/>
    <w:rsid w:val="00CF191A"/>
    <w:rsid w:val="00CF212D"/>
    <w:rsid w:val="00CF332D"/>
    <w:rsid w:val="00CF3CCB"/>
    <w:rsid w:val="00CF3F9A"/>
    <w:rsid w:val="00CF5299"/>
    <w:rsid w:val="00CF600B"/>
    <w:rsid w:val="00CF61EB"/>
    <w:rsid w:val="00CF6C79"/>
    <w:rsid w:val="00CF6D33"/>
    <w:rsid w:val="00CF6DCC"/>
    <w:rsid w:val="00CF6E38"/>
    <w:rsid w:val="00CF6F0C"/>
    <w:rsid w:val="00CF7903"/>
    <w:rsid w:val="00D00BF8"/>
    <w:rsid w:val="00D014A4"/>
    <w:rsid w:val="00D01BA8"/>
    <w:rsid w:val="00D01F24"/>
    <w:rsid w:val="00D0242A"/>
    <w:rsid w:val="00D02D27"/>
    <w:rsid w:val="00D02F58"/>
    <w:rsid w:val="00D032EA"/>
    <w:rsid w:val="00D03916"/>
    <w:rsid w:val="00D0397A"/>
    <w:rsid w:val="00D03B55"/>
    <w:rsid w:val="00D045B9"/>
    <w:rsid w:val="00D048AC"/>
    <w:rsid w:val="00D05C1C"/>
    <w:rsid w:val="00D05DFC"/>
    <w:rsid w:val="00D06C75"/>
    <w:rsid w:val="00D06DA9"/>
    <w:rsid w:val="00D06DBF"/>
    <w:rsid w:val="00D06E62"/>
    <w:rsid w:val="00D07957"/>
    <w:rsid w:val="00D07A33"/>
    <w:rsid w:val="00D07B6A"/>
    <w:rsid w:val="00D100F9"/>
    <w:rsid w:val="00D10C91"/>
    <w:rsid w:val="00D10FCF"/>
    <w:rsid w:val="00D111DB"/>
    <w:rsid w:val="00D122F7"/>
    <w:rsid w:val="00D134C5"/>
    <w:rsid w:val="00D13943"/>
    <w:rsid w:val="00D155A5"/>
    <w:rsid w:val="00D162D3"/>
    <w:rsid w:val="00D162DF"/>
    <w:rsid w:val="00D16947"/>
    <w:rsid w:val="00D16B42"/>
    <w:rsid w:val="00D16E8D"/>
    <w:rsid w:val="00D16F45"/>
    <w:rsid w:val="00D1704A"/>
    <w:rsid w:val="00D17CB3"/>
    <w:rsid w:val="00D200AA"/>
    <w:rsid w:val="00D20616"/>
    <w:rsid w:val="00D207A3"/>
    <w:rsid w:val="00D20BA9"/>
    <w:rsid w:val="00D212D6"/>
    <w:rsid w:val="00D214A9"/>
    <w:rsid w:val="00D2167F"/>
    <w:rsid w:val="00D21741"/>
    <w:rsid w:val="00D21FA4"/>
    <w:rsid w:val="00D223B8"/>
    <w:rsid w:val="00D22408"/>
    <w:rsid w:val="00D22D1C"/>
    <w:rsid w:val="00D23B55"/>
    <w:rsid w:val="00D23E13"/>
    <w:rsid w:val="00D24594"/>
    <w:rsid w:val="00D24C71"/>
    <w:rsid w:val="00D25518"/>
    <w:rsid w:val="00D2591D"/>
    <w:rsid w:val="00D25D41"/>
    <w:rsid w:val="00D26773"/>
    <w:rsid w:val="00D27604"/>
    <w:rsid w:val="00D27D8F"/>
    <w:rsid w:val="00D30635"/>
    <w:rsid w:val="00D30C52"/>
    <w:rsid w:val="00D30FAE"/>
    <w:rsid w:val="00D3102E"/>
    <w:rsid w:val="00D31370"/>
    <w:rsid w:val="00D31451"/>
    <w:rsid w:val="00D3220F"/>
    <w:rsid w:val="00D32E39"/>
    <w:rsid w:val="00D33E54"/>
    <w:rsid w:val="00D33FFE"/>
    <w:rsid w:val="00D340BE"/>
    <w:rsid w:val="00D357B9"/>
    <w:rsid w:val="00D35D80"/>
    <w:rsid w:val="00D361B4"/>
    <w:rsid w:val="00D36AED"/>
    <w:rsid w:val="00D36C1C"/>
    <w:rsid w:val="00D36EC1"/>
    <w:rsid w:val="00D401B8"/>
    <w:rsid w:val="00D40DF3"/>
    <w:rsid w:val="00D41857"/>
    <w:rsid w:val="00D419C5"/>
    <w:rsid w:val="00D41CB3"/>
    <w:rsid w:val="00D41D07"/>
    <w:rsid w:val="00D420DC"/>
    <w:rsid w:val="00D42199"/>
    <w:rsid w:val="00D421B0"/>
    <w:rsid w:val="00D431F0"/>
    <w:rsid w:val="00D43BB5"/>
    <w:rsid w:val="00D43FF7"/>
    <w:rsid w:val="00D44357"/>
    <w:rsid w:val="00D44C38"/>
    <w:rsid w:val="00D44FA2"/>
    <w:rsid w:val="00D451DA"/>
    <w:rsid w:val="00D4549D"/>
    <w:rsid w:val="00D45A4C"/>
    <w:rsid w:val="00D45E09"/>
    <w:rsid w:val="00D45F78"/>
    <w:rsid w:val="00D460AD"/>
    <w:rsid w:val="00D466A5"/>
    <w:rsid w:val="00D47D43"/>
    <w:rsid w:val="00D502F0"/>
    <w:rsid w:val="00D508AA"/>
    <w:rsid w:val="00D51159"/>
    <w:rsid w:val="00D51196"/>
    <w:rsid w:val="00D52ADF"/>
    <w:rsid w:val="00D52B52"/>
    <w:rsid w:val="00D53761"/>
    <w:rsid w:val="00D53E6C"/>
    <w:rsid w:val="00D5424D"/>
    <w:rsid w:val="00D54834"/>
    <w:rsid w:val="00D54D12"/>
    <w:rsid w:val="00D5503A"/>
    <w:rsid w:val="00D55415"/>
    <w:rsid w:val="00D5566C"/>
    <w:rsid w:val="00D5660A"/>
    <w:rsid w:val="00D567B4"/>
    <w:rsid w:val="00D569A6"/>
    <w:rsid w:val="00D569BD"/>
    <w:rsid w:val="00D577A7"/>
    <w:rsid w:val="00D57E87"/>
    <w:rsid w:val="00D6045D"/>
    <w:rsid w:val="00D60652"/>
    <w:rsid w:val="00D609DD"/>
    <w:rsid w:val="00D60FE0"/>
    <w:rsid w:val="00D616E9"/>
    <w:rsid w:val="00D61CE9"/>
    <w:rsid w:val="00D61E85"/>
    <w:rsid w:val="00D623E8"/>
    <w:rsid w:val="00D62815"/>
    <w:rsid w:val="00D62B8E"/>
    <w:rsid w:val="00D6305B"/>
    <w:rsid w:val="00D63830"/>
    <w:rsid w:val="00D63A31"/>
    <w:rsid w:val="00D63AA7"/>
    <w:rsid w:val="00D63F53"/>
    <w:rsid w:val="00D647B5"/>
    <w:rsid w:val="00D64888"/>
    <w:rsid w:val="00D6493E"/>
    <w:rsid w:val="00D649ED"/>
    <w:rsid w:val="00D64DA4"/>
    <w:rsid w:val="00D659B4"/>
    <w:rsid w:val="00D65A8D"/>
    <w:rsid w:val="00D6751B"/>
    <w:rsid w:val="00D67DC0"/>
    <w:rsid w:val="00D67E1C"/>
    <w:rsid w:val="00D67FBA"/>
    <w:rsid w:val="00D70108"/>
    <w:rsid w:val="00D70A77"/>
    <w:rsid w:val="00D70D68"/>
    <w:rsid w:val="00D71B08"/>
    <w:rsid w:val="00D71E5D"/>
    <w:rsid w:val="00D72C87"/>
    <w:rsid w:val="00D72D68"/>
    <w:rsid w:val="00D73B91"/>
    <w:rsid w:val="00D73B96"/>
    <w:rsid w:val="00D74E5B"/>
    <w:rsid w:val="00D75453"/>
    <w:rsid w:val="00D75508"/>
    <w:rsid w:val="00D75FCD"/>
    <w:rsid w:val="00D76198"/>
    <w:rsid w:val="00D766E9"/>
    <w:rsid w:val="00D768BF"/>
    <w:rsid w:val="00D76BDB"/>
    <w:rsid w:val="00D77114"/>
    <w:rsid w:val="00D775ED"/>
    <w:rsid w:val="00D806DE"/>
    <w:rsid w:val="00D8092B"/>
    <w:rsid w:val="00D80956"/>
    <w:rsid w:val="00D81275"/>
    <w:rsid w:val="00D8133B"/>
    <w:rsid w:val="00D813DA"/>
    <w:rsid w:val="00D81550"/>
    <w:rsid w:val="00D81662"/>
    <w:rsid w:val="00D81949"/>
    <w:rsid w:val="00D81E9F"/>
    <w:rsid w:val="00D8226C"/>
    <w:rsid w:val="00D825B1"/>
    <w:rsid w:val="00D82B50"/>
    <w:rsid w:val="00D82C86"/>
    <w:rsid w:val="00D841CE"/>
    <w:rsid w:val="00D843D9"/>
    <w:rsid w:val="00D8471A"/>
    <w:rsid w:val="00D848ED"/>
    <w:rsid w:val="00D84BA0"/>
    <w:rsid w:val="00D855BE"/>
    <w:rsid w:val="00D856BB"/>
    <w:rsid w:val="00D85D09"/>
    <w:rsid w:val="00D861A7"/>
    <w:rsid w:val="00D86699"/>
    <w:rsid w:val="00D8679F"/>
    <w:rsid w:val="00D8768A"/>
    <w:rsid w:val="00D87A4A"/>
    <w:rsid w:val="00D87C50"/>
    <w:rsid w:val="00D87CC9"/>
    <w:rsid w:val="00D907DF"/>
    <w:rsid w:val="00D90FB5"/>
    <w:rsid w:val="00D9151A"/>
    <w:rsid w:val="00D9232C"/>
    <w:rsid w:val="00D926B3"/>
    <w:rsid w:val="00D92753"/>
    <w:rsid w:val="00D9291B"/>
    <w:rsid w:val="00D9370B"/>
    <w:rsid w:val="00D939DA"/>
    <w:rsid w:val="00D93BFF"/>
    <w:rsid w:val="00D93F59"/>
    <w:rsid w:val="00D9466C"/>
    <w:rsid w:val="00D946DE"/>
    <w:rsid w:val="00D94902"/>
    <w:rsid w:val="00D94BD7"/>
    <w:rsid w:val="00D94D47"/>
    <w:rsid w:val="00D951E9"/>
    <w:rsid w:val="00D95408"/>
    <w:rsid w:val="00D95BD7"/>
    <w:rsid w:val="00D95F58"/>
    <w:rsid w:val="00D96083"/>
    <w:rsid w:val="00D96C84"/>
    <w:rsid w:val="00D96FA8"/>
    <w:rsid w:val="00D97704"/>
    <w:rsid w:val="00D97A6A"/>
    <w:rsid w:val="00DA0824"/>
    <w:rsid w:val="00DA0C3D"/>
    <w:rsid w:val="00DA16AB"/>
    <w:rsid w:val="00DA1A73"/>
    <w:rsid w:val="00DA1CE1"/>
    <w:rsid w:val="00DA2318"/>
    <w:rsid w:val="00DA2768"/>
    <w:rsid w:val="00DA2B83"/>
    <w:rsid w:val="00DA3718"/>
    <w:rsid w:val="00DA37D9"/>
    <w:rsid w:val="00DA429F"/>
    <w:rsid w:val="00DA44EF"/>
    <w:rsid w:val="00DA5431"/>
    <w:rsid w:val="00DA574B"/>
    <w:rsid w:val="00DA5D2C"/>
    <w:rsid w:val="00DA62FC"/>
    <w:rsid w:val="00DA641B"/>
    <w:rsid w:val="00DA6880"/>
    <w:rsid w:val="00DA742E"/>
    <w:rsid w:val="00DA7929"/>
    <w:rsid w:val="00DA7A95"/>
    <w:rsid w:val="00DB0405"/>
    <w:rsid w:val="00DB0D63"/>
    <w:rsid w:val="00DB0EE6"/>
    <w:rsid w:val="00DB120C"/>
    <w:rsid w:val="00DB2B53"/>
    <w:rsid w:val="00DB2D27"/>
    <w:rsid w:val="00DB327A"/>
    <w:rsid w:val="00DB3797"/>
    <w:rsid w:val="00DB3A89"/>
    <w:rsid w:val="00DB3B2B"/>
    <w:rsid w:val="00DB47AF"/>
    <w:rsid w:val="00DB53D3"/>
    <w:rsid w:val="00DB5E12"/>
    <w:rsid w:val="00DB607A"/>
    <w:rsid w:val="00DB607F"/>
    <w:rsid w:val="00DB6323"/>
    <w:rsid w:val="00DB6D95"/>
    <w:rsid w:val="00DB71A8"/>
    <w:rsid w:val="00DB7734"/>
    <w:rsid w:val="00DC03C1"/>
    <w:rsid w:val="00DC0D66"/>
    <w:rsid w:val="00DC224B"/>
    <w:rsid w:val="00DC262A"/>
    <w:rsid w:val="00DC2F13"/>
    <w:rsid w:val="00DC312D"/>
    <w:rsid w:val="00DC3502"/>
    <w:rsid w:val="00DC3D8E"/>
    <w:rsid w:val="00DC4B8B"/>
    <w:rsid w:val="00DC5159"/>
    <w:rsid w:val="00DC5619"/>
    <w:rsid w:val="00DC5850"/>
    <w:rsid w:val="00DC5B65"/>
    <w:rsid w:val="00DC63F3"/>
    <w:rsid w:val="00DC6426"/>
    <w:rsid w:val="00DC6613"/>
    <w:rsid w:val="00DC6A15"/>
    <w:rsid w:val="00DC6AFD"/>
    <w:rsid w:val="00DC70D3"/>
    <w:rsid w:val="00DC7B35"/>
    <w:rsid w:val="00DD0379"/>
    <w:rsid w:val="00DD0C35"/>
    <w:rsid w:val="00DD23D6"/>
    <w:rsid w:val="00DD2B61"/>
    <w:rsid w:val="00DD3092"/>
    <w:rsid w:val="00DD3376"/>
    <w:rsid w:val="00DD34D6"/>
    <w:rsid w:val="00DD3717"/>
    <w:rsid w:val="00DD3C49"/>
    <w:rsid w:val="00DD40B3"/>
    <w:rsid w:val="00DD5B2E"/>
    <w:rsid w:val="00DD6608"/>
    <w:rsid w:val="00DD7075"/>
    <w:rsid w:val="00DD7FE8"/>
    <w:rsid w:val="00DE11D3"/>
    <w:rsid w:val="00DE150F"/>
    <w:rsid w:val="00DE19F1"/>
    <w:rsid w:val="00DE1F33"/>
    <w:rsid w:val="00DE1FD0"/>
    <w:rsid w:val="00DE30E9"/>
    <w:rsid w:val="00DE320C"/>
    <w:rsid w:val="00DE33DC"/>
    <w:rsid w:val="00DE4314"/>
    <w:rsid w:val="00DE4B3D"/>
    <w:rsid w:val="00DE5F12"/>
    <w:rsid w:val="00DE60C0"/>
    <w:rsid w:val="00DE62AE"/>
    <w:rsid w:val="00DE6A5C"/>
    <w:rsid w:val="00DE7063"/>
    <w:rsid w:val="00DE74D3"/>
    <w:rsid w:val="00DE7842"/>
    <w:rsid w:val="00DE7863"/>
    <w:rsid w:val="00DE7B11"/>
    <w:rsid w:val="00DE7F83"/>
    <w:rsid w:val="00DF05E5"/>
    <w:rsid w:val="00DF0801"/>
    <w:rsid w:val="00DF0AC3"/>
    <w:rsid w:val="00DF11BF"/>
    <w:rsid w:val="00DF2359"/>
    <w:rsid w:val="00DF24C3"/>
    <w:rsid w:val="00DF2615"/>
    <w:rsid w:val="00DF2663"/>
    <w:rsid w:val="00DF2812"/>
    <w:rsid w:val="00DF28B4"/>
    <w:rsid w:val="00DF2F47"/>
    <w:rsid w:val="00DF323F"/>
    <w:rsid w:val="00DF3675"/>
    <w:rsid w:val="00DF37B9"/>
    <w:rsid w:val="00DF41BA"/>
    <w:rsid w:val="00DF46E4"/>
    <w:rsid w:val="00DF4EC1"/>
    <w:rsid w:val="00DF5BD2"/>
    <w:rsid w:val="00DF6761"/>
    <w:rsid w:val="00DF7981"/>
    <w:rsid w:val="00DF7A68"/>
    <w:rsid w:val="00DF7D1A"/>
    <w:rsid w:val="00E006EC"/>
    <w:rsid w:val="00E00DCE"/>
    <w:rsid w:val="00E01BA0"/>
    <w:rsid w:val="00E032A5"/>
    <w:rsid w:val="00E036A3"/>
    <w:rsid w:val="00E03727"/>
    <w:rsid w:val="00E03B10"/>
    <w:rsid w:val="00E03E3F"/>
    <w:rsid w:val="00E04D4D"/>
    <w:rsid w:val="00E052E0"/>
    <w:rsid w:val="00E058ED"/>
    <w:rsid w:val="00E05F4A"/>
    <w:rsid w:val="00E05FE9"/>
    <w:rsid w:val="00E06441"/>
    <w:rsid w:val="00E067D4"/>
    <w:rsid w:val="00E069FC"/>
    <w:rsid w:val="00E06A57"/>
    <w:rsid w:val="00E07270"/>
    <w:rsid w:val="00E073ED"/>
    <w:rsid w:val="00E078A9"/>
    <w:rsid w:val="00E07B5A"/>
    <w:rsid w:val="00E07BD1"/>
    <w:rsid w:val="00E07CAF"/>
    <w:rsid w:val="00E10097"/>
    <w:rsid w:val="00E1132E"/>
    <w:rsid w:val="00E1176F"/>
    <w:rsid w:val="00E1187F"/>
    <w:rsid w:val="00E11B3A"/>
    <w:rsid w:val="00E11DC9"/>
    <w:rsid w:val="00E11E1B"/>
    <w:rsid w:val="00E11F72"/>
    <w:rsid w:val="00E1234F"/>
    <w:rsid w:val="00E12453"/>
    <w:rsid w:val="00E126F0"/>
    <w:rsid w:val="00E134AF"/>
    <w:rsid w:val="00E13641"/>
    <w:rsid w:val="00E13708"/>
    <w:rsid w:val="00E13846"/>
    <w:rsid w:val="00E13ACC"/>
    <w:rsid w:val="00E13AE6"/>
    <w:rsid w:val="00E147B6"/>
    <w:rsid w:val="00E148F6"/>
    <w:rsid w:val="00E149B6"/>
    <w:rsid w:val="00E14F5F"/>
    <w:rsid w:val="00E1505F"/>
    <w:rsid w:val="00E15073"/>
    <w:rsid w:val="00E15328"/>
    <w:rsid w:val="00E15388"/>
    <w:rsid w:val="00E15809"/>
    <w:rsid w:val="00E1584E"/>
    <w:rsid w:val="00E15CC3"/>
    <w:rsid w:val="00E15F37"/>
    <w:rsid w:val="00E15F38"/>
    <w:rsid w:val="00E1618C"/>
    <w:rsid w:val="00E16462"/>
    <w:rsid w:val="00E1693F"/>
    <w:rsid w:val="00E16C41"/>
    <w:rsid w:val="00E16C61"/>
    <w:rsid w:val="00E17043"/>
    <w:rsid w:val="00E176AC"/>
    <w:rsid w:val="00E17D01"/>
    <w:rsid w:val="00E17F09"/>
    <w:rsid w:val="00E2000F"/>
    <w:rsid w:val="00E20521"/>
    <w:rsid w:val="00E20DED"/>
    <w:rsid w:val="00E20DF9"/>
    <w:rsid w:val="00E21198"/>
    <w:rsid w:val="00E21714"/>
    <w:rsid w:val="00E21A19"/>
    <w:rsid w:val="00E21A9E"/>
    <w:rsid w:val="00E21CC4"/>
    <w:rsid w:val="00E2293C"/>
    <w:rsid w:val="00E2302B"/>
    <w:rsid w:val="00E23C5D"/>
    <w:rsid w:val="00E24090"/>
    <w:rsid w:val="00E25442"/>
    <w:rsid w:val="00E26E9B"/>
    <w:rsid w:val="00E270BD"/>
    <w:rsid w:val="00E27A3A"/>
    <w:rsid w:val="00E30AEB"/>
    <w:rsid w:val="00E31500"/>
    <w:rsid w:val="00E315FF"/>
    <w:rsid w:val="00E318FA"/>
    <w:rsid w:val="00E319EB"/>
    <w:rsid w:val="00E32959"/>
    <w:rsid w:val="00E32E8E"/>
    <w:rsid w:val="00E33B07"/>
    <w:rsid w:val="00E34046"/>
    <w:rsid w:val="00E34458"/>
    <w:rsid w:val="00E34494"/>
    <w:rsid w:val="00E348A6"/>
    <w:rsid w:val="00E349B0"/>
    <w:rsid w:val="00E34A9A"/>
    <w:rsid w:val="00E34EDF"/>
    <w:rsid w:val="00E3519B"/>
    <w:rsid w:val="00E35302"/>
    <w:rsid w:val="00E361B9"/>
    <w:rsid w:val="00E36FB3"/>
    <w:rsid w:val="00E37149"/>
    <w:rsid w:val="00E3726A"/>
    <w:rsid w:val="00E37BC5"/>
    <w:rsid w:val="00E37D55"/>
    <w:rsid w:val="00E37EE1"/>
    <w:rsid w:val="00E40213"/>
    <w:rsid w:val="00E40298"/>
    <w:rsid w:val="00E40B9B"/>
    <w:rsid w:val="00E41AF9"/>
    <w:rsid w:val="00E41DEB"/>
    <w:rsid w:val="00E41EE2"/>
    <w:rsid w:val="00E42CFC"/>
    <w:rsid w:val="00E42D97"/>
    <w:rsid w:val="00E4381D"/>
    <w:rsid w:val="00E43DA7"/>
    <w:rsid w:val="00E43F91"/>
    <w:rsid w:val="00E45296"/>
    <w:rsid w:val="00E455C7"/>
    <w:rsid w:val="00E45B28"/>
    <w:rsid w:val="00E45B9D"/>
    <w:rsid w:val="00E45D1C"/>
    <w:rsid w:val="00E461CD"/>
    <w:rsid w:val="00E46955"/>
    <w:rsid w:val="00E472D1"/>
    <w:rsid w:val="00E47420"/>
    <w:rsid w:val="00E5028B"/>
    <w:rsid w:val="00E50A40"/>
    <w:rsid w:val="00E50AC1"/>
    <w:rsid w:val="00E50B7F"/>
    <w:rsid w:val="00E5196D"/>
    <w:rsid w:val="00E51CE7"/>
    <w:rsid w:val="00E5291F"/>
    <w:rsid w:val="00E52B04"/>
    <w:rsid w:val="00E53528"/>
    <w:rsid w:val="00E53A1F"/>
    <w:rsid w:val="00E53F40"/>
    <w:rsid w:val="00E54595"/>
    <w:rsid w:val="00E5476F"/>
    <w:rsid w:val="00E55C58"/>
    <w:rsid w:val="00E56494"/>
    <w:rsid w:val="00E56603"/>
    <w:rsid w:val="00E568F4"/>
    <w:rsid w:val="00E56BEC"/>
    <w:rsid w:val="00E57019"/>
    <w:rsid w:val="00E574D4"/>
    <w:rsid w:val="00E57718"/>
    <w:rsid w:val="00E577B4"/>
    <w:rsid w:val="00E57EC9"/>
    <w:rsid w:val="00E57F18"/>
    <w:rsid w:val="00E6047F"/>
    <w:rsid w:val="00E6101C"/>
    <w:rsid w:val="00E61584"/>
    <w:rsid w:val="00E6178D"/>
    <w:rsid w:val="00E61FA3"/>
    <w:rsid w:val="00E6215B"/>
    <w:rsid w:val="00E62211"/>
    <w:rsid w:val="00E62469"/>
    <w:rsid w:val="00E629D2"/>
    <w:rsid w:val="00E62AD8"/>
    <w:rsid w:val="00E62E5F"/>
    <w:rsid w:val="00E63127"/>
    <w:rsid w:val="00E63987"/>
    <w:rsid w:val="00E63AE5"/>
    <w:rsid w:val="00E63C33"/>
    <w:rsid w:val="00E63E08"/>
    <w:rsid w:val="00E642EB"/>
    <w:rsid w:val="00E644EE"/>
    <w:rsid w:val="00E6479C"/>
    <w:rsid w:val="00E649F4"/>
    <w:rsid w:val="00E653CC"/>
    <w:rsid w:val="00E65510"/>
    <w:rsid w:val="00E6602B"/>
    <w:rsid w:val="00E66625"/>
    <w:rsid w:val="00E66A88"/>
    <w:rsid w:val="00E66C15"/>
    <w:rsid w:val="00E672A6"/>
    <w:rsid w:val="00E675DB"/>
    <w:rsid w:val="00E67A6C"/>
    <w:rsid w:val="00E70A80"/>
    <w:rsid w:val="00E70B39"/>
    <w:rsid w:val="00E71314"/>
    <w:rsid w:val="00E71849"/>
    <w:rsid w:val="00E71A7D"/>
    <w:rsid w:val="00E71ACE"/>
    <w:rsid w:val="00E72252"/>
    <w:rsid w:val="00E729B7"/>
    <w:rsid w:val="00E72EF2"/>
    <w:rsid w:val="00E7312F"/>
    <w:rsid w:val="00E731FE"/>
    <w:rsid w:val="00E7444A"/>
    <w:rsid w:val="00E745C9"/>
    <w:rsid w:val="00E74742"/>
    <w:rsid w:val="00E74971"/>
    <w:rsid w:val="00E74EB4"/>
    <w:rsid w:val="00E75016"/>
    <w:rsid w:val="00E75F7A"/>
    <w:rsid w:val="00E7678D"/>
    <w:rsid w:val="00E774AB"/>
    <w:rsid w:val="00E7794A"/>
    <w:rsid w:val="00E77B21"/>
    <w:rsid w:val="00E77CC9"/>
    <w:rsid w:val="00E801BB"/>
    <w:rsid w:val="00E802B2"/>
    <w:rsid w:val="00E806BA"/>
    <w:rsid w:val="00E80E7C"/>
    <w:rsid w:val="00E810B7"/>
    <w:rsid w:val="00E8176F"/>
    <w:rsid w:val="00E81E96"/>
    <w:rsid w:val="00E828E7"/>
    <w:rsid w:val="00E82DE6"/>
    <w:rsid w:val="00E830AF"/>
    <w:rsid w:val="00E83125"/>
    <w:rsid w:val="00E832BA"/>
    <w:rsid w:val="00E834D7"/>
    <w:rsid w:val="00E8354B"/>
    <w:rsid w:val="00E84531"/>
    <w:rsid w:val="00E84CAC"/>
    <w:rsid w:val="00E851EA"/>
    <w:rsid w:val="00E851F7"/>
    <w:rsid w:val="00E853DF"/>
    <w:rsid w:val="00E855A0"/>
    <w:rsid w:val="00E855C8"/>
    <w:rsid w:val="00E85964"/>
    <w:rsid w:val="00E859FF"/>
    <w:rsid w:val="00E85F88"/>
    <w:rsid w:val="00E872C6"/>
    <w:rsid w:val="00E877D2"/>
    <w:rsid w:val="00E87E1E"/>
    <w:rsid w:val="00E90010"/>
    <w:rsid w:val="00E90459"/>
    <w:rsid w:val="00E90809"/>
    <w:rsid w:val="00E9081E"/>
    <w:rsid w:val="00E90AAA"/>
    <w:rsid w:val="00E90E73"/>
    <w:rsid w:val="00E9128F"/>
    <w:rsid w:val="00E91A29"/>
    <w:rsid w:val="00E92308"/>
    <w:rsid w:val="00E92C7E"/>
    <w:rsid w:val="00E93BB4"/>
    <w:rsid w:val="00E93E58"/>
    <w:rsid w:val="00E94732"/>
    <w:rsid w:val="00E94929"/>
    <w:rsid w:val="00E9517D"/>
    <w:rsid w:val="00E95C37"/>
    <w:rsid w:val="00E962CE"/>
    <w:rsid w:val="00E96831"/>
    <w:rsid w:val="00E96FA8"/>
    <w:rsid w:val="00E97323"/>
    <w:rsid w:val="00E97A6B"/>
    <w:rsid w:val="00EA03CE"/>
    <w:rsid w:val="00EA05A6"/>
    <w:rsid w:val="00EA08D1"/>
    <w:rsid w:val="00EA0948"/>
    <w:rsid w:val="00EA0AFD"/>
    <w:rsid w:val="00EA0B2D"/>
    <w:rsid w:val="00EA140B"/>
    <w:rsid w:val="00EA1566"/>
    <w:rsid w:val="00EA231B"/>
    <w:rsid w:val="00EA25A7"/>
    <w:rsid w:val="00EA286E"/>
    <w:rsid w:val="00EA2FA0"/>
    <w:rsid w:val="00EA3C5A"/>
    <w:rsid w:val="00EA5202"/>
    <w:rsid w:val="00EA52A3"/>
    <w:rsid w:val="00EA5740"/>
    <w:rsid w:val="00EA6187"/>
    <w:rsid w:val="00EA64C5"/>
    <w:rsid w:val="00EA6962"/>
    <w:rsid w:val="00EA6D43"/>
    <w:rsid w:val="00EA7075"/>
    <w:rsid w:val="00EA70C5"/>
    <w:rsid w:val="00EA770E"/>
    <w:rsid w:val="00EA78B7"/>
    <w:rsid w:val="00EB068D"/>
    <w:rsid w:val="00EB0B2C"/>
    <w:rsid w:val="00EB18BC"/>
    <w:rsid w:val="00EB19FB"/>
    <w:rsid w:val="00EB2902"/>
    <w:rsid w:val="00EB2CA3"/>
    <w:rsid w:val="00EB2E96"/>
    <w:rsid w:val="00EB3287"/>
    <w:rsid w:val="00EB356C"/>
    <w:rsid w:val="00EB3619"/>
    <w:rsid w:val="00EB3852"/>
    <w:rsid w:val="00EB4833"/>
    <w:rsid w:val="00EB5606"/>
    <w:rsid w:val="00EB5C59"/>
    <w:rsid w:val="00EB608A"/>
    <w:rsid w:val="00EB7AD2"/>
    <w:rsid w:val="00EB7BF0"/>
    <w:rsid w:val="00EC04EA"/>
    <w:rsid w:val="00EC0AD8"/>
    <w:rsid w:val="00EC1019"/>
    <w:rsid w:val="00EC113B"/>
    <w:rsid w:val="00EC13AA"/>
    <w:rsid w:val="00EC1A49"/>
    <w:rsid w:val="00EC2147"/>
    <w:rsid w:val="00EC3A0D"/>
    <w:rsid w:val="00EC41D2"/>
    <w:rsid w:val="00EC4900"/>
    <w:rsid w:val="00EC4F19"/>
    <w:rsid w:val="00EC4FD6"/>
    <w:rsid w:val="00EC5026"/>
    <w:rsid w:val="00EC55FA"/>
    <w:rsid w:val="00EC59AB"/>
    <w:rsid w:val="00EC5B89"/>
    <w:rsid w:val="00EC5E3F"/>
    <w:rsid w:val="00EC5F12"/>
    <w:rsid w:val="00EC63E0"/>
    <w:rsid w:val="00EC6B79"/>
    <w:rsid w:val="00EC710A"/>
    <w:rsid w:val="00EC721A"/>
    <w:rsid w:val="00EC7441"/>
    <w:rsid w:val="00EC74A2"/>
    <w:rsid w:val="00EC7CEA"/>
    <w:rsid w:val="00EC7D55"/>
    <w:rsid w:val="00ED0E6C"/>
    <w:rsid w:val="00ED18EE"/>
    <w:rsid w:val="00ED1FF2"/>
    <w:rsid w:val="00ED220A"/>
    <w:rsid w:val="00ED225B"/>
    <w:rsid w:val="00ED2DA7"/>
    <w:rsid w:val="00ED34BE"/>
    <w:rsid w:val="00ED3DA4"/>
    <w:rsid w:val="00ED4A43"/>
    <w:rsid w:val="00ED4CE1"/>
    <w:rsid w:val="00ED4E91"/>
    <w:rsid w:val="00ED57C8"/>
    <w:rsid w:val="00ED58E9"/>
    <w:rsid w:val="00ED6269"/>
    <w:rsid w:val="00ED6661"/>
    <w:rsid w:val="00ED680B"/>
    <w:rsid w:val="00ED69A4"/>
    <w:rsid w:val="00ED77E9"/>
    <w:rsid w:val="00EE0399"/>
    <w:rsid w:val="00EE14E8"/>
    <w:rsid w:val="00EE1E86"/>
    <w:rsid w:val="00EE2371"/>
    <w:rsid w:val="00EE2C6A"/>
    <w:rsid w:val="00EE3871"/>
    <w:rsid w:val="00EE3A7D"/>
    <w:rsid w:val="00EE3C7E"/>
    <w:rsid w:val="00EE4074"/>
    <w:rsid w:val="00EE5467"/>
    <w:rsid w:val="00EE5AF0"/>
    <w:rsid w:val="00EE6062"/>
    <w:rsid w:val="00EE614D"/>
    <w:rsid w:val="00EF01D8"/>
    <w:rsid w:val="00EF0440"/>
    <w:rsid w:val="00EF0611"/>
    <w:rsid w:val="00EF06D6"/>
    <w:rsid w:val="00EF07DC"/>
    <w:rsid w:val="00EF0A14"/>
    <w:rsid w:val="00EF0EAE"/>
    <w:rsid w:val="00EF0F3B"/>
    <w:rsid w:val="00EF15B4"/>
    <w:rsid w:val="00EF1E7A"/>
    <w:rsid w:val="00EF2217"/>
    <w:rsid w:val="00EF2284"/>
    <w:rsid w:val="00EF285D"/>
    <w:rsid w:val="00EF2D83"/>
    <w:rsid w:val="00EF2E1E"/>
    <w:rsid w:val="00EF2EFD"/>
    <w:rsid w:val="00EF313C"/>
    <w:rsid w:val="00EF36B1"/>
    <w:rsid w:val="00EF39F0"/>
    <w:rsid w:val="00EF3D27"/>
    <w:rsid w:val="00EF4208"/>
    <w:rsid w:val="00EF4BE4"/>
    <w:rsid w:val="00EF50D5"/>
    <w:rsid w:val="00EF6141"/>
    <w:rsid w:val="00EF64BC"/>
    <w:rsid w:val="00EF6E1C"/>
    <w:rsid w:val="00F00118"/>
    <w:rsid w:val="00F0050D"/>
    <w:rsid w:val="00F00C74"/>
    <w:rsid w:val="00F00CBE"/>
    <w:rsid w:val="00F010C9"/>
    <w:rsid w:val="00F0186E"/>
    <w:rsid w:val="00F01AB8"/>
    <w:rsid w:val="00F02358"/>
    <w:rsid w:val="00F02B8C"/>
    <w:rsid w:val="00F02EB1"/>
    <w:rsid w:val="00F03925"/>
    <w:rsid w:val="00F03A2A"/>
    <w:rsid w:val="00F04121"/>
    <w:rsid w:val="00F0469E"/>
    <w:rsid w:val="00F06194"/>
    <w:rsid w:val="00F075E6"/>
    <w:rsid w:val="00F07CD4"/>
    <w:rsid w:val="00F07CDB"/>
    <w:rsid w:val="00F07F0C"/>
    <w:rsid w:val="00F07F77"/>
    <w:rsid w:val="00F106AD"/>
    <w:rsid w:val="00F10BCD"/>
    <w:rsid w:val="00F10D78"/>
    <w:rsid w:val="00F10DDC"/>
    <w:rsid w:val="00F1111E"/>
    <w:rsid w:val="00F1116D"/>
    <w:rsid w:val="00F11C48"/>
    <w:rsid w:val="00F123DD"/>
    <w:rsid w:val="00F12432"/>
    <w:rsid w:val="00F12589"/>
    <w:rsid w:val="00F13415"/>
    <w:rsid w:val="00F1375C"/>
    <w:rsid w:val="00F141F7"/>
    <w:rsid w:val="00F15333"/>
    <w:rsid w:val="00F153B5"/>
    <w:rsid w:val="00F15980"/>
    <w:rsid w:val="00F15AF5"/>
    <w:rsid w:val="00F16844"/>
    <w:rsid w:val="00F178E5"/>
    <w:rsid w:val="00F200C7"/>
    <w:rsid w:val="00F204F4"/>
    <w:rsid w:val="00F20C18"/>
    <w:rsid w:val="00F20EB8"/>
    <w:rsid w:val="00F21273"/>
    <w:rsid w:val="00F21EE4"/>
    <w:rsid w:val="00F236C1"/>
    <w:rsid w:val="00F23876"/>
    <w:rsid w:val="00F23CBB"/>
    <w:rsid w:val="00F241AB"/>
    <w:rsid w:val="00F24420"/>
    <w:rsid w:val="00F248BE"/>
    <w:rsid w:val="00F248C6"/>
    <w:rsid w:val="00F24904"/>
    <w:rsid w:val="00F249F0"/>
    <w:rsid w:val="00F24E47"/>
    <w:rsid w:val="00F24FAF"/>
    <w:rsid w:val="00F24FED"/>
    <w:rsid w:val="00F2524B"/>
    <w:rsid w:val="00F256C9"/>
    <w:rsid w:val="00F26982"/>
    <w:rsid w:val="00F26B3F"/>
    <w:rsid w:val="00F26D9E"/>
    <w:rsid w:val="00F272A9"/>
    <w:rsid w:val="00F27384"/>
    <w:rsid w:val="00F27556"/>
    <w:rsid w:val="00F27A25"/>
    <w:rsid w:val="00F30075"/>
    <w:rsid w:val="00F30968"/>
    <w:rsid w:val="00F30DA6"/>
    <w:rsid w:val="00F3132D"/>
    <w:rsid w:val="00F31777"/>
    <w:rsid w:val="00F31AF4"/>
    <w:rsid w:val="00F31FB9"/>
    <w:rsid w:val="00F338FB"/>
    <w:rsid w:val="00F34833"/>
    <w:rsid w:val="00F35119"/>
    <w:rsid w:val="00F35369"/>
    <w:rsid w:val="00F35910"/>
    <w:rsid w:val="00F365E9"/>
    <w:rsid w:val="00F36EE3"/>
    <w:rsid w:val="00F37119"/>
    <w:rsid w:val="00F374A7"/>
    <w:rsid w:val="00F40328"/>
    <w:rsid w:val="00F403F9"/>
    <w:rsid w:val="00F40CD6"/>
    <w:rsid w:val="00F40FCD"/>
    <w:rsid w:val="00F41283"/>
    <w:rsid w:val="00F415C1"/>
    <w:rsid w:val="00F417CA"/>
    <w:rsid w:val="00F418B0"/>
    <w:rsid w:val="00F41C90"/>
    <w:rsid w:val="00F4207F"/>
    <w:rsid w:val="00F42198"/>
    <w:rsid w:val="00F43085"/>
    <w:rsid w:val="00F4331D"/>
    <w:rsid w:val="00F43CC2"/>
    <w:rsid w:val="00F43CC6"/>
    <w:rsid w:val="00F43E6B"/>
    <w:rsid w:val="00F43EFD"/>
    <w:rsid w:val="00F448D1"/>
    <w:rsid w:val="00F44BD5"/>
    <w:rsid w:val="00F45060"/>
    <w:rsid w:val="00F452BE"/>
    <w:rsid w:val="00F46497"/>
    <w:rsid w:val="00F468BF"/>
    <w:rsid w:val="00F46A01"/>
    <w:rsid w:val="00F47519"/>
    <w:rsid w:val="00F47C4E"/>
    <w:rsid w:val="00F47E1C"/>
    <w:rsid w:val="00F47E2D"/>
    <w:rsid w:val="00F512D7"/>
    <w:rsid w:val="00F517AA"/>
    <w:rsid w:val="00F52713"/>
    <w:rsid w:val="00F52E5C"/>
    <w:rsid w:val="00F5316D"/>
    <w:rsid w:val="00F53276"/>
    <w:rsid w:val="00F536C8"/>
    <w:rsid w:val="00F53FF2"/>
    <w:rsid w:val="00F553EF"/>
    <w:rsid w:val="00F5620B"/>
    <w:rsid w:val="00F56517"/>
    <w:rsid w:val="00F56824"/>
    <w:rsid w:val="00F568D8"/>
    <w:rsid w:val="00F5690D"/>
    <w:rsid w:val="00F56CA5"/>
    <w:rsid w:val="00F573CB"/>
    <w:rsid w:val="00F576F0"/>
    <w:rsid w:val="00F579A8"/>
    <w:rsid w:val="00F60BFF"/>
    <w:rsid w:val="00F60DAB"/>
    <w:rsid w:val="00F61AE8"/>
    <w:rsid w:val="00F6244C"/>
    <w:rsid w:val="00F62B54"/>
    <w:rsid w:val="00F62CBD"/>
    <w:rsid w:val="00F63365"/>
    <w:rsid w:val="00F638AE"/>
    <w:rsid w:val="00F63923"/>
    <w:rsid w:val="00F64959"/>
    <w:rsid w:val="00F64BE2"/>
    <w:rsid w:val="00F65445"/>
    <w:rsid w:val="00F65A0B"/>
    <w:rsid w:val="00F65F4B"/>
    <w:rsid w:val="00F65F7C"/>
    <w:rsid w:val="00F66401"/>
    <w:rsid w:val="00F665F6"/>
    <w:rsid w:val="00F66F77"/>
    <w:rsid w:val="00F67A9E"/>
    <w:rsid w:val="00F67BA9"/>
    <w:rsid w:val="00F70FA1"/>
    <w:rsid w:val="00F71458"/>
    <w:rsid w:val="00F7208D"/>
    <w:rsid w:val="00F727DF"/>
    <w:rsid w:val="00F72D09"/>
    <w:rsid w:val="00F740C3"/>
    <w:rsid w:val="00F74370"/>
    <w:rsid w:val="00F746FC"/>
    <w:rsid w:val="00F7503A"/>
    <w:rsid w:val="00F7526A"/>
    <w:rsid w:val="00F755F0"/>
    <w:rsid w:val="00F758C6"/>
    <w:rsid w:val="00F75C02"/>
    <w:rsid w:val="00F76C97"/>
    <w:rsid w:val="00F76DD8"/>
    <w:rsid w:val="00F779A3"/>
    <w:rsid w:val="00F80647"/>
    <w:rsid w:val="00F80651"/>
    <w:rsid w:val="00F80C75"/>
    <w:rsid w:val="00F80D58"/>
    <w:rsid w:val="00F80D80"/>
    <w:rsid w:val="00F80FCD"/>
    <w:rsid w:val="00F81B5D"/>
    <w:rsid w:val="00F82492"/>
    <w:rsid w:val="00F82723"/>
    <w:rsid w:val="00F83293"/>
    <w:rsid w:val="00F8369C"/>
    <w:rsid w:val="00F83CEA"/>
    <w:rsid w:val="00F84544"/>
    <w:rsid w:val="00F84F07"/>
    <w:rsid w:val="00F8592F"/>
    <w:rsid w:val="00F86415"/>
    <w:rsid w:val="00F86719"/>
    <w:rsid w:val="00F86E1E"/>
    <w:rsid w:val="00F87812"/>
    <w:rsid w:val="00F900E0"/>
    <w:rsid w:val="00F90375"/>
    <w:rsid w:val="00F9073E"/>
    <w:rsid w:val="00F908B1"/>
    <w:rsid w:val="00F91077"/>
    <w:rsid w:val="00F9133F"/>
    <w:rsid w:val="00F9140C"/>
    <w:rsid w:val="00F91D1C"/>
    <w:rsid w:val="00F925B4"/>
    <w:rsid w:val="00F929BB"/>
    <w:rsid w:val="00F92CBE"/>
    <w:rsid w:val="00F93695"/>
    <w:rsid w:val="00F93D0B"/>
    <w:rsid w:val="00F949DC"/>
    <w:rsid w:val="00F9532D"/>
    <w:rsid w:val="00F95814"/>
    <w:rsid w:val="00F95854"/>
    <w:rsid w:val="00F962AD"/>
    <w:rsid w:val="00F96D01"/>
    <w:rsid w:val="00F97007"/>
    <w:rsid w:val="00F97666"/>
    <w:rsid w:val="00FA06CF"/>
    <w:rsid w:val="00FA0C5D"/>
    <w:rsid w:val="00FA0D71"/>
    <w:rsid w:val="00FA177C"/>
    <w:rsid w:val="00FA183C"/>
    <w:rsid w:val="00FA2321"/>
    <w:rsid w:val="00FA23FD"/>
    <w:rsid w:val="00FA24B9"/>
    <w:rsid w:val="00FA2618"/>
    <w:rsid w:val="00FA2917"/>
    <w:rsid w:val="00FA2E50"/>
    <w:rsid w:val="00FA3546"/>
    <w:rsid w:val="00FA3BD9"/>
    <w:rsid w:val="00FA3E10"/>
    <w:rsid w:val="00FA465C"/>
    <w:rsid w:val="00FA48F6"/>
    <w:rsid w:val="00FA4BDB"/>
    <w:rsid w:val="00FA4CEA"/>
    <w:rsid w:val="00FA4EF8"/>
    <w:rsid w:val="00FA4F18"/>
    <w:rsid w:val="00FA586B"/>
    <w:rsid w:val="00FA5E19"/>
    <w:rsid w:val="00FA5E23"/>
    <w:rsid w:val="00FA60CE"/>
    <w:rsid w:val="00FA63FE"/>
    <w:rsid w:val="00FA642F"/>
    <w:rsid w:val="00FA6AD9"/>
    <w:rsid w:val="00FA7023"/>
    <w:rsid w:val="00FA7D57"/>
    <w:rsid w:val="00FA7E43"/>
    <w:rsid w:val="00FB0733"/>
    <w:rsid w:val="00FB1D8B"/>
    <w:rsid w:val="00FB2332"/>
    <w:rsid w:val="00FB2484"/>
    <w:rsid w:val="00FB2CA9"/>
    <w:rsid w:val="00FB3BFA"/>
    <w:rsid w:val="00FB435C"/>
    <w:rsid w:val="00FB445D"/>
    <w:rsid w:val="00FB487D"/>
    <w:rsid w:val="00FB4CFC"/>
    <w:rsid w:val="00FB4D27"/>
    <w:rsid w:val="00FB4EDE"/>
    <w:rsid w:val="00FB4F81"/>
    <w:rsid w:val="00FB5D93"/>
    <w:rsid w:val="00FB6957"/>
    <w:rsid w:val="00FB785D"/>
    <w:rsid w:val="00FB7A37"/>
    <w:rsid w:val="00FC01C8"/>
    <w:rsid w:val="00FC0287"/>
    <w:rsid w:val="00FC057C"/>
    <w:rsid w:val="00FC0628"/>
    <w:rsid w:val="00FC0B9F"/>
    <w:rsid w:val="00FC1206"/>
    <w:rsid w:val="00FC137C"/>
    <w:rsid w:val="00FC1B91"/>
    <w:rsid w:val="00FC2C67"/>
    <w:rsid w:val="00FC306B"/>
    <w:rsid w:val="00FC3DD8"/>
    <w:rsid w:val="00FC4716"/>
    <w:rsid w:val="00FC5691"/>
    <w:rsid w:val="00FC6178"/>
    <w:rsid w:val="00FC6FB1"/>
    <w:rsid w:val="00FC74F5"/>
    <w:rsid w:val="00FD009B"/>
    <w:rsid w:val="00FD0233"/>
    <w:rsid w:val="00FD058B"/>
    <w:rsid w:val="00FD0612"/>
    <w:rsid w:val="00FD16ED"/>
    <w:rsid w:val="00FD1A48"/>
    <w:rsid w:val="00FD1AA2"/>
    <w:rsid w:val="00FD26C6"/>
    <w:rsid w:val="00FD2767"/>
    <w:rsid w:val="00FD28C7"/>
    <w:rsid w:val="00FD2D63"/>
    <w:rsid w:val="00FD2FD8"/>
    <w:rsid w:val="00FD3023"/>
    <w:rsid w:val="00FD32A1"/>
    <w:rsid w:val="00FD3B59"/>
    <w:rsid w:val="00FD3E32"/>
    <w:rsid w:val="00FD3EF9"/>
    <w:rsid w:val="00FD4049"/>
    <w:rsid w:val="00FD508B"/>
    <w:rsid w:val="00FD543C"/>
    <w:rsid w:val="00FD54D7"/>
    <w:rsid w:val="00FD5A1C"/>
    <w:rsid w:val="00FD5CBF"/>
    <w:rsid w:val="00FD68C8"/>
    <w:rsid w:val="00FD6AE7"/>
    <w:rsid w:val="00FD7D1B"/>
    <w:rsid w:val="00FE04ED"/>
    <w:rsid w:val="00FE0831"/>
    <w:rsid w:val="00FE1197"/>
    <w:rsid w:val="00FE18A3"/>
    <w:rsid w:val="00FE2820"/>
    <w:rsid w:val="00FE2D54"/>
    <w:rsid w:val="00FE2DBE"/>
    <w:rsid w:val="00FE3AEE"/>
    <w:rsid w:val="00FE3C39"/>
    <w:rsid w:val="00FE3D15"/>
    <w:rsid w:val="00FE3D52"/>
    <w:rsid w:val="00FE3E8E"/>
    <w:rsid w:val="00FE47A9"/>
    <w:rsid w:val="00FE480E"/>
    <w:rsid w:val="00FE4E1C"/>
    <w:rsid w:val="00FE535C"/>
    <w:rsid w:val="00FE5732"/>
    <w:rsid w:val="00FE5A90"/>
    <w:rsid w:val="00FE5C6D"/>
    <w:rsid w:val="00FE5D61"/>
    <w:rsid w:val="00FE5ED5"/>
    <w:rsid w:val="00FE619B"/>
    <w:rsid w:val="00FE6540"/>
    <w:rsid w:val="00FE69AE"/>
    <w:rsid w:val="00FE74BD"/>
    <w:rsid w:val="00FE768F"/>
    <w:rsid w:val="00FF0245"/>
    <w:rsid w:val="00FF066E"/>
    <w:rsid w:val="00FF10AF"/>
    <w:rsid w:val="00FF1157"/>
    <w:rsid w:val="00FF1796"/>
    <w:rsid w:val="00FF1AC8"/>
    <w:rsid w:val="00FF2224"/>
    <w:rsid w:val="00FF34D9"/>
    <w:rsid w:val="00FF3CAF"/>
    <w:rsid w:val="00FF4770"/>
    <w:rsid w:val="00FF47C7"/>
    <w:rsid w:val="00FF5CD9"/>
    <w:rsid w:val="00FF5F6F"/>
    <w:rsid w:val="00FF6015"/>
    <w:rsid w:val="00FF62F0"/>
    <w:rsid w:val="00FF704E"/>
    <w:rsid w:val="00FF7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F358"/>
  <w15:chartTrackingRefBased/>
  <w15:docId w15:val="{194530E8-4D9D-4C89-B408-FA2BD8EA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0F6F"/>
  </w:style>
  <w:style w:type="paragraph" w:styleId="Nadpis1">
    <w:name w:val="heading 1"/>
    <w:basedOn w:val="Normln"/>
    <w:next w:val="Normln"/>
    <w:link w:val="Nadpis1Char"/>
    <w:uiPriority w:val="9"/>
    <w:qFormat/>
    <w:rsid w:val="005E68DD"/>
    <w:pPr>
      <w:keepNext/>
      <w:spacing w:before="600" w:after="240" w:line="240" w:lineRule="auto"/>
      <w:jc w:val="center"/>
      <w:outlineLvl w:val="0"/>
    </w:pPr>
    <w:rPr>
      <w:b/>
      <w:sz w:val="28"/>
    </w:rPr>
  </w:style>
  <w:style w:type="paragraph" w:styleId="Nadpis2">
    <w:name w:val="heading 2"/>
    <w:basedOn w:val="kurzva"/>
    <w:next w:val="Normln"/>
    <w:link w:val="Nadpis2Char"/>
    <w:unhideWhenUsed/>
    <w:qFormat/>
    <w:rsid w:val="004D3301"/>
    <w:pPr>
      <w:keepNext/>
      <w:spacing w:after="0" w:line="240" w:lineRule="auto"/>
      <w:outlineLvl w:val="1"/>
    </w:pPr>
    <w:rPr>
      <w:sz w:val="24"/>
      <w:szCs w:val="24"/>
    </w:rPr>
  </w:style>
  <w:style w:type="paragraph" w:styleId="Nadpis3">
    <w:name w:val="heading 3"/>
    <w:basedOn w:val="Normln"/>
    <w:next w:val="Normln"/>
    <w:link w:val="Nadpis3Char"/>
    <w:uiPriority w:val="9"/>
    <w:unhideWhenUsed/>
    <w:qFormat/>
    <w:rsid w:val="005E68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4F01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ot pt,List Paragraph1,List Paragraph2,List Paragraph_0,Nad,Nad1,Nad2,Nadpis pro KZ,Odstavec_muj,Odstavec_muj1,Odstavec_muj10,Odstavec_muj2,Odstavec_muj3,Odstavec_muj4,Odstavec_muj5,Odstavec_muj6,Odstavec_muj7,Odstavec_muj8,odrážky"/>
    <w:basedOn w:val="Normln"/>
    <w:link w:val="OdstavecseseznamemChar"/>
    <w:uiPriority w:val="34"/>
    <w:qFormat/>
    <w:rsid w:val="00C2551C"/>
    <w:pPr>
      <w:ind w:left="720"/>
      <w:contextualSpacing/>
    </w:pPr>
  </w:style>
  <w:style w:type="paragraph" w:styleId="Textpoznpodarou">
    <w:name w:val="footnote text"/>
    <w:aliases w:val="Footnote,Footnote Text Char,Footnote Text Char Char,Footnote Text Char Char Char Char Char Char,Footnote Text Char1,Footnote Text Char1 Char Char Char Char,Footnote Text Char2 Char Char Char,Footnote Text Char3 Char Char,Podrozdział"/>
    <w:basedOn w:val="Normln"/>
    <w:link w:val="TextpoznpodarouChar"/>
    <w:autoRedefine/>
    <w:uiPriority w:val="99"/>
    <w:unhideWhenUsed/>
    <w:qFormat/>
    <w:rsid w:val="00E10097"/>
    <w:pPr>
      <w:keepLines/>
      <w:spacing w:after="0" w:line="240" w:lineRule="auto"/>
      <w:ind w:left="284" w:hanging="284"/>
      <w:jc w:val="both"/>
    </w:pPr>
    <w:rPr>
      <w:sz w:val="20"/>
      <w:szCs w:val="20"/>
    </w:rPr>
  </w:style>
  <w:style w:type="character" w:customStyle="1" w:styleId="TextpoznpodarouChar">
    <w:name w:val="Text pozn. pod čarou Char"/>
    <w:aliases w:val="Footnote Char,Footnote Text Char Char1,Footnote Text Char Char Char,Footnote Text Char Char Char Char Char Char Char,Footnote Text Char1 Char,Footnote Text Char1 Char Char Char Char Char,Footnote Text Char2 Char Char Char Char"/>
    <w:basedOn w:val="Standardnpsmoodstavce"/>
    <w:link w:val="Textpoznpodarou"/>
    <w:uiPriority w:val="99"/>
    <w:rsid w:val="00E10097"/>
    <w:rPr>
      <w:sz w:val="20"/>
      <w:szCs w:val="20"/>
    </w:rPr>
  </w:style>
  <w:style w:type="character" w:styleId="Znakapoznpodarou">
    <w:name w:val="footnote reference"/>
    <w:aliases w:val="12 b.,Appel note de bas de p,Appel note de bas de page,BVI fnr,Char Car Car Car Car,FR,Footnote Reference Superscript,Footnote symbol,Légende,PGI Fußnote Ziffer,PGI Fußnote Ziffer + Times New Roman,Voetnootverwijzing,Zúžené o ..."/>
    <w:basedOn w:val="Standardnpsmoodstavce"/>
    <w:uiPriority w:val="99"/>
    <w:unhideWhenUsed/>
    <w:qFormat/>
    <w:rsid w:val="00FA586B"/>
    <w:rPr>
      <w:vertAlign w:val="superscript"/>
    </w:rPr>
  </w:style>
  <w:style w:type="paragraph" w:styleId="Textbubliny">
    <w:name w:val="Balloon Text"/>
    <w:basedOn w:val="Normln"/>
    <w:link w:val="TextbublinyChar"/>
    <w:uiPriority w:val="99"/>
    <w:semiHidden/>
    <w:unhideWhenUsed/>
    <w:rsid w:val="007944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42B"/>
    <w:rPr>
      <w:rFonts w:ascii="Segoe UI" w:hAnsi="Segoe UI" w:cs="Segoe UI"/>
      <w:sz w:val="18"/>
      <w:szCs w:val="18"/>
    </w:rPr>
  </w:style>
  <w:style w:type="table" w:styleId="Mkatabulky">
    <w:name w:val="Table Grid"/>
    <w:basedOn w:val="Normlntabulka"/>
    <w:uiPriority w:val="59"/>
    <w:rsid w:val="00A5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ot pt Char,List Paragraph1 Char,List Paragraph2 Char,List Paragraph_0 Char,Nad Char,Nad1 Char,Nad2 Char,Nadpis pro KZ Char,Odstavec_muj Char,Odstavec_muj1 Char,Odstavec_muj10 Char,Odstavec_muj2 Char,Odstavec_muj3 Char"/>
    <w:basedOn w:val="Standardnpsmoodstavce"/>
    <w:link w:val="Odstavecseseznamem"/>
    <w:uiPriority w:val="34"/>
    <w:qFormat/>
    <w:locked/>
    <w:rsid w:val="00212BC1"/>
  </w:style>
  <w:style w:type="paragraph" w:styleId="Titulek">
    <w:name w:val="caption"/>
    <w:aliases w:val="Caption Char Char Char Char,Caption Char Char Char1,Caption Char Char1 Char,Caption Char Char2,Caption Char1 Char Char,Caption Char1 Char1,Caption Char2 Char,Caption Char3,KP_titulek,Titulek Char"/>
    <w:basedOn w:val="Normln"/>
    <w:next w:val="Normln"/>
    <w:uiPriority w:val="35"/>
    <w:unhideWhenUsed/>
    <w:qFormat/>
    <w:rsid w:val="00241984"/>
    <w:pPr>
      <w:spacing w:after="200" w:line="240" w:lineRule="auto"/>
    </w:pPr>
    <w:rPr>
      <w:i/>
      <w:iCs/>
      <w:color w:val="44546A" w:themeColor="text2"/>
      <w:sz w:val="18"/>
      <w:szCs w:val="18"/>
    </w:rPr>
  </w:style>
  <w:style w:type="paragraph" w:styleId="Zhlav">
    <w:name w:val="header"/>
    <w:basedOn w:val="Normln"/>
    <w:link w:val="ZhlavChar"/>
    <w:uiPriority w:val="99"/>
    <w:unhideWhenUsed/>
    <w:rsid w:val="00857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621"/>
  </w:style>
  <w:style w:type="paragraph" w:styleId="Zpat">
    <w:name w:val="footer"/>
    <w:basedOn w:val="Normln"/>
    <w:link w:val="ZpatChar"/>
    <w:uiPriority w:val="99"/>
    <w:unhideWhenUsed/>
    <w:rsid w:val="00857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621"/>
  </w:style>
  <w:style w:type="character" w:styleId="Hypertextovodkaz">
    <w:name w:val="Hyperlink"/>
    <w:basedOn w:val="Standardnpsmoodstavce"/>
    <w:uiPriority w:val="99"/>
    <w:unhideWhenUsed/>
    <w:rsid w:val="00297C21"/>
    <w:rPr>
      <w:color w:val="0563C1" w:themeColor="hyperlink"/>
      <w:u w:val="single"/>
    </w:rPr>
  </w:style>
  <w:style w:type="character" w:styleId="Siln">
    <w:name w:val="Strong"/>
    <w:basedOn w:val="Standardnpsmoodstavce"/>
    <w:uiPriority w:val="22"/>
    <w:qFormat/>
    <w:rsid w:val="00A90BE1"/>
    <w:rPr>
      <w:b/>
      <w:bCs/>
    </w:rPr>
  </w:style>
  <w:style w:type="paragraph" w:customStyle="1" w:styleId="JK3">
    <w:name w:val="JK3"/>
    <w:basedOn w:val="Odstavecseseznamem"/>
    <w:autoRedefine/>
    <w:qFormat/>
    <w:rsid w:val="00D16947"/>
    <w:pPr>
      <w:numPr>
        <w:numId w:val="12"/>
      </w:numPr>
      <w:tabs>
        <w:tab w:val="left" w:pos="482"/>
      </w:tabs>
      <w:spacing w:before="120" w:after="0" w:line="240" w:lineRule="auto"/>
      <w:ind w:left="0" w:firstLine="0"/>
      <w:contextualSpacing w:val="0"/>
      <w:jc w:val="both"/>
    </w:pPr>
    <w:rPr>
      <w:sz w:val="24"/>
    </w:rPr>
  </w:style>
  <w:style w:type="paragraph" w:customStyle="1" w:styleId="JK4">
    <w:name w:val="JK4"/>
    <w:basedOn w:val="JK3"/>
    <w:qFormat/>
    <w:rsid w:val="000F5EF3"/>
    <w:pPr>
      <w:numPr>
        <w:numId w:val="5"/>
      </w:numPr>
      <w:spacing w:after="120"/>
      <w:ind w:left="0" w:firstLine="0"/>
    </w:pPr>
  </w:style>
  <w:style w:type="character" w:styleId="Odkaznakoment">
    <w:name w:val="annotation reference"/>
    <w:basedOn w:val="Standardnpsmoodstavce"/>
    <w:uiPriority w:val="99"/>
    <w:semiHidden/>
    <w:unhideWhenUsed/>
    <w:rsid w:val="008E5A98"/>
    <w:rPr>
      <w:sz w:val="16"/>
      <w:szCs w:val="16"/>
    </w:rPr>
  </w:style>
  <w:style w:type="paragraph" w:styleId="Textkomente">
    <w:name w:val="annotation text"/>
    <w:basedOn w:val="Normln"/>
    <w:link w:val="TextkomenteChar"/>
    <w:uiPriority w:val="99"/>
    <w:unhideWhenUsed/>
    <w:rsid w:val="008E5A98"/>
    <w:pPr>
      <w:spacing w:line="240" w:lineRule="auto"/>
    </w:pPr>
    <w:rPr>
      <w:sz w:val="20"/>
      <w:szCs w:val="20"/>
    </w:rPr>
  </w:style>
  <w:style w:type="character" w:customStyle="1" w:styleId="TextkomenteChar">
    <w:name w:val="Text komentáře Char"/>
    <w:basedOn w:val="Standardnpsmoodstavce"/>
    <w:link w:val="Textkomente"/>
    <w:uiPriority w:val="99"/>
    <w:rsid w:val="008E5A98"/>
    <w:rPr>
      <w:sz w:val="20"/>
      <w:szCs w:val="20"/>
    </w:rPr>
  </w:style>
  <w:style w:type="paragraph" w:styleId="Pedmtkomente">
    <w:name w:val="annotation subject"/>
    <w:basedOn w:val="Textkomente"/>
    <w:next w:val="Textkomente"/>
    <w:link w:val="PedmtkomenteChar"/>
    <w:uiPriority w:val="99"/>
    <w:semiHidden/>
    <w:unhideWhenUsed/>
    <w:rsid w:val="008E5A98"/>
    <w:rPr>
      <w:b/>
      <w:bCs/>
    </w:rPr>
  </w:style>
  <w:style w:type="character" w:customStyle="1" w:styleId="PedmtkomenteChar">
    <w:name w:val="Předmět komentáře Char"/>
    <w:basedOn w:val="TextkomenteChar"/>
    <w:link w:val="Pedmtkomente"/>
    <w:uiPriority w:val="99"/>
    <w:semiHidden/>
    <w:rsid w:val="008E5A98"/>
    <w:rPr>
      <w:b/>
      <w:bCs/>
      <w:sz w:val="20"/>
      <w:szCs w:val="20"/>
    </w:rPr>
  </w:style>
  <w:style w:type="paragraph" w:customStyle="1" w:styleId="KPseznamcislo">
    <w:name w:val="KP_seznam_cislo"/>
    <w:basedOn w:val="Normln"/>
    <w:uiPriority w:val="3"/>
    <w:qFormat/>
    <w:rsid w:val="009438AB"/>
    <w:pPr>
      <w:numPr>
        <w:numId w:val="1"/>
      </w:numPr>
      <w:spacing w:before="60" w:after="60" w:line="276" w:lineRule="auto"/>
      <w:jc w:val="both"/>
    </w:pPr>
    <w:rPr>
      <w:rFonts w:ascii="Calibri" w:eastAsia="Times New Roman" w:hAnsi="Calibri" w:cs="Times New Roman"/>
      <w:sz w:val="24"/>
      <w:szCs w:val="24"/>
      <w:lang w:eastAsia="cs-CZ"/>
    </w:rPr>
  </w:style>
  <w:style w:type="paragraph" w:customStyle="1" w:styleId="KPnormal">
    <w:name w:val="KP_normal"/>
    <w:basedOn w:val="Normln"/>
    <w:link w:val="KPnormalChar"/>
    <w:qFormat/>
    <w:rsid w:val="007C58F2"/>
    <w:pPr>
      <w:spacing w:before="160" w:after="0" w:line="276" w:lineRule="auto"/>
      <w:ind w:firstLine="720"/>
      <w:jc w:val="both"/>
    </w:pPr>
    <w:rPr>
      <w:rFonts w:ascii="Calibri" w:eastAsia="Times New Roman" w:hAnsi="Calibri" w:cs="Times New Roman"/>
      <w:color w:val="000000"/>
      <w:sz w:val="24"/>
      <w:lang w:eastAsia="cs-CZ"/>
    </w:rPr>
  </w:style>
  <w:style w:type="character" w:customStyle="1" w:styleId="KPnormalChar">
    <w:name w:val="KP_normal Char"/>
    <w:basedOn w:val="Standardnpsmoodstavce"/>
    <w:link w:val="KPnormal"/>
    <w:rsid w:val="007C58F2"/>
    <w:rPr>
      <w:rFonts w:ascii="Calibri" w:eastAsia="Times New Roman" w:hAnsi="Calibri" w:cs="Times New Roman"/>
      <w:color w:val="000000"/>
      <w:sz w:val="24"/>
      <w:lang w:eastAsia="cs-CZ"/>
    </w:rPr>
  </w:style>
  <w:style w:type="paragraph" w:customStyle="1" w:styleId="KPodrazka1">
    <w:name w:val="KP_odrazka1"/>
    <w:basedOn w:val="Odstavecseseznamem"/>
    <w:autoRedefine/>
    <w:uiPriority w:val="2"/>
    <w:qFormat/>
    <w:rsid w:val="009A3FA9"/>
    <w:pPr>
      <w:numPr>
        <w:numId w:val="6"/>
      </w:numPr>
      <w:spacing w:before="60" w:after="0" w:line="240" w:lineRule="auto"/>
      <w:contextualSpacing w:val="0"/>
      <w:jc w:val="both"/>
    </w:pPr>
    <w:rPr>
      <w:rFonts w:ascii="Calibri" w:eastAsia="Calibri" w:hAnsi="Calibri" w:cs="Calibri"/>
      <w:sz w:val="24"/>
      <w:szCs w:val="24"/>
      <w:lang w:eastAsia="cs-CZ"/>
    </w:rPr>
  </w:style>
  <w:style w:type="paragraph" w:customStyle="1" w:styleId="KPodrazka1posl">
    <w:name w:val="KP_odrazka1_posl"/>
    <w:basedOn w:val="KPodrazka1"/>
    <w:next w:val="KPnormal"/>
    <w:uiPriority w:val="2"/>
    <w:qFormat/>
    <w:rsid w:val="002256E5"/>
    <w:pPr>
      <w:numPr>
        <w:numId w:val="0"/>
      </w:numPr>
      <w:spacing w:after="160"/>
      <w:ind w:left="1004" w:hanging="360"/>
    </w:pPr>
  </w:style>
  <w:style w:type="table" w:customStyle="1" w:styleId="Mkatabulky1">
    <w:name w:val="Mřížka tabulky1"/>
    <w:basedOn w:val="Normlntabulka"/>
    <w:next w:val="Mkatabulky"/>
    <w:uiPriority w:val="39"/>
    <w:rsid w:val="00815FDB"/>
    <w:pPr>
      <w:spacing w:before="160"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zdroj">
    <w:name w:val="KP_zdroj"/>
    <w:basedOn w:val="KPnormal"/>
    <w:next w:val="KPnormal"/>
    <w:uiPriority w:val="4"/>
    <w:qFormat/>
    <w:rsid w:val="00815FDB"/>
    <w:pPr>
      <w:tabs>
        <w:tab w:val="left" w:pos="709"/>
      </w:tabs>
      <w:spacing w:before="60" w:after="160"/>
      <w:ind w:left="709" w:hanging="709"/>
      <w:contextualSpacing/>
    </w:pPr>
    <w:rPr>
      <w:rFonts w:eastAsiaTheme="minorHAnsi"/>
      <w:sz w:val="20"/>
    </w:rPr>
  </w:style>
  <w:style w:type="paragraph" w:customStyle="1" w:styleId="KPsvazany">
    <w:name w:val="KP_svazany"/>
    <w:basedOn w:val="KPnormal"/>
    <w:next w:val="Normln"/>
    <w:qFormat/>
    <w:rsid w:val="00815FDB"/>
    <w:pPr>
      <w:keepNext/>
    </w:pPr>
  </w:style>
  <w:style w:type="character" w:styleId="slodku">
    <w:name w:val="line number"/>
    <w:basedOn w:val="Standardnpsmoodstavce"/>
    <w:uiPriority w:val="99"/>
    <w:semiHidden/>
    <w:unhideWhenUsed/>
    <w:rsid w:val="00E859FF"/>
  </w:style>
  <w:style w:type="paragraph" w:styleId="Revize">
    <w:name w:val="Revision"/>
    <w:hidden/>
    <w:uiPriority w:val="99"/>
    <w:semiHidden/>
    <w:rsid w:val="00B12AB4"/>
    <w:pPr>
      <w:spacing w:after="0" w:line="240" w:lineRule="auto"/>
    </w:pPr>
  </w:style>
  <w:style w:type="paragraph" w:customStyle="1" w:styleId="JK1">
    <w:name w:val="JK1"/>
    <w:basedOn w:val="KPnormal"/>
    <w:qFormat/>
    <w:rsid w:val="00E349B0"/>
    <w:pPr>
      <w:numPr>
        <w:numId w:val="2"/>
      </w:numPr>
      <w:tabs>
        <w:tab w:val="left" w:pos="567"/>
      </w:tabs>
      <w:spacing w:before="120" w:line="240" w:lineRule="auto"/>
    </w:pPr>
    <w:rPr>
      <w:szCs w:val="24"/>
    </w:rPr>
  </w:style>
  <w:style w:type="paragraph" w:customStyle="1" w:styleId="JK2">
    <w:name w:val="JK2"/>
    <w:basedOn w:val="JK1"/>
    <w:qFormat/>
    <w:rsid w:val="006E156E"/>
    <w:pPr>
      <w:numPr>
        <w:numId w:val="4"/>
      </w:numPr>
      <w:spacing w:after="120"/>
      <w:ind w:left="0" w:firstLine="0"/>
    </w:pPr>
  </w:style>
  <w:style w:type="paragraph" w:customStyle="1" w:styleId="Mluvcnadpis">
    <w:name w:val="Mluvící nadpis"/>
    <w:basedOn w:val="Nadpis2"/>
    <w:next w:val="JK4"/>
    <w:link w:val="MluvcnadpisChar"/>
    <w:qFormat/>
    <w:rsid w:val="00083B49"/>
    <w:pPr>
      <w:spacing w:before="140" w:after="120"/>
      <w:ind w:left="284" w:hanging="284"/>
      <w:jc w:val="both"/>
    </w:pPr>
    <w:rPr>
      <w:rFonts w:cstheme="minorHAnsi"/>
      <w:bCs/>
      <w:color w:val="FF0000"/>
    </w:rPr>
  </w:style>
  <w:style w:type="paragraph" w:customStyle="1" w:styleId="Nadpismsk">
    <w:name w:val="Nadpis římská"/>
    <w:basedOn w:val="Nadpis1"/>
    <w:link w:val="NadpismskChar"/>
    <w:qFormat/>
    <w:rsid w:val="006978B8"/>
    <w:pPr>
      <w:numPr>
        <w:numId w:val="3"/>
      </w:numPr>
      <w:spacing w:line="276" w:lineRule="auto"/>
    </w:pPr>
    <w:rPr>
      <w:b w:val="0"/>
    </w:rPr>
  </w:style>
  <w:style w:type="paragraph" w:customStyle="1" w:styleId="Default">
    <w:name w:val="Default"/>
    <w:uiPriority w:val="99"/>
    <w:rsid w:val="003B7DC6"/>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mskChar">
    <w:name w:val="Nadpis římská Char"/>
    <w:basedOn w:val="Standardnpsmoodstavce"/>
    <w:link w:val="Nadpismsk"/>
    <w:rsid w:val="006978B8"/>
    <w:rPr>
      <w:sz w:val="28"/>
    </w:rPr>
  </w:style>
  <w:style w:type="character" w:customStyle="1" w:styleId="Nadpis1Char">
    <w:name w:val="Nadpis 1 Char"/>
    <w:basedOn w:val="Standardnpsmoodstavce"/>
    <w:link w:val="Nadpis1"/>
    <w:uiPriority w:val="9"/>
    <w:rsid w:val="005E68DD"/>
    <w:rPr>
      <w:b/>
      <w:sz w:val="28"/>
    </w:rPr>
  </w:style>
  <w:style w:type="paragraph" w:customStyle="1" w:styleId="EZvraznn">
    <w:name w:val="E_Zvýraznění"/>
    <w:basedOn w:val="Normln"/>
    <w:uiPriority w:val="4"/>
    <w:qFormat/>
    <w:rsid w:val="008106E8"/>
    <w:pPr>
      <w:spacing w:line="276" w:lineRule="auto"/>
      <w:jc w:val="both"/>
    </w:pPr>
    <w:rPr>
      <w:sz w:val="24"/>
      <w:szCs w:val="24"/>
    </w:rPr>
  </w:style>
  <w:style w:type="character" w:customStyle="1" w:styleId="Bodytext2">
    <w:name w:val="Body text|2_"/>
    <w:basedOn w:val="Standardnpsmoodstavce"/>
    <w:link w:val="Bodytext20"/>
    <w:uiPriority w:val="99"/>
    <w:rsid w:val="00DA574B"/>
    <w:rPr>
      <w:rFonts w:ascii="Calibri" w:eastAsia="Calibri" w:hAnsi="Calibri" w:cs="Calibri"/>
      <w:sz w:val="19"/>
      <w:szCs w:val="19"/>
      <w:shd w:val="clear" w:color="auto" w:fill="FFFFFF"/>
    </w:rPr>
  </w:style>
  <w:style w:type="paragraph" w:customStyle="1" w:styleId="Bodytext20">
    <w:name w:val="Body text|2"/>
    <w:basedOn w:val="Normln"/>
    <w:link w:val="Bodytext2"/>
    <w:uiPriority w:val="99"/>
    <w:qFormat/>
    <w:rsid w:val="00C05CB4"/>
    <w:pPr>
      <w:widowControl w:val="0"/>
      <w:shd w:val="clear" w:color="auto" w:fill="FFFFFF"/>
      <w:spacing w:before="100" w:after="100" w:line="293" w:lineRule="exact"/>
      <w:ind w:hanging="360"/>
      <w:jc w:val="both"/>
    </w:pPr>
    <w:rPr>
      <w:rFonts w:ascii="Calibri" w:eastAsia="Calibri" w:hAnsi="Calibri" w:cs="Calibri"/>
      <w:sz w:val="19"/>
      <w:szCs w:val="19"/>
    </w:rPr>
  </w:style>
  <w:style w:type="character" w:customStyle="1" w:styleId="Bodytext4">
    <w:name w:val="Body text|4_"/>
    <w:basedOn w:val="Standardnpsmoodstavce"/>
    <w:link w:val="Bodytext40"/>
    <w:uiPriority w:val="99"/>
    <w:rsid w:val="00DA574B"/>
    <w:rPr>
      <w:rFonts w:ascii="Calibri" w:eastAsia="Calibri" w:hAnsi="Calibri" w:cs="Calibri"/>
      <w:b/>
      <w:sz w:val="20"/>
      <w:shd w:val="clear" w:color="auto" w:fill="FFFFFF"/>
    </w:rPr>
  </w:style>
  <w:style w:type="paragraph" w:customStyle="1" w:styleId="Bodytext40">
    <w:name w:val="Body text|4"/>
    <w:basedOn w:val="Normln"/>
    <w:link w:val="Bodytext4"/>
    <w:uiPriority w:val="99"/>
    <w:rsid w:val="00C05CB4"/>
    <w:pPr>
      <w:widowControl w:val="0"/>
      <w:shd w:val="clear" w:color="auto" w:fill="FFFFFF"/>
      <w:spacing w:before="140" w:after="0" w:line="244" w:lineRule="exact"/>
      <w:jc w:val="both"/>
    </w:pPr>
    <w:rPr>
      <w:rFonts w:ascii="Calibri" w:eastAsia="Calibri" w:hAnsi="Calibri" w:cs="Calibri"/>
      <w:b/>
      <w:sz w:val="20"/>
    </w:rPr>
  </w:style>
  <w:style w:type="character" w:customStyle="1" w:styleId="Bodytext6">
    <w:name w:val="Body text|6_"/>
    <w:basedOn w:val="Standardnpsmoodstavce"/>
    <w:link w:val="Bodytext60"/>
    <w:uiPriority w:val="99"/>
    <w:rsid w:val="00DA574B"/>
    <w:rPr>
      <w:rFonts w:ascii="Calibri" w:eastAsia="Calibri" w:hAnsi="Calibri" w:cs="Calibri"/>
      <w:i/>
      <w:sz w:val="18"/>
      <w:shd w:val="clear" w:color="auto" w:fill="FFFFFF"/>
    </w:rPr>
  </w:style>
  <w:style w:type="paragraph" w:customStyle="1" w:styleId="Bodytext60">
    <w:name w:val="Body text|6"/>
    <w:basedOn w:val="Normln"/>
    <w:link w:val="Bodytext6"/>
    <w:uiPriority w:val="99"/>
    <w:rsid w:val="00C05CB4"/>
    <w:pPr>
      <w:widowControl w:val="0"/>
      <w:shd w:val="clear" w:color="auto" w:fill="FFFFFF"/>
      <w:spacing w:before="320" w:after="200" w:line="220" w:lineRule="exact"/>
      <w:jc w:val="both"/>
    </w:pPr>
    <w:rPr>
      <w:rFonts w:ascii="Calibri" w:eastAsia="Calibri" w:hAnsi="Calibri" w:cs="Calibri"/>
      <w:i/>
      <w:sz w:val="18"/>
    </w:rPr>
  </w:style>
  <w:style w:type="character" w:styleId="Sledovanodkaz">
    <w:name w:val="FollowedHyperlink"/>
    <w:basedOn w:val="Standardnpsmoodstavce"/>
    <w:uiPriority w:val="99"/>
    <w:semiHidden/>
    <w:unhideWhenUsed/>
    <w:rsid w:val="002E32D5"/>
    <w:rPr>
      <w:color w:val="954F72" w:themeColor="followedHyperlink"/>
      <w:u w:val="single"/>
    </w:rPr>
  </w:style>
  <w:style w:type="paragraph" w:styleId="Obsah1">
    <w:name w:val="toc 1"/>
    <w:basedOn w:val="Normln"/>
    <w:next w:val="Normln"/>
    <w:autoRedefine/>
    <w:uiPriority w:val="39"/>
    <w:semiHidden/>
    <w:unhideWhenUsed/>
    <w:rsid w:val="007824DA"/>
    <w:pPr>
      <w:spacing w:after="100"/>
    </w:pPr>
  </w:style>
  <w:style w:type="paragraph" w:styleId="Rejstk1">
    <w:name w:val="index 1"/>
    <w:basedOn w:val="Normln"/>
    <w:next w:val="Normln"/>
    <w:autoRedefine/>
    <w:uiPriority w:val="99"/>
    <w:semiHidden/>
    <w:unhideWhenUsed/>
    <w:rsid w:val="007824DA"/>
    <w:pPr>
      <w:spacing w:after="0" w:line="240" w:lineRule="auto"/>
      <w:ind w:left="220" w:hanging="220"/>
    </w:pPr>
  </w:style>
  <w:style w:type="character" w:customStyle="1" w:styleId="Nadpis2Char">
    <w:name w:val="Nadpis 2 Char"/>
    <w:basedOn w:val="Standardnpsmoodstavce"/>
    <w:link w:val="Nadpis2"/>
    <w:rsid w:val="004D3301"/>
    <w:rPr>
      <w:b/>
      <w:i/>
      <w:sz w:val="24"/>
      <w:szCs w:val="24"/>
    </w:rPr>
  </w:style>
  <w:style w:type="character" w:customStyle="1" w:styleId="A5">
    <w:name w:val="A5"/>
    <w:uiPriority w:val="99"/>
    <w:rsid w:val="00C80602"/>
    <w:rPr>
      <w:b/>
      <w:bCs/>
      <w:color w:val="000000"/>
      <w:sz w:val="40"/>
      <w:szCs w:val="40"/>
    </w:rPr>
  </w:style>
  <w:style w:type="paragraph" w:customStyle="1" w:styleId="KPnormalni">
    <w:name w:val="KP_normalni"/>
    <w:basedOn w:val="Normln"/>
    <w:qFormat/>
    <w:rsid w:val="00241D97"/>
    <w:pPr>
      <w:spacing w:after="0" w:line="240" w:lineRule="auto"/>
      <w:jc w:val="both"/>
    </w:pPr>
    <w:rPr>
      <w:rFonts w:ascii="Calibri" w:hAnsi="Calibri" w:cs="Calibri"/>
      <w:sz w:val="24"/>
      <w:szCs w:val="24"/>
    </w:rPr>
  </w:style>
  <w:style w:type="paragraph" w:customStyle="1" w:styleId="KP-normlntext">
    <w:name w:val="KP-normální text"/>
    <w:basedOn w:val="Normln"/>
    <w:link w:val="KP-normlntextChar"/>
    <w:qFormat/>
    <w:rsid w:val="00D2591D"/>
    <w:pPr>
      <w:spacing w:after="120" w:line="240" w:lineRule="auto"/>
      <w:jc w:val="both"/>
    </w:pPr>
    <w:rPr>
      <w:rFonts w:eastAsia="Times New Roman" w:cs="Calibri"/>
      <w:sz w:val="24"/>
      <w:szCs w:val="24"/>
    </w:rPr>
  </w:style>
  <w:style w:type="character" w:customStyle="1" w:styleId="KP-normlntextChar">
    <w:name w:val="KP-normální text Char"/>
    <w:link w:val="KP-normlntext"/>
    <w:rsid w:val="00D2591D"/>
    <w:rPr>
      <w:rFonts w:eastAsia="Times New Roman" w:cs="Calibri"/>
      <w:sz w:val="24"/>
      <w:szCs w:val="24"/>
    </w:rPr>
  </w:style>
  <w:style w:type="character" w:styleId="Nevyeenzmnka">
    <w:name w:val="Unresolved Mention"/>
    <w:basedOn w:val="Standardnpsmoodstavce"/>
    <w:uiPriority w:val="99"/>
    <w:semiHidden/>
    <w:unhideWhenUsed/>
    <w:rsid w:val="0086659D"/>
    <w:rPr>
      <w:color w:val="605E5C"/>
      <w:shd w:val="clear" w:color="auto" w:fill="E1DFDD"/>
    </w:rPr>
  </w:style>
  <w:style w:type="paragraph" w:customStyle="1" w:styleId="KP-normlnbezodsazen">
    <w:name w:val="KP-normální bez odsazení"/>
    <w:basedOn w:val="KP-normlntext"/>
    <w:qFormat/>
    <w:rsid w:val="00C06C8E"/>
    <w:pPr>
      <w:spacing w:after="0"/>
    </w:pPr>
    <w:rPr>
      <w:rFonts w:cstheme="minorHAnsi"/>
    </w:rPr>
  </w:style>
  <w:style w:type="paragraph" w:customStyle="1" w:styleId="KP-normlntun">
    <w:name w:val="KP-normální tučně"/>
    <w:basedOn w:val="KP-normlntext"/>
    <w:qFormat/>
    <w:rsid w:val="00EB3619"/>
    <w:pPr>
      <w:keepNext/>
      <w:spacing w:before="120" w:after="0"/>
    </w:pPr>
    <w:rPr>
      <w:rFonts w:cstheme="minorHAnsi"/>
      <w:b/>
    </w:rPr>
  </w:style>
  <w:style w:type="table" w:customStyle="1" w:styleId="Mkatabulky2">
    <w:name w:val="Mřížka tabulky2"/>
    <w:basedOn w:val="Normlntabulka"/>
    <w:next w:val="Mkatabulky"/>
    <w:uiPriority w:val="39"/>
    <w:rsid w:val="00F3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2986"/>
    <w:pPr>
      <w:spacing w:after="0" w:line="240" w:lineRule="auto"/>
    </w:pPr>
    <w:rPr>
      <w:rFonts w:eastAsia="Times New Roman"/>
      <w:lang w:eastAsia="cs-CZ"/>
    </w:rPr>
    <w:tblPr>
      <w:tblCellMar>
        <w:top w:w="0" w:type="dxa"/>
        <w:left w:w="0" w:type="dxa"/>
        <w:bottom w:w="0" w:type="dxa"/>
        <w:right w:w="0" w:type="dxa"/>
      </w:tblCellMar>
    </w:tblPr>
  </w:style>
  <w:style w:type="paragraph" w:customStyle="1" w:styleId="footnotedescription">
    <w:name w:val="footnote description"/>
    <w:next w:val="Normln"/>
    <w:link w:val="footnotedescriptionChar"/>
    <w:hidden/>
    <w:rsid w:val="0063703B"/>
    <w:pPr>
      <w:spacing w:after="0" w:line="286" w:lineRule="auto"/>
      <w:ind w:left="283" w:firstLine="41"/>
    </w:pPr>
    <w:rPr>
      <w:rFonts w:ascii="Calibri" w:eastAsia="Calibri" w:hAnsi="Calibri" w:cs="Calibri"/>
      <w:color w:val="000000"/>
      <w:sz w:val="18"/>
      <w:lang w:eastAsia="cs-CZ"/>
    </w:rPr>
  </w:style>
  <w:style w:type="character" w:customStyle="1" w:styleId="footnotedescriptionChar">
    <w:name w:val="footnote description Char"/>
    <w:link w:val="footnotedescription"/>
    <w:rsid w:val="0063703B"/>
    <w:rPr>
      <w:rFonts w:ascii="Calibri" w:eastAsia="Calibri" w:hAnsi="Calibri" w:cs="Calibri"/>
      <w:color w:val="000000"/>
      <w:sz w:val="18"/>
      <w:lang w:eastAsia="cs-CZ"/>
    </w:rPr>
  </w:style>
  <w:style w:type="character" w:customStyle="1" w:styleId="footnotemark">
    <w:name w:val="footnote mark"/>
    <w:hidden/>
    <w:rsid w:val="0063703B"/>
    <w:rPr>
      <w:rFonts w:ascii="Calibri" w:eastAsia="Calibri" w:hAnsi="Calibri" w:cs="Calibri"/>
      <w:color w:val="000000"/>
      <w:sz w:val="18"/>
      <w:vertAlign w:val="superscript"/>
    </w:rPr>
  </w:style>
  <w:style w:type="table" w:customStyle="1" w:styleId="TableGrid1">
    <w:name w:val="TableGrid1"/>
    <w:rsid w:val="0063703B"/>
    <w:pPr>
      <w:spacing w:after="0" w:line="240" w:lineRule="auto"/>
    </w:pPr>
    <w:rPr>
      <w:rFonts w:eastAsia="Times New Roman"/>
      <w:lang w:eastAsia="cs-CZ"/>
    </w:rPr>
    <w:tblPr>
      <w:tblCellMar>
        <w:top w:w="0" w:type="dxa"/>
        <w:left w:w="0" w:type="dxa"/>
        <w:bottom w:w="0" w:type="dxa"/>
        <w:right w:w="0" w:type="dxa"/>
      </w:tblCellMar>
    </w:tblPr>
  </w:style>
  <w:style w:type="paragraph" w:customStyle="1" w:styleId="Pa18">
    <w:name w:val="Pa18"/>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3B1BC3"/>
    <w:rPr>
      <w:b/>
      <w:bCs w:val="0"/>
      <w:color w:val="000000"/>
      <w:sz w:val="54"/>
    </w:rPr>
  </w:style>
  <w:style w:type="paragraph" w:customStyle="1" w:styleId="kurzva">
    <w:name w:val="kurzíva"/>
    <w:basedOn w:val="Normln"/>
    <w:qFormat/>
    <w:rsid w:val="00757057"/>
    <w:pPr>
      <w:spacing w:before="240" w:after="60"/>
    </w:pPr>
    <w:rPr>
      <w:b/>
      <w:i/>
    </w:rPr>
  </w:style>
  <w:style w:type="character" w:customStyle="1" w:styleId="A4">
    <w:name w:val="A4"/>
    <w:uiPriority w:val="99"/>
    <w:rsid w:val="000E1B3B"/>
    <w:rPr>
      <w:color w:val="000000"/>
      <w:sz w:val="60"/>
      <w:szCs w:val="60"/>
    </w:rPr>
  </w:style>
  <w:style w:type="paragraph" w:customStyle="1" w:styleId="Pkladyvrmeku">
    <w:name w:val="Příklady v rámečku"/>
    <w:basedOn w:val="Normln"/>
    <w:qFormat/>
    <w:rsid w:val="00EB3619"/>
    <w:pPr>
      <w:keepLines/>
      <w:pBdr>
        <w:top w:val="single" w:sz="4" w:space="1" w:color="auto"/>
        <w:left w:val="single" w:sz="4" w:space="0" w:color="auto"/>
        <w:bottom w:val="single" w:sz="4" w:space="1" w:color="auto"/>
        <w:right w:val="single" w:sz="4" w:space="4" w:color="auto"/>
      </w:pBdr>
      <w:spacing w:after="0" w:line="280" w:lineRule="atLeast"/>
      <w:ind w:right="142"/>
      <w:jc w:val="both"/>
    </w:pPr>
    <w:rPr>
      <w:i/>
      <w:sz w:val="24"/>
      <w:szCs w:val="24"/>
    </w:rPr>
  </w:style>
  <w:style w:type="character" w:customStyle="1" w:styleId="MluvcnadpisChar">
    <w:name w:val="Mluvící nadpis Char"/>
    <w:basedOn w:val="Nadpis2Char"/>
    <w:link w:val="Mluvcnadpis"/>
    <w:rsid w:val="00083B49"/>
    <w:rPr>
      <w:rFonts w:cstheme="minorHAnsi"/>
      <w:b/>
      <w:bCs/>
      <w:i/>
      <w:color w:val="FF0000"/>
      <w:sz w:val="24"/>
      <w:szCs w:val="24"/>
    </w:rPr>
  </w:style>
  <w:style w:type="paragraph" w:customStyle="1" w:styleId="Nadpistabulkynebografu">
    <w:name w:val="Nadpis tabulky nebo grafu"/>
    <w:basedOn w:val="KPnormalni"/>
    <w:next w:val="KPnormalni"/>
    <w:qFormat/>
    <w:rsid w:val="005E68DD"/>
    <w:pPr>
      <w:keepNext/>
      <w:keepLines/>
      <w:tabs>
        <w:tab w:val="right" w:pos="9070"/>
      </w:tabs>
      <w:spacing w:after="40"/>
      <w:ind w:left="1418" w:hanging="1418"/>
    </w:pPr>
    <w:rPr>
      <w:b/>
    </w:rPr>
  </w:style>
  <w:style w:type="paragraph" w:customStyle="1" w:styleId="Zdrojnebovysvtlivkapodtabulkou">
    <w:name w:val="Zdroj nebo vysvětlivka pod tabulkou"/>
    <w:aliases w:val="grafem"/>
    <w:basedOn w:val="KPnormalni"/>
    <w:next w:val="JK4"/>
    <w:qFormat/>
    <w:rsid w:val="005E68DD"/>
    <w:pPr>
      <w:keepNext/>
      <w:keepLines/>
      <w:contextualSpacing/>
    </w:pPr>
    <w:rPr>
      <w:sz w:val="20"/>
      <w:szCs w:val="20"/>
    </w:rPr>
  </w:style>
  <w:style w:type="paragraph" w:customStyle="1" w:styleId="PodkapitolystiIVKZ">
    <w:name w:val="Podkapitoly části IV. KZ"/>
    <w:basedOn w:val="Nadpis2"/>
    <w:next w:val="JK4"/>
    <w:link w:val="PodkapitolystiIVKZChar"/>
    <w:qFormat/>
    <w:rsid w:val="00973E41"/>
    <w:pPr>
      <w:numPr>
        <w:numId w:val="9"/>
      </w:numPr>
      <w:spacing w:before="360"/>
      <w:ind w:left="284" w:hanging="284"/>
      <w:jc w:val="both"/>
    </w:pPr>
    <w:rPr>
      <w:rFonts w:cstheme="minorHAnsi"/>
      <w:color w:val="1F4E79" w:themeColor="accent1" w:themeShade="80"/>
      <w:szCs w:val="28"/>
    </w:rPr>
  </w:style>
  <w:style w:type="character" w:customStyle="1" w:styleId="PodkapitolystiIVKZChar">
    <w:name w:val="Podkapitoly části IV. KZ Char"/>
    <w:basedOn w:val="Nadpis3Char"/>
    <w:link w:val="PodkapitolystiIVKZ"/>
    <w:rsid w:val="00973E41"/>
    <w:rPr>
      <w:rFonts w:asciiTheme="majorHAnsi" w:eastAsiaTheme="majorEastAsia" w:hAnsiTheme="majorHAnsi" w:cstheme="minorHAnsi"/>
      <w:b/>
      <w:i/>
      <w:color w:val="1F4E79" w:themeColor="accent1" w:themeShade="80"/>
      <w:sz w:val="24"/>
      <w:szCs w:val="28"/>
    </w:rPr>
  </w:style>
  <w:style w:type="character" w:customStyle="1" w:styleId="Nadpis3Char">
    <w:name w:val="Nadpis 3 Char"/>
    <w:basedOn w:val="Standardnpsmoodstavce"/>
    <w:link w:val="Nadpis3"/>
    <w:uiPriority w:val="9"/>
    <w:rsid w:val="005E68DD"/>
    <w:rPr>
      <w:rFonts w:asciiTheme="majorHAnsi" w:eastAsiaTheme="majorEastAsia" w:hAnsiTheme="majorHAnsi" w:cstheme="majorBidi"/>
      <w:color w:val="1F4D78" w:themeColor="accent1" w:themeShade="7F"/>
      <w:sz w:val="24"/>
      <w:szCs w:val="24"/>
    </w:rPr>
  </w:style>
  <w:style w:type="paragraph" w:customStyle="1" w:styleId="Poznmkapodtabulkou">
    <w:name w:val="Poznámka pod tabulkou"/>
    <w:basedOn w:val="Normln"/>
    <w:qFormat/>
    <w:rsid w:val="00B938C0"/>
    <w:pPr>
      <w:tabs>
        <w:tab w:val="left" w:pos="1134"/>
      </w:tabs>
      <w:spacing w:after="120" w:line="240" w:lineRule="auto"/>
      <w:ind w:left="1134" w:hanging="1134"/>
      <w:contextualSpacing/>
      <w:jc w:val="both"/>
    </w:pPr>
    <w:rPr>
      <w:rFonts w:eastAsia="Times New Roman" w:cstheme="minorHAnsi"/>
      <w:bCs/>
      <w:i/>
      <w:iCs/>
      <w:sz w:val="20"/>
      <w:szCs w:val="20"/>
    </w:rPr>
  </w:style>
  <w:style w:type="paragraph" w:customStyle="1" w:styleId="Nzevtabulky">
    <w:name w:val="Název tabulky"/>
    <w:aliases w:val="grafu"/>
    <w:basedOn w:val="Normln"/>
    <w:next w:val="KP-normlnbezodsazen"/>
    <w:qFormat/>
    <w:rsid w:val="00B938C0"/>
    <w:pPr>
      <w:keepNext/>
      <w:tabs>
        <w:tab w:val="left" w:pos="1418"/>
      </w:tabs>
      <w:spacing w:after="60" w:line="240" w:lineRule="auto"/>
      <w:ind w:left="1418" w:hanging="1418"/>
      <w:jc w:val="both"/>
    </w:pPr>
    <w:rPr>
      <w:rFonts w:ascii="Calibri" w:eastAsia="Times New Roman" w:hAnsi="Calibri" w:cs="Times New Roman"/>
      <w:color w:val="000000"/>
      <w:sz w:val="24"/>
      <w:szCs w:val="24"/>
    </w:rPr>
  </w:style>
  <w:style w:type="character" w:customStyle="1" w:styleId="Nadpis4Char">
    <w:name w:val="Nadpis 4 Char"/>
    <w:basedOn w:val="Standardnpsmoodstavce"/>
    <w:link w:val="Nadpis4"/>
    <w:uiPriority w:val="9"/>
    <w:rsid w:val="004F01AD"/>
    <w:rPr>
      <w:rFonts w:asciiTheme="majorHAnsi" w:eastAsiaTheme="majorEastAsia" w:hAnsiTheme="majorHAnsi" w:cstheme="majorBidi"/>
      <w:i/>
      <w:iCs/>
      <w:color w:val="2E74B5" w:themeColor="accent1" w:themeShade="BF"/>
    </w:rPr>
  </w:style>
  <w:style w:type="paragraph" w:styleId="Zkladntext2">
    <w:name w:val="Body Text 2"/>
    <w:basedOn w:val="Normln"/>
    <w:link w:val="Zkladntext2Char"/>
    <w:uiPriority w:val="99"/>
    <w:semiHidden/>
    <w:unhideWhenUsed/>
    <w:rsid w:val="0074208C"/>
    <w:pPr>
      <w:spacing w:after="120" w:line="480" w:lineRule="auto"/>
      <w:jc w:val="both"/>
    </w:pPr>
    <w:rPr>
      <w:rFonts w:eastAsia="Times New Roman" w:cstheme="minorHAnsi"/>
      <w:sz w:val="24"/>
      <w:szCs w:val="24"/>
    </w:rPr>
  </w:style>
  <w:style w:type="character" w:customStyle="1" w:styleId="Zkladntext2Char">
    <w:name w:val="Základní text 2 Char"/>
    <w:basedOn w:val="Standardnpsmoodstavce"/>
    <w:link w:val="Zkladntext2"/>
    <w:uiPriority w:val="99"/>
    <w:semiHidden/>
    <w:rsid w:val="0074208C"/>
    <w:rPr>
      <w:rFonts w:eastAsia="Times New Roman" w:cstheme="minorHAnsi"/>
      <w:sz w:val="24"/>
      <w:szCs w:val="24"/>
    </w:rPr>
  </w:style>
  <w:style w:type="paragraph" w:customStyle="1" w:styleId="Nadpispklad">
    <w:name w:val="Nadpis příkladů"/>
    <w:basedOn w:val="KP-normlntun"/>
    <w:qFormat/>
    <w:rsid w:val="00E40B9B"/>
    <w:rPr>
      <w:color w:val="1F4E79" w:themeColor="accent1" w:themeShade="80"/>
    </w:rPr>
  </w:style>
  <w:style w:type="paragraph" w:styleId="Textvysvtlivek">
    <w:name w:val="endnote text"/>
    <w:basedOn w:val="Normln"/>
    <w:link w:val="TextvysvtlivekChar"/>
    <w:uiPriority w:val="99"/>
    <w:semiHidden/>
    <w:unhideWhenUsed/>
    <w:rsid w:val="006350C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350C9"/>
    <w:rPr>
      <w:sz w:val="20"/>
      <w:szCs w:val="20"/>
    </w:rPr>
  </w:style>
  <w:style w:type="character" w:styleId="Odkaznavysvtlivky">
    <w:name w:val="endnote reference"/>
    <w:basedOn w:val="Standardnpsmoodstavce"/>
    <w:uiPriority w:val="99"/>
    <w:semiHidden/>
    <w:unhideWhenUsed/>
    <w:rsid w:val="006350C9"/>
    <w:rPr>
      <w:vertAlign w:val="superscript"/>
    </w:rPr>
  </w:style>
  <w:style w:type="paragraph" w:styleId="Normlnweb">
    <w:name w:val="Normal (Web)"/>
    <w:basedOn w:val="Normln"/>
    <w:uiPriority w:val="99"/>
    <w:semiHidden/>
    <w:unhideWhenUsed/>
    <w:rsid w:val="003E4526"/>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rop.mmr.cz/getmedia/4d5e11ed-c8bf-4835-ab2b-fdd3d43bbb09/Prehled-nahradnich-projektu-31-vyzva_08032019.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nku/sites/odbor_IV/22_04/Sdilene%20dokumenty/25%20KONTROLN&#205;%20Z&#193;V&#282;R/KZ%2022-04%20-%20P&#345;&#237;loha%20&#269;.%202%20-%20vyhodnocen&#237;%20&#218;%20a%20H%20-%20oprav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ku/sites/odbor_IV/22_04/Sdilene%20dokumenty/25%20KONTROLN&#205;%20Z&#193;V&#282;R/KZ%2022-04%20-%20P&#345;&#237;loha%20&#269;.%202%20-%20vyhodnocen&#237;%20&#218;%20a%20H%20-%20oprav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1"/>
          <c:order val="0"/>
          <c:tx>
            <c:strRef>
              <c:f>'graf účelnost oprava'!$B$1</c:f>
              <c:strCache>
                <c:ptCount val="1"/>
                <c:pt idx="0">
                  <c:v>Poskytnutá podpora</c:v>
                </c:pt>
              </c:strCache>
            </c:strRef>
          </c:tx>
          <c:dPt>
            <c:idx val="0"/>
            <c:bubble3D val="0"/>
            <c:explosion val="15"/>
            <c:spPr>
              <a:solidFill>
                <a:srgbClr val="FFFF00"/>
              </a:solidFill>
              <a:ln w="28575">
                <a:solidFill>
                  <a:srgbClr val="FFFF00"/>
                </a:solidFill>
              </a:ln>
              <a:effectLst/>
            </c:spPr>
            <c:extLst>
              <c:ext xmlns:c16="http://schemas.microsoft.com/office/drawing/2014/chart" uri="{C3380CC4-5D6E-409C-BE32-E72D297353CC}">
                <c16:uniqueId val="{00000001-43FC-48C1-805C-5AD7A9938BF9}"/>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43FC-48C1-805C-5AD7A9938BF9}"/>
              </c:ext>
            </c:extLst>
          </c:dPt>
          <c:dPt>
            <c:idx val="2"/>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5-43FC-48C1-805C-5AD7A9938BF9}"/>
              </c:ext>
            </c:extLst>
          </c:dPt>
          <c:dLbls>
            <c:dLbl>
              <c:idx val="0"/>
              <c:layout>
                <c:manualLayout>
                  <c:x val="0.14527089871203802"/>
                  <c:y val="-4.8073112361086814E-2"/>
                </c:manualLayout>
              </c:layout>
              <c:tx>
                <c:rich>
                  <a:bodyPr rot="0" spcFirstLastPara="1" vertOverflow="overflow" horzOverflow="overflow"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fld id="{77DDBD5B-1D03-4053-9474-5AC0BD915555}" type="CATEGORYNAME">
                      <a:rPr lang="en-US" sz="1100" b="1">
                        <a:solidFill>
                          <a:sysClr val="windowText" lastClr="000000"/>
                        </a:solidFill>
                      </a:rPr>
                      <a:pPr>
                        <a:defRPr sz="1100">
                          <a:solidFill>
                            <a:sysClr val="windowText" lastClr="000000"/>
                          </a:solidFill>
                        </a:defRPr>
                      </a:pPr>
                      <a:t>[NÁZEV KATEGORIE]</a:t>
                    </a:fld>
                    <a:endParaRPr lang="en-US" sz="1100" b="1" baseline="0">
                      <a:solidFill>
                        <a:sysClr val="windowText" lastClr="000000"/>
                      </a:solidFill>
                    </a:endParaRPr>
                  </a:p>
                  <a:p>
                    <a:pPr>
                      <a:defRPr sz="1100">
                        <a:solidFill>
                          <a:sysClr val="windowText" lastClr="000000"/>
                        </a:solidFill>
                      </a:defRPr>
                    </a:pPr>
                    <a:fld id="{C0648AFA-8AF7-436C-852C-812955F273CB}" type="VALUE">
                      <a:rPr lang="en-US" sz="1100">
                        <a:solidFill>
                          <a:sysClr val="windowText" lastClr="000000"/>
                        </a:solidFill>
                      </a:rPr>
                      <a:pPr>
                        <a:defRPr sz="1100">
                          <a:solidFill>
                            <a:sysClr val="windowText" lastClr="000000"/>
                          </a:solidFill>
                        </a:defRPr>
                      </a:pPr>
                      <a:t>[HODNOTA]</a:t>
                    </a:fld>
                    <a:endParaRPr lang="en-US" sz="1100">
                      <a:solidFill>
                        <a:sysClr val="windowText" lastClr="000000"/>
                      </a:solidFill>
                    </a:endParaRPr>
                  </a:p>
                  <a:p>
                    <a:pPr>
                      <a:defRPr sz="1100">
                        <a:solidFill>
                          <a:sysClr val="windowText" lastClr="000000"/>
                        </a:solidFill>
                      </a:defRPr>
                    </a:pPr>
                    <a:fld id="{C7AFFC21-72D6-4ED4-9EFA-CD0CBC72276B}" type="CELLRANGE">
                      <a:rPr lang="en-US" sz="1100" b="0" i="0" u="none" strike="noStrike" kern="1200" baseline="0">
                        <a:solidFill>
                          <a:sysClr val="windowText" lastClr="000000"/>
                        </a:solidFill>
                      </a:rPr>
                      <a:pPr>
                        <a:defRPr sz="1100">
                          <a:solidFill>
                            <a:sysClr val="windowText" lastClr="000000"/>
                          </a:solidFill>
                        </a:defRPr>
                      </a:pPr>
                      <a:t>[OBLAST BUNĚK]</a:t>
                    </a:fld>
                    <a:endParaRPr lang="cs-CZ"/>
                  </a:p>
                </c:rich>
              </c:tx>
              <c:spPr>
                <a:noFill/>
                <a:ln>
                  <a:noFill/>
                </a:ln>
                <a:effectLst/>
              </c:spPr>
              <c:txPr>
                <a:bodyPr rot="0" spcFirstLastPara="1" vertOverflow="overflow" horzOverflow="overflow"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3576311320877902"/>
                      <c:h val="0.17083782513050269"/>
                    </c:manualLayout>
                  </c15:layout>
                  <c15:dlblFieldTable/>
                  <c15:showDataLabelsRange val="1"/>
                </c:ext>
                <c:ext xmlns:c16="http://schemas.microsoft.com/office/drawing/2014/chart" uri="{C3380CC4-5D6E-409C-BE32-E72D297353CC}">
                  <c16:uniqueId val="{00000001-43FC-48C1-805C-5AD7A9938BF9}"/>
                </c:ext>
              </c:extLst>
            </c:dLbl>
            <c:dLbl>
              <c:idx val="1"/>
              <c:layout>
                <c:manualLayout>
                  <c:x val="0.18091632982392061"/>
                  <c:y val="7.298623892606651E-2"/>
                </c:manualLayout>
              </c:layout>
              <c:tx>
                <c:rich>
                  <a:bodyPr rot="0" spcFirstLastPara="1" vertOverflow="overflow" horzOverflow="overflow"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fld id="{21A5DAD0-E32F-42BA-8A7D-1B3B4B31050F}" type="CATEGORYNAME">
                      <a:rPr lang="en-US" sz="1100" b="1">
                        <a:solidFill>
                          <a:sysClr val="windowText" lastClr="000000"/>
                        </a:solidFill>
                      </a:rPr>
                      <a:pPr>
                        <a:defRPr sz="1100">
                          <a:solidFill>
                            <a:sysClr val="windowText" lastClr="000000"/>
                          </a:solidFill>
                        </a:defRPr>
                      </a:pPr>
                      <a:t>[NÁZEV KATEGORIE]</a:t>
                    </a:fld>
                    <a:endParaRPr lang="en-US" sz="1100" b="1" baseline="0">
                      <a:solidFill>
                        <a:sysClr val="windowText" lastClr="000000"/>
                      </a:solidFill>
                    </a:endParaRPr>
                  </a:p>
                  <a:p>
                    <a:pPr>
                      <a:defRPr sz="1100">
                        <a:solidFill>
                          <a:sysClr val="windowText" lastClr="000000"/>
                        </a:solidFill>
                      </a:defRPr>
                    </a:pPr>
                    <a:fld id="{B5D7F92B-DE3B-468C-BA79-53D3160A5407}" type="VALUE">
                      <a:rPr lang="en-US" sz="1100">
                        <a:solidFill>
                          <a:sysClr val="windowText" lastClr="000000"/>
                        </a:solidFill>
                      </a:rPr>
                      <a:pPr>
                        <a:defRPr sz="1100">
                          <a:solidFill>
                            <a:sysClr val="windowText" lastClr="000000"/>
                          </a:solidFill>
                        </a:defRPr>
                      </a:pPr>
                      <a:t>[HODNOTA]</a:t>
                    </a:fld>
                    <a:endParaRPr lang="en-US" sz="1100">
                      <a:solidFill>
                        <a:sysClr val="windowText" lastClr="000000"/>
                      </a:solidFill>
                    </a:endParaRPr>
                  </a:p>
                  <a:p>
                    <a:pPr>
                      <a:defRPr sz="1100">
                        <a:solidFill>
                          <a:sysClr val="windowText" lastClr="000000"/>
                        </a:solidFill>
                      </a:defRPr>
                    </a:pPr>
                    <a:fld id="{C062DEFE-FEA4-437E-A459-0E9C99019914}" type="CELLRANGE">
                      <a:rPr lang="en-US" sz="1100" b="0" i="0" u="none" strike="noStrike" kern="1200" baseline="0">
                        <a:solidFill>
                          <a:sysClr val="windowText" lastClr="000000"/>
                        </a:solidFill>
                      </a:rPr>
                      <a:pPr>
                        <a:defRPr sz="1100">
                          <a:solidFill>
                            <a:sysClr val="windowText" lastClr="000000"/>
                          </a:solidFill>
                        </a:defRPr>
                      </a:pPr>
                      <a:t>[OBLAST BUNĚK]</a:t>
                    </a:fld>
                    <a:endParaRPr lang="cs-CZ"/>
                  </a:p>
                </c:rich>
              </c:tx>
              <c:spPr>
                <a:noFill/>
                <a:ln>
                  <a:noFill/>
                </a:ln>
                <a:effectLst/>
              </c:spPr>
              <c:txPr>
                <a:bodyPr rot="0" spcFirstLastPara="1" vertOverflow="overflow" horzOverflow="overflow"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7232385804483755"/>
                      <c:h val="0.22490626711192299"/>
                    </c:manualLayout>
                  </c15:layout>
                  <c15:dlblFieldTable/>
                  <c15:showDataLabelsRange val="1"/>
                </c:ext>
                <c:ext xmlns:c16="http://schemas.microsoft.com/office/drawing/2014/chart" uri="{C3380CC4-5D6E-409C-BE32-E72D297353CC}">
                  <c16:uniqueId val="{00000003-43FC-48C1-805C-5AD7A9938BF9}"/>
                </c:ext>
              </c:extLst>
            </c:dLbl>
            <c:dLbl>
              <c:idx val="2"/>
              <c:layout>
                <c:manualLayout>
                  <c:x val="-0.22552511087968249"/>
                  <c:y val="0.17683647616370593"/>
                </c:manualLayout>
              </c:layout>
              <c:tx>
                <c:rich>
                  <a:bodyPr rot="0" spcFirstLastPara="1" vertOverflow="overflow" horzOverflow="overflow"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fld id="{7C21654B-5025-4E7B-89BC-016817A9C345}" type="CATEGORYNAME">
                      <a:rPr lang="en-US" sz="1100" b="1">
                        <a:solidFill>
                          <a:sysClr val="windowText" lastClr="000000"/>
                        </a:solidFill>
                      </a:rPr>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t>[NÁZEV KATEGORIE]</a:t>
                    </a:fld>
                    <a:endParaRPr lang="en-US" sz="1100" b="1" baseline="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fld id="{C9B3FC1D-813F-45BC-AFA6-09C48AE0498F}" type="VALUE">
                      <a:rPr lang="en-US" sz="1100">
                        <a:solidFill>
                          <a:sysClr val="windowText" lastClr="000000"/>
                        </a:solidFill>
                      </a:rPr>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t>[HODNOTA]</a:t>
                    </a:fld>
                    <a:endParaRPr lang="en-US" sz="110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fld id="{B9BD3CA5-5057-4F2B-825C-6BE2B7897F3C}" type="CELLRANGE">
                      <a:rPr lang="en-US" sz="1100" b="0" i="0" u="none" strike="noStrike" kern="1200" baseline="0">
                        <a:solidFill>
                          <a:sysClr val="windowText" lastClr="000000"/>
                        </a:solidFill>
                      </a:rPr>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t>[OBLAST BUNĚK]</a:t>
                    </a:fld>
                    <a:endParaRPr lang="cs-CZ"/>
                  </a:p>
                </c:rich>
              </c:tx>
              <c:spPr>
                <a:noFill/>
                <a:ln>
                  <a:noFill/>
                </a:ln>
                <a:effectLst/>
              </c:spPr>
              <c:txPr>
                <a:bodyPr rot="0" spcFirstLastPara="1" vertOverflow="overflow" horzOverflow="overflow"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8632099237761005"/>
                      <c:h val="0.24566392199088719"/>
                    </c:manualLayout>
                  </c15:layout>
                  <c15:dlblFieldTable/>
                  <c15:showDataLabelsRange val="1"/>
                </c:ext>
                <c:ext xmlns:c16="http://schemas.microsoft.com/office/drawing/2014/chart" uri="{C3380CC4-5D6E-409C-BE32-E72D297353CC}">
                  <c16:uniqueId val="{00000005-43FC-48C1-805C-5AD7A9938BF9}"/>
                </c:ext>
              </c:extLst>
            </c:dLbl>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showLeaderLines val="0"/>
            <c:extLst>
              <c:ext xmlns:c15="http://schemas.microsoft.com/office/drawing/2012/chart" uri="{CE6537A1-D6FC-4f65-9D91-7224C49458BB}">
                <c15:showDataLabelsRange val="1"/>
              </c:ext>
            </c:extLst>
          </c:dLbls>
          <c:cat>
            <c:strRef>
              <c:f>'graf účelnost oprava'!$A$2:$A$4</c:f>
              <c:strCache>
                <c:ptCount val="3"/>
                <c:pt idx="0">
                  <c:v>Účelné omezeně</c:v>
                </c:pt>
                <c:pt idx="1">
                  <c:v>Účelné s mírnými nedostatky</c:v>
                </c:pt>
                <c:pt idx="2">
                  <c:v>Účelné</c:v>
                </c:pt>
              </c:strCache>
            </c:strRef>
          </c:cat>
          <c:val>
            <c:numRef>
              <c:f>'graf účelnost oprava'!$B$2:$B$4</c:f>
              <c:numCache>
                <c:formatCode>#\ ##0.0" mil. Kč"</c:formatCode>
                <c:ptCount val="3"/>
                <c:pt idx="0">
                  <c:v>3.1250478799999999</c:v>
                </c:pt>
                <c:pt idx="1">
                  <c:v>220.82575376</c:v>
                </c:pt>
                <c:pt idx="2">
                  <c:v>378.29583465799999</c:v>
                </c:pt>
              </c:numCache>
            </c:numRef>
          </c:val>
          <c:extLst>
            <c:ext xmlns:c15="http://schemas.microsoft.com/office/drawing/2012/chart" uri="{02D57815-91ED-43cb-92C2-25804820EDAC}">
              <c15:datalabelsRange>
                <c15:f>'graf účelnost oprava'!$C$2:$C$4</c15:f>
                <c15:dlblRangeCache>
                  <c:ptCount val="3"/>
                  <c:pt idx="0">
                    <c:v>v 1 případě</c:v>
                  </c:pt>
                  <c:pt idx="1">
                    <c:v>v 31 případech</c:v>
                  </c:pt>
                  <c:pt idx="2">
                    <c:v>v 51 případech</c:v>
                  </c:pt>
                </c15:dlblRangeCache>
              </c15:datalabelsRange>
            </c:ext>
            <c:ext xmlns:c16="http://schemas.microsoft.com/office/drawing/2014/chart" uri="{C3380CC4-5D6E-409C-BE32-E72D297353CC}">
              <c16:uniqueId val="{00000006-43FC-48C1-805C-5AD7A9938BF9}"/>
            </c:ext>
          </c:extLst>
        </c:ser>
        <c:dLbls>
          <c:showLegendKey val="0"/>
          <c:showVal val="0"/>
          <c:showCatName val="0"/>
          <c:showSerName val="0"/>
          <c:showPercent val="0"/>
          <c:showBubbleSize val="0"/>
          <c:showLeaderLines val="0"/>
        </c:dLbls>
        <c:firstSliceAng val="69"/>
        <c:holeSize val="7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'graf hospodárnost oprava'!$B$1</c:f>
              <c:strCache>
                <c:ptCount val="1"/>
                <c:pt idx="0">
                  <c:v>Poskytnutá podpora</c:v>
                </c:pt>
              </c:strCache>
            </c:strRef>
          </c:tx>
          <c:dPt>
            <c:idx val="0"/>
            <c:bubble3D val="0"/>
            <c:spPr>
              <a:solidFill>
                <a:srgbClr val="FFFF00"/>
              </a:solidFill>
              <a:ln w="19050">
                <a:solidFill>
                  <a:schemeClr val="lt1"/>
                </a:solidFill>
              </a:ln>
              <a:effectLst/>
            </c:spPr>
            <c:extLst>
              <c:ext xmlns:c16="http://schemas.microsoft.com/office/drawing/2014/chart" uri="{C3380CC4-5D6E-409C-BE32-E72D297353CC}">
                <c16:uniqueId val="{00000001-5EA5-47D6-A33A-69AB8B8297F8}"/>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5EA5-47D6-A33A-69AB8B8297F8}"/>
              </c:ext>
            </c:extLst>
          </c:dPt>
          <c:dPt>
            <c:idx val="2"/>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5-5EA5-47D6-A33A-69AB8B8297F8}"/>
              </c:ext>
            </c:extLst>
          </c:dPt>
          <c:dLbls>
            <c:dLbl>
              <c:idx val="0"/>
              <c:layout>
                <c:manualLayout>
                  <c:x val="0.14506133398154339"/>
                  <c:y val="-3.3582271288253918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fld id="{4985B74B-8764-496D-B79B-43777673A965}" type="CATEGORYNAME">
                      <a:rPr lang="en-US" b="1"/>
                      <a:pPr>
                        <a:defRPr sz="1100">
                          <a:solidFill>
                            <a:sysClr val="windowText" lastClr="000000"/>
                          </a:solidFill>
                        </a:defRPr>
                      </a:pPr>
                      <a:t>[NÁZEV KATEGORIE]</a:t>
                    </a:fld>
                    <a:endParaRPr lang="en-US" b="1" baseline="0"/>
                  </a:p>
                  <a:p>
                    <a:pPr>
                      <a:defRPr sz="1100">
                        <a:solidFill>
                          <a:sysClr val="windowText" lastClr="000000"/>
                        </a:solidFill>
                      </a:defRPr>
                    </a:pPr>
                    <a:fld id="{111B8BA2-E1E0-45BB-A2AA-18C57D819FE1}" type="VALUE">
                      <a:rPr lang="en-US"/>
                      <a:pPr>
                        <a:defRPr sz="1100">
                          <a:solidFill>
                            <a:sysClr val="windowText" lastClr="000000"/>
                          </a:solidFill>
                        </a:defRPr>
                      </a:pPr>
                      <a:t>[HODNOTA]</a:t>
                    </a:fld>
                    <a:endParaRPr lang="en-US"/>
                  </a:p>
                  <a:p>
                    <a:pPr>
                      <a:defRPr sz="1100">
                        <a:solidFill>
                          <a:sysClr val="windowText" lastClr="000000"/>
                        </a:solidFill>
                      </a:defRPr>
                    </a:pPr>
                    <a:fld id="{84E91433-AA02-4228-A943-81FB8244A2E3}" type="CELLRANGE">
                      <a:rPr lang="en-US" sz="1100" b="0" i="0" u="none" strike="noStrike" kern="1200" baseline="0">
                        <a:solidFill>
                          <a:sysClr val="windowText" lastClr="000000">
                            <a:lumMod val="75000"/>
                            <a:lumOff val="25000"/>
                          </a:sysClr>
                        </a:solidFill>
                      </a:rPr>
                      <a:pPr>
                        <a:defRPr sz="1100">
                          <a:solidFill>
                            <a:sysClr val="windowText" lastClr="000000"/>
                          </a:solidFill>
                        </a:defRPr>
                      </a:pPr>
                      <a:t>[OBLAST BUNĚK]</a:t>
                    </a:fld>
                    <a:endParaRPr lang="cs-CZ"/>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4574290947920371"/>
                      <c:h val="0.27472506658317197"/>
                    </c:manualLayout>
                  </c15:layout>
                  <c15:dlblFieldTable/>
                  <c15:showDataLabelsRange val="1"/>
                </c:ext>
                <c:ext xmlns:c16="http://schemas.microsoft.com/office/drawing/2014/chart" uri="{C3380CC4-5D6E-409C-BE32-E72D297353CC}">
                  <c16:uniqueId val="{00000001-5EA5-47D6-A33A-69AB8B8297F8}"/>
                </c:ext>
              </c:extLst>
            </c:dLbl>
            <c:dLbl>
              <c:idx val="1"/>
              <c:layout>
                <c:manualLayout>
                  <c:x val="0.15978478847806649"/>
                  <c:y val="0.12705422131511901"/>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fld id="{7D010650-1A12-4DE6-81C8-0CFE9D4EF114}" type="CATEGORYNAME">
                      <a:rPr lang="en-US" b="1"/>
                      <a:pPr>
                        <a:defRPr sz="1100">
                          <a:solidFill>
                            <a:sysClr val="windowText" lastClr="000000"/>
                          </a:solidFill>
                        </a:defRPr>
                      </a:pPr>
                      <a:t>[NÁZEV KATEGORIE]</a:t>
                    </a:fld>
                    <a:endParaRPr lang="en-US" b="1" baseline="0"/>
                  </a:p>
                  <a:p>
                    <a:pPr>
                      <a:defRPr sz="1100">
                        <a:solidFill>
                          <a:sysClr val="windowText" lastClr="000000"/>
                        </a:solidFill>
                      </a:defRPr>
                    </a:pPr>
                    <a:fld id="{750E7C88-6552-4ED7-B18F-0BFED0A8D603}" type="VALUE">
                      <a:rPr lang="en-US"/>
                      <a:pPr>
                        <a:defRPr sz="1100">
                          <a:solidFill>
                            <a:sysClr val="windowText" lastClr="000000"/>
                          </a:solidFill>
                        </a:defRPr>
                      </a:pPr>
                      <a:t>[HODNOTA]</a:t>
                    </a:fld>
                    <a:endParaRPr lang="en-US"/>
                  </a:p>
                  <a:p>
                    <a:pPr>
                      <a:defRPr sz="1100">
                        <a:solidFill>
                          <a:sysClr val="windowText" lastClr="000000"/>
                        </a:solidFill>
                      </a:defRPr>
                    </a:pPr>
                    <a:fld id="{18377DD6-CA14-4835-94A1-CB744C0D88A0}" type="CELLRANGE">
                      <a:rPr lang="en-US" sz="1100" b="0" i="0" u="none" strike="noStrike" kern="1200" baseline="0">
                        <a:solidFill>
                          <a:sysClr val="windowText" lastClr="000000">
                            <a:lumMod val="75000"/>
                            <a:lumOff val="25000"/>
                          </a:sysClr>
                        </a:solidFill>
                      </a:rPr>
                      <a:pPr>
                        <a:defRPr sz="1100">
                          <a:solidFill>
                            <a:sysClr val="windowText" lastClr="000000"/>
                          </a:solidFill>
                        </a:defRPr>
                      </a:pPr>
                      <a:t>[OBLAST BUNĚK]</a:t>
                    </a:fld>
                    <a:endParaRPr lang="cs-CZ"/>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7077707072723955"/>
                      <c:h val="0.33853049296672966"/>
                    </c:manualLayout>
                  </c15:layout>
                  <c15:dlblFieldTable/>
                  <c15:showDataLabelsRange val="1"/>
                </c:ext>
                <c:ext xmlns:c16="http://schemas.microsoft.com/office/drawing/2014/chart" uri="{C3380CC4-5D6E-409C-BE32-E72D297353CC}">
                  <c16:uniqueId val="{00000003-5EA5-47D6-A33A-69AB8B8297F8}"/>
                </c:ext>
              </c:extLst>
            </c:dLbl>
            <c:dLbl>
              <c:idx val="2"/>
              <c:layout>
                <c:manualLayout>
                  <c:x val="-0.14765839099172431"/>
                  <c:y val="-0.17698661846778285"/>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fld id="{C28A22C1-6538-4398-9EC8-39DC06ECE37B}" type="CATEGORYNAME">
                      <a:rPr lang="en-US" b="1">
                        <a:solidFill>
                          <a:sysClr val="windowText" lastClr="000000"/>
                        </a:solidFill>
                      </a:rPr>
                      <a:pPr>
                        <a:defRPr sz="1100">
                          <a:solidFill>
                            <a:sysClr val="windowText" lastClr="000000"/>
                          </a:solidFill>
                        </a:defRPr>
                      </a:pPr>
                      <a:t>[NÁZEV KATEGORIE]</a:t>
                    </a:fld>
                    <a:endParaRPr lang="en-US" b="1" baseline="0">
                      <a:solidFill>
                        <a:sysClr val="windowText" lastClr="000000"/>
                      </a:solidFill>
                    </a:endParaRPr>
                  </a:p>
                  <a:p>
                    <a:pPr>
                      <a:defRPr sz="1100">
                        <a:solidFill>
                          <a:sysClr val="windowText" lastClr="000000"/>
                        </a:solidFill>
                      </a:defRPr>
                    </a:pPr>
                    <a:fld id="{89DEC3C9-F60B-4729-8700-A7A974B8E728}" type="VALUE">
                      <a:rPr lang="en-US">
                        <a:solidFill>
                          <a:sysClr val="windowText" lastClr="000000"/>
                        </a:solidFill>
                      </a:rPr>
                      <a:pPr>
                        <a:defRPr sz="1100">
                          <a:solidFill>
                            <a:sysClr val="windowText" lastClr="000000"/>
                          </a:solidFill>
                        </a:defRPr>
                      </a:pPr>
                      <a:t>[HODNOTA]</a:t>
                    </a:fld>
                    <a:endParaRPr lang="en-US">
                      <a:solidFill>
                        <a:sysClr val="windowText" lastClr="000000"/>
                      </a:solidFill>
                    </a:endParaRPr>
                  </a:p>
                  <a:p>
                    <a:pPr>
                      <a:defRPr sz="1100">
                        <a:solidFill>
                          <a:sysClr val="windowText" lastClr="000000"/>
                        </a:solidFill>
                      </a:defRPr>
                    </a:pPr>
                    <a:fld id="{0D23E839-DB5F-4FD6-B57F-8A8F1A6DBBA0}" type="CELLRANGE">
                      <a:rPr lang="en-US" sz="1100" b="0" i="0" u="none" strike="noStrike" kern="1200" baseline="0">
                        <a:solidFill>
                          <a:sysClr val="windowText" lastClr="000000"/>
                        </a:solidFill>
                      </a:rPr>
                      <a:pPr>
                        <a:defRPr sz="1100">
                          <a:solidFill>
                            <a:sysClr val="windowText" lastClr="000000"/>
                          </a:solidFill>
                        </a:defRPr>
                      </a:pPr>
                      <a:t>[OBLAST BUNĚK]</a:t>
                    </a:fld>
                    <a:endParaRPr lang="cs-CZ"/>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layout>
                    <c:manualLayout>
                      <c:w val="0.23353180773203319"/>
                      <c:h val="0.21544311809074787"/>
                    </c:manualLayout>
                  </c15:layout>
                  <c15:dlblFieldTable/>
                  <c15:showDataLabelsRange val="1"/>
                </c:ext>
                <c:ext xmlns:c16="http://schemas.microsoft.com/office/drawing/2014/chart" uri="{C3380CC4-5D6E-409C-BE32-E72D297353CC}">
                  <c16:uniqueId val="{00000005-5EA5-47D6-A33A-69AB8B8297F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showLeaderLines val="0"/>
            <c:extLst>
              <c:ext xmlns:c15="http://schemas.microsoft.com/office/drawing/2012/chart" uri="{CE6537A1-D6FC-4f65-9D91-7224C49458BB}">
                <c15:showDataLabelsRange val="1"/>
              </c:ext>
            </c:extLst>
          </c:dLbls>
          <c:cat>
            <c:strRef>
              <c:f>'graf hospodárnost oprava'!$A$2:$A$4</c:f>
              <c:strCache>
                <c:ptCount val="3"/>
                <c:pt idx="0">
                  <c:v>Hospodárné omezeně</c:v>
                </c:pt>
                <c:pt idx="1">
                  <c:v>Hospodárné s mírnými nedostatky</c:v>
                </c:pt>
                <c:pt idx="2">
                  <c:v>Hospodárné</c:v>
                </c:pt>
              </c:strCache>
            </c:strRef>
          </c:cat>
          <c:val>
            <c:numRef>
              <c:f>'graf hospodárnost oprava'!$B$2:$B$4</c:f>
              <c:numCache>
                <c:formatCode>#\ ##0.0" mil. Kč"</c:formatCode>
                <c:ptCount val="3"/>
                <c:pt idx="0">
                  <c:v>27.1</c:v>
                </c:pt>
                <c:pt idx="1">
                  <c:v>111.89483288</c:v>
                </c:pt>
                <c:pt idx="2">
                  <c:v>475.63102857899997</c:v>
                </c:pt>
              </c:numCache>
            </c:numRef>
          </c:val>
          <c:extLst>
            <c:ext xmlns:c15="http://schemas.microsoft.com/office/drawing/2012/chart" uri="{02D57815-91ED-43cb-92C2-25804820EDAC}">
              <c15:datalabelsRange>
                <c15:f>'graf hospodárnost oprava'!$C$2:$C$4</c15:f>
                <c15:dlblRangeCache>
                  <c:ptCount val="3"/>
                  <c:pt idx="0">
                    <c:v>ve 3 případech</c:v>
                  </c:pt>
                  <c:pt idx="1">
                    <c:v>ve 3 případech</c:v>
                  </c:pt>
                  <c:pt idx="2">
                    <c:v>v 80 případech</c:v>
                  </c:pt>
                </c15:dlblRangeCache>
              </c15:datalabelsRange>
            </c:ext>
            <c:ext xmlns:c16="http://schemas.microsoft.com/office/drawing/2014/chart" uri="{C3380CC4-5D6E-409C-BE32-E72D297353CC}">
              <c16:uniqueId val="{00000006-5EA5-47D6-A33A-69AB8B8297F8}"/>
            </c:ext>
          </c:extLst>
        </c:ser>
        <c:dLbls>
          <c:showLegendKey val="0"/>
          <c:showVal val="1"/>
          <c:showCatName val="0"/>
          <c:showSerName val="0"/>
          <c:showPercent val="0"/>
          <c:showBubbleSize val="0"/>
          <c:showLeaderLines val="0"/>
        </c:dLbls>
        <c:firstSliceAng val="63"/>
        <c:holeSize val="70"/>
        <c:extLst>
          <c:ext xmlns:c15="http://schemas.microsoft.com/office/drawing/2012/chart" uri="{02D57815-91ED-43cb-92C2-25804820EDAC}">
            <c15:filteredPieSeries>
              <c15:ser>
                <c:idx val="1"/>
                <c:order val="1"/>
                <c:tx>
                  <c:strRef>
                    <c:extLst>
                      <c:ext uri="{02D57815-91ED-43cb-92C2-25804820EDAC}">
                        <c15:formulaRef>
                          <c15:sqref>'graf hospodárnost oprava'!$C$1</c15:sqref>
                        </c15:formulaRef>
                      </c:ext>
                    </c:extLst>
                    <c:strCache>
                      <c:ptCount val="1"/>
                      <c:pt idx="0">
                        <c:v>Počet kontrolovaného vybavení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5EA5-47D6-A33A-69AB8B8297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5EA5-47D6-A33A-69AB8B8297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5EA5-47D6-A33A-69AB8B8297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'graf hospodárnost oprava'!$A$2:$A$4</c15:sqref>
                        </c15:formulaRef>
                      </c:ext>
                    </c:extLst>
                    <c:strCache>
                      <c:ptCount val="3"/>
                      <c:pt idx="0">
                        <c:v>Hospodárné omezeně</c:v>
                      </c:pt>
                      <c:pt idx="1">
                        <c:v>Hospodárné s mírnými nedostatky</c:v>
                      </c:pt>
                      <c:pt idx="2">
                        <c:v>Hospodárné</c:v>
                      </c:pt>
                    </c:strCache>
                  </c:strRef>
                </c:cat>
                <c:val>
                  <c:numRef>
                    <c:extLst>
                      <c:ext uri="{02D57815-91ED-43cb-92C2-25804820EDAC}">
                        <c15:formulaRef>
                          <c15:sqref>'graf hospodárnost oprava'!$C$2:$C$4</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D-5EA5-47D6-A33A-69AB8B8297F8}"/>
                  </c:ext>
                </c:extLst>
              </c15:ser>
            </c15:filteredPieSeries>
          </c:ext>
        </c:extLst>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0.36585</cdr:x>
      <cdr:y>0.27061</cdr:y>
    </cdr:from>
    <cdr:to>
      <cdr:x>0.63368</cdr:x>
      <cdr:y>0.73494</cdr:y>
    </cdr:to>
    <cdr:sp macro="" textlink="">
      <cdr:nvSpPr>
        <cdr:cNvPr id="2" name="TextovéPole 4">
          <a:extLst xmlns:a="http://schemas.openxmlformats.org/drawingml/2006/main">
            <a:ext uri="{FF2B5EF4-FFF2-40B4-BE49-F238E27FC236}">
              <a16:creationId xmlns:a16="http://schemas.microsoft.com/office/drawing/2014/main" id="{11DFC09A-2AC9-4AB9-ACE0-31502362B716}"/>
            </a:ext>
          </a:extLst>
        </cdr:cNvPr>
        <cdr:cNvSpPr txBox="1"/>
      </cdr:nvSpPr>
      <cdr:spPr>
        <a:xfrm xmlns:a="http://schemas.openxmlformats.org/drawingml/2006/main">
          <a:off x="2107096" y="699714"/>
          <a:ext cx="1542553" cy="120064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400" b="1" baseline="0"/>
            <a:t>63 %</a:t>
          </a:r>
          <a:r>
            <a:rPr lang="cs-CZ" sz="1200" baseline="0"/>
            <a:t> </a:t>
          </a:r>
        </a:p>
        <a:p xmlns:a="http://schemas.openxmlformats.org/drawingml/2006/main">
          <a:pPr algn="ctr"/>
          <a:r>
            <a:rPr lang="cs-CZ" sz="1050" baseline="0"/>
            <a:t>veřejných prostředků</a:t>
          </a:r>
        </a:p>
        <a:p xmlns:a="http://schemas.openxmlformats.org/drawingml/2006/main">
          <a:pPr algn="ctr"/>
          <a:r>
            <a:rPr lang="cs-CZ" sz="1050" baseline="0"/>
            <a:t>na pořízení zdravotnického vybavení</a:t>
          </a:r>
        </a:p>
        <a:p xmlns:a="http://schemas.openxmlformats.org/drawingml/2006/main">
          <a:pPr algn="ctr"/>
          <a:r>
            <a:rPr lang="cs-CZ" sz="1200" b="1" baseline="0">
              <a:solidFill>
                <a:schemeClr val="dk1"/>
              </a:solidFill>
              <a:effectLst/>
              <a:latin typeface="+mn-lt"/>
              <a:ea typeface="+mn-ea"/>
              <a:cs typeface="+mn-cs"/>
            </a:rPr>
            <a:t>vynaloženo</a:t>
          </a:r>
        </a:p>
        <a:p xmlns:a="http://schemas.openxmlformats.org/drawingml/2006/main">
          <a:pPr algn="ctr"/>
          <a:r>
            <a:rPr lang="cs-CZ" sz="1200" b="1" baseline="0">
              <a:solidFill>
                <a:schemeClr val="dk1"/>
              </a:solidFill>
              <a:effectLst/>
              <a:latin typeface="+mn-lt"/>
              <a:ea typeface="+mn-ea"/>
              <a:cs typeface="+mn-cs"/>
            </a:rPr>
            <a:t>účelně</a:t>
          </a:r>
          <a:endParaRPr lang="cs-CZ" sz="1200" b="1"/>
        </a:p>
      </cdr:txBody>
    </cdr:sp>
  </cdr:relSizeAnchor>
</c:userShapes>
</file>

<file path=word/drawings/drawing2.xml><?xml version="1.0" encoding="utf-8"?>
<c:userShapes xmlns:c="http://schemas.openxmlformats.org/drawingml/2006/chart">
  <cdr:relSizeAnchor xmlns:cdr="http://schemas.openxmlformats.org/drawingml/2006/chartDrawing">
    <cdr:from>
      <cdr:x>0.34729</cdr:x>
      <cdr:y>0.2213</cdr:y>
    </cdr:from>
    <cdr:to>
      <cdr:x>0.65257</cdr:x>
      <cdr:y>0.77761</cdr:y>
    </cdr:to>
    <cdr:sp macro="" textlink="">
      <cdr:nvSpPr>
        <cdr:cNvPr id="2" name="TextovéPole 4">
          <a:extLst xmlns:a="http://schemas.openxmlformats.org/drawingml/2006/main">
            <a:ext uri="{FF2B5EF4-FFF2-40B4-BE49-F238E27FC236}">
              <a16:creationId xmlns:a16="http://schemas.microsoft.com/office/drawing/2014/main" id="{AAAF16C5-3C60-4BFB-953E-DCCDCEDC54D9}"/>
            </a:ext>
          </a:extLst>
        </cdr:cNvPr>
        <cdr:cNvSpPr txBox="1"/>
      </cdr:nvSpPr>
      <cdr:spPr>
        <a:xfrm xmlns:a="http://schemas.openxmlformats.org/drawingml/2006/main">
          <a:off x="2000199" y="572495"/>
          <a:ext cx="1758245" cy="143918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400" b="1" baseline="0"/>
            <a:t>77 %</a:t>
          </a:r>
          <a:r>
            <a:rPr lang="cs-CZ" sz="1400" baseline="0"/>
            <a:t> </a:t>
          </a:r>
        </a:p>
        <a:p xmlns:a="http://schemas.openxmlformats.org/drawingml/2006/main">
          <a:pPr algn="ctr"/>
          <a:r>
            <a:rPr lang="cs-CZ" sz="1050" baseline="0"/>
            <a:t>veřejných prostředků</a:t>
          </a:r>
        </a:p>
        <a:p xmlns:a="http://schemas.openxmlformats.org/drawingml/2006/main">
          <a:pPr algn="ctr"/>
          <a:r>
            <a:rPr lang="cs-CZ" sz="1050" baseline="0"/>
            <a:t>na pořízení</a:t>
          </a:r>
        </a:p>
        <a:p xmlns:a="http://schemas.openxmlformats.org/drawingml/2006/main">
          <a:pPr algn="ctr"/>
          <a:r>
            <a:rPr lang="cs-CZ" sz="1050" baseline="0"/>
            <a:t>zdravotnického vybavení</a:t>
          </a:r>
        </a:p>
        <a:p xmlns:a="http://schemas.openxmlformats.org/drawingml/2006/main">
          <a:pPr algn="ctr"/>
          <a:r>
            <a:rPr lang="cs-CZ" sz="1200" b="1" baseline="0">
              <a:solidFill>
                <a:schemeClr val="dk1"/>
              </a:solidFill>
              <a:effectLst/>
              <a:latin typeface="+mn-lt"/>
              <a:ea typeface="+mn-ea"/>
              <a:cs typeface="+mn-cs"/>
            </a:rPr>
            <a:t>vynaloženo</a:t>
          </a:r>
        </a:p>
        <a:p xmlns:a="http://schemas.openxmlformats.org/drawingml/2006/main">
          <a:pPr algn="ctr"/>
          <a:r>
            <a:rPr lang="cs-CZ" sz="1200" b="1" baseline="0">
              <a:solidFill>
                <a:schemeClr val="dk1"/>
              </a:solidFill>
              <a:effectLst/>
              <a:latin typeface="+mn-lt"/>
              <a:ea typeface="+mn-ea"/>
              <a:cs typeface="+mn-cs"/>
            </a:rPr>
            <a:t>hospodárně</a:t>
          </a:r>
          <a:endParaRPr lang="cs-CZ" sz="1200" b="1"/>
        </a:p>
      </cdr:txBody>
    </cdr:sp>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6CFF091A9AD44A76255F04324FF4C" ma:contentTypeVersion="2" ma:contentTypeDescription="Vytvoří nový dokument" ma:contentTypeScope="" ma:versionID="e2b7e8b96f73ce6a440994bb4fb7f38c">
  <xsd:schema xmlns:xsd="http://www.w3.org/2001/XMLSchema" xmlns:xs="http://www.w3.org/2001/XMLSchema" xmlns:p="http://schemas.microsoft.com/office/2006/metadata/properties" xmlns:ns2="3fb7abd5-a6bb-4ec7-939d-a7f5cb624015" targetNamespace="http://schemas.microsoft.com/office/2006/metadata/properties" ma:root="true" ma:fieldsID="7f11a08b56f49b9f5c41191bddb1bc15" ns2:_="">
    <xsd:import namespace="3fb7abd5-a6bb-4ec7-939d-a7f5cb62401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7abd5-a6bb-4ec7-939d-a7f5cb62401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8DE4-92F2-42D0-8675-5E3A4E4F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7abd5-a6bb-4ec7-939d-a7f5cb62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EA464-FFE9-4F0E-967A-38F46429A4E7}">
  <ds:schemaRefs>
    <ds:schemaRef ds:uri="http://schemas.microsoft.com/sharepoint/v3/contenttype/forms"/>
  </ds:schemaRefs>
</ds:datastoreItem>
</file>

<file path=customXml/itemProps3.xml><?xml version="1.0" encoding="utf-8"?>
<ds:datastoreItem xmlns:ds="http://schemas.openxmlformats.org/officeDocument/2006/customXml" ds:itemID="{1430B12F-4A0F-48D5-B368-EF5CF9FBC2FF}">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3fb7abd5-a6bb-4ec7-939d-a7f5cb624015"/>
    <ds:schemaRef ds:uri="http://schemas.microsoft.com/office/2006/metadata/properties"/>
  </ds:schemaRefs>
</ds:datastoreItem>
</file>

<file path=customXml/itemProps4.xml><?xml version="1.0" encoding="utf-8"?>
<ds:datastoreItem xmlns:ds="http://schemas.openxmlformats.org/officeDocument/2006/customXml" ds:itemID="{3C124475-7F23-4AAD-A15B-90DE25B9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13001</Words>
  <Characters>76712</Characters>
  <Application>Microsoft Office Word</Application>
  <DocSecurity>0</DocSecurity>
  <Lines>639</Lines>
  <Paragraphs>179</Paragraphs>
  <ScaleCrop>false</ScaleCrop>
  <HeadingPairs>
    <vt:vector size="2" baseType="variant">
      <vt:variant>
        <vt:lpstr>Název</vt:lpstr>
      </vt:variant>
      <vt:variant>
        <vt:i4>1</vt:i4>
      </vt:variant>
    </vt:vector>
  </HeadingPairs>
  <TitlesOfParts>
    <vt:vector size="1" baseType="lpstr">
      <vt:lpstr>Kontrolní závěr z kontrolní akce NKÚ č. 22/04 - Peněžní prostředky Integrovaného regionálního operačního programu určené na podporu infrastruktury regionální zdravotní péče</vt:lpstr>
    </vt:vector>
  </TitlesOfParts>
  <Company>NKU</Company>
  <LinksUpToDate>false</LinksUpToDate>
  <CharactersWithSpaces>89534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22/04 - Peněžní prostředky Integrovaného regionálního operačního programu určené na podporu infrastruktury regionální zdravotní péče</dc:title>
  <dc:subject>Kontrolní závěr z kontrolní akce NKÚ č. 22/04 - Peněžní prostředky Integrovaného regionálního operačního programu určené na podporu infrastruktury regionální zdravotní péče</dc:subject>
  <dc:creator>Nejvyšší kontrolní úřad</dc:creator>
  <cp:lastModifiedBy>KOKRDA Daniel</cp:lastModifiedBy>
  <cp:revision>3</cp:revision>
  <cp:lastPrinted>2023-01-02T10:58:00Z</cp:lastPrinted>
  <dcterms:created xsi:type="dcterms:W3CDTF">2023-01-02T10:44:00Z</dcterms:created>
  <dcterms:modified xsi:type="dcterms:W3CDTF">2023-01-02T10:59:00Z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179/22-NKU200/614/22</vt:lpwstr>
  </property>
  <property fmtid="{D5CDD505-2E9C-101B-9397-08002B2CF9AE}" pid="5" name="CJ_PostaDoruc_PisemnostOdpovedNa_Pisemnost">
    <vt:lpwstr>XXX-XXX-XXX</vt:lpwstr>
  </property>
  <property fmtid="{D5CDD505-2E9C-101B-9397-08002B2CF9AE}" pid="6" name="CJ_Spis_Pisemnost">
    <vt:lpwstr>200/3/22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0x010100D686CFF091A9AD44A76255F04324FF4C</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10.11.2022</vt:lpwstr>
  </property>
  <property fmtid="{D5CDD505-2E9C-101B-9397-08002B2CF9AE}" pid="13" name="DisplayName_CisloObalky_PostaOdes">
    <vt:lpwstr>ČÍSLO OBÁLKY</vt:lpwstr>
  </property>
  <property fmtid="{D5CDD505-2E9C-101B-9397-08002B2CF9AE}" pid="14" name="DisplayName_CJCol">
    <vt:lpwstr>&lt;TABLE&gt;&lt;TR&gt;&lt;TD&gt;Č.j.:&lt;/TD&gt;&lt;TD&gt;179/22-NKU200/614/22&lt;/TD&gt;&lt;/TR&gt;&lt;TR&gt;&lt;TD&gt;&lt;/TD&gt;&lt;TD&gt;&lt;/TD&gt;&lt;/TR&gt;&lt;/TABLE&gt;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kontrolní</vt:lpwstr>
  </property>
  <property fmtid="{D5CDD505-2E9C-101B-9397-08002B2CF9AE}" pid="17" name="DisplayName_UserPoriz_Pisemnost">
    <vt:lpwstr>Ivana Růžičková</vt:lpwstr>
  </property>
  <property fmtid="{D5CDD505-2E9C-101B-9397-08002B2CF9AE}" pid="18" name="DuvodZmeny_SlozkaStupenUtajeniCollection_Slozka_Pisemnost">
    <vt:lpwstr/>
  </property>
  <property fmtid="{D5CDD505-2E9C-101B-9397-08002B2CF9AE}" pid="19" name="EC_Pisemnost">
    <vt:lpwstr>22-15292/NKU</vt:lpwstr>
  </property>
  <property fmtid="{D5CDD505-2E9C-101B-9397-08002B2CF9AE}" pid="20" name="Key_BarCode_Pisemnost">
    <vt:lpwstr>*B000422646*</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22-15292/NKU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179/22</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KZ 22/04 - připomínkové řízení</vt:lpwstr>
  </property>
  <property fmtid="{D5CDD505-2E9C-101B-9397-08002B2CF9AE}" pid="42" name="Zkratka_SpisovyUzel_PoziceZodpo_Pisemnost">
    <vt:lpwstr>200</vt:lpwstr>
  </property>
</Properties>
</file>