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A42DF" w14:textId="77777777" w:rsidR="008E6616" w:rsidRPr="009A0492" w:rsidRDefault="008E6616" w:rsidP="00BB3AD0">
      <w:pPr>
        <w:pStyle w:val="Nzev"/>
        <w:outlineLvl w:val="0"/>
        <w:rPr>
          <w:rFonts w:asciiTheme="minorHAnsi" w:hAnsiTheme="minorHAnsi" w:cstheme="minorHAnsi"/>
          <w:szCs w:val="22"/>
        </w:rPr>
      </w:pPr>
      <w:bookmarkStart w:id="0" w:name="_Hlk117079053"/>
      <w:bookmarkEnd w:id="0"/>
      <w:r w:rsidRPr="009A0492">
        <w:rPr>
          <w:noProof/>
          <w:szCs w:val="22"/>
        </w:rPr>
        <w:drawing>
          <wp:anchor distT="0" distB="0" distL="114300" distR="114300" simplePos="0" relativeHeight="251659264" behindDoc="0" locked="0" layoutInCell="1" allowOverlap="1" wp14:anchorId="0B8A45A1" wp14:editId="0B8A45A2">
            <wp:simplePos x="0" y="0"/>
            <wp:positionH relativeFrom="margin">
              <wp:posOffset>2555240</wp:posOffset>
            </wp:positionH>
            <wp:positionV relativeFrom="paragraph">
              <wp:posOffset>142875</wp:posOffset>
            </wp:positionV>
            <wp:extent cx="764433" cy="540000"/>
            <wp:effectExtent l="0" t="0" r="0" b="0"/>
            <wp:wrapTopAndBottom/>
            <wp:docPr id="6" name="obrázek 4"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4433" cy="540000"/>
                    </a:xfrm>
                    <a:prstGeom prst="rect">
                      <a:avLst/>
                    </a:prstGeom>
                    <a:noFill/>
                  </pic:spPr>
                </pic:pic>
              </a:graphicData>
            </a:graphic>
            <wp14:sizeRelH relativeFrom="page">
              <wp14:pctWidth>0</wp14:pctWidth>
            </wp14:sizeRelH>
            <wp14:sizeRelV relativeFrom="page">
              <wp14:pctHeight>0</wp14:pctHeight>
            </wp14:sizeRelV>
          </wp:anchor>
        </w:drawing>
      </w:r>
    </w:p>
    <w:p w14:paraId="0B8A42E0" w14:textId="77777777" w:rsidR="008E6616" w:rsidRDefault="008E6616" w:rsidP="00BB3AD0">
      <w:pPr>
        <w:pStyle w:val="Nzev"/>
        <w:outlineLvl w:val="0"/>
        <w:rPr>
          <w:rFonts w:asciiTheme="minorHAnsi" w:hAnsiTheme="minorHAnsi" w:cstheme="minorHAnsi"/>
          <w:szCs w:val="22"/>
        </w:rPr>
      </w:pPr>
    </w:p>
    <w:p w14:paraId="0B8A42E1" w14:textId="77777777" w:rsidR="00B949D5" w:rsidRPr="009A0492" w:rsidRDefault="00B949D5" w:rsidP="00BB3AD0">
      <w:pPr>
        <w:pStyle w:val="Nzev"/>
        <w:outlineLvl w:val="0"/>
        <w:rPr>
          <w:rFonts w:asciiTheme="minorHAnsi" w:hAnsiTheme="minorHAnsi" w:cstheme="minorHAnsi"/>
          <w:szCs w:val="22"/>
        </w:rPr>
      </w:pPr>
    </w:p>
    <w:p w14:paraId="0B8A42E2" w14:textId="77777777" w:rsidR="008E6616" w:rsidRPr="008E6616" w:rsidRDefault="008E6616" w:rsidP="00BB3AD0">
      <w:pPr>
        <w:pStyle w:val="Nzev"/>
        <w:outlineLvl w:val="0"/>
        <w:rPr>
          <w:rFonts w:asciiTheme="minorHAnsi" w:hAnsiTheme="minorHAnsi" w:cstheme="minorHAnsi"/>
          <w:sz w:val="28"/>
          <w:szCs w:val="28"/>
        </w:rPr>
      </w:pPr>
      <w:bookmarkStart w:id="1" w:name="_GoBack"/>
      <w:r w:rsidRPr="008E6616">
        <w:rPr>
          <w:rFonts w:asciiTheme="minorHAnsi" w:hAnsiTheme="minorHAnsi" w:cstheme="minorHAnsi"/>
          <w:sz w:val="28"/>
          <w:szCs w:val="28"/>
        </w:rPr>
        <w:t>Kontrolní závěr z kontrolní akce</w:t>
      </w:r>
    </w:p>
    <w:p w14:paraId="0B8A42E3" w14:textId="77777777" w:rsidR="008E6616" w:rsidRPr="009A0492" w:rsidRDefault="008E6616" w:rsidP="00BB3AD0">
      <w:pPr>
        <w:pStyle w:val="Nzev"/>
        <w:outlineLvl w:val="0"/>
        <w:rPr>
          <w:rFonts w:asciiTheme="minorHAnsi" w:hAnsiTheme="minorHAnsi" w:cstheme="minorHAnsi"/>
          <w:szCs w:val="22"/>
        </w:rPr>
      </w:pPr>
    </w:p>
    <w:p w14:paraId="0B8A42E4" w14:textId="64A6F637" w:rsidR="008E6616" w:rsidRDefault="00397B16" w:rsidP="00BB3AD0">
      <w:pPr>
        <w:spacing w:after="0" w:line="240" w:lineRule="auto"/>
        <w:jc w:val="center"/>
        <w:rPr>
          <w:rFonts w:cstheme="minorHAnsi"/>
          <w:b/>
          <w:bCs/>
          <w:sz w:val="28"/>
          <w:szCs w:val="28"/>
        </w:rPr>
      </w:pPr>
      <w:r>
        <w:rPr>
          <w:rFonts w:cstheme="minorHAnsi"/>
          <w:b/>
          <w:bCs/>
          <w:sz w:val="28"/>
          <w:szCs w:val="28"/>
        </w:rPr>
        <w:t>22/03</w:t>
      </w:r>
    </w:p>
    <w:p w14:paraId="190C977E" w14:textId="77777777" w:rsidR="00445527" w:rsidRPr="008E6616" w:rsidRDefault="00445527" w:rsidP="00BB3AD0">
      <w:pPr>
        <w:spacing w:after="0" w:line="240" w:lineRule="auto"/>
        <w:jc w:val="center"/>
        <w:rPr>
          <w:rFonts w:cstheme="minorHAnsi"/>
          <w:b/>
          <w:bCs/>
          <w:sz w:val="28"/>
          <w:szCs w:val="28"/>
        </w:rPr>
      </w:pPr>
    </w:p>
    <w:p w14:paraId="59F76D23" w14:textId="74640832" w:rsidR="00C165F8" w:rsidRPr="008E6616" w:rsidRDefault="00397B16" w:rsidP="00397B16">
      <w:pPr>
        <w:tabs>
          <w:tab w:val="left" w:pos="7988"/>
        </w:tabs>
        <w:spacing w:after="0" w:line="240" w:lineRule="auto"/>
        <w:jc w:val="center"/>
        <w:rPr>
          <w:rFonts w:ascii="Calibri" w:hAnsi="Calibri" w:cs="Calibri"/>
          <w:sz w:val="24"/>
          <w:szCs w:val="24"/>
          <w:highlight w:val="yellow"/>
        </w:rPr>
      </w:pPr>
      <w:r w:rsidRPr="00397B16">
        <w:rPr>
          <w:rFonts w:cstheme="minorHAnsi"/>
          <w:b/>
          <w:sz w:val="28"/>
          <w:szCs w:val="28"/>
        </w:rPr>
        <w:t>Majetek a peněžní prostředky státu, se kterými je příslušný hospodařit Český telekomunikační úřad</w:t>
      </w:r>
    </w:p>
    <w:bookmarkEnd w:id="1"/>
    <w:p w14:paraId="2F208801" w14:textId="77777777" w:rsidR="00397B16" w:rsidRDefault="00397B16" w:rsidP="00CA07D2">
      <w:pPr>
        <w:spacing w:after="0" w:line="264" w:lineRule="auto"/>
        <w:jc w:val="both"/>
        <w:rPr>
          <w:rFonts w:ascii="Calibri" w:hAnsi="Calibri" w:cs="Calibri"/>
          <w:sz w:val="24"/>
          <w:szCs w:val="24"/>
        </w:rPr>
      </w:pPr>
    </w:p>
    <w:p w14:paraId="0B8A42E9" w14:textId="72C8C42F" w:rsidR="008E6616" w:rsidRPr="008A1F80" w:rsidRDefault="008E6616" w:rsidP="00CA07D2">
      <w:pPr>
        <w:spacing w:after="0" w:line="264" w:lineRule="auto"/>
        <w:jc w:val="both"/>
        <w:rPr>
          <w:rFonts w:ascii="Calibri" w:hAnsi="Calibri" w:cs="Calibri"/>
          <w:sz w:val="24"/>
          <w:szCs w:val="24"/>
        </w:rPr>
      </w:pPr>
      <w:r w:rsidRPr="008A1F80">
        <w:rPr>
          <w:rFonts w:ascii="Calibri" w:hAnsi="Calibri" w:cs="Calibri"/>
          <w:sz w:val="24"/>
          <w:szCs w:val="24"/>
        </w:rPr>
        <w:t>Kontrolní akce byla zařazena do plánu kontrolní činnosti Nejvyššího kontrolního úřa</w:t>
      </w:r>
      <w:r w:rsidR="00C14910">
        <w:rPr>
          <w:rFonts w:ascii="Calibri" w:hAnsi="Calibri" w:cs="Calibri"/>
          <w:sz w:val="24"/>
          <w:szCs w:val="24"/>
        </w:rPr>
        <w:t>du (dále také „NKÚ“) na rok 202</w:t>
      </w:r>
      <w:r w:rsidR="00397B16">
        <w:rPr>
          <w:rFonts w:ascii="Calibri" w:hAnsi="Calibri" w:cs="Calibri"/>
          <w:sz w:val="24"/>
          <w:szCs w:val="24"/>
        </w:rPr>
        <w:t>2</w:t>
      </w:r>
      <w:r w:rsidRPr="008A1F80">
        <w:rPr>
          <w:rFonts w:ascii="Calibri" w:hAnsi="Calibri" w:cs="Calibri"/>
          <w:sz w:val="24"/>
          <w:szCs w:val="24"/>
        </w:rPr>
        <w:t xml:space="preserve"> pod číslem </w:t>
      </w:r>
      <w:r w:rsidR="00C14910">
        <w:rPr>
          <w:rFonts w:ascii="Calibri" w:hAnsi="Calibri" w:cs="Calibri"/>
          <w:sz w:val="24"/>
          <w:szCs w:val="24"/>
        </w:rPr>
        <w:t>2</w:t>
      </w:r>
      <w:r w:rsidR="00397B16">
        <w:rPr>
          <w:rFonts w:ascii="Calibri" w:hAnsi="Calibri" w:cs="Calibri"/>
          <w:sz w:val="24"/>
          <w:szCs w:val="24"/>
        </w:rPr>
        <w:t>2</w:t>
      </w:r>
      <w:r w:rsidR="00C14910">
        <w:rPr>
          <w:rFonts w:ascii="Calibri" w:hAnsi="Calibri" w:cs="Calibri"/>
          <w:sz w:val="24"/>
          <w:szCs w:val="24"/>
        </w:rPr>
        <w:t>/</w:t>
      </w:r>
      <w:r w:rsidR="00397B16">
        <w:rPr>
          <w:rFonts w:ascii="Calibri" w:hAnsi="Calibri" w:cs="Calibri"/>
          <w:sz w:val="24"/>
          <w:szCs w:val="24"/>
        </w:rPr>
        <w:t>0</w:t>
      </w:r>
      <w:r w:rsidR="00C165F8">
        <w:rPr>
          <w:rFonts w:ascii="Calibri" w:hAnsi="Calibri" w:cs="Calibri"/>
          <w:sz w:val="24"/>
          <w:szCs w:val="24"/>
        </w:rPr>
        <w:t>3</w:t>
      </w:r>
      <w:r w:rsidR="00C14910">
        <w:rPr>
          <w:rFonts w:ascii="Calibri" w:hAnsi="Calibri" w:cs="Calibri"/>
          <w:sz w:val="24"/>
          <w:szCs w:val="24"/>
        </w:rPr>
        <w:t>. Kontrolní akci řídil a kontrolní závěr vypracoval člen</w:t>
      </w:r>
      <w:r w:rsidRPr="008A1F80">
        <w:rPr>
          <w:rFonts w:ascii="Calibri" w:hAnsi="Calibri" w:cs="Calibri"/>
          <w:sz w:val="24"/>
          <w:szCs w:val="24"/>
        </w:rPr>
        <w:t xml:space="preserve"> NKÚ Ing. </w:t>
      </w:r>
      <w:r w:rsidR="00C14910">
        <w:rPr>
          <w:rFonts w:ascii="Calibri" w:hAnsi="Calibri" w:cs="Calibri"/>
          <w:sz w:val="24"/>
          <w:szCs w:val="24"/>
        </w:rPr>
        <w:t>Pavel Hrnčíř.</w:t>
      </w:r>
    </w:p>
    <w:p w14:paraId="0B8A42EA" w14:textId="77777777" w:rsidR="008E6616" w:rsidRPr="008E6616" w:rsidRDefault="008E6616" w:rsidP="00CA07D2">
      <w:pPr>
        <w:spacing w:after="0" w:line="264" w:lineRule="auto"/>
        <w:jc w:val="both"/>
        <w:rPr>
          <w:rFonts w:ascii="Calibri" w:hAnsi="Calibri" w:cs="Calibri"/>
          <w:sz w:val="24"/>
          <w:szCs w:val="24"/>
          <w:highlight w:val="yellow"/>
        </w:rPr>
      </w:pPr>
    </w:p>
    <w:p w14:paraId="0B8A42EB" w14:textId="1CA3995C" w:rsidR="008E6616" w:rsidRDefault="008E6616" w:rsidP="00CA07D2">
      <w:pPr>
        <w:spacing w:after="0" w:line="264" w:lineRule="auto"/>
        <w:jc w:val="both"/>
        <w:rPr>
          <w:rFonts w:ascii="Calibri" w:hAnsi="Calibri" w:cs="Calibri"/>
          <w:sz w:val="24"/>
          <w:szCs w:val="24"/>
        </w:rPr>
      </w:pPr>
      <w:r w:rsidRPr="008A1F80">
        <w:rPr>
          <w:rFonts w:ascii="Calibri" w:hAnsi="Calibri" w:cs="Calibri"/>
          <w:sz w:val="24"/>
          <w:szCs w:val="24"/>
        </w:rPr>
        <w:t>Cílem kontroly</w:t>
      </w:r>
      <w:r w:rsidR="00C165F8">
        <w:rPr>
          <w:rFonts w:ascii="Calibri" w:hAnsi="Calibri" w:cs="Calibri"/>
          <w:sz w:val="24"/>
          <w:szCs w:val="24"/>
        </w:rPr>
        <w:t xml:space="preserve"> bylo p</w:t>
      </w:r>
      <w:r w:rsidR="00C165F8" w:rsidRPr="00C165F8">
        <w:rPr>
          <w:rFonts w:ascii="Calibri" w:hAnsi="Calibri" w:cs="Calibri"/>
          <w:sz w:val="24"/>
          <w:szCs w:val="24"/>
        </w:rPr>
        <w:t>rověřit</w:t>
      </w:r>
      <w:r w:rsidR="00397B16">
        <w:rPr>
          <w:rFonts w:ascii="Calibri" w:hAnsi="Calibri" w:cs="Calibri"/>
          <w:sz w:val="24"/>
          <w:szCs w:val="24"/>
        </w:rPr>
        <w:t xml:space="preserve"> u vybraných oblastí hospodaření, zda Český telekomunikační úřad nakládá s peněžními prostředky a majetkem státu účelně, hospodárně a v souladu s právními předpisy</w:t>
      </w:r>
      <w:r w:rsidR="00C165F8" w:rsidRPr="00C165F8">
        <w:rPr>
          <w:rFonts w:ascii="Calibri" w:hAnsi="Calibri" w:cs="Calibri"/>
          <w:sz w:val="24"/>
          <w:szCs w:val="24"/>
        </w:rPr>
        <w:t>.</w:t>
      </w:r>
    </w:p>
    <w:p w14:paraId="0B8A42EC" w14:textId="13952DBE" w:rsidR="00583F64" w:rsidRDefault="00583F64" w:rsidP="00CA07D2">
      <w:pPr>
        <w:spacing w:after="0" w:line="264" w:lineRule="auto"/>
        <w:jc w:val="both"/>
        <w:rPr>
          <w:rFonts w:ascii="Calibri" w:hAnsi="Calibri" w:cs="Calibri"/>
          <w:sz w:val="24"/>
          <w:szCs w:val="24"/>
          <w:highlight w:val="yellow"/>
        </w:rPr>
      </w:pPr>
    </w:p>
    <w:p w14:paraId="0B8A42EF" w14:textId="62106858" w:rsidR="008E6616" w:rsidRPr="008A1F80" w:rsidRDefault="008E6616" w:rsidP="00CA07D2">
      <w:pPr>
        <w:spacing w:after="0" w:line="264" w:lineRule="auto"/>
        <w:jc w:val="both"/>
        <w:rPr>
          <w:rFonts w:ascii="Calibri" w:hAnsi="Calibri" w:cs="Calibri"/>
          <w:sz w:val="24"/>
          <w:szCs w:val="24"/>
        </w:rPr>
      </w:pPr>
      <w:r w:rsidRPr="008A1F80">
        <w:rPr>
          <w:rFonts w:ascii="Calibri" w:hAnsi="Calibri" w:cs="Calibri"/>
          <w:sz w:val="24"/>
          <w:szCs w:val="24"/>
        </w:rPr>
        <w:t>Kontrolovan</w:t>
      </w:r>
      <w:r w:rsidR="00BF0B76">
        <w:rPr>
          <w:rFonts w:ascii="Calibri" w:hAnsi="Calibri" w:cs="Calibri"/>
          <w:sz w:val="24"/>
          <w:szCs w:val="24"/>
        </w:rPr>
        <w:t>á</w:t>
      </w:r>
      <w:r w:rsidRPr="008A1F80">
        <w:rPr>
          <w:rFonts w:ascii="Calibri" w:hAnsi="Calibri" w:cs="Calibri"/>
          <w:sz w:val="24"/>
          <w:szCs w:val="24"/>
        </w:rPr>
        <w:t xml:space="preserve"> osob</w:t>
      </w:r>
      <w:r w:rsidR="00BF0B76">
        <w:rPr>
          <w:rFonts w:ascii="Calibri" w:hAnsi="Calibri" w:cs="Calibri"/>
          <w:sz w:val="24"/>
          <w:szCs w:val="24"/>
        </w:rPr>
        <w:t>a</w:t>
      </w:r>
      <w:r w:rsidRPr="008A1F80">
        <w:rPr>
          <w:rFonts w:ascii="Calibri" w:hAnsi="Calibri" w:cs="Calibri"/>
          <w:sz w:val="24"/>
          <w:szCs w:val="24"/>
        </w:rPr>
        <w:t>:</w:t>
      </w:r>
    </w:p>
    <w:p w14:paraId="0B8A42F0" w14:textId="4F39EB65" w:rsidR="008E6616" w:rsidRPr="008A1F80" w:rsidRDefault="00397B16" w:rsidP="00CA07D2">
      <w:pPr>
        <w:spacing w:after="0" w:line="264" w:lineRule="auto"/>
        <w:jc w:val="both"/>
        <w:rPr>
          <w:rFonts w:ascii="Calibri" w:hAnsi="Calibri" w:cs="Calibri"/>
          <w:sz w:val="24"/>
          <w:szCs w:val="24"/>
        </w:rPr>
      </w:pPr>
      <w:r>
        <w:rPr>
          <w:rFonts w:ascii="Calibri" w:hAnsi="Calibri" w:cs="Calibri"/>
          <w:sz w:val="24"/>
          <w:szCs w:val="24"/>
        </w:rPr>
        <w:t>Český telekomunikační úřad</w:t>
      </w:r>
      <w:r w:rsidR="00433825">
        <w:rPr>
          <w:rFonts w:ascii="Calibri" w:hAnsi="Calibri" w:cs="Calibri"/>
          <w:sz w:val="24"/>
          <w:szCs w:val="24"/>
        </w:rPr>
        <w:t>, Praha</w:t>
      </w:r>
      <w:r>
        <w:rPr>
          <w:rFonts w:ascii="Calibri" w:hAnsi="Calibri" w:cs="Calibri"/>
          <w:sz w:val="24"/>
          <w:szCs w:val="24"/>
        </w:rPr>
        <w:t xml:space="preserve"> (dále také „ČTÚ“)</w:t>
      </w:r>
      <w:r w:rsidR="00CA07D2">
        <w:rPr>
          <w:rFonts w:ascii="Calibri" w:hAnsi="Calibri" w:cs="Calibri"/>
          <w:sz w:val="24"/>
          <w:szCs w:val="24"/>
        </w:rPr>
        <w:t>.</w:t>
      </w:r>
    </w:p>
    <w:p w14:paraId="7803557E" w14:textId="32F3C8AC" w:rsidR="005C4E17" w:rsidRDefault="005C4E17" w:rsidP="00CA07D2">
      <w:pPr>
        <w:spacing w:after="0" w:line="264" w:lineRule="auto"/>
        <w:jc w:val="both"/>
        <w:rPr>
          <w:rFonts w:ascii="Calibri" w:hAnsi="Calibri" w:cs="Calibri"/>
          <w:sz w:val="24"/>
          <w:szCs w:val="24"/>
        </w:rPr>
      </w:pPr>
    </w:p>
    <w:p w14:paraId="4D6638BD" w14:textId="1219092C" w:rsidR="005C4E17" w:rsidRDefault="005C4E17" w:rsidP="00CA07D2">
      <w:pPr>
        <w:spacing w:after="0" w:line="264" w:lineRule="auto"/>
        <w:jc w:val="both"/>
        <w:rPr>
          <w:rFonts w:ascii="Calibri" w:hAnsi="Calibri" w:cs="Calibri"/>
          <w:sz w:val="24"/>
          <w:szCs w:val="24"/>
        </w:rPr>
      </w:pPr>
      <w:r>
        <w:rPr>
          <w:rFonts w:ascii="Calibri" w:hAnsi="Calibri" w:cs="Calibri"/>
          <w:sz w:val="24"/>
          <w:szCs w:val="24"/>
        </w:rPr>
        <w:t>Kontrolováno bylo období od roku 201</w:t>
      </w:r>
      <w:r w:rsidR="00397B16">
        <w:rPr>
          <w:rFonts w:ascii="Calibri" w:hAnsi="Calibri" w:cs="Calibri"/>
          <w:sz w:val="24"/>
          <w:szCs w:val="24"/>
        </w:rPr>
        <w:t>8</w:t>
      </w:r>
      <w:r>
        <w:rPr>
          <w:rFonts w:ascii="Calibri" w:hAnsi="Calibri" w:cs="Calibri"/>
          <w:sz w:val="24"/>
          <w:szCs w:val="24"/>
        </w:rPr>
        <w:t xml:space="preserve"> do roku 202</w:t>
      </w:r>
      <w:r w:rsidR="00397B16">
        <w:rPr>
          <w:rFonts w:ascii="Calibri" w:hAnsi="Calibri" w:cs="Calibri"/>
          <w:sz w:val="24"/>
          <w:szCs w:val="24"/>
        </w:rPr>
        <w:t>2</w:t>
      </w:r>
      <w:r>
        <w:rPr>
          <w:rFonts w:ascii="Calibri" w:hAnsi="Calibri" w:cs="Calibri"/>
          <w:sz w:val="24"/>
          <w:szCs w:val="24"/>
        </w:rPr>
        <w:t>, v případě věcných souvislostí i období předcházející.</w:t>
      </w:r>
    </w:p>
    <w:p w14:paraId="03209084" w14:textId="1354D77F" w:rsidR="005C4E17" w:rsidRDefault="005C4E17" w:rsidP="00CA07D2">
      <w:pPr>
        <w:spacing w:after="0" w:line="264" w:lineRule="auto"/>
        <w:jc w:val="both"/>
        <w:rPr>
          <w:rFonts w:ascii="Calibri" w:hAnsi="Calibri" w:cs="Calibri"/>
          <w:sz w:val="24"/>
          <w:szCs w:val="24"/>
        </w:rPr>
      </w:pPr>
    </w:p>
    <w:p w14:paraId="38DBD7D0" w14:textId="5C1F8EB3" w:rsidR="005C4E17" w:rsidRDefault="005C4E17" w:rsidP="00CA07D2">
      <w:pPr>
        <w:spacing w:after="0" w:line="264" w:lineRule="auto"/>
        <w:jc w:val="both"/>
        <w:rPr>
          <w:rFonts w:ascii="Calibri" w:hAnsi="Calibri" w:cs="Calibri"/>
          <w:sz w:val="24"/>
          <w:szCs w:val="24"/>
        </w:rPr>
      </w:pPr>
      <w:r>
        <w:rPr>
          <w:rFonts w:ascii="Calibri" w:hAnsi="Calibri" w:cs="Calibri"/>
          <w:sz w:val="24"/>
          <w:szCs w:val="24"/>
        </w:rPr>
        <w:t xml:space="preserve">Kontrola </w:t>
      </w:r>
      <w:r w:rsidR="000E1B93">
        <w:rPr>
          <w:rFonts w:ascii="Calibri" w:hAnsi="Calibri" w:cs="Calibri"/>
          <w:sz w:val="24"/>
          <w:szCs w:val="24"/>
        </w:rPr>
        <w:t xml:space="preserve">byla </w:t>
      </w:r>
      <w:r>
        <w:rPr>
          <w:rFonts w:ascii="Calibri" w:hAnsi="Calibri" w:cs="Calibri"/>
          <w:sz w:val="24"/>
          <w:szCs w:val="24"/>
        </w:rPr>
        <w:t>u kontrolovan</w:t>
      </w:r>
      <w:r w:rsidR="00A72A4E">
        <w:rPr>
          <w:rFonts w:ascii="Calibri" w:hAnsi="Calibri" w:cs="Calibri"/>
          <w:sz w:val="24"/>
          <w:szCs w:val="24"/>
        </w:rPr>
        <w:t>é</w:t>
      </w:r>
      <w:r>
        <w:rPr>
          <w:rFonts w:ascii="Calibri" w:hAnsi="Calibri" w:cs="Calibri"/>
          <w:sz w:val="24"/>
          <w:szCs w:val="24"/>
        </w:rPr>
        <w:t xml:space="preserve"> osob</w:t>
      </w:r>
      <w:r w:rsidR="00A72A4E">
        <w:rPr>
          <w:rFonts w:ascii="Calibri" w:hAnsi="Calibri" w:cs="Calibri"/>
          <w:sz w:val="24"/>
          <w:szCs w:val="24"/>
        </w:rPr>
        <w:t>y</w:t>
      </w:r>
      <w:r w:rsidR="000E1B93">
        <w:rPr>
          <w:rFonts w:ascii="Calibri" w:hAnsi="Calibri" w:cs="Calibri"/>
          <w:sz w:val="24"/>
          <w:szCs w:val="24"/>
        </w:rPr>
        <w:t xml:space="preserve"> prováděna</w:t>
      </w:r>
      <w:r>
        <w:rPr>
          <w:rFonts w:ascii="Calibri" w:hAnsi="Calibri" w:cs="Calibri"/>
          <w:sz w:val="24"/>
          <w:szCs w:val="24"/>
        </w:rPr>
        <w:t xml:space="preserve"> v době od </w:t>
      </w:r>
      <w:r w:rsidR="00397B16">
        <w:rPr>
          <w:rFonts w:ascii="Calibri" w:hAnsi="Calibri" w:cs="Calibri"/>
          <w:sz w:val="24"/>
          <w:szCs w:val="24"/>
        </w:rPr>
        <w:t>ledna do srpna 2022</w:t>
      </w:r>
      <w:r>
        <w:rPr>
          <w:rFonts w:ascii="Calibri" w:hAnsi="Calibri" w:cs="Calibri"/>
          <w:sz w:val="24"/>
          <w:szCs w:val="24"/>
        </w:rPr>
        <w:t>.</w:t>
      </w:r>
    </w:p>
    <w:p w14:paraId="4EEFA305" w14:textId="753F9891" w:rsidR="005C4E17" w:rsidRDefault="005C4E17" w:rsidP="00CA07D2">
      <w:pPr>
        <w:spacing w:after="0" w:line="264" w:lineRule="auto"/>
        <w:jc w:val="both"/>
        <w:rPr>
          <w:rFonts w:ascii="Calibri" w:hAnsi="Calibri" w:cs="Calibri"/>
          <w:sz w:val="24"/>
          <w:szCs w:val="24"/>
          <w:highlight w:val="yellow"/>
        </w:rPr>
      </w:pPr>
    </w:p>
    <w:p w14:paraId="23CCF5CD" w14:textId="77777777" w:rsidR="00CA07D2" w:rsidRPr="008E6616" w:rsidRDefault="00CA07D2" w:rsidP="00CA07D2">
      <w:pPr>
        <w:spacing w:after="0" w:line="264" w:lineRule="auto"/>
        <w:jc w:val="both"/>
        <w:rPr>
          <w:rFonts w:ascii="Calibri" w:hAnsi="Calibri" w:cs="Calibri"/>
          <w:sz w:val="24"/>
          <w:szCs w:val="24"/>
          <w:highlight w:val="yellow"/>
        </w:rPr>
      </w:pPr>
    </w:p>
    <w:p w14:paraId="0B8A42F5" w14:textId="7DAA07ED" w:rsidR="008E6616" w:rsidRPr="00433825" w:rsidRDefault="008E6616" w:rsidP="00CA07D2">
      <w:pPr>
        <w:spacing w:after="0" w:line="360" w:lineRule="auto"/>
      </w:pPr>
      <w:r w:rsidRPr="00A40431">
        <w:rPr>
          <w:rFonts w:ascii="Calibri" w:hAnsi="Calibri" w:cs="Calibri"/>
          <w:b/>
          <w:bCs/>
          <w:i/>
          <w:iCs/>
          <w:sz w:val="24"/>
          <w:szCs w:val="24"/>
        </w:rPr>
        <w:t>K</w:t>
      </w:r>
      <w:r w:rsidRPr="00433825">
        <w:rPr>
          <w:rFonts w:ascii="Calibri" w:hAnsi="Calibri" w:cs="Calibri"/>
          <w:b/>
          <w:bCs/>
          <w:i/>
          <w:iCs/>
          <w:sz w:val="24"/>
          <w:szCs w:val="24"/>
        </w:rPr>
        <w:t xml:space="preserve"> o l e g i u m   N K Ú  </w:t>
      </w:r>
      <w:r w:rsidRPr="00433825">
        <w:rPr>
          <w:rFonts w:ascii="Calibri" w:hAnsi="Calibri" w:cs="Calibri"/>
          <w:sz w:val="24"/>
          <w:szCs w:val="24"/>
        </w:rPr>
        <w:t xml:space="preserve"> </w:t>
      </w:r>
      <w:r w:rsidR="00433825" w:rsidRPr="00433825">
        <w:rPr>
          <w:sz w:val="24"/>
          <w:szCs w:val="24"/>
        </w:rPr>
        <w:t xml:space="preserve">na svém </w:t>
      </w:r>
      <w:r w:rsidR="00741FC0">
        <w:rPr>
          <w:sz w:val="24"/>
          <w:szCs w:val="24"/>
        </w:rPr>
        <w:t>XV</w:t>
      </w:r>
      <w:r w:rsidR="00433825" w:rsidRPr="00433825">
        <w:rPr>
          <w:sz w:val="24"/>
          <w:szCs w:val="24"/>
        </w:rPr>
        <w:t xml:space="preserve">. jednání, které se konalo dne </w:t>
      </w:r>
      <w:r w:rsidR="00741FC0">
        <w:rPr>
          <w:sz w:val="24"/>
          <w:szCs w:val="24"/>
        </w:rPr>
        <w:t>21. listopadu</w:t>
      </w:r>
      <w:r w:rsidR="00433825" w:rsidRPr="00433825">
        <w:rPr>
          <w:sz w:val="24"/>
          <w:szCs w:val="24"/>
        </w:rPr>
        <w:t xml:space="preserve"> 2022,</w:t>
      </w:r>
    </w:p>
    <w:p w14:paraId="0B8A42F6" w14:textId="72781E26" w:rsidR="008E6616" w:rsidRPr="00A40431" w:rsidRDefault="008E6616" w:rsidP="00CA07D2">
      <w:pPr>
        <w:pStyle w:val="NormlnKZ"/>
        <w:spacing w:after="0" w:line="360" w:lineRule="auto"/>
        <w:ind w:firstLine="0"/>
        <w:rPr>
          <w:rFonts w:ascii="Calibri" w:hAnsi="Calibri" w:cs="Calibri"/>
          <w:sz w:val="24"/>
        </w:rPr>
      </w:pPr>
      <w:r w:rsidRPr="00A40431">
        <w:rPr>
          <w:rFonts w:ascii="Calibri" w:hAnsi="Calibri" w:cs="Calibri"/>
          <w:b/>
          <w:bCs/>
          <w:i/>
          <w:iCs/>
          <w:sz w:val="24"/>
        </w:rPr>
        <w:t xml:space="preserve">s c h v á l i </w:t>
      </w:r>
      <w:r w:rsidRPr="00433825">
        <w:rPr>
          <w:rFonts w:asciiTheme="minorHAnsi" w:hAnsiTheme="minorHAnsi" w:cstheme="minorHAnsi"/>
          <w:b/>
          <w:bCs/>
          <w:i/>
          <w:iCs/>
          <w:sz w:val="24"/>
        </w:rPr>
        <w:t xml:space="preserve">l o  </w:t>
      </w:r>
      <w:r w:rsidR="002F122F" w:rsidRPr="00433825">
        <w:rPr>
          <w:rFonts w:asciiTheme="minorHAnsi" w:hAnsiTheme="minorHAnsi" w:cstheme="minorHAnsi"/>
          <w:sz w:val="24"/>
        </w:rPr>
        <w:t xml:space="preserve"> </w:t>
      </w:r>
      <w:r w:rsidR="00433825" w:rsidRPr="00433825">
        <w:rPr>
          <w:rFonts w:asciiTheme="minorHAnsi" w:hAnsiTheme="minorHAnsi" w:cstheme="minorHAnsi"/>
          <w:sz w:val="24"/>
        </w:rPr>
        <w:t xml:space="preserve">usnesením č. </w:t>
      </w:r>
      <w:r w:rsidR="007C1463">
        <w:rPr>
          <w:rFonts w:asciiTheme="minorHAnsi" w:hAnsiTheme="minorHAnsi" w:cstheme="minorHAnsi"/>
          <w:sz w:val="24"/>
        </w:rPr>
        <w:t>16</w:t>
      </w:r>
      <w:r w:rsidR="00433825" w:rsidRPr="00433825">
        <w:rPr>
          <w:rFonts w:asciiTheme="minorHAnsi" w:hAnsiTheme="minorHAnsi" w:cstheme="minorHAnsi"/>
          <w:sz w:val="24"/>
        </w:rPr>
        <w:t>/</w:t>
      </w:r>
      <w:r w:rsidR="00741FC0">
        <w:rPr>
          <w:rFonts w:asciiTheme="minorHAnsi" w:hAnsiTheme="minorHAnsi" w:cstheme="minorHAnsi"/>
          <w:sz w:val="24"/>
        </w:rPr>
        <w:t>XV</w:t>
      </w:r>
      <w:r w:rsidR="00433825" w:rsidRPr="00433825">
        <w:rPr>
          <w:rFonts w:asciiTheme="minorHAnsi" w:hAnsiTheme="minorHAnsi" w:cstheme="minorHAnsi"/>
          <w:sz w:val="24"/>
        </w:rPr>
        <w:t>/2022</w:t>
      </w:r>
    </w:p>
    <w:p w14:paraId="0B8A42F7" w14:textId="6F42F393" w:rsidR="00FF0146" w:rsidRDefault="008E6616" w:rsidP="00CA07D2">
      <w:pPr>
        <w:pStyle w:val="NormlnKZ"/>
        <w:spacing w:after="0" w:line="360" w:lineRule="auto"/>
        <w:ind w:firstLine="0"/>
        <w:rPr>
          <w:rFonts w:ascii="Calibri" w:hAnsi="Calibri" w:cs="Calibri"/>
          <w:sz w:val="24"/>
        </w:rPr>
      </w:pPr>
      <w:r w:rsidRPr="00A40431">
        <w:rPr>
          <w:rFonts w:ascii="Calibri" w:hAnsi="Calibri" w:cs="Calibri"/>
          <w:b/>
          <w:bCs/>
          <w:i/>
          <w:iCs/>
          <w:sz w:val="24"/>
        </w:rPr>
        <w:t>k o n t r o l n í   z á v ě r</w:t>
      </w:r>
      <w:r w:rsidRPr="00A40431">
        <w:rPr>
          <w:rFonts w:ascii="Calibri" w:hAnsi="Calibri" w:cs="Calibri"/>
          <w:sz w:val="24"/>
        </w:rPr>
        <w:t xml:space="preserve">   </w:t>
      </w:r>
      <w:r w:rsidR="00044C5D" w:rsidRPr="00BE2CEF">
        <w:rPr>
          <w:rFonts w:asciiTheme="minorHAnsi" w:hAnsiTheme="minorHAnsi" w:cs="Calibri"/>
          <w:color w:val="000000"/>
          <w:sz w:val="24"/>
        </w:rPr>
        <w:t>v tomto znění:</w:t>
      </w:r>
    </w:p>
    <w:p w14:paraId="0B8A42F9" w14:textId="77777777" w:rsidR="003C20A4" w:rsidRDefault="003C20A4" w:rsidP="00BB3AD0">
      <w:pPr>
        <w:pStyle w:val="NormlnKZ"/>
        <w:spacing w:after="0"/>
        <w:ind w:firstLine="0"/>
        <w:rPr>
          <w:rFonts w:ascii="Calibri" w:hAnsi="Calibri" w:cs="Calibri"/>
          <w:sz w:val="24"/>
        </w:rPr>
      </w:pPr>
    </w:p>
    <w:p w14:paraId="0B8A42FA" w14:textId="77777777" w:rsidR="003C20A4" w:rsidRDefault="003C20A4" w:rsidP="00BB3AD0">
      <w:pPr>
        <w:pStyle w:val="NormlnKZ"/>
        <w:spacing w:after="0"/>
        <w:ind w:firstLine="0"/>
        <w:rPr>
          <w:rFonts w:ascii="Calibri" w:hAnsi="Calibri" w:cs="Calibri"/>
          <w:sz w:val="24"/>
        </w:rPr>
        <w:sectPr w:rsidR="003C20A4" w:rsidSect="003D6A4F">
          <w:headerReference w:type="default" r:id="rId12"/>
          <w:footerReference w:type="default" r:id="rId13"/>
          <w:footerReference w:type="first" r:id="rId14"/>
          <w:pgSz w:w="11906" w:h="16838"/>
          <w:pgMar w:top="1560" w:right="1417" w:bottom="1276" w:left="1417" w:header="708" w:footer="708" w:gutter="0"/>
          <w:cols w:space="708"/>
          <w:titlePg/>
          <w:docGrid w:linePitch="360"/>
        </w:sectPr>
      </w:pPr>
    </w:p>
    <w:bookmarkStart w:id="2" w:name="_Hlk85636686"/>
    <w:p w14:paraId="5A4238E7" w14:textId="0A13A745" w:rsidR="004E69A9" w:rsidRPr="006454B8" w:rsidRDefault="00CA07D2" w:rsidP="004E69A9">
      <w:pPr>
        <w:spacing w:after="240" w:line="264" w:lineRule="auto"/>
        <w:jc w:val="center"/>
        <w:rPr>
          <w:b/>
          <w:sz w:val="28"/>
        </w:rPr>
      </w:pPr>
      <w:r w:rsidRPr="006454B8">
        <w:rPr>
          <w:b/>
          <w:noProof/>
          <w:sz w:val="20"/>
        </w:rPr>
        <w:lastRenderedPageBreak/>
        <mc:AlternateContent>
          <mc:Choice Requires="wps">
            <w:drawing>
              <wp:anchor distT="45720" distB="45720" distL="114300" distR="114300" simplePos="0" relativeHeight="251666432" behindDoc="0" locked="0" layoutInCell="1" allowOverlap="1" wp14:anchorId="745A0A58" wp14:editId="18C8832F">
                <wp:simplePos x="0" y="0"/>
                <wp:positionH relativeFrom="margin">
                  <wp:align>center</wp:align>
                </wp:positionH>
                <wp:positionV relativeFrom="paragraph">
                  <wp:posOffset>461645</wp:posOffset>
                </wp:positionV>
                <wp:extent cx="5651500" cy="751205"/>
                <wp:effectExtent l="0" t="0" r="6350"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751716"/>
                        </a:xfrm>
                        <a:prstGeom prst="roundRect">
                          <a:avLst/>
                        </a:prstGeom>
                        <a:solidFill>
                          <a:schemeClr val="accent1">
                            <a:lumMod val="20000"/>
                            <a:lumOff val="80000"/>
                          </a:schemeClr>
                        </a:solidFill>
                        <a:ln>
                          <a:noFill/>
                          <a:headEnd/>
                          <a:tailEnd/>
                        </a:ln>
                      </wps:spPr>
                      <wps:style>
                        <a:lnRef idx="2">
                          <a:schemeClr val="accent1"/>
                        </a:lnRef>
                        <a:fillRef idx="1">
                          <a:schemeClr val="lt1"/>
                        </a:fillRef>
                        <a:effectRef idx="0">
                          <a:schemeClr val="accent1"/>
                        </a:effectRef>
                        <a:fontRef idx="minor">
                          <a:schemeClr val="dk1"/>
                        </a:fontRef>
                      </wps:style>
                      <wps:txbx>
                        <w:txbxContent>
                          <w:p w14:paraId="16680E6C" w14:textId="77777777" w:rsidR="00DB6622" w:rsidRPr="006454B8" w:rsidRDefault="00DB6622" w:rsidP="00882EB1">
                            <w:pPr>
                              <w:jc w:val="center"/>
                              <w:rPr>
                                <w:sz w:val="18"/>
                              </w:rPr>
                            </w:pPr>
                            <w:r w:rsidRPr="006454B8">
                              <w:rPr>
                                <w:b/>
                                <w:sz w:val="24"/>
                                <w:lang w:eastAsia="cs-CZ"/>
                              </w:rPr>
                              <w:t>Ve vybraných oblastech hospodaření ČTÚ kontrola nezjistila nedostatky z hlediska účelnosti a hospodárnosti výdajů. Příjem z aukce kmitočtů radiového spektra z roku 2020 pro stát byl ale nižší, než se očekávalo.</w:t>
                            </w:r>
                          </w:p>
                          <w:p w14:paraId="30FDF5A4" w14:textId="77777777" w:rsidR="00DB6622" w:rsidRPr="0028289E" w:rsidRDefault="00DB6622" w:rsidP="00882EB1">
                            <w:pPr>
                              <w:jc w:val="center"/>
                              <w:rPr>
                                <w:sz w:val="24"/>
                              </w:rPr>
                            </w:pPr>
                            <w:r w:rsidRPr="0028289E">
                              <w:rPr>
                                <w:b/>
                                <w:sz w:val="28"/>
                                <w:lang w:eastAsia="cs-CZ"/>
                              </w:rPr>
                              <w:t>Ve vybraných oblastech hospodaření ČTÚ kontrola nezjistila nedostatky z hlediska účelnosti a hospodárnosti výdajů.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45A0A58" id="_x0000_s1026" style="position:absolute;left:0;text-align:left;margin-left:0;margin-top:36.35pt;width:445pt;height:59.1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" fillcolor="#deeaf6 [660]" stroked="f" strokeweight="1pt">
                <v:stroke joinstyle="miter"/>
                <v:textbox>
                  <w:txbxContent>
                    <w:p w14:paraId="16680E6C" w14:textId="77777777" w:rsidR="00DB6622" w:rsidRPr="006454B8" w:rsidRDefault="00DB6622" w:rsidP="00882EB1">
                      <w:pPr>
                        <w:jc w:val="center"/>
                        <w:rPr>
                          <w:sz w:val="18"/>
                        </w:rPr>
                      </w:pPr>
                      <w:r w:rsidRPr="006454B8">
                        <w:rPr>
                          <w:b/>
                          <w:sz w:val="24"/>
                          <w:lang w:eastAsia="cs-CZ"/>
                        </w:rPr>
                        <w:t>Ve vybraných oblastech hospodaření ČTÚ kontrola nezjistila nedostatky z hlediska účelnosti a hospodárnosti výdajů. Příjem z aukce kmitočtů radiového spektra z roku 2020 pro stát byl ale nižší, než se očekávalo.</w:t>
                      </w:r>
                    </w:p>
                    <w:p w14:paraId="30FDF5A4" w14:textId="77777777" w:rsidR="00DB6622" w:rsidRPr="0028289E" w:rsidRDefault="00DB6622" w:rsidP="00882EB1">
                      <w:pPr>
                        <w:jc w:val="center"/>
                        <w:rPr>
                          <w:sz w:val="24"/>
                        </w:rPr>
                      </w:pPr>
                      <w:r w:rsidRPr="0028289E">
                        <w:rPr>
                          <w:b/>
                          <w:sz w:val="28"/>
                          <w:lang w:eastAsia="cs-CZ"/>
                        </w:rPr>
                        <w:t>Ve vybraných oblastech hospodaření ČTÚ kontrola nezjistila nedostatky z hlediska účelnosti a hospodárnosti výdajů.</w:t>
                      </w:r>
                    </w:p>
                  </w:txbxContent>
                </v:textbox>
                <w10:wrap type="square" anchorx="margin"/>
              </v:roundrect>
            </w:pict>
          </mc:Fallback>
        </mc:AlternateContent>
      </w:r>
      <w:r w:rsidR="002C2597">
        <w:rPr>
          <w:noProof/>
        </w:rPr>
        <mc:AlternateContent>
          <mc:Choice Requires="wps">
            <w:drawing>
              <wp:anchor distT="45720" distB="45720" distL="114300" distR="114300" simplePos="0" relativeHeight="251662336" behindDoc="0" locked="0" layoutInCell="1" allowOverlap="1" wp14:anchorId="21910ABC" wp14:editId="3640BA86">
                <wp:simplePos x="0" y="0"/>
                <wp:positionH relativeFrom="margin">
                  <wp:posOffset>47520</wp:posOffset>
                </wp:positionH>
                <wp:positionV relativeFrom="paragraph">
                  <wp:posOffset>1292758</wp:posOffset>
                </wp:positionV>
                <wp:extent cx="5652000" cy="360000"/>
                <wp:effectExtent l="0" t="0" r="25400" b="2159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360000"/>
                        </a:xfrm>
                        <a:prstGeom prst="round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19C55518" w14:textId="77777777" w:rsidR="00DB6622" w:rsidRPr="006454B8" w:rsidRDefault="00DB6622" w:rsidP="00882EB1">
                            <w:pPr>
                              <w:jc w:val="center"/>
                              <w:rPr>
                                <w:sz w:val="20"/>
                              </w:rPr>
                            </w:pPr>
                            <w:r w:rsidRPr="006454B8">
                              <w:rPr>
                                <w:b/>
                                <w:sz w:val="24"/>
                              </w:rPr>
                              <w:t>Ceny volání a mobilních dat v ČR byly v roce 2021 jedny z nejvyšších v Evropě.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1910ABC" id="Textové pole 1" o:spid="_x0000_s1027" style="position:absolute;left:0;text-align:left;margin-left:3.75pt;margin-top:101.8pt;width:445.05pt;height:28.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" fillcolor="#deeaf6 [660]" strokecolor="#deeaf6 [660]">
                <v:stroke joinstyle="miter"/>
                <v:textbox>
                  <w:txbxContent>
                    <w:p w14:paraId="19C55518" w14:textId="77777777" w:rsidR="00DB6622" w:rsidRPr="006454B8" w:rsidRDefault="00DB6622" w:rsidP="00882EB1">
                      <w:pPr>
                        <w:jc w:val="center"/>
                        <w:rPr>
                          <w:sz w:val="20"/>
                        </w:rPr>
                      </w:pPr>
                      <w:r w:rsidRPr="006454B8">
                        <w:rPr>
                          <w:b/>
                          <w:sz w:val="24"/>
                        </w:rPr>
                        <w:t>Ceny volání a mobilních dat v ČR byly v roce 2021 jedny z nejvyšších v Evropě.</w:t>
                      </w:r>
                    </w:p>
                  </w:txbxContent>
                </v:textbox>
                <w10:wrap type="square" anchorx="margin"/>
              </v:roundrect>
            </w:pict>
          </mc:Fallback>
        </mc:AlternateContent>
      </w:r>
      <w:r w:rsidR="006454B8">
        <w:rPr>
          <w:noProof/>
        </w:rPr>
        <mc:AlternateContent>
          <mc:Choice Requires="wps">
            <w:drawing>
              <wp:anchor distT="45720" distB="45720" distL="114300" distR="114300" simplePos="0" relativeHeight="251661312" behindDoc="0" locked="0" layoutInCell="1" allowOverlap="1" wp14:anchorId="2129A1A6" wp14:editId="4379A7DB">
                <wp:simplePos x="0" y="0"/>
                <wp:positionH relativeFrom="margin">
                  <wp:posOffset>53130</wp:posOffset>
                </wp:positionH>
                <wp:positionV relativeFrom="paragraph">
                  <wp:posOffset>1747317</wp:posOffset>
                </wp:positionV>
                <wp:extent cx="5652000" cy="540000"/>
                <wp:effectExtent l="0" t="0" r="25400" b="1270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540000"/>
                        </a:xfrm>
                        <a:prstGeom prst="round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53E5151E" w14:textId="77777777" w:rsidR="00DB6622" w:rsidRPr="006454B8" w:rsidRDefault="00DB6622" w:rsidP="00882EB1">
                            <w:pPr>
                              <w:jc w:val="center"/>
                              <w:rPr>
                                <w:sz w:val="18"/>
                              </w:rPr>
                            </w:pPr>
                            <w:r w:rsidRPr="006454B8">
                              <w:rPr>
                                <w:b/>
                                <w:sz w:val="24"/>
                                <w:lang w:eastAsia="cs-CZ"/>
                              </w:rPr>
                              <w:t>Nenaplnil se zatím ani cíl aukce, kterým bylo zvýšení konkurence na trhu elektronických komunikací a snížení ceny mobilních dat.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129A1A6" id="_x0000_s1028" style="position:absolute;left:0;text-align:left;margin-left:4.2pt;margin-top:137.6pt;width:445.05pt;height: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" fillcolor="#deeaf6 [660]" strokecolor="#deeaf6 [660]">
                <v:stroke joinstyle="miter"/>
                <v:textbox>
                  <w:txbxContent>
                    <w:p w14:paraId="53E5151E" w14:textId="77777777" w:rsidR="00DB6622" w:rsidRPr="006454B8" w:rsidRDefault="00DB6622" w:rsidP="00882EB1">
                      <w:pPr>
                        <w:jc w:val="center"/>
                        <w:rPr>
                          <w:sz w:val="18"/>
                        </w:rPr>
                      </w:pPr>
                      <w:r w:rsidRPr="006454B8">
                        <w:rPr>
                          <w:b/>
                          <w:sz w:val="24"/>
                          <w:lang w:eastAsia="cs-CZ"/>
                        </w:rPr>
                        <w:t>Nenaplnil se zatím ani cíl aukce, kterým bylo zvýšení konkurence na trhu elektronických komunikací a snížení ceny mobilních dat.</w:t>
                      </w:r>
                    </w:p>
                  </w:txbxContent>
                </v:textbox>
                <w10:wrap type="square" anchorx="margin"/>
              </v:roundrect>
            </w:pict>
          </mc:Fallback>
        </mc:AlternateContent>
      </w:r>
      <w:r w:rsidR="005C4D50">
        <w:rPr>
          <w:rStyle w:val="A4"/>
          <w:rFonts w:cstheme="minorHAnsi"/>
          <w:b/>
          <w:color w:val="0070C0"/>
          <w:sz w:val="32"/>
          <w:szCs w:val="36"/>
        </w:rPr>
        <w:t>Český telekomunikační úřad</w:t>
      </w:r>
      <w:r>
        <w:rPr>
          <w:rStyle w:val="A4"/>
          <w:rFonts w:cstheme="minorHAnsi"/>
          <w:b/>
          <w:color w:val="0070C0"/>
          <w:sz w:val="32"/>
          <w:szCs w:val="36"/>
        </w:rPr>
        <w:t xml:space="preserve"> v letech 2018–202</w:t>
      </w:r>
      <w:r w:rsidR="001F59CB">
        <w:rPr>
          <w:rStyle w:val="A4"/>
          <w:rFonts w:cstheme="minorHAnsi"/>
          <w:b/>
          <w:color w:val="0070C0"/>
          <w:sz w:val="32"/>
          <w:szCs w:val="36"/>
        </w:rPr>
        <w:t>2</w:t>
      </w:r>
      <w:r w:rsidR="0067063E" w:rsidRPr="006454B8">
        <w:rPr>
          <w:b/>
          <w:noProof/>
          <w:sz w:val="18"/>
        </w:rPr>
        <w:t xml:space="preserve"> </w:t>
      </w:r>
    </w:p>
    <w:p w14:paraId="56EF6BAF" w14:textId="4292EE5F" w:rsidR="00882EB1" w:rsidRDefault="002C2597" w:rsidP="00882EB1">
      <w:r>
        <w:rPr>
          <w:noProof/>
        </w:rPr>
        <mc:AlternateContent>
          <mc:Choice Requires="wps">
            <w:drawing>
              <wp:anchor distT="45720" distB="45720" distL="114300" distR="114300" simplePos="0" relativeHeight="251664384" behindDoc="0" locked="0" layoutInCell="1" allowOverlap="1" wp14:anchorId="72B05473" wp14:editId="33008D0D">
                <wp:simplePos x="0" y="0"/>
                <wp:positionH relativeFrom="margin">
                  <wp:posOffset>7620</wp:posOffset>
                </wp:positionH>
                <wp:positionV relativeFrom="paragraph">
                  <wp:posOffset>2415227</wp:posOffset>
                </wp:positionV>
                <wp:extent cx="5651500" cy="539750"/>
                <wp:effectExtent l="0" t="0" r="25400" b="12700"/>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539750"/>
                        </a:xfrm>
                        <a:prstGeom prst="round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425E3C41" w14:textId="69775E42" w:rsidR="00DB6622" w:rsidRPr="006454B8" w:rsidRDefault="00DB6622" w:rsidP="00882EB1">
                            <w:pPr>
                              <w:jc w:val="center"/>
                              <w:rPr>
                                <w:b/>
                                <w:spacing w:val="6"/>
                                <w:sz w:val="24"/>
                                <w:szCs w:val="24"/>
                              </w:rPr>
                            </w:pPr>
                            <w:r w:rsidRPr="006454B8">
                              <w:rPr>
                                <w:b/>
                                <w:spacing w:val="6"/>
                                <w:sz w:val="24"/>
                                <w:szCs w:val="24"/>
                              </w:rPr>
                              <w:t xml:space="preserve">Vysoké ceny volání a mobilních dat potvrzuje </w:t>
                            </w:r>
                            <w:bookmarkStart w:id="3" w:name="_Hlk117079200"/>
                            <w:r w:rsidRPr="006454B8">
                              <w:fldChar w:fldCharType="begin"/>
                            </w:r>
                            <w:r w:rsidRPr="006454B8">
                              <w:rPr>
                                <w:b/>
                                <w:spacing w:val="6"/>
                                <w:sz w:val="24"/>
                                <w:szCs w:val="24"/>
                              </w:rPr>
                              <w:instrText xml:space="preserve"> HYPERLINK "https://digital-strategy.ec.europa.eu/en/library/mobile-and-fixed-broadband-prices-europe-2021" </w:instrText>
                            </w:r>
                            <w:r w:rsidRPr="006454B8">
                              <w:fldChar w:fldCharType="separate"/>
                            </w:r>
                            <w:r w:rsidRPr="006454B8">
                              <w:rPr>
                                <w:rStyle w:val="Hypertextovodkaz"/>
                                <w:b/>
                                <w:spacing w:val="6"/>
                                <w:sz w:val="24"/>
                                <w:szCs w:val="24"/>
                              </w:rPr>
                              <w:t>studie</w:t>
                            </w:r>
                            <w:r w:rsidRPr="006454B8">
                              <w:rPr>
                                <w:rStyle w:val="Hypertextovodkaz"/>
                                <w:b/>
                                <w:spacing w:val="6"/>
                                <w:sz w:val="24"/>
                                <w:szCs w:val="24"/>
                              </w:rPr>
                              <w:fldChar w:fldCharType="end"/>
                            </w:r>
                            <w:bookmarkEnd w:id="3"/>
                            <w:r w:rsidRPr="006454B8">
                              <w:rPr>
                                <w:rStyle w:val="Hypertextovodkaz"/>
                                <w:b/>
                                <w:spacing w:val="6"/>
                                <w:sz w:val="24"/>
                                <w:szCs w:val="24"/>
                                <w:u w:val="none"/>
                              </w:rPr>
                              <w:t xml:space="preserve"> </w:t>
                            </w:r>
                            <w:r w:rsidRPr="006454B8">
                              <w:rPr>
                                <w:rStyle w:val="Hypertextovodkaz"/>
                                <w:b/>
                                <w:color w:val="auto"/>
                                <w:spacing w:val="6"/>
                                <w:sz w:val="24"/>
                                <w:szCs w:val="24"/>
                                <w:u w:val="none"/>
                              </w:rPr>
                              <w:t xml:space="preserve">zpracovaná </w:t>
                            </w:r>
                            <w:r>
                              <w:rPr>
                                <w:rStyle w:val="Hypertextovodkaz"/>
                                <w:b/>
                                <w:color w:val="auto"/>
                                <w:spacing w:val="6"/>
                                <w:sz w:val="24"/>
                                <w:szCs w:val="24"/>
                                <w:u w:val="none"/>
                              </w:rPr>
                              <w:br/>
                            </w:r>
                            <w:r w:rsidRPr="006454B8">
                              <w:rPr>
                                <w:rStyle w:val="Hypertextovodkaz"/>
                                <w:b/>
                                <w:color w:val="auto"/>
                                <w:spacing w:val="6"/>
                                <w:sz w:val="24"/>
                                <w:szCs w:val="24"/>
                                <w:u w:val="none"/>
                              </w:rPr>
                              <w:t>pro</w:t>
                            </w:r>
                            <w:r>
                              <w:rPr>
                                <w:rStyle w:val="Hypertextovodkaz"/>
                                <w:b/>
                                <w:color w:val="auto"/>
                                <w:spacing w:val="6"/>
                                <w:sz w:val="24"/>
                                <w:szCs w:val="24"/>
                                <w:u w:val="none"/>
                              </w:rPr>
                              <w:t xml:space="preserve"> </w:t>
                            </w:r>
                            <w:r w:rsidRPr="006454B8">
                              <w:rPr>
                                <w:rStyle w:val="Hypertextovodkaz"/>
                                <w:b/>
                                <w:color w:val="auto"/>
                                <w:spacing w:val="6"/>
                                <w:sz w:val="24"/>
                                <w:szCs w:val="24"/>
                                <w:u w:val="none"/>
                              </w:rPr>
                              <w:t>Evropskou komisi.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2B05473" id="_x0000_s1029" style="position:absolute;margin-left:.6pt;margin-top:190.2pt;width:445pt;height:4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" fillcolor="#deeaf6 [660]" strokecolor="#deeaf6 [660]">
                <v:stroke joinstyle="miter"/>
                <v:textbox>
                  <w:txbxContent>
                    <w:p w14:paraId="425E3C41" w14:textId="69775E42" w:rsidR="00DB6622" w:rsidRPr="006454B8" w:rsidRDefault="00DB6622" w:rsidP="00882EB1">
                      <w:pPr>
                        <w:jc w:val="center"/>
                        <w:rPr>
                          <w:b/>
                          <w:spacing w:val="6"/>
                          <w:sz w:val="24"/>
                          <w:szCs w:val="24"/>
                        </w:rPr>
                      </w:pPr>
                      <w:r w:rsidRPr="006454B8">
                        <w:rPr>
                          <w:b/>
                          <w:spacing w:val="6"/>
                          <w:sz w:val="24"/>
                          <w:szCs w:val="24"/>
                        </w:rPr>
                        <w:t xml:space="preserve">Vysoké ceny volání a mobilních dat potvrzuje </w:t>
                      </w:r>
                      <w:bookmarkStart w:id="3" w:name="_Hlk117079200"/>
                      <w:r w:rsidRPr="006454B8">
                        <w:fldChar w:fldCharType="begin"/>
                      </w:r>
                      <w:r w:rsidRPr="006454B8">
                        <w:rPr>
                          <w:b/>
                          <w:spacing w:val="6"/>
                          <w:sz w:val="24"/>
                          <w:szCs w:val="24"/>
                        </w:rPr>
                        <w:instrText xml:space="preserve"> HYPERLINK "https://digital-strategy.ec.europa.eu/en/library/mobile-and-fixed-broadband-prices-europe-2021" </w:instrText>
                      </w:r>
                      <w:r w:rsidRPr="006454B8">
                        <w:fldChar w:fldCharType="separate"/>
                      </w:r>
                      <w:r w:rsidRPr="006454B8">
                        <w:rPr>
                          <w:rStyle w:val="Hypertextovodkaz"/>
                          <w:b/>
                          <w:spacing w:val="6"/>
                          <w:sz w:val="24"/>
                          <w:szCs w:val="24"/>
                        </w:rPr>
                        <w:t>studie</w:t>
                      </w:r>
                      <w:r w:rsidRPr="006454B8">
                        <w:rPr>
                          <w:rStyle w:val="Hypertextovodkaz"/>
                          <w:b/>
                          <w:spacing w:val="6"/>
                          <w:sz w:val="24"/>
                          <w:szCs w:val="24"/>
                        </w:rPr>
                        <w:fldChar w:fldCharType="end"/>
                      </w:r>
                      <w:bookmarkEnd w:id="3"/>
                      <w:r w:rsidRPr="006454B8">
                        <w:rPr>
                          <w:rStyle w:val="Hypertextovodkaz"/>
                          <w:b/>
                          <w:spacing w:val="6"/>
                          <w:sz w:val="24"/>
                          <w:szCs w:val="24"/>
                          <w:u w:val="none"/>
                        </w:rPr>
                        <w:t xml:space="preserve"> </w:t>
                      </w:r>
                      <w:r w:rsidRPr="006454B8">
                        <w:rPr>
                          <w:rStyle w:val="Hypertextovodkaz"/>
                          <w:b/>
                          <w:color w:val="auto"/>
                          <w:spacing w:val="6"/>
                          <w:sz w:val="24"/>
                          <w:szCs w:val="24"/>
                          <w:u w:val="none"/>
                        </w:rPr>
                        <w:t xml:space="preserve">zpracovaná </w:t>
                      </w:r>
                      <w:r>
                        <w:rPr>
                          <w:rStyle w:val="Hypertextovodkaz"/>
                          <w:b/>
                          <w:color w:val="auto"/>
                          <w:spacing w:val="6"/>
                          <w:sz w:val="24"/>
                          <w:szCs w:val="24"/>
                          <w:u w:val="none"/>
                        </w:rPr>
                        <w:br/>
                      </w:r>
                      <w:r w:rsidRPr="006454B8">
                        <w:rPr>
                          <w:rStyle w:val="Hypertextovodkaz"/>
                          <w:b/>
                          <w:color w:val="auto"/>
                          <w:spacing w:val="6"/>
                          <w:sz w:val="24"/>
                          <w:szCs w:val="24"/>
                          <w:u w:val="none"/>
                        </w:rPr>
                        <w:t>pro</w:t>
                      </w:r>
                      <w:r>
                        <w:rPr>
                          <w:rStyle w:val="Hypertextovodkaz"/>
                          <w:b/>
                          <w:color w:val="auto"/>
                          <w:spacing w:val="6"/>
                          <w:sz w:val="24"/>
                          <w:szCs w:val="24"/>
                          <w:u w:val="none"/>
                        </w:rPr>
                        <w:t xml:space="preserve"> </w:t>
                      </w:r>
                      <w:r w:rsidRPr="006454B8">
                        <w:rPr>
                          <w:rStyle w:val="Hypertextovodkaz"/>
                          <w:b/>
                          <w:color w:val="auto"/>
                          <w:spacing w:val="6"/>
                          <w:sz w:val="24"/>
                          <w:szCs w:val="24"/>
                          <w:u w:val="none"/>
                        </w:rPr>
                        <w:t>Evropskou komisi.</w:t>
                      </w:r>
                    </w:p>
                  </w:txbxContent>
                </v:textbox>
                <w10:wrap type="square" anchorx="margin"/>
              </v:roundrect>
            </w:pict>
          </mc:Fallback>
        </mc:AlternateContent>
      </w:r>
      <w:r>
        <w:rPr>
          <w:noProof/>
        </w:rPr>
        <mc:AlternateContent>
          <mc:Choice Requires="wps">
            <w:drawing>
              <wp:anchor distT="0" distB="0" distL="114300" distR="114300" simplePos="0" relativeHeight="251663360" behindDoc="0" locked="0" layoutInCell="1" allowOverlap="1" wp14:anchorId="65EB160D" wp14:editId="16A631B2">
                <wp:simplePos x="0" y="0"/>
                <wp:positionH relativeFrom="margin">
                  <wp:posOffset>2854095</wp:posOffset>
                </wp:positionH>
                <wp:positionV relativeFrom="paragraph">
                  <wp:posOffset>1932504</wp:posOffset>
                </wp:positionV>
                <wp:extent cx="228600" cy="423466"/>
                <wp:effectExtent l="19050" t="0" r="19050" b="34290"/>
                <wp:wrapNone/>
                <wp:docPr id="41" name="Šipka: dolů 41"/>
                <wp:cNvGraphicFramePr/>
                <a:graphic xmlns:a="http://schemas.openxmlformats.org/drawingml/2006/main">
                  <a:graphicData uri="http://schemas.microsoft.com/office/word/2010/wordprocessingShape">
                    <wps:wsp>
                      <wps:cNvSpPr/>
                      <wps:spPr>
                        <a:xfrm>
                          <a:off x="0" y="0"/>
                          <a:ext cx="228600" cy="423466"/>
                        </a:xfrm>
                        <a:prstGeom prst="downArrow">
                          <a:avLst>
                            <a:gd name="adj1" fmla="val 50000"/>
                            <a:gd name="adj2" fmla="val 8826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98CC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41" o:spid="_x0000_s1026" type="#_x0000_t67" style="position:absolute;margin-left:224.75pt;margin-top:152.15pt;width:18pt;height:33.3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" adj="11308" filled="f" strokecolor="black [3213]" strokeweight="1pt">
                <w10:wrap anchorx="margin"/>
              </v:shape>
            </w:pict>
          </mc:Fallback>
        </mc:AlternateContent>
      </w:r>
    </w:p>
    <w:p w14:paraId="2C456A55" w14:textId="19CF81B7" w:rsidR="002C2597" w:rsidRPr="002C2597" w:rsidRDefault="002C2597" w:rsidP="002C2597">
      <w:pPr>
        <w:spacing w:after="0" w:line="240" w:lineRule="auto"/>
        <w:jc w:val="center"/>
      </w:pPr>
      <w:r w:rsidRPr="00BF04B4">
        <w:rPr>
          <w:noProof/>
          <w:sz w:val="20"/>
        </w:rPr>
        <mc:AlternateContent>
          <mc:Choice Requires="wps">
            <w:drawing>
              <wp:anchor distT="45720" distB="45720" distL="114300" distR="114300" simplePos="0" relativeHeight="251665408" behindDoc="0" locked="0" layoutInCell="1" allowOverlap="1" wp14:anchorId="24407A95" wp14:editId="3640B6B4">
                <wp:simplePos x="0" y="0"/>
                <wp:positionH relativeFrom="margin">
                  <wp:posOffset>85725</wp:posOffset>
                </wp:positionH>
                <wp:positionV relativeFrom="paragraph">
                  <wp:posOffset>5198110</wp:posOffset>
                </wp:positionV>
                <wp:extent cx="5651500" cy="499745"/>
                <wp:effectExtent l="0" t="0" r="25400" b="14605"/>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499745"/>
                        </a:xfrm>
                        <a:prstGeom prst="round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343A6ED8" w14:textId="4F6521F6" w:rsidR="00DB6622" w:rsidRPr="006454B8" w:rsidRDefault="00DB6622" w:rsidP="00882EB1">
                            <w:pPr>
                              <w:jc w:val="center"/>
                              <w:rPr>
                                <w:b/>
                                <w:sz w:val="24"/>
                                <w:szCs w:val="24"/>
                              </w:rPr>
                            </w:pPr>
                            <w:r w:rsidRPr="006454B8">
                              <w:rPr>
                                <w:b/>
                                <w:sz w:val="24"/>
                                <w:szCs w:val="24"/>
                              </w:rPr>
                              <w:t xml:space="preserve">Stejné závěry vyplývají i z </w:t>
                            </w:r>
                            <w:hyperlink r:id="rId15" w:history="1">
                              <w:r w:rsidRPr="006454B8">
                                <w:rPr>
                                  <w:rStyle w:val="Hypertextovodkaz"/>
                                  <w:b/>
                                  <w:sz w:val="24"/>
                                  <w:szCs w:val="24"/>
                                </w:rPr>
                                <w:t>mezinárodního srovnání</w:t>
                              </w:r>
                            </w:hyperlink>
                            <w:r w:rsidRPr="006454B8">
                              <w:rPr>
                                <w:rStyle w:val="Hypertextovodkaz"/>
                                <w:b/>
                                <w:sz w:val="24"/>
                                <w:szCs w:val="24"/>
                              </w:rPr>
                              <w:t>,</w:t>
                            </w:r>
                            <w:r w:rsidRPr="006454B8">
                              <w:rPr>
                                <w:rStyle w:val="Hypertextovodkaz"/>
                                <w:b/>
                                <w:color w:val="auto"/>
                                <w:sz w:val="24"/>
                                <w:szCs w:val="24"/>
                                <w:u w:val="none"/>
                              </w:rPr>
                              <w:t xml:space="preserve"> které zpracoval NKÚ </w:t>
                            </w:r>
                            <w:r>
                              <w:rPr>
                                <w:rStyle w:val="Hypertextovodkaz"/>
                                <w:b/>
                                <w:color w:val="auto"/>
                                <w:sz w:val="24"/>
                                <w:szCs w:val="24"/>
                                <w:u w:val="none"/>
                              </w:rPr>
                              <w:br/>
                            </w:r>
                            <w:r w:rsidRPr="006454B8">
                              <w:rPr>
                                <w:rStyle w:val="Hypertextovodkaz"/>
                                <w:b/>
                                <w:color w:val="auto"/>
                                <w:sz w:val="24"/>
                                <w:szCs w:val="24"/>
                                <w:u w:val="none"/>
                              </w:rPr>
                              <w:t>na základě dat ČTÚ.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407A95" id="_x0000_s1030" style="position:absolute;left:0;text-align:left;margin-left:6.75pt;margin-top:409.3pt;width:445pt;height:39.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" fillcolor="#deeaf6 [660]" strokecolor="#deeaf6 [660]">
                <v:stroke joinstyle="miter"/>
                <v:textbox>
                  <w:txbxContent>
                    <w:p w14:paraId="343A6ED8" w14:textId="4F6521F6" w:rsidR="00DB6622" w:rsidRPr="006454B8" w:rsidRDefault="00DB6622" w:rsidP="00882EB1">
                      <w:pPr>
                        <w:jc w:val="center"/>
                        <w:rPr>
                          <w:b/>
                          <w:sz w:val="24"/>
                          <w:szCs w:val="24"/>
                        </w:rPr>
                      </w:pPr>
                      <w:r w:rsidRPr="006454B8">
                        <w:rPr>
                          <w:b/>
                          <w:sz w:val="24"/>
                          <w:szCs w:val="24"/>
                        </w:rPr>
                        <w:t xml:space="preserve">Stejné závěry vyplývají i z </w:t>
                      </w:r>
                      <w:hyperlink r:id="rId16" w:history="1">
                        <w:r w:rsidRPr="006454B8">
                          <w:rPr>
                            <w:rStyle w:val="Hypertextovodkaz"/>
                            <w:b/>
                            <w:sz w:val="24"/>
                            <w:szCs w:val="24"/>
                          </w:rPr>
                          <w:t>mezinárodního srovnání</w:t>
                        </w:r>
                      </w:hyperlink>
                      <w:r w:rsidRPr="006454B8">
                        <w:rPr>
                          <w:rStyle w:val="Hypertextovodkaz"/>
                          <w:b/>
                          <w:sz w:val="24"/>
                          <w:szCs w:val="24"/>
                        </w:rPr>
                        <w:t>,</w:t>
                      </w:r>
                      <w:r w:rsidRPr="006454B8">
                        <w:rPr>
                          <w:rStyle w:val="Hypertextovodkaz"/>
                          <w:b/>
                          <w:color w:val="auto"/>
                          <w:sz w:val="24"/>
                          <w:szCs w:val="24"/>
                          <w:u w:val="none"/>
                        </w:rPr>
                        <w:t xml:space="preserve"> které zpracoval NKÚ </w:t>
                      </w:r>
                      <w:r>
                        <w:rPr>
                          <w:rStyle w:val="Hypertextovodkaz"/>
                          <w:b/>
                          <w:color w:val="auto"/>
                          <w:sz w:val="24"/>
                          <w:szCs w:val="24"/>
                          <w:u w:val="none"/>
                        </w:rPr>
                        <w:br/>
                      </w:r>
                      <w:r w:rsidRPr="006454B8">
                        <w:rPr>
                          <w:rStyle w:val="Hypertextovodkaz"/>
                          <w:b/>
                          <w:color w:val="auto"/>
                          <w:sz w:val="24"/>
                          <w:szCs w:val="24"/>
                          <w:u w:val="none"/>
                        </w:rPr>
                        <w:t>na základě dat ČTÚ.</w:t>
                      </w:r>
                    </w:p>
                  </w:txbxContent>
                </v:textbox>
                <w10:wrap type="square" anchorx="margin"/>
              </v:roundrect>
            </w:pict>
          </mc:Fallback>
        </mc:AlternateContent>
      </w:r>
      <w:r w:rsidR="00882EB1">
        <w:rPr>
          <w:noProof/>
        </w:rPr>
        <w:drawing>
          <wp:inline distT="0" distB="0" distL="0" distR="0" wp14:anchorId="545DE048" wp14:editId="5F32CA39">
            <wp:extent cx="3701805" cy="4320000"/>
            <wp:effectExtent l="0" t="0" r="0" b="444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pa_data_eu 4.tif"/>
                    <pic:cNvPicPr/>
                  </pic:nvPicPr>
                  <pic:blipFill>
                    <a:blip r:embed="rId17">
                      <a:extLst>
                        <a:ext uri="{28A0092B-C50C-407E-A947-70E740481C1C}">
                          <a14:useLocalDpi xmlns:a14="http://schemas.microsoft.com/office/drawing/2010/main" val="0"/>
                        </a:ext>
                      </a:extLst>
                    </a:blip>
                    <a:stretch>
                      <a:fillRect/>
                    </a:stretch>
                  </pic:blipFill>
                  <pic:spPr>
                    <a:xfrm>
                      <a:off x="0" y="0"/>
                      <a:ext cx="3701805" cy="4320000"/>
                    </a:xfrm>
                    <a:prstGeom prst="rect">
                      <a:avLst/>
                    </a:prstGeom>
                  </pic:spPr>
                </pic:pic>
              </a:graphicData>
            </a:graphic>
          </wp:inline>
        </w:drawing>
      </w:r>
    </w:p>
    <w:p w14:paraId="5449C13E" w14:textId="29646F09" w:rsidR="002C2597" w:rsidRDefault="002C2597">
      <w:pPr>
        <w:rPr>
          <w:sz w:val="28"/>
          <w:szCs w:val="28"/>
        </w:rPr>
      </w:pPr>
      <w:r>
        <w:rPr>
          <w:sz w:val="28"/>
          <w:szCs w:val="28"/>
        </w:rPr>
        <w:br w:type="page"/>
      </w:r>
    </w:p>
    <w:p w14:paraId="0B8A4322" w14:textId="7E0D036F" w:rsidR="001E1138" w:rsidRPr="002C2597" w:rsidRDefault="001E1138" w:rsidP="002C2597">
      <w:pPr>
        <w:spacing w:after="240" w:line="240" w:lineRule="auto"/>
        <w:jc w:val="center"/>
        <w:rPr>
          <w:b/>
          <w:sz w:val="28"/>
          <w:szCs w:val="28"/>
        </w:rPr>
      </w:pPr>
      <w:r w:rsidRPr="002C2597">
        <w:rPr>
          <w:b/>
          <w:sz w:val="28"/>
          <w:szCs w:val="28"/>
        </w:rPr>
        <w:lastRenderedPageBreak/>
        <w:t>I. Shrnutí a vyhodnocení</w:t>
      </w:r>
    </w:p>
    <w:p w14:paraId="1AFC3B9E" w14:textId="06615827" w:rsidR="009D3C4A" w:rsidRPr="004758E3" w:rsidRDefault="009D3C4A" w:rsidP="004758E3">
      <w:pPr>
        <w:spacing w:after="120" w:line="264" w:lineRule="auto"/>
        <w:jc w:val="both"/>
        <w:rPr>
          <w:rFonts w:ascii="Calibri" w:hAnsi="Calibri" w:cs="Calibri"/>
          <w:sz w:val="24"/>
          <w:szCs w:val="24"/>
        </w:rPr>
      </w:pPr>
      <w:r w:rsidRPr="004758E3">
        <w:rPr>
          <w:rFonts w:ascii="Calibri" w:hAnsi="Calibri" w:cs="Calibri"/>
          <w:sz w:val="24"/>
          <w:szCs w:val="24"/>
        </w:rPr>
        <w:t>Cílem kontroly bylo prověřit u vybraných oblastí hospodaření</w:t>
      </w:r>
      <w:r w:rsidR="00D15A34" w:rsidRPr="004758E3">
        <w:rPr>
          <w:rFonts w:ascii="Calibri" w:hAnsi="Calibri" w:cs="Calibri"/>
          <w:sz w:val="24"/>
          <w:szCs w:val="24"/>
        </w:rPr>
        <w:t xml:space="preserve"> </w:t>
      </w:r>
      <w:r w:rsidRPr="004758E3">
        <w:rPr>
          <w:rFonts w:ascii="Calibri" w:hAnsi="Calibri" w:cs="Calibri"/>
          <w:sz w:val="24"/>
          <w:szCs w:val="24"/>
        </w:rPr>
        <w:t>Česk</w:t>
      </w:r>
      <w:r w:rsidR="00BE1224" w:rsidRPr="004758E3">
        <w:rPr>
          <w:rFonts w:ascii="Calibri" w:hAnsi="Calibri" w:cs="Calibri"/>
          <w:sz w:val="24"/>
          <w:szCs w:val="24"/>
        </w:rPr>
        <w:t>ého</w:t>
      </w:r>
      <w:r w:rsidRPr="004758E3">
        <w:rPr>
          <w:rFonts w:ascii="Calibri" w:hAnsi="Calibri" w:cs="Calibri"/>
          <w:sz w:val="24"/>
          <w:szCs w:val="24"/>
        </w:rPr>
        <w:t xml:space="preserve"> telekomunikační</w:t>
      </w:r>
      <w:r w:rsidR="00BE1224" w:rsidRPr="004758E3">
        <w:rPr>
          <w:rFonts w:ascii="Calibri" w:hAnsi="Calibri" w:cs="Calibri"/>
          <w:sz w:val="24"/>
          <w:szCs w:val="24"/>
        </w:rPr>
        <w:t>ho</w:t>
      </w:r>
      <w:r w:rsidRPr="004758E3">
        <w:rPr>
          <w:rFonts w:ascii="Calibri" w:hAnsi="Calibri" w:cs="Calibri"/>
          <w:sz w:val="24"/>
          <w:szCs w:val="24"/>
        </w:rPr>
        <w:t xml:space="preserve"> úřad</w:t>
      </w:r>
      <w:r w:rsidR="00BE1224" w:rsidRPr="004758E3">
        <w:rPr>
          <w:rFonts w:ascii="Calibri" w:hAnsi="Calibri" w:cs="Calibri"/>
          <w:sz w:val="24"/>
          <w:szCs w:val="24"/>
        </w:rPr>
        <w:t>u, zda</w:t>
      </w:r>
      <w:r w:rsidRPr="004758E3">
        <w:rPr>
          <w:rFonts w:ascii="Calibri" w:hAnsi="Calibri" w:cs="Calibri"/>
          <w:sz w:val="24"/>
          <w:szCs w:val="24"/>
        </w:rPr>
        <w:t xml:space="preserve"> nakládá s peněžními prostředky a majetkem státu účelně, hospodárně a v souladu s právními předpisy.</w:t>
      </w:r>
      <w:r w:rsidR="00296419" w:rsidRPr="004758E3">
        <w:rPr>
          <w:rFonts w:ascii="Calibri" w:hAnsi="Calibri" w:cs="Calibri"/>
          <w:sz w:val="24"/>
          <w:szCs w:val="24"/>
        </w:rPr>
        <w:t xml:space="preserve"> Současně byl prověřen postup Českého telekomunikačního úřadu při stanovení a úhradě čistých nákladů držitele poštovní licence,</w:t>
      </w:r>
      <w:r w:rsidR="00696BCD" w:rsidRPr="004758E3">
        <w:rPr>
          <w:rFonts w:ascii="Calibri" w:hAnsi="Calibri" w:cs="Calibri"/>
          <w:sz w:val="24"/>
          <w:szCs w:val="24"/>
        </w:rPr>
        <w:t xml:space="preserve"> stanovení a </w:t>
      </w:r>
      <w:r w:rsidR="00296419" w:rsidRPr="004758E3">
        <w:rPr>
          <w:rFonts w:ascii="Calibri" w:hAnsi="Calibri" w:cs="Calibri"/>
          <w:sz w:val="24"/>
          <w:szCs w:val="24"/>
        </w:rPr>
        <w:t xml:space="preserve">úhradě čistých nákladů a ztráty vzniklých z poskytování dílčích služeb univerzální služby v elektronických komunikacích a postup při přípravě a realizaci </w:t>
      </w:r>
      <w:r w:rsidR="006E4EE9" w:rsidRPr="004758E3">
        <w:rPr>
          <w:rFonts w:ascii="Calibri" w:hAnsi="Calibri" w:cs="Calibri"/>
          <w:sz w:val="24"/>
          <w:szCs w:val="24"/>
        </w:rPr>
        <w:t>v</w:t>
      </w:r>
      <w:r w:rsidR="00296419" w:rsidRPr="004758E3">
        <w:rPr>
          <w:rFonts w:ascii="Calibri" w:hAnsi="Calibri" w:cs="Calibri"/>
          <w:sz w:val="24"/>
          <w:szCs w:val="24"/>
        </w:rPr>
        <w:t>ýběrového řízení za účelem udělení práv k využívání rádiových kmitočtů pro zajištění sítí elektronických komunikací v kmitočtových pásmech 700 MHz a 3400–3600 MHz</w:t>
      </w:r>
      <w:r w:rsidR="006E4EE9" w:rsidRPr="004758E3">
        <w:rPr>
          <w:rFonts w:ascii="Calibri" w:hAnsi="Calibri" w:cs="Calibri"/>
          <w:sz w:val="24"/>
          <w:szCs w:val="24"/>
        </w:rPr>
        <w:t xml:space="preserve"> (dále </w:t>
      </w:r>
      <w:r w:rsidR="00C95DD5" w:rsidRPr="004758E3">
        <w:rPr>
          <w:rFonts w:ascii="Calibri" w:hAnsi="Calibri" w:cs="Calibri"/>
          <w:sz w:val="24"/>
          <w:szCs w:val="24"/>
        </w:rPr>
        <w:t>také</w:t>
      </w:r>
      <w:r w:rsidR="006E4EE9" w:rsidRPr="004758E3">
        <w:rPr>
          <w:rFonts w:ascii="Calibri" w:hAnsi="Calibri" w:cs="Calibri"/>
          <w:sz w:val="24"/>
          <w:szCs w:val="24"/>
        </w:rPr>
        <w:t xml:space="preserve"> „aukce kmitočtů“)</w:t>
      </w:r>
      <w:r w:rsidR="00296419" w:rsidRPr="004758E3">
        <w:rPr>
          <w:rFonts w:ascii="Calibri" w:hAnsi="Calibri" w:cs="Calibri"/>
          <w:sz w:val="24"/>
          <w:szCs w:val="24"/>
        </w:rPr>
        <w:t>.</w:t>
      </w:r>
    </w:p>
    <w:p w14:paraId="219E0DB1" w14:textId="17495A4B" w:rsidR="00E746A6" w:rsidRPr="004758E3" w:rsidRDefault="00A7339F" w:rsidP="004758E3">
      <w:pPr>
        <w:spacing w:after="120" w:line="264" w:lineRule="auto"/>
        <w:jc w:val="both"/>
        <w:rPr>
          <w:b/>
          <w:sz w:val="24"/>
          <w:szCs w:val="24"/>
          <w:lang w:eastAsia="cs-CZ"/>
        </w:rPr>
      </w:pPr>
      <w:r w:rsidRPr="004758E3">
        <w:rPr>
          <w:b/>
          <w:sz w:val="24"/>
          <w:szCs w:val="24"/>
          <w:lang w:eastAsia="cs-CZ"/>
        </w:rPr>
        <w:t xml:space="preserve">ČTÚ nakládal s peněžními prostředky </w:t>
      </w:r>
      <w:r w:rsidR="00D81D16" w:rsidRPr="004758E3">
        <w:rPr>
          <w:b/>
          <w:sz w:val="24"/>
          <w:szCs w:val="24"/>
          <w:lang w:eastAsia="cs-CZ"/>
        </w:rPr>
        <w:t>v rozporu s právním předpisem</w:t>
      </w:r>
      <w:r w:rsidRPr="004758E3">
        <w:rPr>
          <w:b/>
          <w:sz w:val="24"/>
          <w:szCs w:val="24"/>
          <w:lang w:eastAsia="cs-CZ"/>
        </w:rPr>
        <w:t xml:space="preserve">, neboť při pořizování právních a poradenských služeb nedovoleně rozdělil </w:t>
      </w:r>
      <w:r w:rsidR="00D81D16" w:rsidRPr="004758E3">
        <w:rPr>
          <w:b/>
          <w:sz w:val="24"/>
          <w:szCs w:val="24"/>
          <w:lang w:eastAsia="cs-CZ"/>
        </w:rPr>
        <w:t xml:space="preserve">veřejnou zakázku a zadal její části konkrétním dodavatelům napřímo. </w:t>
      </w:r>
      <w:r w:rsidR="00696EE1" w:rsidRPr="004758E3">
        <w:rPr>
          <w:b/>
          <w:sz w:val="24"/>
          <w:szCs w:val="24"/>
          <w:lang w:eastAsia="cs-CZ"/>
        </w:rPr>
        <w:t>Dle NKÚ se jedná o skutečnosti nasvědčující porušení rozpočtové kázně</w:t>
      </w:r>
      <w:r w:rsidR="005A6259" w:rsidRPr="004758E3">
        <w:rPr>
          <w:b/>
          <w:sz w:val="24"/>
          <w:szCs w:val="24"/>
          <w:lang w:eastAsia="cs-CZ"/>
        </w:rPr>
        <w:t xml:space="preserve"> </w:t>
      </w:r>
      <w:r w:rsidR="00D81D16" w:rsidRPr="004758E3">
        <w:rPr>
          <w:b/>
          <w:sz w:val="24"/>
          <w:szCs w:val="24"/>
          <w:lang w:eastAsia="cs-CZ"/>
        </w:rPr>
        <w:t>ve výši 4,7 mil. Kč.</w:t>
      </w:r>
      <w:r w:rsidR="00FC60C2" w:rsidRPr="004758E3">
        <w:rPr>
          <w:b/>
          <w:sz w:val="24"/>
          <w:szCs w:val="24"/>
          <w:lang w:eastAsia="cs-CZ"/>
        </w:rPr>
        <w:t xml:space="preserve"> </w:t>
      </w:r>
    </w:p>
    <w:p w14:paraId="1689D20F" w14:textId="4143CB21" w:rsidR="00FB6B45" w:rsidRPr="004758E3" w:rsidRDefault="00FB6B45" w:rsidP="004758E3">
      <w:pPr>
        <w:spacing w:after="120" w:line="264" w:lineRule="auto"/>
        <w:jc w:val="both"/>
        <w:rPr>
          <w:b/>
          <w:sz w:val="24"/>
          <w:szCs w:val="24"/>
          <w:lang w:eastAsia="cs-CZ"/>
        </w:rPr>
      </w:pPr>
      <w:r w:rsidRPr="004758E3">
        <w:rPr>
          <w:b/>
          <w:sz w:val="24"/>
          <w:szCs w:val="24"/>
          <w:lang w:eastAsia="cs-CZ"/>
        </w:rPr>
        <w:t>Ve vybraných oblastech hospodaření ČTÚ kontrola nezjistila nedostatky z hlediska účelnosti a hospodárnosti výdajů. NKÚ ale upozorňuje na možné úspory státu při úhradách základních poštovních služeb a na dosud nenaplněný očekávaný přínos aukce kmitočtů ke snížení cen na trhu elektronických komunikací.</w:t>
      </w:r>
    </w:p>
    <w:p w14:paraId="1D548750" w14:textId="73F7444C" w:rsidR="0029229F" w:rsidRPr="004758E3" w:rsidRDefault="0098781D" w:rsidP="004758E3">
      <w:pPr>
        <w:spacing w:after="120" w:line="264" w:lineRule="auto"/>
        <w:jc w:val="both"/>
        <w:rPr>
          <w:b/>
          <w:sz w:val="24"/>
          <w:szCs w:val="24"/>
          <w:lang w:eastAsia="cs-CZ"/>
        </w:rPr>
      </w:pPr>
      <w:r w:rsidRPr="004758E3">
        <w:rPr>
          <w:b/>
          <w:sz w:val="24"/>
          <w:szCs w:val="24"/>
          <w:lang w:eastAsia="cs-CZ"/>
        </w:rPr>
        <w:t>ČTÚ</w:t>
      </w:r>
      <w:r w:rsidR="00BD3365" w:rsidRPr="004758E3">
        <w:rPr>
          <w:b/>
          <w:sz w:val="24"/>
          <w:szCs w:val="24"/>
          <w:lang w:eastAsia="cs-CZ"/>
        </w:rPr>
        <w:t xml:space="preserve"> jako správce r</w:t>
      </w:r>
      <w:r w:rsidR="004D1806" w:rsidRPr="004758E3">
        <w:rPr>
          <w:b/>
          <w:sz w:val="24"/>
          <w:szCs w:val="24"/>
          <w:lang w:eastAsia="cs-CZ"/>
        </w:rPr>
        <w:t>á</w:t>
      </w:r>
      <w:r w:rsidR="00BD3365" w:rsidRPr="004758E3">
        <w:rPr>
          <w:b/>
          <w:sz w:val="24"/>
          <w:szCs w:val="24"/>
          <w:lang w:eastAsia="cs-CZ"/>
        </w:rPr>
        <w:t>diového spektra</w:t>
      </w:r>
      <w:r w:rsidRPr="004758E3">
        <w:rPr>
          <w:b/>
          <w:sz w:val="24"/>
          <w:szCs w:val="24"/>
          <w:lang w:eastAsia="cs-CZ"/>
        </w:rPr>
        <w:t xml:space="preserve"> uskutečnil </w:t>
      </w:r>
      <w:r w:rsidR="00B92B55" w:rsidRPr="004758E3">
        <w:rPr>
          <w:b/>
          <w:sz w:val="24"/>
          <w:szCs w:val="24"/>
          <w:lang w:eastAsia="cs-CZ"/>
        </w:rPr>
        <w:t xml:space="preserve">v roce 2020 </w:t>
      </w:r>
      <w:r w:rsidRPr="004758E3">
        <w:rPr>
          <w:b/>
          <w:sz w:val="24"/>
          <w:szCs w:val="24"/>
          <w:lang w:eastAsia="cs-CZ"/>
        </w:rPr>
        <w:t xml:space="preserve">aukci kmitočtů </w:t>
      </w:r>
      <w:bookmarkStart w:id="4" w:name="_Hlk115851057"/>
      <w:r w:rsidRPr="004758E3">
        <w:rPr>
          <w:b/>
          <w:sz w:val="24"/>
          <w:szCs w:val="24"/>
          <w:lang w:eastAsia="cs-CZ"/>
        </w:rPr>
        <w:t>pásma 700 MHz a pásma 3400–3600 MHz</w:t>
      </w:r>
      <w:bookmarkEnd w:id="4"/>
      <w:r w:rsidRPr="004758E3">
        <w:rPr>
          <w:b/>
          <w:sz w:val="24"/>
          <w:szCs w:val="24"/>
          <w:lang w:eastAsia="cs-CZ"/>
        </w:rPr>
        <w:t xml:space="preserve">. </w:t>
      </w:r>
      <w:r w:rsidR="00480C5F" w:rsidRPr="004758E3">
        <w:rPr>
          <w:b/>
          <w:sz w:val="24"/>
          <w:szCs w:val="24"/>
          <w:lang w:eastAsia="cs-CZ"/>
        </w:rPr>
        <w:t>Příjem z aukce činil 5,</w:t>
      </w:r>
      <w:r w:rsidR="00611B64" w:rsidRPr="004758E3">
        <w:rPr>
          <w:b/>
          <w:sz w:val="24"/>
          <w:szCs w:val="24"/>
          <w:lang w:eastAsia="cs-CZ"/>
        </w:rPr>
        <w:t xml:space="preserve">6 mld. Kč. </w:t>
      </w:r>
      <w:r w:rsidR="00676793" w:rsidRPr="004758E3">
        <w:rPr>
          <w:b/>
          <w:sz w:val="24"/>
          <w:szCs w:val="24"/>
          <w:lang w:eastAsia="cs-CZ"/>
        </w:rPr>
        <w:t xml:space="preserve">Cílem aukce </w:t>
      </w:r>
      <w:r w:rsidR="00F74AEE" w:rsidRPr="004758E3">
        <w:rPr>
          <w:b/>
          <w:sz w:val="24"/>
          <w:szCs w:val="24"/>
          <w:lang w:eastAsia="cs-CZ"/>
        </w:rPr>
        <w:t>mělo být</w:t>
      </w:r>
      <w:r w:rsidR="00676793" w:rsidRPr="004758E3">
        <w:rPr>
          <w:b/>
          <w:sz w:val="24"/>
          <w:szCs w:val="24"/>
          <w:lang w:eastAsia="cs-CZ"/>
        </w:rPr>
        <w:t xml:space="preserve"> mimo jiné zvýš</w:t>
      </w:r>
      <w:r w:rsidR="00A4764D" w:rsidRPr="004758E3">
        <w:rPr>
          <w:b/>
          <w:sz w:val="24"/>
          <w:szCs w:val="24"/>
          <w:lang w:eastAsia="cs-CZ"/>
        </w:rPr>
        <w:t>ení</w:t>
      </w:r>
      <w:r w:rsidR="00676793" w:rsidRPr="004758E3">
        <w:rPr>
          <w:b/>
          <w:sz w:val="24"/>
          <w:szCs w:val="24"/>
          <w:lang w:eastAsia="cs-CZ"/>
        </w:rPr>
        <w:t xml:space="preserve"> konkurenc</w:t>
      </w:r>
      <w:r w:rsidR="00A4764D" w:rsidRPr="004758E3">
        <w:rPr>
          <w:b/>
          <w:sz w:val="24"/>
          <w:szCs w:val="24"/>
          <w:lang w:eastAsia="cs-CZ"/>
        </w:rPr>
        <w:t>e</w:t>
      </w:r>
      <w:r w:rsidR="00676793" w:rsidRPr="004758E3">
        <w:rPr>
          <w:b/>
          <w:sz w:val="24"/>
          <w:szCs w:val="24"/>
          <w:lang w:eastAsia="cs-CZ"/>
        </w:rPr>
        <w:t xml:space="preserve"> na trhu elektronických komunikací a sníž</w:t>
      </w:r>
      <w:r w:rsidR="00920F83" w:rsidRPr="004758E3">
        <w:rPr>
          <w:b/>
          <w:sz w:val="24"/>
          <w:szCs w:val="24"/>
          <w:lang w:eastAsia="cs-CZ"/>
        </w:rPr>
        <w:t>ení</w:t>
      </w:r>
      <w:r w:rsidR="00676793" w:rsidRPr="004758E3">
        <w:rPr>
          <w:b/>
          <w:sz w:val="24"/>
          <w:szCs w:val="24"/>
          <w:lang w:eastAsia="cs-CZ"/>
        </w:rPr>
        <w:t xml:space="preserve"> cen</w:t>
      </w:r>
      <w:r w:rsidR="00920F83" w:rsidRPr="004758E3">
        <w:rPr>
          <w:b/>
          <w:sz w:val="24"/>
          <w:szCs w:val="24"/>
          <w:lang w:eastAsia="cs-CZ"/>
        </w:rPr>
        <w:t>y</w:t>
      </w:r>
      <w:r w:rsidR="00676793" w:rsidRPr="004758E3">
        <w:rPr>
          <w:b/>
          <w:sz w:val="24"/>
          <w:szCs w:val="24"/>
          <w:lang w:eastAsia="cs-CZ"/>
        </w:rPr>
        <w:t xml:space="preserve"> mobilních dat. </w:t>
      </w:r>
      <w:r w:rsidR="00555595" w:rsidRPr="004758E3">
        <w:rPr>
          <w:b/>
          <w:sz w:val="24"/>
          <w:szCs w:val="24"/>
          <w:lang w:eastAsia="cs-CZ"/>
        </w:rPr>
        <w:t>T</w:t>
      </w:r>
      <w:r w:rsidR="00404713" w:rsidRPr="004758E3">
        <w:rPr>
          <w:b/>
          <w:sz w:val="24"/>
          <w:szCs w:val="24"/>
          <w:lang w:eastAsia="cs-CZ"/>
        </w:rPr>
        <w:t>ohoto</w:t>
      </w:r>
      <w:r w:rsidR="00555595" w:rsidRPr="004758E3">
        <w:rPr>
          <w:b/>
          <w:sz w:val="24"/>
          <w:szCs w:val="24"/>
          <w:lang w:eastAsia="cs-CZ"/>
        </w:rPr>
        <w:t xml:space="preserve"> cíle zatím nebylo</w:t>
      </w:r>
      <w:r w:rsidR="00920F83" w:rsidRPr="004758E3">
        <w:rPr>
          <w:b/>
          <w:sz w:val="24"/>
          <w:szCs w:val="24"/>
          <w:lang w:eastAsia="cs-CZ"/>
        </w:rPr>
        <w:t xml:space="preserve"> dosaženo.</w:t>
      </w:r>
      <w:r w:rsidR="00BE1224" w:rsidRPr="004758E3">
        <w:rPr>
          <w:b/>
          <w:sz w:val="24"/>
          <w:szCs w:val="24"/>
          <w:lang w:eastAsia="cs-CZ"/>
        </w:rPr>
        <w:t xml:space="preserve"> Ceny mobilních dat</w:t>
      </w:r>
      <w:r w:rsidR="00FB5EC5" w:rsidRPr="004758E3">
        <w:rPr>
          <w:b/>
          <w:sz w:val="24"/>
          <w:szCs w:val="24"/>
          <w:lang w:eastAsia="cs-CZ"/>
        </w:rPr>
        <w:t xml:space="preserve"> </w:t>
      </w:r>
      <w:r w:rsidRPr="004758E3">
        <w:rPr>
          <w:b/>
          <w:sz w:val="24"/>
          <w:szCs w:val="24"/>
          <w:lang w:eastAsia="cs-CZ"/>
        </w:rPr>
        <w:t xml:space="preserve">a volání </w:t>
      </w:r>
      <w:r w:rsidR="00FB5EC5" w:rsidRPr="004758E3">
        <w:rPr>
          <w:b/>
          <w:sz w:val="24"/>
          <w:szCs w:val="24"/>
          <w:lang w:eastAsia="cs-CZ"/>
        </w:rPr>
        <w:t>v ČR</w:t>
      </w:r>
      <w:r w:rsidR="00BE1224" w:rsidRPr="004758E3">
        <w:rPr>
          <w:b/>
          <w:sz w:val="24"/>
          <w:szCs w:val="24"/>
          <w:lang w:eastAsia="cs-CZ"/>
        </w:rPr>
        <w:t xml:space="preserve"> </w:t>
      </w:r>
      <w:r w:rsidR="000702D9" w:rsidRPr="004758E3">
        <w:rPr>
          <w:b/>
          <w:sz w:val="24"/>
          <w:szCs w:val="24"/>
          <w:lang w:eastAsia="cs-CZ"/>
        </w:rPr>
        <w:t xml:space="preserve">byly v roce 2021 </w:t>
      </w:r>
      <w:r w:rsidR="00BE1224" w:rsidRPr="004758E3">
        <w:rPr>
          <w:b/>
          <w:sz w:val="24"/>
          <w:szCs w:val="24"/>
          <w:lang w:eastAsia="cs-CZ"/>
        </w:rPr>
        <w:t>jedny z nejvyšších v</w:t>
      </w:r>
      <w:r w:rsidR="00042CB2" w:rsidRPr="004758E3">
        <w:rPr>
          <w:b/>
          <w:sz w:val="24"/>
          <w:szCs w:val="24"/>
          <w:lang w:eastAsia="cs-CZ"/>
        </w:rPr>
        <w:t> </w:t>
      </w:r>
      <w:r w:rsidR="00191170" w:rsidRPr="004758E3">
        <w:rPr>
          <w:b/>
          <w:sz w:val="24"/>
          <w:szCs w:val="24"/>
          <w:lang w:eastAsia="cs-CZ"/>
        </w:rPr>
        <w:t>E</w:t>
      </w:r>
      <w:r w:rsidR="00042CB2" w:rsidRPr="004758E3">
        <w:rPr>
          <w:b/>
          <w:sz w:val="24"/>
          <w:szCs w:val="24"/>
          <w:lang w:eastAsia="cs-CZ"/>
        </w:rPr>
        <w:t>vropské unii</w:t>
      </w:r>
      <w:r w:rsidR="00BE1224" w:rsidRPr="004758E3">
        <w:rPr>
          <w:b/>
          <w:sz w:val="24"/>
          <w:szCs w:val="24"/>
          <w:lang w:eastAsia="cs-CZ"/>
        </w:rPr>
        <w:t>.</w:t>
      </w:r>
      <w:r w:rsidR="00404713" w:rsidRPr="004758E3">
        <w:rPr>
          <w:b/>
          <w:sz w:val="24"/>
          <w:szCs w:val="24"/>
          <w:lang w:eastAsia="cs-CZ"/>
        </w:rPr>
        <w:t xml:space="preserve"> Tuto skutečnost dokládá </w:t>
      </w:r>
      <w:r w:rsidR="00696BCD" w:rsidRPr="004758E3">
        <w:rPr>
          <w:b/>
          <w:sz w:val="24"/>
          <w:szCs w:val="24"/>
          <w:lang w:eastAsia="cs-CZ"/>
        </w:rPr>
        <w:t xml:space="preserve">jak </w:t>
      </w:r>
      <w:hyperlink r:id="rId18" w:history="1">
        <w:r w:rsidR="00C322C3" w:rsidRPr="004758E3">
          <w:rPr>
            <w:rStyle w:val="Hypertextovodkaz"/>
            <w:b/>
            <w:sz w:val="24"/>
            <w:szCs w:val="24"/>
          </w:rPr>
          <w:t>mezinárodní srovnání</w:t>
        </w:r>
      </w:hyperlink>
      <w:r w:rsidR="00C92B20" w:rsidRPr="004758E3">
        <w:rPr>
          <w:rStyle w:val="Hypertextovodkaz"/>
          <w:b/>
          <w:sz w:val="24"/>
          <w:szCs w:val="24"/>
          <w:u w:val="none"/>
        </w:rPr>
        <w:t xml:space="preserve"> </w:t>
      </w:r>
      <w:r w:rsidR="00C322C3" w:rsidRPr="004758E3">
        <w:rPr>
          <w:b/>
          <w:sz w:val="24"/>
          <w:szCs w:val="24"/>
          <w:lang w:eastAsia="cs-CZ"/>
        </w:rPr>
        <w:t>ceny mobilních dat a volání v Evropě,</w:t>
      </w:r>
      <w:r w:rsidR="00404713" w:rsidRPr="004758E3">
        <w:rPr>
          <w:b/>
          <w:sz w:val="24"/>
          <w:szCs w:val="24"/>
          <w:lang w:eastAsia="cs-CZ"/>
        </w:rPr>
        <w:t xml:space="preserve"> které NKÚ zpracoval</w:t>
      </w:r>
      <w:r w:rsidR="00BC4616" w:rsidRPr="004758E3">
        <w:rPr>
          <w:b/>
          <w:sz w:val="24"/>
          <w:szCs w:val="24"/>
          <w:lang w:eastAsia="cs-CZ"/>
        </w:rPr>
        <w:t xml:space="preserve"> z dat ČTÚ</w:t>
      </w:r>
      <w:r w:rsidR="00696BCD" w:rsidRPr="004758E3">
        <w:rPr>
          <w:b/>
          <w:sz w:val="24"/>
          <w:szCs w:val="24"/>
          <w:lang w:eastAsia="cs-CZ"/>
        </w:rPr>
        <w:t xml:space="preserve">, tak </w:t>
      </w:r>
      <w:hyperlink r:id="rId19" w:history="1">
        <w:r w:rsidR="00696BCD" w:rsidRPr="004758E3">
          <w:rPr>
            <w:rStyle w:val="Hypertextovodkaz"/>
            <w:b/>
            <w:sz w:val="24"/>
            <w:szCs w:val="24"/>
          </w:rPr>
          <w:t>studie</w:t>
        </w:r>
      </w:hyperlink>
      <w:r w:rsidR="00696BCD" w:rsidRPr="004758E3">
        <w:rPr>
          <w:rStyle w:val="Hypertextovodkaz"/>
          <w:sz w:val="24"/>
          <w:szCs w:val="24"/>
          <w:u w:val="none"/>
        </w:rPr>
        <w:t xml:space="preserve"> </w:t>
      </w:r>
      <w:r w:rsidR="00696BCD" w:rsidRPr="004758E3">
        <w:rPr>
          <w:b/>
          <w:sz w:val="24"/>
          <w:szCs w:val="24"/>
          <w:lang w:eastAsia="cs-CZ"/>
        </w:rPr>
        <w:t>zpracovaná pro Evropskou komisi.</w:t>
      </w:r>
    </w:p>
    <w:p w14:paraId="669EF5D1" w14:textId="26DAD0C7" w:rsidR="007C1463" w:rsidRPr="004758E3" w:rsidRDefault="00CF3CFF" w:rsidP="004758E3">
      <w:pPr>
        <w:spacing w:after="120" w:line="264" w:lineRule="auto"/>
        <w:jc w:val="both"/>
        <w:rPr>
          <w:b/>
          <w:sz w:val="24"/>
          <w:szCs w:val="24"/>
          <w:lang w:eastAsia="cs-CZ"/>
        </w:rPr>
      </w:pPr>
      <w:r w:rsidRPr="004758E3">
        <w:rPr>
          <w:b/>
          <w:sz w:val="24"/>
          <w:szCs w:val="24"/>
          <w:lang w:eastAsia="cs-CZ"/>
        </w:rPr>
        <w:t>ČTÚ</w:t>
      </w:r>
      <w:r w:rsidR="00BD3365" w:rsidRPr="004758E3">
        <w:rPr>
          <w:b/>
          <w:sz w:val="24"/>
          <w:szCs w:val="24"/>
          <w:lang w:eastAsia="cs-CZ"/>
        </w:rPr>
        <w:t xml:space="preserve"> jako</w:t>
      </w:r>
      <w:r w:rsidR="005D44A0" w:rsidRPr="004758E3">
        <w:rPr>
          <w:b/>
          <w:sz w:val="24"/>
          <w:szCs w:val="24"/>
          <w:lang w:eastAsia="cs-CZ"/>
        </w:rPr>
        <w:t xml:space="preserve"> správní</w:t>
      </w:r>
      <w:r w:rsidR="00962A09" w:rsidRPr="004758E3">
        <w:rPr>
          <w:b/>
          <w:sz w:val="24"/>
          <w:szCs w:val="24"/>
          <w:lang w:eastAsia="cs-CZ"/>
        </w:rPr>
        <w:t xml:space="preserve"> a regulační</w:t>
      </w:r>
      <w:r w:rsidR="005D44A0" w:rsidRPr="004758E3">
        <w:rPr>
          <w:b/>
          <w:sz w:val="24"/>
          <w:szCs w:val="24"/>
          <w:lang w:eastAsia="cs-CZ"/>
        </w:rPr>
        <w:t xml:space="preserve"> úřad</w:t>
      </w:r>
      <w:r w:rsidR="00BD3365" w:rsidRPr="004758E3">
        <w:rPr>
          <w:b/>
          <w:sz w:val="24"/>
          <w:szCs w:val="24"/>
          <w:lang w:eastAsia="cs-CZ"/>
        </w:rPr>
        <w:t xml:space="preserve"> v oblasti poštovních služeb</w:t>
      </w:r>
      <w:r w:rsidRPr="004758E3">
        <w:rPr>
          <w:b/>
          <w:sz w:val="24"/>
          <w:szCs w:val="24"/>
          <w:lang w:eastAsia="cs-CZ"/>
        </w:rPr>
        <w:t xml:space="preserve"> uhradil ze státního rozpočtu držiteli poštovní licence náklady</w:t>
      </w:r>
      <w:r w:rsidR="00EF7998" w:rsidRPr="004758E3">
        <w:rPr>
          <w:b/>
          <w:sz w:val="24"/>
          <w:szCs w:val="24"/>
          <w:lang w:eastAsia="cs-CZ"/>
        </w:rPr>
        <w:t xml:space="preserve"> z let 2013 až 2017</w:t>
      </w:r>
      <w:r w:rsidRPr="004758E3">
        <w:rPr>
          <w:b/>
          <w:sz w:val="24"/>
          <w:szCs w:val="24"/>
          <w:lang w:eastAsia="cs-CZ"/>
        </w:rPr>
        <w:t xml:space="preserve"> za poskytování tzv. základních poštovních služeb v celkové výši 2</w:t>
      </w:r>
      <w:r w:rsidR="00EF7998" w:rsidRPr="004758E3">
        <w:rPr>
          <w:b/>
          <w:sz w:val="24"/>
          <w:szCs w:val="24"/>
          <w:lang w:eastAsia="cs-CZ"/>
        </w:rPr>
        <w:t>,</w:t>
      </w:r>
      <w:r w:rsidRPr="004758E3">
        <w:rPr>
          <w:b/>
          <w:sz w:val="24"/>
          <w:szCs w:val="24"/>
          <w:lang w:eastAsia="cs-CZ"/>
        </w:rPr>
        <w:t>6 m</w:t>
      </w:r>
      <w:r w:rsidR="00781F03" w:rsidRPr="004758E3">
        <w:rPr>
          <w:b/>
          <w:sz w:val="24"/>
          <w:szCs w:val="24"/>
          <w:lang w:eastAsia="cs-CZ"/>
        </w:rPr>
        <w:t>ld</w:t>
      </w:r>
      <w:r w:rsidRPr="004758E3">
        <w:rPr>
          <w:b/>
          <w:sz w:val="24"/>
          <w:szCs w:val="24"/>
          <w:lang w:eastAsia="cs-CZ"/>
        </w:rPr>
        <w:t xml:space="preserve">. Kč. Přestože </w:t>
      </w:r>
      <w:r w:rsidR="00C3612D" w:rsidRPr="004758E3">
        <w:rPr>
          <w:b/>
          <w:sz w:val="24"/>
          <w:szCs w:val="24"/>
          <w:lang w:eastAsia="cs-CZ"/>
        </w:rPr>
        <w:t>objem</w:t>
      </w:r>
      <w:r w:rsidRPr="004758E3">
        <w:rPr>
          <w:b/>
          <w:sz w:val="24"/>
          <w:szCs w:val="24"/>
          <w:lang w:eastAsia="cs-CZ"/>
        </w:rPr>
        <w:t xml:space="preserve"> základních poštovních služeb mezi roky 2013 a 2020 klesl na polovinu, celkové náklady se téměř zdvojnásobily.</w:t>
      </w:r>
      <w:r w:rsidR="00C16396" w:rsidRPr="004758E3">
        <w:rPr>
          <w:b/>
          <w:sz w:val="24"/>
          <w:szCs w:val="24"/>
          <w:lang w:eastAsia="cs-CZ"/>
        </w:rPr>
        <w:t xml:space="preserve"> </w:t>
      </w:r>
    </w:p>
    <w:p w14:paraId="39043C28" w14:textId="0D7397F8" w:rsidR="00130242" w:rsidRPr="004758E3" w:rsidRDefault="00130242" w:rsidP="004758E3">
      <w:pPr>
        <w:spacing w:after="120" w:line="264" w:lineRule="auto"/>
        <w:jc w:val="both"/>
        <w:rPr>
          <w:b/>
          <w:sz w:val="24"/>
          <w:szCs w:val="24"/>
          <w:lang w:eastAsia="cs-CZ"/>
        </w:rPr>
      </w:pPr>
      <w:r w:rsidRPr="004758E3">
        <w:rPr>
          <w:b/>
          <w:sz w:val="24"/>
          <w:szCs w:val="24"/>
          <w:lang w:eastAsia="cs-CZ"/>
        </w:rPr>
        <w:t>ČTÚ vykonává neefektivním způsobem kontrolu nároků na využívání dílčích služeb univerzální služby</w:t>
      </w:r>
      <w:r w:rsidR="0034387B" w:rsidRPr="004758E3">
        <w:rPr>
          <w:rStyle w:val="Znakapoznpodarou"/>
          <w:b/>
          <w:sz w:val="24"/>
          <w:szCs w:val="24"/>
          <w:lang w:eastAsia="cs-CZ"/>
        </w:rPr>
        <w:footnoteReference w:id="2"/>
      </w:r>
      <w:r w:rsidRPr="004758E3">
        <w:rPr>
          <w:b/>
          <w:sz w:val="24"/>
          <w:szCs w:val="24"/>
          <w:lang w:eastAsia="cs-CZ"/>
        </w:rPr>
        <w:t xml:space="preserve">, když vychází z prvotních </w:t>
      </w:r>
      <w:r w:rsidR="00C54754" w:rsidRPr="004758E3">
        <w:rPr>
          <w:b/>
          <w:sz w:val="24"/>
          <w:szCs w:val="24"/>
          <w:lang w:eastAsia="cs-CZ"/>
        </w:rPr>
        <w:t xml:space="preserve">písemných </w:t>
      </w:r>
      <w:r w:rsidRPr="004758E3">
        <w:rPr>
          <w:b/>
          <w:sz w:val="24"/>
          <w:szCs w:val="24"/>
          <w:lang w:eastAsia="cs-CZ"/>
        </w:rPr>
        <w:t>dokladů. Zefektivnění může přinést umožnění přístupu ČTÚ do příslušného inf</w:t>
      </w:r>
      <w:r w:rsidR="00696BCD" w:rsidRPr="004758E3">
        <w:rPr>
          <w:b/>
          <w:sz w:val="24"/>
          <w:szCs w:val="24"/>
          <w:lang w:eastAsia="cs-CZ"/>
        </w:rPr>
        <w:t>or</w:t>
      </w:r>
      <w:r w:rsidRPr="004758E3">
        <w:rPr>
          <w:b/>
          <w:sz w:val="24"/>
          <w:szCs w:val="24"/>
          <w:lang w:eastAsia="cs-CZ"/>
        </w:rPr>
        <w:t>mačního systému státu.</w:t>
      </w:r>
    </w:p>
    <w:p w14:paraId="3BD04707" w14:textId="77777777" w:rsidR="00F4583E" w:rsidRDefault="00F4583E">
      <w:pPr>
        <w:rPr>
          <w:sz w:val="24"/>
          <w:szCs w:val="23"/>
        </w:rPr>
      </w:pPr>
      <w:r>
        <w:rPr>
          <w:sz w:val="24"/>
          <w:szCs w:val="23"/>
        </w:rPr>
        <w:br w:type="page"/>
      </w:r>
    </w:p>
    <w:p w14:paraId="3E9C5206" w14:textId="00F7C1BE" w:rsidR="0084095B" w:rsidRDefault="007A3332" w:rsidP="00F4583E">
      <w:pPr>
        <w:keepNext/>
        <w:spacing w:before="120" w:after="120" w:line="264" w:lineRule="auto"/>
        <w:jc w:val="both"/>
        <w:rPr>
          <w:sz w:val="24"/>
          <w:szCs w:val="23"/>
        </w:rPr>
      </w:pPr>
      <w:r>
        <w:rPr>
          <w:sz w:val="24"/>
          <w:szCs w:val="23"/>
        </w:rPr>
        <w:lastRenderedPageBreak/>
        <w:t>V</w:t>
      </w:r>
      <w:r w:rsidR="0084095B" w:rsidRPr="00513AD8">
        <w:rPr>
          <w:sz w:val="24"/>
          <w:szCs w:val="23"/>
        </w:rPr>
        <w:t>ýše uvedené celkové vyhodnocení vyplývá z následujících zjištění:</w:t>
      </w:r>
    </w:p>
    <w:p w14:paraId="369DE374" w14:textId="4D68E879" w:rsidR="00B9348C" w:rsidRPr="00B9348C" w:rsidRDefault="00FC7764" w:rsidP="00274546">
      <w:pPr>
        <w:pStyle w:val="Odstavecseseznamem"/>
        <w:numPr>
          <w:ilvl w:val="0"/>
          <w:numId w:val="21"/>
        </w:numPr>
        <w:spacing w:before="120" w:after="120" w:line="264" w:lineRule="auto"/>
        <w:ind w:left="284" w:hanging="284"/>
        <w:contextualSpacing w:val="0"/>
        <w:jc w:val="both"/>
        <w:rPr>
          <w:sz w:val="24"/>
          <w:lang w:eastAsia="cs-CZ"/>
        </w:rPr>
      </w:pPr>
      <w:r w:rsidRPr="00FC7764">
        <w:rPr>
          <w:b/>
          <w:sz w:val="24"/>
          <w:szCs w:val="23"/>
        </w:rPr>
        <w:t xml:space="preserve">ČTÚ </w:t>
      </w:r>
      <w:r w:rsidR="006F6DAF">
        <w:rPr>
          <w:b/>
          <w:sz w:val="24"/>
          <w:szCs w:val="23"/>
        </w:rPr>
        <w:t>neoprávněně</w:t>
      </w:r>
      <w:r w:rsidR="006F6DAF" w:rsidRPr="00FC7764">
        <w:rPr>
          <w:b/>
          <w:sz w:val="24"/>
          <w:szCs w:val="23"/>
        </w:rPr>
        <w:t xml:space="preserve"> </w:t>
      </w:r>
      <w:r w:rsidRPr="00FC7764">
        <w:rPr>
          <w:b/>
          <w:sz w:val="24"/>
          <w:szCs w:val="23"/>
        </w:rPr>
        <w:t>rozdělil veřejnou zakázku</w:t>
      </w:r>
      <w:r>
        <w:rPr>
          <w:sz w:val="24"/>
          <w:szCs w:val="23"/>
        </w:rPr>
        <w:t xml:space="preserve">. </w:t>
      </w:r>
      <w:r w:rsidR="007A3332" w:rsidRPr="007A3332">
        <w:rPr>
          <w:sz w:val="24"/>
          <w:szCs w:val="23"/>
        </w:rPr>
        <w:t xml:space="preserve">ČTÚ </w:t>
      </w:r>
      <w:r w:rsidR="003B35C6">
        <w:rPr>
          <w:sz w:val="24"/>
          <w:szCs w:val="23"/>
        </w:rPr>
        <w:t>za účelem</w:t>
      </w:r>
      <w:r w:rsidR="009873FC">
        <w:rPr>
          <w:sz w:val="24"/>
          <w:szCs w:val="23"/>
        </w:rPr>
        <w:t xml:space="preserve"> provedení analýzy</w:t>
      </w:r>
      <w:r w:rsidR="007A3332" w:rsidRPr="007A3332">
        <w:rPr>
          <w:sz w:val="24"/>
          <w:szCs w:val="23"/>
        </w:rPr>
        <w:t xml:space="preserve"> relevantního trhu č. 3</w:t>
      </w:r>
      <w:r w:rsidR="00B64125">
        <w:rPr>
          <w:rStyle w:val="Znakapoznpodarou"/>
          <w:sz w:val="24"/>
          <w:szCs w:val="23"/>
        </w:rPr>
        <w:footnoteReference w:id="3"/>
      </w:r>
      <w:r w:rsidR="007A3332" w:rsidRPr="007A3332">
        <w:rPr>
          <w:sz w:val="24"/>
          <w:szCs w:val="23"/>
        </w:rPr>
        <w:t xml:space="preserve"> uzavřel </w:t>
      </w:r>
      <w:r w:rsidR="00B9348C">
        <w:rPr>
          <w:sz w:val="24"/>
          <w:szCs w:val="23"/>
        </w:rPr>
        <w:t>smlouvy s pěti dodavateli</w:t>
      </w:r>
      <w:r w:rsidR="00F82401">
        <w:rPr>
          <w:sz w:val="24"/>
          <w:szCs w:val="23"/>
        </w:rPr>
        <w:t xml:space="preserve"> netransparentním způsobem.</w:t>
      </w:r>
      <w:r w:rsidR="00B9348C">
        <w:rPr>
          <w:sz w:val="24"/>
          <w:szCs w:val="23"/>
        </w:rPr>
        <w:t xml:space="preserve"> </w:t>
      </w:r>
      <w:r w:rsidR="00D209FC">
        <w:rPr>
          <w:sz w:val="24"/>
          <w:szCs w:val="23"/>
        </w:rPr>
        <w:t xml:space="preserve">Zpracovatelé </w:t>
      </w:r>
      <w:r w:rsidR="006F6DAF">
        <w:rPr>
          <w:sz w:val="24"/>
          <w:szCs w:val="23"/>
        </w:rPr>
        <w:t xml:space="preserve">vzájemně </w:t>
      </w:r>
      <w:r w:rsidR="00D209FC">
        <w:rPr>
          <w:sz w:val="24"/>
          <w:szCs w:val="23"/>
        </w:rPr>
        <w:t>spolupracovali a jako plnění smluv odevzdali stejné nebo obdobné</w:t>
      </w:r>
      <w:r w:rsidR="0071175B">
        <w:rPr>
          <w:sz w:val="24"/>
          <w:szCs w:val="23"/>
        </w:rPr>
        <w:t>, případně související</w:t>
      </w:r>
      <w:r w:rsidR="00D209FC">
        <w:rPr>
          <w:sz w:val="24"/>
          <w:szCs w:val="23"/>
        </w:rPr>
        <w:t xml:space="preserve"> výstupy. Přestože předmět plnění tří z těchto smluv tvořil prokazatelně jeden funkční celek,</w:t>
      </w:r>
      <w:r w:rsidR="00F62134">
        <w:rPr>
          <w:sz w:val="24"/>
          <w:szCs w:val="23"/>
        </w:rPr>
        <w:t xml:space="preserve"> uzavřel</w:t>
      </w:r>
      <w:r w:rsidR="00D209FC">
        <w:rPr>
          <w:sz w:val="24"/>
          <w:szCs w:val="23"/>
        </w:rPr>
        <w:t xml:space="preserve"> ČTÚ </w:t>
      </w:r>
      <w:r w:rsidR="00F62134">
        <w:rPr>
          <w:sz w:val="24"/>
          <w:szCs w:val="23"/>
        </w:rPr>
        <w:t>smlouvy</w:t>
      </w:r>
      <w:r w:rsidR="00D209FC">
        <w:rPr>
          <w:sz w:val="24"/>
          <w:szCs w:val="23"/>
        </w:rPr>
        <w:t xml:space="preserve"> na základě samostatných přímých zadání</w:t>
      </w:r>
      <w:r w:rsidR="00944C20">
        <w:rPr>
          <w:sz w:val="24"/>
          <w:szCs w:val="23"/>
        </w:rPr>
        <w:t xml:space="preserve"> v </w:t>
      </w:r>
      <w:r w:rsidR="00462CEE">
        <w:rPr>
          <w:sz w:val="24"/>
          <w:szCs w:val="23"/>
        </w:rPr>
        <w:t xml:space="preserve">krátkém </w:t>
      </w:r>
      <w:r w:rsidR="00944C20">
        <w:rPr>
          <w:sz w:val="24"/>
          <w:szCs w:val="23"/>
        </w:rPr>
        <w:t>časovém sledu</w:t>
      </w:r>
      <w:r w:rsidR="00D209FC">
        <w:rPr>
          <w:sz w:val="24"/>
          <w:szCs w:val="23"/>
        </w:rPr>
        <w:t>. Postupoval tak v rozporu s</w:t>
      </w:r>
      <w:r w:rsidR="005A6259">
        <w:rPr>
          <w:sz w:val="24"/>
          <w:szCs w:val="23"/>
        </w:rPr>
        <w:t>e</w:t>
      </w:r>
      <w:r w:rsidR="00A76D9B">
        <w:rPr>
          <w:sz w:val="24"/>
          <w:szCs w:val="23"/>
        </w:rPr>
        <w:t xml:space="preserve"> </w:t>
      </w:r>
      <w:r w:rsidR="00D209FC">
        <w:rPr>
          <w:sz w:val="24"/>
          <w:szCs w:val="23"/>
        </w:rPr>
        <w:t>zákon</w:t>
      </w:r>
      <w:r w:rsidR="005A6259">
        <w:rPr>
          <w:sz w:val="24"/>
          <w:szCs w:val="23"/>
        </w:rPr>
        <w:t>em</w:t>
      </w:r>
      <w:r w:rsidR="00D209FC">
        <w:rPr>
          <w:sz w:val="24"/>
          <w:szCs w:val="23"/>
        </w:rPr>
        <w:t xml:space="preserve"> č. 134/2016 Sb.</w:t>
      </w:r>
      <w:r w:rsidR="00D209FC">
        <w:rPr>
          <w:rStyle w:val="Znakapoznpodarou"/>
          <w:sz w:val="24"/>
          <w:szCs w:val="23"/>
        </w:rPr>
        <w:footnoteReference w:id="4"/>
      </w:r>
      <w:r w:rsidR="00A76D9B">
        <w:rPr>
          <w:sz w:val="24"/>
          <w:szCs w:val="23"/>
        </w:rPr>
        <w:t>,</w:t>
      </w:r>
      <w:r w:rsidR="00D209FC">
        <w:rPr>
          <w:sz w:val="24"/>
          <w:szCs w:val="23"/>
        </w:rPr>
        <w:t xml:space="preserve"> </w:t>
      </w:r>
      <w:r w:rsidR="005A6259">
        <w:rPr>
          <w:sz w:val="24"/>
          <w:szCs w:val="23"/>
        </w:rPr>
        <w:t>když veřejnou zakázku neoprávněně rozdělil. Zároveň ČTÚ na základě takto uzavřených smluv uhradil částku 4 685 145 Kč. Dle NKÚ se jedná o skutečnosti nasvědčující porušení rozpočtové kázně.</w:t>
      </w:r>
    </w:p>
    <w:p w14:paraId="016C07B8" w14:textId="135068F3" w:rsidR="00A772A2" w:rsidRPr="005C609A" w:rsidRDefault="00696BCD" w:rsidP="00274546">
      <w:pPr>
        <w:pStyle w:val="Odstavecseseznamem"/>
        <w:numPr>
          <w:ilvl w:val="0"/>
          <w:numId w:val="21"/>
        </w:numPr>
        <w:spacing w:before="120" w:after="120" w:line="264" w:lineRule="auto"/>
        <w:ind w:left="284" w:hanging="284"/>
        <w:contextualSpacing w:val="0"/>
        <w:jc w:val="both"/>
        <w:rPr>
          <w:sz w:val="24"/>
          <w:szCs w:val="24"/>
          <w:lang w:eastAsia="cs-CZ"/>
        </w:rPr>
      </w:pPr>
      <w:r w:rsidRPr="005C609A">
        <w:rPr>
          <w:b/>
          <w:sz w:val="24"/>
          <w:szCs w:val="24"/>
          <w:lang w:eastAsia="cs-CZ"/>
        </w:rPr>
        <w:t>a</w:t>
      </w:r>
      <w:r w:rsidR="003D7EE6" w:rsidRPr="005C609A">
        <w:rPr>
          <w:b/>
          <w:sz w:val="24"/>
          <w:szCs w:val="24"/>
          <w:lang w:eastAsia="cs-CZ"/>
        </w:rPr>
        <w:t xml:space="preserve">) </w:t>
      </w:r>
      <w:r w:rsidR="0034387B" w:rsidRPr="005C609A">
        <w:rPr>
          <w:b/>
          <w:sz w:val="24"/>
          <w:szCs w:val="24"/>
          <w:lang w:eastAsia="cs-CZ"/>
        </w:rPr>
        <w:t xml:space="preserve">Dosažený výnos z aukce kmitočtů byl nižší, než ČTÚ plánoval. </w:t>
      </w:r>
      <w:r w:rsidR="0034387B" w:rsidRPr="005C609A">
        <w:rPr>
          <w:sz w:val="24"/>
          <w:szCs w:val="24"/>
          <w:lang w:eastAsia="cs-CZ"/>
        </w:rPr>
        <w:t xml:space="preserve">ČTÚ plánoval </w:t>
      </w:r>
      <w:r w:rsidR="0034387B">
        <w:rPr>
          <w:sz w:val="24"/>
          <w:szCs w:val="24"/>
          <w:lang w:eastAsia="cs-CZ"/>
        </w:rPr>
        <w:t xml:space="preserve">v rozpočtu na rok </w:t>
      </w:r>
      <w:r w:rsidR="0034387B" w:rsidRPr="005C609A">
        <w:rPr>
          <w:sz w:val="24"/>
          <w:szCs w:val="24"/>
          <w:lang w:eastAsia="cs-CZ"/>
        </w:rPr>
        <w:t xml:space="preserve">2020 aukcí kmitočtů získat pro státní rozpočet 7 mld. Kč. Vyvolávací ceny jednotlivých aukčních bloků stanovil na základě cen aukcí kmitočtů v zahraničí, přičemž </w:t>
      </w:r>
      <w:r w:rsidR="0034387B">
        <w:rPr>
          <w:sz w:val="24"/>
          <w:szCs w:val="24"/>
          <w:lang w:eastAsia="cs-CZ"/>
        </w:rPr>
        <w:t>součet</w:t>
      </w:r>
      <w:r w:rsidR="0034387B" w:rsidRPr="005C609A">
        <w:rPr>
          <w:sz w:val="24"/>
          <w:szCs w:val="24"/>
          <w:lang w:eastAsia="cs-CZ"/>
        </w:rPr>
        <w:t xml:space="preserve"> vyvolávacích cen činil 5,3 mld. Kč. Skutečný celkový příjem z aukce pak činil 5,6</w:t>
      </w:r>
      <w:r w:rsidR="00274546">
        <w:rPr>
          <w:sz w:val="24"/>
          <w:szCs w:val="24"/>
          <w:lang w:eastAsia="cs-CZ"/>
        </w:rPr>
        <w:t> </w:t>
      </w:r>
      <w:r w:rsidR="0034387B" w:rsidRPr="005C609A">
        <w:rPr>
          <w:sz w:val="24"/>
          <w:szCs w:val="24"/>
          <w:lang w:eastAsia="cs-CZ"/>
        </w:rPr>
        <w:t>mld.</w:t>
      </w:r>
      <w:r w:rsidR="00274546">
        <w:rPr>
          <w:sz w:val="24"/>
          <w:szCs w:val="24"/>
          <w:lang w:eastAsia="cs-CZ"/>
        </w:rPr>
        <w:t> </w:t>
      </w:r>
      <w:r w:rsidR="0034387B" w:rsidRPr="005C609A">
        <w:rPr>
          <w:sz w:val="24"/>
          <w:szCs w:val="24"/>
          <w:lang w:eastAsia="cs-CZ"/>
        </w:rPr>
        <w:t>Kč. Příjem z aukce ovlivnila skutečnost, že stávající operátoři</w:t>
      </w:r>
      <w:r w:rsidR="0034387B" w:rsidRPr="00980407">
        <w:rPr>
          <w:sz w:val="24"/>
          <w:szCs w:val="24"/>
          <w:vertAlign w:val="superscript"/>
          <w:lang w:eastAsia="cs-CZ"/>
        </w:rPr>
        <w:t xml:space="preserve"> </w:t>
      </w:r>
      <w:r w:rsidR="0034387B" w:rsidRPr="005C609A">
        <w:rPr>
          <w:sz w:val="24"/>
          <w:szCs w:val="24"/>
          <w:lang w:eastAsia="cs-CZ"/>
        </w:rPr>
        <w:t xml:space="preserve">o </w:t>
      </w:r>
      <w:r w:rsidR="0034387B">
        <w:rPr>
          <w:sz w:val="24"/>
          <w:szCs w:val="24"/>
          <w:lang w:eastAsia="cs-CZ"/>
        </w:rPr>
        <w:t>bloky</w:t>
      </w:r>
      <w:r w:rsidR="0034387B" w:rsidRPr="005C609A">
        <w:rPr>
          <w:sz w:val="24"/>
          <w:szCs w:val="24"/>
          <w:lang w:eastAsia="cs-CZ"/>
        </w:rPr>
        <w:t xml:space="preserve"> pásma 700</w:t>
      </w:r>
      <w:r w:rsidR="00274546">
        <w:rPr>
          <w:sz w:val="24"/>
          <w:szCs w:val="24"/>
          <w:lang w:eastAsia="cs-CZ"/>
        </w:rPr>
        <w:t> </w:t>
      </w:r>
      <w:r w:rsidR="0034387B" w:rsidRPr="005C609A">
        <w:rPr>
          <w:sz w:val="24"/>
          <w:szCs w:val="24"/>
          <w:lang w:eastAsia="cs-CZ"/>
        </w:rPr>
        <w:t>MHz při aukci</w:t>
      </w:r>
      <w:r w:rsidR="0034387B">
        <w:rPr>
          <w:sz w:val="24"/>
          <w:szCs w:val="24"/>
          <w:lang w:eastAsia="cs-CZ"/>
        </w:rPr>
        <w:t xml:space="preserve"> mezi sebou</w:t>
      </w:r>
      <w:r w:rsidR="0034387B" w:rsidRPr="005C609A">
        <w:rPr>
          <w:sz w:val="24"/>
          <w:szCs w:val="24"/>
          <w:lang w:eastAsia="cs-CZ"/>
        </w:rPr>
        <w:t xml:space="preserve"> výrazně nesoutěžili</w:t>
      </w:r>
      <w:r w:rsidR="00B246D6">
        <w:rPr>
          <w:sz w:val="24"/>
          <w:szCs w:val="24"/>
          <w:lang w:eastAsia="cs-CZ"/>
        </w:rPr>
        <w:t>.</w:t>
      </w:r>
    </w:p>
    <w:p w14:paraId="0B90E32A" w14:textId="05E6FEA6" w:rsidR="00A772A2" w:rsidRDefault="00696BCD" w:rsidP="00274546">
      <w:pPr>
        <w:pStyle w:val="Odstavecseseznamem"/>
        <w:spacing w:before="120" w:after="120" w:line="264" w:lineRule="auto"/>
        <w:ind w:left="284"/>
        <w:contextualSpacing w:val="0"/>
        <w:jc w:val="both"/>
        <w:rPr>
          <w:sz w:val="24"/>
          <w:szCs w:val="24"/>
          <w:lang w:eastAsia="cs-CZ"/>
        </w:rPr>
      </w:pPr>
      <w:r w:rsidRPr="005C609A">
        <w:rPr>
          <w:b/>
          <w:sz w:val="24"/>
          <w:szCs w:val="24"/>
          <w:lang w:eastAsia="cs-CZ"/>
        </w:rPr>
        <w:t xml:space="preserve">b) </w:t>
      </w:r>
      <w:r w:rsidR="0034387B" w:rsidRPr="005C609A">
        <w:rPr>
          <w:b/>
          <w:sz w:val="24"/>
          <w:szCs w:val="24"/>
          <w:lang w:eastAsia="cs-CZ"/>
        </w:rPr>
        <w:t>Snížení ceny mobilních dat a zvýšení konkurence na trhu elektronických komunikací zatím nebylo aukcí kmitočtů z roku 2020 dosaženo.</w:t>
      </w:r>
      <w:r w:rsidR="0034387B" w:rsidRPr="005C609A">
        <w:rPr>
          <w:sz w:val="24"/>
          <w:szCs w:val="24"/>
          <w:lang w:eastAsia="cs-CZ"/>
        </w:rPr>
        <w:t xml:space="preserve"> Naplnění tohoto cíle mělo být dosaženo dvěma nástroji – národní</w:t>
      </w:r>
      <w:r w:rsidR="0034387B">
        <w:rPr>
          <w:sz w:val="24"/>
          <w:szCs w:val="24"/>
          <w:lang w:eastAsia="cs-CZ"/>
        </w:rPr>
        <w:t>m</w:t>
      </w:r>
      <w:r w:rsidR="0034387B" w:rsidRPr="005C609A">
        <w:rPr>
          <w:sz w:val="24"/>
          <w:szCs w:val="24"/>
          <w:lang w:eastAsia="cs-CZ"/>
        </w:rPr>
        <w:t xml:space="preserve"> roaming</w:t>
      </w:r>
      <w:r w:rsidR="0034387B">
        <w:rPr>
          <w:sz w:val="24"/>
          <w:szCs w:val="24"/>
          <w:lang w:eastAsia="cs-CZ"/>
        </w:rPr>
        <w:t>em</w:t>
      </w:r>
      <w:r w:rsidR="0034387B" w:rsidRPr="005C609A">
        <w:rPr>
          <w:sz w:val="24"/>
          <w:szCs w:val="24"/>
          <w:lang w:eastAsia="cs-CZ"/>
        </w:rPr>
        <w:t xml:space="preserve"> a </w:t>
      </w:r>
      <w:r w:rsidR="0034387B">
        <w:rPr>
          <w:sz w:val="24"/>
          <w:szCs w:val="24"/>
          <w:lang w:eastAsia="cs-CZ"/>
        </w:rPr>
        <w:t xml:space="preserve">velkoobchodními nabídkami pro virtuální operátory. </w:t>
      </w:r>
      <w:r w:rsidR="0034387B" w:rsidRPr="005C609A">
        <w:rPr>
          <w:sz w:val="24"/>
          <w:szCs w:val="24"/>
          <w:lang w:eastAsia="cs-CZ"/>
        </w:rPr>
        <w:t>Do doby ukončení kontroly se ani jeden z nástrojů reálně v praxi neuplatnil</w:t>
      </w:r>
      <w:r w:rsidR="00A76D9B">
        <w:rPr>
          <w:sz w:val="24"/>
          <w:szCs w:val="24"/>
          <w:lang w:eastAsia="cs-CZ"/>
        </w:rPr>
        <w:t>,</w:t>
      </w:r>
      <w:r w:rsidR="0034387B" w:rsidRPr="005C609A">
        <w:rPr>
          <w:sz w:val="24"/>
          <w:szCs w:val="24"/>
          <w:lang w:eastAsia="cs-CZ"/>
        </w:rPr>
        <w:t xml:space="preserve"> a</w:t>
      </w:r>
      <w:r w:rsidR="00274546">
        <w:rPr>
          <w:sz w:val="24"/>
          <w:szCs w:val="24"/>
          <w:lang w:eastAsia="cs-CZ"/>
        </w:rPr>
        <w:t> </w:t>
      </w:r>
      <w:r w:rsidR="0034387B" w:rsidRPr="005C609A">
        <w:rPr>
          <w:sz w:val="24"/>
          <w:szCs w:val="24"/>
          <w:lang w:eastAsia="cs-CZ"/>
        </w:rPr>
        <w:t>nevedl tak ke zvýšení konkurence a následnému tlaku na snížení cen mobilních dat.</w:t>
      </w:r>
    </w:p>
    <w:p w14:paraId="1986D34A" w14:textId="55E330C7" w:rsidR="00777AF7" w:rsidRDefault="003D7EE6" w:rsidP="00274546">
      <w:pPr>
        <w:pStyle w:val="Odstavecseseznamem"/>
        <w:numPr>
          <w:ilvl w:val="0"/>
          <w:numId w:val="21"/>
        </w:numPr>
        <w:spacing w:before="120" w:after="120" w:line="264" w:lineRule="auto"/>
        <w:ind w:left="284" w:hanging="284"/>
        <w:contextualSpacing w:val="0"/>
        <w:jc w:val="both"/>
        <w:rPr>
          <w:sz w:val="24"/>
          <w:lang w:eastAsia="cs-CZ"/>
        </w:rPr>
      </w:pPr>
      <w:r w:rsidRPr="00C37964">
        <w:rPr>
          <w:b/>
          <w:sz w:val="24"/>
          <w:lang w:eastAsia="cs-CZ"/>
        </w:rPr>
        <w:t xml:space="preserve">a) </w:t>
      </w:r>
      <w:r w:rsidR="006E4EE9" w:rsidRPr="00C37964">
        <w:rPr>
          <w:b/>
          <w:sz w:val="24"/>
          <w:lang w:eastAsia="cs-CZ"/>
        </w:rPr>
        <w:t xml:space="preserve">ČTÚ vyplácel kompenzace za poskytování základních poštovních služeb </w:t>
      </w:r>
      <w:r w:rsidR="00FC7764" w:rsidRPr="00C37964">
        <w:rPr>
          <w:b/>
          <w:sz w:val="24"/>
          <w:lang w:eastAsia="cs-CZ"/>
        </w:rPr>
        <w:t>až s</w:t>
      </w:r>
      <w:r w:rsidR="00792F9F">
        <w:rPr>
          <w:b/>
          <w:sz w:val="24"/>
          <w:lang w:eastAsia="cs-CZ"/>
        </w:rPr>
        <w:t> </w:t>
      </w:r>
      <w:r w:rsidR="00FC7764" w:rsidRPr="00C37964">
        <w:rPr>
          <w:b/>
          <w:sz w:val="24"/>
          <w:lang w:eastAsia="cs-CZ"/>
        </w:rPr>
        <w:t>několikaletým</w:t>
      </w:r>
      <w:r w:rsidR="006E4EE9" w:rsidRPr="00C37964">
        <w:rPr>
          <w:b/>
          <w:sz w:val="24"/>
          <w:lang w:eastAsia="cs-CZ"/>
        </w:rPr>
        <w:t xml:space="preserve"> </w:t>
      </w:r>
      <w:r w:rsidR="00FC7764" w:rsidRPr="00C37964">
        <w:rPr>
          <w:b/>
          <w:sz w:val="24"/>
          <w:lang w:eastAsia="cs-CZ"/>
        </w:rPr>
        <w:t>z</w:t>
      </w:r>
      <w:r w:rsidR="006E4EE9" w:rsidRPr="00C37964">
        <w:rPr>
          <w:b/>
          <w:sz w:val="24"/>
          <w:lang w:eastAsia="cs-CZ"/>
        </w:rPr>
        <w:t>požděním.</w:t>
      </w:r>
      <w:r w:rsidR="006E4EE9" w:rsidRPr="00E10314">
        <w:rPr>
          <w:sz w:val="24"/>
          <w:lang w:eastAsia="cs-CZ"/>
        </w:rPr>
        <w:t xml:space="preserve"> </w:t>
      </w:r>
      <w:r w:rsidR="0049382C" w:rsidRPr="00E10314">
        <w:rPr>
          <w:sz w:val="24"/>
          <w:lang w:eastAsia="cs-CZ"/>
        </w:rPr>
        <w:t xml:space="preserve">Hlavním faktorem tohoto zdržení </w:t>
      </w:r>
      <w:r w:rsidR="00C92B20">
        <w:rPr>
          <w:sz w:val="24"/>
          <w:lang w:eastAsia="cs-CZ"/>
        </w:rPr>
        <w:t>byla</w:t>
      </w:r>
      <w:r w:rsidR="0049382C" w:rsidRPr="00E10314">
        <w:rPr>
          <w:sz w:val="24"/>
          <w:lang w:eastAsia="cs-CZ"/>
        </w:rPr>
        <w:t xml:space="preserve"> </w:t>
      </w:r>
      <w:r w:rsidR="003736A7" w:rsidRPr="00E10314">
        <w:rPr>
          <w:sz w:val="24"/>
          <w:lang w:eastAsia="cs-CZ"/>
        </w:rPr>
        <w:t>délka</w:t>
      </w:r>
      <w:r w:rsidR="0049382C" w:rsidRPr="00E10314">
        <w:rPr>
          <w:sz w:val="24"/>
          <w:lang w:eastAsia="cs-CZ"/>
        </w:rPr>
        <w:t xml:space="preserve"> notifikace veřejné podpory u Evropské komise, </w:t>
      </w:r>
      <w:r w:rsidR="00AE75EE" w:rsidRPr="00E10314">
        <w:rPr>
          <w:sz w:val="24"/>
          <w:lang w:eastAsia="cs-CZ"/>
        </w:rPr>
        <w:t>kterou</w:t>
      </w:r>
      <w:r w:rsidR="0049382C" w:rsidRPr="00E10314">
        <w:rPr>
          <w:sz w:val="24"/>
          <w:lang w:eastAsia="cs-CZ"/>
        </w:rPr>
        <w:t xml:space="preserve"> m</w:t>
      </w:r>
      <w:r w:rsidR="002E0FD4">
        <w:rPr>
          <w:sz w:val="24"/>
          <w:lang w:eastAsia="cs-CZ"/>
        </w:rPr>
        <w:t>ohl</w:t>
      </w:r>
      <w:r w:rsidR="0049382C" w:rsidRPr="00E10314">
        <w:rPr>
          <w:sz w:val="24"/>
          <w:lang w:eastAsia="cs-CZ"/>
        </w:rPr>
        <w:t xml:space="preserve"> ČTÚ ovlivnit jen minimálně.</w:t>
      </w:r>
      <w:r w:rsidR="00AE75EE" w:rsidRPr="00E10314">
        <w:rPr>
          <w:sz w:val="24"/>
          <w:lang w:eastAsia="cs-CZ"/>
        </w:rPr>
        <w:t xml:space="preserve"> </w:t>
      </w:r>
    </w:p>
    <w:p w14:paraId="1328B29A" w14:textId="11F987AD" w:rsidR="00A772A2" w:rsidRDefault="003D7EE6" w:rsidP="00274546">
      <w:pPr>
        <w:pStyle w:val="Odstavecseseznamem"/>
        <w:spacing w:before="120" w:after="120" w:line="264" w:lineRule="auto"/>
        <w:ind w:left="284" w:hanging="284"/>
        <w:contextualSpacing w:val="0"/>
        <w:jc w:val="both"/>
        <w:rPr>
          <w:sz w:val="24"/>
          <w:lang w:eastAsia="cs-CZ"/>
        </w:rPr>
      </w:pPr>
      <w:r>
        <w:rPr>
          <w:b/>
          <w:sz w:val="24"/>
          <w:lang w:eastAsia="cs-CZ"/>
        </w:rPr>
        <w:t xml:space="preserve">b) </w:t>
      </w:r>
      <w:r w:rsidR="00AE75EE" w:rsidRPr="00FC7764">
        <w:rPr>
          <w:b/>
          <w:sz w:val="24"/>
          <w:lang w:eastAsia="cs-CZ"/>
        </w:rPr>
        <w:t xml:space="preserve">Objem poskytovaných základních </w:t>
      </w:r>
      <w:r w:rsidR="00E746A6">
        <w:rPr>
          <w:b/>
          <w:sz w:val="24"/>
          <w:lang w:eastAsia="cs-CZ"/>
        </w:rPr>
        <w:t xml:space="preserve">poštovních </w:t>
      </w:r>
      <w:r w:rsidR="00AE75EE" w:rsidRPr="00FC7764">
        <w:rPr>
          <w:b/>
          <w:sz w:val="24"/>
          <w:lang w:eastAsia="cs-CZ"/>
        </w:rPr>
        <w:t>služeb dlouhodobě kles</w:t>
      </w:r>
      <w:r w:rsidR="00275F75">
        <w:rPr>
          <w:b/>
          <w:sz w:val="24"/>
          <w:lang w:eastAsia="cs-CZ"/>
        </w:rPr>
        <w:t>al</w:t>
      </w:r>
      <w:r w:rsidR="00AE75EE" w:rsidRPr="00FC7764">
        <w:rPr>
          <w:b/>
          <w:sz w:val="24"/>
          <w:lang w:eastAsia="cs-CZ"/>
        </w:rPr>
        <w:t xml:space="preserve">, náklady na jejich poskytování </w:t>
      </w:r>
      <w:r w:rsidR="005A1984" w:rsidRPr="00FC7764">
        <w:rPr>
          <w:b/>
          <w:sz w:val="24"/>
          <w:lang w:eastAsia="cs-CZ"/>
        </w:rPr>
        <w:t xml:space="preserve">však </w:t>
      </w:r>
      <w:r w:rsidR="00AE75EE" w:rsidRPr="00FC7764">
        <w:rPr>
          <w:b/>
          <w:sz w:val="24"/>
          <w:lang w:eastAsia="cs-CZ"/>
        </w:rPr>
        <w:t>rost</w:t>
      </w:r>
      <w:r w:rsidR="00275F75">
        <w:rPr>
          <w:b/>
          <w:sz w:val="24"/>
          <w:lang w:eastAsia="cs-CZ"/>
        </w:rPr>
        <w:t>ly</w:t>
      </w:r>
      <w:r w:rsidR="00AE75EE" w:rsidRPr="00FC7764">
        <w:rPr>
          <w:b/>
          <w:sz w:val="24"/>
          <w:lang w:eastAsia="cs-CZ"/>
        </w:rPr>
        <w:t>.</w:t>
      </w:r>
      <w:r w:rsidR="00AE75EE" w:rsidRPr="004524F7">
        <w:rPr>
          <w:sz w:val="24"/>
          <w:lang w:eastAsia="cs-CZ"/>
        </w:rPr>
        <w:t xml:space="preserve"> </w:t>
      </w:r>
      <w:r w:rsidR="00C92B20">
        <w:rPr>
          <w:sz w:val="24"/>
          <w:lang w:eastAsia="cs-CZ"/>
        </w:rPr>
        <w:t>Objem</w:t>
      </w:r>
      <w:r w:rsidR="0095675A">
        <w:rPr>
          <w:sz w:val="24"/>
          <w:lang w:eastAsia="cs-CZ"/>
        </w:rPr>
        <w:t xml:space="preserve"> </w:t>
      </w:r>
      <w:r w:rsidR="0095675A" w:rsidRPr="00EF7998">
        <w:rPr>
          <w:sz w:val="24"/>
          <w:lang w:eastAsia="cs-CZ"/>
        </w:rPr>
        <w:t>poskytnutých</w:t>
      </w:r>
      <w:r w:rsidR="00A772A2" w:rsidRPr="00556ACE">
        <w:rPr>
          <w:sz w:val="24"/>
          <w:lang w:eastAsia="cs-CZ"/>
        </w:rPr>
        <w:t xml:space="preserve"> základních poštovních služeb mezi roky 2013 a 2020 klesl na polovinu a celkové náklady se téměř zdvojnásobily.</w:t>
      </w:r>
      <w:r w:rsidR="00A772A2" w:rsidRPr="00DB6622">
        <w:rPr>
          <w:sz w:val="24"/>
          <w:lang w:eastAsia="cs-CZ"/>
        </w:rPr>
        <w:t xml:space="preserve"> </w:t>
      </w:r>
      <w:r w:rsidR="00A772A2" w:rsidRPr="00C43F38">
        <w:rPr>
          <w:sz w:val="24"/>
        </w:rPr>
        <w:t>Zatímco v</w:t>
      </w:r>
      <w:r w:rsidR="00A772A2" w:rsidRPr="00C43F38">
        <w:rPr>
          <w:sz w:val="24"/>
          <w:lang w:eastAsia="cs-CZ"/>
        </w:rPr>
        <w:t xml:space="preserve"> roce 2013 byl průměrný jednotkový náklad 2 Kč za poskytnutou službu, v roce 2020 průměrný jednotkový náklad </w:t>
      </w:r>
      <w:r w:rsidR="006F6DAF">
        <w:rPr>
          <w:sz w:val="24"/>
          <w:lang w:eastAsia="cs-CZ"/>
        </w:rPr>
        <w:t xml:space="preserve">vzrostl </w:t>
      </w:r>
      <w:r w:rsidR="00A772A2" w:rsidRPr="00C43F38">
        <w:rPr>
          <w:sz w:val="24"/>
          <w:lang w:eastAsia="cs-CZ"/>
        </w:rPr>
        <w:t>na 7,4 Kč za poskytnutou službu.</w:t>
      </w:r>
    </w:p>
    <w:p w14:paraId="42DB519A" w14:textId="54CBCC35" w:rsidR="00A772A2" w:rsidRDefault="00A772A2" w:rsidP="00274546">
      <w:pPr>
        <w:pStyle w:val="Odstavecseseznamem"/>
        <w:spacing w:before="120" w:after="120" w:line="264" w:lineRule="auto"/>
        <w:ind w:left="284" w:hanging="284"/>
        <w:contextualSpacing w:val="0"/>
        <w:jc w:val="both"/>
        <w:rPr>
          <w:sz w:val="24"/>
          <w:lang w:eastAsia="cs-CZ"/>
        </w:rPr>
      </w:pPr>
      <w:r w:rsidRPr="0098781D">
        <w:rPr>
          <w:b/>
          <w:sz w:val="24"/>
          <w:lang w:eastAsia="cs-CZ"/>
        </w:rPr>
        <w:t>c)</w:t>
      </w:r>
      <w:r>
        <w:rPr>
          <w:sz w:val="24"/>
          <w:lang w:eastAsia="cs-CZ"/>
        </w:rPr>
        <w:t xml:space="preserve"> </w:t>
      </w:r>
      <w:r w:rsidR="007D0372" w:rsidRPr="005C609A">
        <w:rPr>
          <w:b/>
          <w:sz w:val="24"/>
          <w:lang w:eastAsia="cs-CZ"/>
        </w:rPr>
        <w:t>Úsporu nákladů</w:t>
      </w:r>
      <w:r w:rsidR="008560A5">
        <w:rPr>
          <w:b/>
          <w:sz w:val="24"/>
          <w:lang w:eastAsia="cs-CZ"/>
        </w:rPr>
        <w:t xml:space="preserve"> na poskytování základních poštovních služeb</w:t>
      </w:r>
      <w:r w:rsidR="007D0372" w:rsidRPr="005C609A">
        <w:rPr>
          <w:b/>
          <w:sz w:val="24"/>
          <w:lang w:eastAsia="cs-CZ"/>
        </w:rPr>
        <w:t xml:space="preserve"> a vyšší zájem o poštovní licenci může přinést změna nařízení vlády.</w:t>
      </w:r>
      <w:r w:rsidR="0034387B" w:rsidRPr="0034387B">
        <w:t xml:space="preserve"> </w:t>
      </w:r>
      <w:r w:rsidR="0034387B" w:rsidRPr="0034387B">
        <w:rPr>
          <w:sz w:val="24"/>
          <w:lang w:eastAsia="cs-CZ"/>
        </w:rPr>
        <w:t xml:space="preserve">Významnou část nákladů základních poštovních služeb, které proplácí ČTÚ držiteli poštovní licence, tvoří náklady na provozovny (pošty). Jejich povinný počet stanoví </w:t>
      </w:r>
      <w:r w:rsidR="00DE642F">
        <w:rPr>
          <w:sz w:val="24"/>
          <w:lang w:eastAsia="cs-CZ"/>
        </w:rPr>
        <w:t>n</w:t>
      </w:r>
      <w:r w:rsidR="0034387B" w:rsidRPr="0034387B">
        <w:rPr>
          <w:sz w:val="24"/>
          <w:lang w:eastAsia="cs-CZ"/>
        </w:rPr>
        <w:t>ařízení vlády</w:t>
      </w:r>
      <w:r w:rsidR="0034387B">
        <w:rPr>
          <w:rStyle w:val="Znakapoznpodarou"/>
          <w:sz w:val="24"/>
        </w:rPr>
        <w:footnoteReference w:id="5"/>
      </w:r>
      <w:r w:rsidR="0034387B" w:rsidRPr="0034387B">
        <w:rPr>
          <w:sz w:val="24"/>
          <w:lang w:eastAsia="cs-CZ"/>
        </w:rPr>
        <w:t xml:space="preserve"> ve výši 3 200. Dle výpočtu ČTÚ z roku 2015 </w:t>
      </w:r>
      <w:r w:rsidR="0034387B" w:rsidRPr="0034387B">
        <w:rPr>
          <w:sz w:val="24"/>
          <w:lang w:eastAsia="cs-CZ"/>
        </w:rPr>
        <w:lastRenderedPageBreak/>
        <w:t>zahrnujícího i dostupnost a hustotu pošt a kvalitu služeb</w:t>
      </w:r>
      <w:r w:rsidR="0034387B" w:rsidRPr="00E746A6">
        <w:rPr>
          <w:rStyle w:val="Znakapoznpodarou"/>
          <w:sz w:val="24"/>
          <w:lang w:eastAsia="cs-CZ"/>
        </w:rPr>
        <w:footnoteReference w:id="6"/>
      </w:r>
      <w:r w:rsidR="0034387B" w:rsidRPr="0034387B">
        <w:rPr>
          <w:sz w:val="24"/>
          <w:lang w:eastAsia="cs-CZ"/>
        </w:rPr>
        <w:t xml:space="preserve">, by jich ale postačilo jen 2 100. Vysoký počet povinných pošt je </w:t>
      </w:r>
      <w:r w:rsidR="0034387B">
        <w:rPr>
          <w:sz w:val="24"/>
          <w:lang w:eastAsia="cs-CZ"/>
        </w:rPr>
        <w:t>jednou z</w:t>
      </w:r>
      <w:r w:rsidR="0034387B" w:rsidRPr="0034387B">
        <w:rPr>
          <w:sz w:val="24"/>
          <w:lang w:eastAsia="cs-CZ"/>
        </w:rPr>
        <w:t xml:space="preserve"> příčin nízkého zájmu o</w:t>
      </w:r>
      <w:r w:rsidR="008F241F">
        <w:rPr>
          <w:sz w:val="24"/>
          <w:lang w:eastAsia="cs-CZ"/>
        </w:rPr>
        <w:t> </w:t>
      </w:r>
      <w:r w:rsidR="0034387B" w:rsidRPr="0034387B">
        <w:rPr>
          <w:sz w:val="24"/>
          <w:lang w:eastAsia="cs-CZ"/>
        </w:rPr>
        <w:t>poštovní licenci</w:t>
      </w:r>
      <w:r w:rsidR="0034387B">
        <w:rPr>
          <w:sz w:val="24"/>
          <w:lang w:eastAsia="cs-CZ"/>
        </w:rPr>
        <w:t>.</w:t>
      </w:r>
      <w:r w:rsidR="007D0372">
        <w:rPr>
          <w:sz w:val="24"/>
          <w:lang w:eastAsia="cs-CZ"/>
        </w:rPr>
        <w:t xml:space="preserve"> </w:t>
      </w:r>
    </w:p>
    <w:p w14:paraId="4FE1BFA8" w14:textId="1E9B7DA6" w:rsidR="00693C66" w:rsidRPr="00552A31" w:rsidRDefault="00693C66" w:rsidP="00274546">
      <w:pPr>
        <w:pStyle w:val="Odstavecseseznamem"/>
        <w:numPr>
          <w:ilvl w:val="0"/>
          <w:numId w:val="21"/>
        </w:numPr>
        <w:spacing w:before="120" w:after="120" w:line="264" w:lineRule="auto"/>
        <w:ind w:left="284" w:hanging="284"/>
        <w:contextualSpacing w:val="0"/>
        <w:jc w:val="both"/>
        <w:rPr>
          <w:b/>
          <w:sz w:val="24"/>
          <w:lang w:eastAsia="cs-CZ"/>
        </w:rPr>
      </w:pPr>
      <w:r w:rsidRPr="00061CD9">
        <w:rPr>
          <w:b/>
          <w:sz w:val="24"/>
          <w:lang w:eastAsia="cs-CZ"/>
        </w:rPr>
        <w:t>Způsob, jakým ČTÚ provádí k</w:t>
      </w:r>
      <w:r w:rsidR="00506F26" w:rsidRPr="00061CD9">
        <w:rPr>
          <w:b/>
          <w:sz w:val="24"/>
          <w:lang w:eastAsia="cs-CZ"/>
        </w:rPr>
        <w:t>ontrol</w:t>
      </w:r>
      <w:r w:rsidRPr="00061CD9">
        <w:rPr>
          <w:b/>
          <w:sz w:val="24"/>
          <w:lang w:eastAsia="cs-CZ"/>
        </w:rPr>
        <w:t>u nároků oprávněných osob na slevu plynoucí z využívání některých dílčích služeb univerzální služby, je neefektivní.</w:t>
      </w:r>
      <w:r w:rsidRPr="00061CD9">
        <w:rPr>
          <w:sz w:val="24"/>
          <w:lang w:eastAsia="cs-CZ"/>
        </w:rPr>
        <w:t xml:space="preserve"> Kontrola</w:t>
      </w:r>
      <w:r w:rsidR="00506F26" w:rsidRPr="00061CD9">
        <w:rPr>
          <w:sz w:val="24"/>
          <w:lang w:eastAsia="cs-CZ"/>
        </w:rPr>
        <w:t xml:space="preserve"> založen</w:t>
      </w:r>
      <w:r w:rsidRPr="00061CD9">
        <w:rPr>
          <w:sz w:val="24"/>
          <w:lang w:eastAsia="cs-CZ"/>
        </w:rPr>
        <w:t>á</w:t>
      </w:r>
      <w:r w:rsidR="00506F26" w:rsidRPr="00061CD9">
        <w:rPr>
          <w:sz w:val="24"/>
          <w:lang w:eastAsia="cs-CZ"/>
        </w:rPr>
        <w:t xml:space="preserve"> na prvotních </w:t>
      </w:r>
      <w:r w:rsidR="00F62662">
        <w:rPr>
          <w:sz w:val="24"/>
          <w:lang w:eastAsia="cs-CZ"/>
        </w:rPr>
        <w:t>písemných</w:t>
      </w:r>
      <w:r w:rsidR="00F62662" w:rsidRPr="00061CD9">
        <w:rPr>
          <w:sz w:val="24"/>
          <w:lang w:eastAsia="cs-CZ"/>
        </w:rPr>
        <w:t xml:space="preserve"> </w:t>
      </w:r>
      <w:r w:rsidR="00506F26" w:rsidRPr="00061CD9">
        <w:rPr>
          <w:sz w:val="24"/>
          <w:lang w:eastAsia="cs-CZ"/>
        </w:rPr>
        <w:t>dokladech</w:t>
      </w:r>
      <w:r w:rsidRPr="00061CD9">
        <w:rPr>
          <w:sz w:val="24"/>
          <w:lang w:eastAsia="cs-CZ"/>
        </w:rPr>
        <w:t xml:space="preserve"> je administrativně</w:t>
      </w:r>
      <w:r w:rsidR="00061CD9" w:rsidRPr="00061CD9">
        <w:rPr>
          <w:sz w:val="24"/>
          <w:lang w:eastAsia="cs-CZ"/>
        </w:rPr>
        <w:t xml:space="preserve"> a časově</w:t>
      </w:r>
      <w:r w:rsidRPr="00061CD9">
        <w:rPr>
          <w:sz w:val="24"/>
          <w:lang w:eastAsia="cs-CZ"/>
        </w:rPr>
        <w:t xml:space="preserve"> náročná</w:t>
      </w:r>
      <w:r w:rsidR="00061CD9" w:rsidRPr="00061CD9">
        <w:rPr>
          <w:sz w:val="24"/>
          <w:lang w:eastAsia="cs-CZ"/>
        </w:rPr>
        <w:t xml:space="preserve"> a omezena ve svém rozsahu</w:t>
      </w:r>
      <w:r w:rsidRPr="00061CD9">
        <w:rPr>
          <w:sz w:val="24"/>
          <w:lang w:eastAsia="cs-CZ"/>
        </w:rPr>
        <w:t>. Potřebné informace jsou obsaženy v </w:t>
      </w:r>
      <w:r w:rsidRPr="00C61E99">
        <w:rPr>
          <w:i/>
          <w:sz w:val="24"/>
          <w:lang w:eastAsia="cs-CZ"/>
        </w:rPr>
        <w:t>Jednotném informačním systému práce a</w:t>
      </w:r>
      <w:r w:rsidR="00274546" w:rsidRPr="00C61E99">
        <w:rPr>
          <w:i/>
          <w:sz w:val="24"/>
          <w:lang w:eastAsia="cs-CZ"/>
        </w:rPr>
        <w:t> </w:t>
      </w:r>
      <w:r w:rsidRPr="00C61E99">
        <w:rPr>
          <w:i/>
          <w:sz w:val="24"/>
          <w:lang w:eastAsia="cs-CZ"/>
        </w:rPr>
        <w:t>sociálních věcí</w:t>
      </w:r>
      <w:r w:rsidRPr="00061CD9">
        <w:rPr>
          <w:sz w:val="24"/>
          <w:lang w:eastAsia="cs-CZ"/>
        </w:rPr>
        <w:t>, do kterého nemá ČTÚ povolený přístup. Jeho povolením by se</w:t>
      </w:r>
      <w:r w:rsidR="00061CD9" w:rsidRPr="00061CD9">
        <w:rPr>
          <w:sz w:val="24"/>
          <w:lang w:eastAsia="cs-CZ"/>
        </w:rPr>
        <w:t xml:space="preserve"> způsob kontroly této agendy</w:t>
      </w:r>
      <w:r w:rsidR="00061CD9">
        <w:rPr>
          <w:sz w:val="24"/>
          <w:lang w:eastAsia="cs-CZ"/>
        </w:rPr>
        <w:t xml:space="preserve"> zefektivnil</w:t>
      </w:r>
      <w:r w:rsidR="00061CD9" w:rsidRPr="00061CD9">
        <w:rPr>
          <w:sz w:val="24"/>
          <w:lang w:eastAsia="cs-CZ"/>
        </w:rPr>
        <w:t xml:space="preserve">. </w:t>
      </w:r>
    </w:p>
    <w:bookmarkEnd w:id="2"/>
    <w:p w14:paraId="0E0D7B32" w14:textId="62CD9736" w:rsidR="003869EF" w:rsidRDefault="003869EF" w:rsidP="00BF12BD">
      <w:pPr>
        <w:pStyle w:val="Nadpis1"/>
        <w:numPr>
          <w:ilvl w:val="0"/>
          <w:numId w:val="0"/>
        </w:numPr>
        <w:spacing w:after="240"/>
        <w:rPr>
          <w:sz w:val="28"/>
          <w:szCs w:val="28"/>
        </w:rPr>
      </w:pPr>
      <w:r w:rsidRPr="00891AA7">
        <w:rPr>
          <w:sz w:val="28"/>
          <w:szCs w:val="28"/>
        </w:rPr>
        <w:t>II. Informace o kontrolované oblasti</w:t>
      </w:r>
    </w:p>
    <w:p w14:paraId="69E6B033" w14:textId="04274118" w:rsidR="00F55586" w:rsidRDefault="00F55586" w:rsidP="00F55586">
      <w:pPr>
        <w:spacing w:after="0"/>
        <w:jc w:val="both"/>
        <w:rPr>
          <w:sz w:val="24"/>
        </w:rPr>
      </w:pPr>
      <w:r w:rsidRPr="006969CA">
        <w:rPr>
          <w:b/>
          <w:sz w:val="24"/>
        </w:rPr>
        <w:t>Český telekomunikační úřad</w:t>
      </w:r>
      <w:r w:rsidRPr="002F5E19">
        <w:rPr>
          <w:sz w:val="24"/>
        </w:rPr>
        <w:t xml:space="preserve"> byl zřízen </w:t>
      </w:r>
      <w:r w:rsidR="00AB451F">
        <w:rPr>
          <w:sz w:val="24"/>
        </w:rPr>
        <w:t>zákonem č. 151/2000 Sb., o telekomunikacích a</w:t>
      </w:r>
      <w:r w:rsidR="008F241F">
        <w:rPr>
          <w:sz w:val="24"/>
        </w:rPr>
        <w:t> </w:t>
      </w:r>
      <w:r w:rsidR="00AB451F">
        <w:rPr>
          <w:sz w:val="24"/>
        </w:rPr>
        <w:t>o</w:t>
      </w:r>
      <w:r w:rsidR="008F241F">
        <w:rPr>
          <w:sz w:val="24"/>
        </w:rPr>
        <w:t> </w:t>
      </w:r>
      <w:r w:rsidR="00AB451F">
        <w:rPr>
          <w:sz w:val="24"/>
        </w:rPr>
        <w:t>změně dalších zákonů</w:t>
      </w:r>
      <w:r w:rsidR="00551598">
        <w:rPr>
          <w:sz w:val="24"/>
        </w:rPr>
        <w:t>,</w:t>
      </w:r>
      <w:r w:rsidR="00AB451F">
        <w:rPr>
          <w:sz w:val="24"/>
        </w:rPr>
        <w:t xml:space="preserve"> ke dni 1. července 2000 </w:t>
      </w:r>
      <w:r w:rsidRPr="002F5E19">
        <w:rPr>
          <w:sz w:val="24"/>
        </w:rPr>
        <w:t xml:space="preserve">jakožto samostatný správní úřad. V roce 2005 se ČTÚ </w:t>
      </w:r>
      <w:r w:rsidR="00AB451F">
        <w:rPr>
          <w:sz w:val="24"/>
        </w:rPr>
        <w:t>novelou</w:t>
      </w:r>
      <w:r w:rsidRPr="002F5E19">
        <w:rPr>
          <w:sz w:val="24"/>
        </w:rPr>
        <w:t xml:space="preserve"> zákona</w:t>
      </w:r>
      <w:r w:rsidR="00E730E2" w:rsidRPr="00E730E2">
        <w:rPr>
          <w:sz w:val="24"/>
        </w:rPr>
        <w:t xml:space="preserve"> </w:t>
      </w:r>
      <w:r w:rsidR="00E730E2" w:rsidRPr="002F5E19">
        <w:rPr>
          <w:sz w:val="24"/>
        </w:rPr>
        <w:t xml:space="preserve">č. </w:t>
      </w:r>
      <w:r w:rsidR="00E730E2">
        <w:rPr>
          <w:sz w:val="24"/>
        </w:rPr>
        <w:t>95/2005</w:t>
      </w:r>
      <w:r w:rsidR="00E730E2" w:rsidRPr="002F5E19">
        <w:rPr>
          <w:sz w:val="24"/>
        </w:rPr>
        <w:t xml:space="preserve"> Sb</w:t>
      </w:r>
      <w:r w:rsidR="00E730E2">
        <w:rPr>
          <w:sz w:val="24"/>
        </w:rPr>
        <w:t>.</w:t>
      </w:r>
      <w:r w:rsidRPr="0096066E">
        <w:rPr>
          <w:rStyle w:val="Znakapoznpodarou"/>
          <w:rFonts w:cstheme="minorHAnsi"/>
        </w:rPr>
        <w:footnoteReference w:id="7"/>
      </w:r>
      <w:r w:rsidR="00E730E2">
        <w:rPr>
          <w:sz w:val="24"/>
        </w:rPr>
        <w:t xml:space="preserve"> stal ústředním orgánem státní správy</w:t>
      </w:r>
      <w:r w:rsidRPr="0096066E">
        <w:rPr>
          <w:rStyle w:val="Znakapoznpodarou"/>
          <w:rFonts w:cstheme="minorHAnsi"/>
        </w:rPr>
        <w:footnoteReference w:id="8"/>
      </w:r>
      <w:r w:rsidRPr="002F5E19">
        <w:rPr>
          <w:sz w:val="24"/>
        </w:rPr>
        <w:t xml:space="preserve"> a</w:t>
      </w:r>
      <w:r w:rsidR="001968AB">
        <w:rPr>
          <w:sz w:val="24"/>
        </w:rPr>
        <w:t> </w:t>
      </w:r>
      <w:r w:rsidRPr="002F5E19">
        <w:rPr>
          <w:sz w:val="24"/>
        </w:rPr>
        <w:t xml:space="preserve">přešly na něj kompetence v oblasti elektronických komunikací a poštovních služeb. ČTÚ je organizační složkou státu, správcem rozpočtové kapitoly 328 </w:t>
      </w:r>
      <w:r w:rsidR="001968AB">
        <w:rPr>
          <w:sz w:val="24"/>
        </w:rPr>
        <w:t>–</w:t>
      </w:r>
      <w:r w:rsidRPr="002F5E19">
        <w:rPr>
          <w:sz w:val="24"/>
        </w:rPr>
        <w:t xml:space="preserve"> </w:t>
      </w:r>
      <w:r w:rsidRPr="00C61E99">
        <w:rPr>
          <w:i/>
          <w:sz w:val="24"/>
        </w:rPr>
        <w:t>Český telekomunikační úřad</w:t>
      </w:r>
      <w:r w:rsidRPr="002F5E19">
        <w:rPr>
          <w:sz w:val="24"/>
        </w:rPr>
        <w:t>, je účetní jednotkou a veřejným zadavatelem. V čele ČTÚ stojí předseda Rady ČTÚ, kterého jmenuje a</w:t>
      </w:r>
      <w:r w:rsidR="00C92787">
        <w:rPr>
          <w:sz w:val="24"/>
        </w:rPr>
        <w:t> </w:t>
      </w:r>
      <w:r w:rsidRPr="002F5E19">
        <w:rPr>
          <w:sz w:val="24"/>
        </w:rPr>
        <w:t>odvolává vláda ČR na návrh ministra průmyslu a obchodu. ČTÚ sídlí v</w:t>
      </w:r>
      <w:r>
        <w:rPr>
          <w:sz w:val="24"/>
        </w:rPr>
        <w:t> </w:t>
      </w:r>
      <w:r w:rsidRPr="002F5E19">
        <w:rPr>
          <w:sz w:val="24"/>
        </w:rPr>
        <w:t>Praze</w:t>
      </w:r>
      <w:r>
        <w:rPr>
          <w:sz w:val="24"/>
        </w:rPr>
        <w:t xml:space="preserve"> </w:t>
      </w:r>
      <w:r w:rsidRPr="002F5E19">
        <w:rPr>
          <w:sz w:val="24"/>
        </w:rPr>
        <w:t>a má sedm regionálních pracovišť (v Brně, Českých Budějovicích, Plzni, Karlových Varech, Ústí nad Labem, Hradci Králové a Ostravě).</w:t>
      </w:r>
    </w:p>
    <w:p w14:paraId="52027496" w14:textId="77777777" w:rsidR="00F55586" w:rsidRDefault="00F55586" w:rsidP="00F55586">
      <w:pPr>
        <w:spacing w:after="0"/>
        <w:jc w:val="both"/>
        <w:rPr>
          <w:sz w:val="24"/>
        </w:rPr>
      </w:pPr>
    </w:p>
    <w:p w14:paraId="7B694A1E" w14:textId="25A76B63" w:rsidR="00D27AEC" w:rsidRPr="003457FE" w:rsidRDefault="00D27AEC" w:rsidP="00D27AEC">
      <w:pPr>
        <w:spacing w:after="0"/>
        <w:jc w:val="both"/>
        <w:rPr>
          <w:sz w:val="24"/>
        </w:rPr>
      </w:pPr>
      <w:r w:rsidRPr="003457FE">
        <w:rPr>
          <w:sz w:val="24"/>
        </w:rPr>
        <w:t>Působnost ČTÚ je dána především zákonem č. 127/2005 Sb. a zákonem č. 29/2000 Sb.</w:t>
      </w:r>
      <w:r w:rsidRPr="003457FE">
        <w:rPr>
          <w:rStyle w:val="Znakapoznpodarou"/>
          <w:rFonts w:cstheme="minorHAnsi"/>
        </w:rPr>
        <w:footnoteReference w:id="9"/>
      </w:r>
      <w:r w:rsidR="00551598">
        <w:rPr>
          <w:sz w:val="24"/>
        </w:rPr>
        <w:t>.</w:t>
      </w:r>
      <w:r w:rsidRPr="003457FE">
        <w:rPr>
          <w:sz w:val="24"/>
        </w:rPr>
        <w:t xml:space="preserve"> </w:t>
      </w:r>
      <w:r w:rsidR="00551598">
        <w:rPr>
          <w:sz w:val="24"/>
        </w:rPr>
        <w:t>N</w:t>
      </w:r>
      <w:r w:rsidRPr="003457FE">
        <w:rPr>
          <w:sz w:val="24"/>
        </w:rPr>
        <w:t>a základě</w:t>
      </w:r>
      <w:r w:rsidR="00551598">
        <w:rPr>
          <w:sz w:val="24"/>
        </w:rPr>
        <w:t xml:space="preserve"> těchto zákonů</w:t>
      </w:r>
      <w:r w:rsidRPr="003457FE">
        <w:rPr>
          <w:sz w:val="24"/>
        </w:rPr>
        <w:t xml:space="preserve"> ČTÚ:</w:t>
      </w:r>
    </w:p>
    <w:p w14:paraId="114D5A10" w14:textId="17399ECC" w:rsidR="00D27AEC" w:rsidRPr="00BA4B68" w:rsidRDefault="00D27AEC" w:rsidP="00BF12BD">
      <w:pPr>
        <w:pStyle w:val="Odstavecseseznamem"/>
        <w:numPr>
          <w:ilvl w:val="0"/>
          <w:numId w:val="19"/>
        </w:numPr>
        <w:spacing w:after="0"/>
        <w:ind w:left="284" w:hanging="284"/>
        <w:jc w:val="both"/>
        <w:rPr>
          <w:sz w:val="24"/>
        </w:rPr>
      </w:pPr>
      <w:r w:rsidRPr="000030EB">
        <w:rPr>
          <w:sz w:val="24"/>
        </w:rPr>
        <w:t>vykonává</w:t>
      </w:r>
      <w:r w:rsidRPr="000030EB">
        <w:rPr>
          <w:b/>
          <w:sz w:val="24"/>
        </w:rPr>
        <w:t xml:space="preserve"> správu rádiového spektra.</w:t>
      </w:r>
      <w:r w:rsidRPr="000030EB">
        <w:rPr>
          <w:sz w:val="24"/>
        </w:rPr>
        <w:t xml:space="preserve"> ČTÚ odpovídá za jeho účelné využití. Při jeho správě sestavuje </w:t>
      </w:r>
      <w:r w:rsidR="00053478" w:rsidRPr="000030EB">
        <w:rPr>
          <w:sz w:val="24"/>
        </w:rPr>
        <w:t xml:space="preserve">ČTÚ </w:t>
      </w:r>
      <w:r w:rsidRPr="000030EB">
        <w:rPr>
          <w:sz w:val="24"/>
        </w:rPr>
        <w:t xml:space="preserve">plán využití kmitočtového spektra a návrh plánu přidělení kmitočtových pásem včetně jeho změn, uděluje individuální oprávnění k využívání rádiových </w:t>
      </w:r>
      <w:r w:rsidR="00B1728F">
        <w:rPr>
          <w:sz w:val="24"/>
        </w:rPr>
        <w:br/>
      </w:r>
      <w:r w:rsidRPr="000030EB">
        <w:rPr>
          <w:sz w:val="24"/>
        </w:rPr>
        <w:t xml:space="preserve">kmitočtů, uděluje příděly rádiových kmitočtů včetně souhlasu k jejich převodu, koordinuje rádiové kmitočty a kmitočtová pásma a kontroluje využívání rádiového spektra. </w:t>
      </w:r>
      <w:r w:rsidR="00B1728F">
        <w:rPr>
          <w:sz w:val="24"/>
        </w:rPr>
        <w:br/>
      </w:r>
      <w:r w:rsidRPr="000030EB">
        <w:rPr>
          <w:sz w:val="24"/>
        </w:rPr>
        <w:t xml:space="preserve">V roce 2020 ČTÚ realizoval </w:t>
      </w:r>
      <w:r w:rsidR="00053478">
        <w:rPr>
          <w:sz w:val="24"/>
        </w:rPr>
        <w:t>v</w:t>
      </w:r>
      <w:r w:rsidRPr="000030EB">
        <w:rPr>
          <w:sz w:val="24"/>
        </w:rPr>
        <w:t>ýběrové řízení za účelem udělení práv k využívání rádiových kmitočtů pro zajištění sítí elekt</w:t>
      </w:r>
      <w:r w:rsidRPr="00834023">
        <w:rPr>
          <w:sz w:val="24"/>
        </w:rPr>
        <w:t>ronických komunikací v kmitočtových pásmech 700 MHz a</w:t>
      </w:r>
      <w:r w:rsidR="00B1728F">
        <w:rPr>
          <w:sz w:val="24"/>
        </w:rPr>
        <w:t> </w:t>
      </w:r>
      <w:r w:rsidRPr="00834023">
        <w:rPr>
          <w:sz w:val="24"/>
        </w:rPr>
        <w:t>3400</w:t>
      </w:r>
      <w:r w:rsidR="008F241F">
        <w:rPr>
          <w:sz w:val="24"/>
        </w:rPr>
        <w:t>–</w:t>
      </w:r>
      <w:r w:rsidRPr="00834023">
        <w:rPr>
          <w:sz w:val="24"/>
        </w:rPr>
        <w:t>3600</w:t>
      </w:r>
      <w:r w:rsidR="00B1728F">
        <w:rPr>
          <w:sz w:val="24"/>
        </w:rPr>
        <w:t> </w:t>
      </w:r>
      <w:r w:rsidRPr="00834023">
        <w:rPr>
          <w:sz w:val="24"/>
        </w:rPr>
        <w:t>MHz</w:t>
      </w:r>
      <w:r w:rsidR="00551598">
        <w:rPr>
          <w:sz w:val="24"/>
        </w:rPr>
        <w:t>;</w:t>
      </w:r>
    </w:p>
    <w:p w14:paraId="170F4672" w14:textId="0CA6C90B" w:rsidR="00D27AEC" w:rsidRDefault="00D27AEC" w:rsidP="00BF12BD">
      <w:pPr>
        <w:pStyle w:val="Odstavecseseznamem"/>
        <w:numPr>
          <w:ilvl w:val="0"/>
          <w:numId w:val="19"/>
        </w:numPr>
        <w:spacing w:after="0"/>
        <w:ind w:left="284" w:hanging="284"/>
        <w:jc w:val="both"/>
        <w:rPr>
          <w:sz w:val="24"/>
        </w:rPr>
      </w:pPr>
      <w:r>
        <w:rPr>
          <w:sz w:val="24"/>
        </w:rPr>
        <w:t xml:space="preserve">ukládá povinnost poskytovat </w:t>
      </w:r>
      <w:r w:rsidRPr="00B93FBA">
        <w:rPr>
          <w:b/>
          <w:sz w:val="24"/>
        </w:rPr>
        <w:t>dílčí služby</w:t>
      </w:r>
      <w:r w:rsidRPr="007B3A3C">
        <w:rPr>
          <w:b/>
          <w:sz w:val="24"/>
        </w:rPr>
        <w:t xml:space="preserve"> univerzální služby</w:t>
      </w:r>
      <w:r w:rsidR="0034387B" w:rsidRPr="002F15FC">
        <w:rPr>
          <w:sz w:val="24"/>
          <w:vertAlign w:val="superscript"/>
        </w:rPr>
        <w:t>1</w:t>
      </w:r>
      <w:r>
        <w:rPr>
          <w:sz w:val="24"/>
        </w:rPr>
        <w:t xml:space="preserve"> v elektronických komunikacích definované v zákoně č. 127/2005 Sb. Pokud ČTÚ shledá, že některá z definovaných dílčích služeb univerzální služby není poskytována na území ČR v potřebném rozsahu, kvalitě a</w:t>
      </w:r>
      <w:r w:rsidR="00FA6F1C">
        <w:rPr>
          <w:sz w:val="24"/>
        </w:rPr>
        <w:t> </w:t>
      </w:r>
      <w:r>
        <w:rPr>
          <w:sz w:val="24"/>
        </w:rPr>
        <w:t xml:space="preserve">cenové hladině na komerční bázi, uloží ČTÚ povinnost </w:t>
      </w:r>
      <w:r w:rsidR="00D83845">
        <w:rPr>
          <w:sz w:val="24"/>
        </w:rPr>
        <w:t>jí poskytovat.</w:t>
      </w:r>
      <w:r>
        <w:rPr>
          <w:sz w:val="24"/>
        </w:rPr>
        <w:t xml:space="preserve"> Za takto uloženou povinnost náleží poskytovateli dané dílčí služby úhrada čistých nákladů či úhrada ztráty </w:t>
      </w:r>
      <w:r>
        <w:rPr>
          <w:sz w:val="24"/>
        </w:rPr>
        <w:lastRenderedPageBreak/>
        <w:t>z poskytování dané dílčí služby. Na poskytovatele dílčí služby univerzální služby</w:t>
      </w:r>
      <w:r w:rsidR="00053478">
        <w:rPr>
          <w:sz w:val="24"/>
        </w:rPr>
        <w:t xml:space="preserve"> vyhlašuje</w:t>
      </w:r>
      <w:r>
        <w:rPr>
          <w:sz w:val="24"/>
        </w:rPr>
        <w:t xml:space="preserve"> ČTÚ výběrové řízení</w:t>
      </w:r>
      <w:r w:rsidR="00551598">
        <w:rPr>
          <w:sz w:val="24"/>
        </w:rPr>
        <w:t>;</w:t>
      </w:r>
      <w:r>
        <w:rPr>
          <w:sz w:val="24"/>
        </w:rPr>
        <w:t xml:space="preserve"> </w:t>
      </w:r>
    </w:p>
    <w:p w14:paraId="400E4F3E" w14:textId="757B51CE" w:rsidR="00D27AEC" w:rsidRPr="000030EB" w:rsidRDefault="00D27AEC" w:rsidP="00BF12BD">
      <w:pPr>
        <w:pStyle w:val="Odstavecseseznamem"/>
        <w:numPr>
          <w:ilvl w:val="0"/>
          <w:numId w:val="19"/>
        </w:numPr>
        <w:spacing w:after="0"/>
        <w:ind w:left="284" w:hanging="284"/>
        <w:jc w:val="both"/>
        <w:rPr>
          <w:sz w:val="24"/>
        </w:rPr>
      </w:pPr>
      <w:r w:rsidRPr="000030EB">
        <w:rPr>
          <w:b/>
          <w:sz w:val="24"/>
        </w:rPr>
        <w:t>analyzuje a stanoví relevantní trhy v oboru elektronických komunikací</w:t>
      </w:r>
      <w:r w:rsidRPr="000030EB">
        <w:rPr>
          <w:sz w:val="24"/>
        </w:rPr>
        <w:t xml:space="preserve"> v souladu se zákonem č. 127/2005 Sb., včetně kritérií pro vymezení relevantního trhu a kritérií pro hodnocení významné tržní síly. V definovaných relevantních trzích ČTÚ zkoumá, zda jsou efektivně konkurenční</w:t>
      </w:r>
      <w:r w:rsidR="00551598">
        <w:rPr>
          <w:sz w:val="24"/>
        </w:rPr>
        <w:t>;</w:t>
      </w:r>
    </w:p>
    <w:p w14:paraId="0002D079" w14:textId="27C4EBEE" w:rsidR="00D27AEC" w:rsidRPr="00556A42" w:rsidRDefault="00D27AEC" w:rsidP="006151DC">
      <w:pPr>
        <w:pStyle w:val="Odstavecseseznamem"/>
        <w:numPr>
          <w:ilvl w:val="0"/>
          <w:numId w:val="19"/>
        </w:numPr>
        <w:spacing w:after="0"/>
        <w:ind w:left="284" w:hanging="284"/>
        <w:jc w:val="both"/>
        <w:rPr>
          <w:sz w:val="24"/>
          <w:szCs w:val="24"/>
        </w:rPr>
      </w:pPr>
      <w:r w:rsidRPr="00556A42">
        <w:rPr>
          <w:sz w:val="24"/>
          <w:szCs w:val="24"/>
        </w:rPr>
        <w:t xml:space="preserve">plní roli </w:t>
      </w:r>
      <w:r w:rsidRPr="00495138">
        <w:rPr>
          <w:sz w:val="24"/>
          <w:szCs w:val="24"/>
        </w:rPr>
        <w:t>nezávislého</w:t>
      </w:r>
      <w:r w:rsidRPr="00834B68">
        <w:rPr>
          <w:b/>
          <w:sz w:val="24"/>
          <w:szCs w:val="24"/>
        </w:rPr>
        <w:t xml:space="preserve"> </w:t>
      </w:r>
      <w:r w:rsidR="00D47294">
        <w:rPr>
          <w:b/>
          <w:sz w:val="24"/>
          <w:szCs w:val="24"/>
        </w:rPr>
        <w:t>správního a</w:t>
      </w:r>
      <w:r w:rsidRPr="00834B68">
        <w:rPr>
          <w:b/>
          <w:sz w:val="24"/>
          <w:szCs w:val="24"/>
        </w:rPr>
        <w:t xml:space="preserve"> regulačního orgánu v oblasti poštovních služeb</w:t>
      </w:r>
      <w:r>
        <w:rPr>
          <w:b/>
          <w:sz w:val="24"/>
          <w:szCs w:val="24"/>
        </w:rPr>
        <w:t xml:space="preserve"> </w:t>
      </w:r>
      <w:r w:rsidRPr="000030EB">
        <w:rPr>
          <w:sz w:val="24"/>
          <w:szCs w:val="24"/>
        </w:rPr>
        <w:t>a ukládá povinnost poskytovat základní poštovní služby</w:t>
      </w:r>
      <w:r>
        <w:rPr>
          <w:sz w:val="24"/>
          <w:szCs w:val="24"/>
        </w:rPr>
        <w:t xml:space="preserve"> (dále </w:t>
      </w:r>
      <w:r w:rsidR="00176EA4">
        <w:rPr>
          <w:sz w:val="24"/>
          <w:szCs w:val="24"/>
        </w:rPr>
        <w:t>také</w:t>
      </w:r>
      <w:r>
        <w:rPr>
          <w:sz w:val="24"/>
          <w:szCs w:val="24"/>
        </w:rPr>
        <w:t xml:space="preserve"> „základní služby“)</w:t>
      </w:r>
      <w:r w:rsidRPr="00053478">
        <w:rPr>
          <w:sz w:val="24"/>
          <w:szCs w:val="24"/>
        </w:rPr>
        <w:t xml:space="preserve">. </w:t>
      </w:r>
      <w:r w:rsidRPr="00556A42">
        <w:rPr>
          <w:sz w:val="24"/>
          <w:szCs w:val="24"/>
        </w:rPr>
        <w:t>Zákon č.</w:t>
      </w:r>
      <w:r w:rsidR="00053478">
        <w:rPr>
          <w:sz w:val="24"/>
          <w:szCs w:val="24"/>
        </w:rPr>
        <w:t> </w:t>
      </w:r>
      <w:r w:rsidRPr="00556A42">
        <w:rPr>
          <w:sz w:val="24"/>
          <w:szCs w:val="24"/>
        </w:rPr>
        <w:t xml:space="preserve">29/2000 Sb. </w:t>
      </w:r>
      <w:r>
        <w:rPr>
          <w:sz w:val="24"/>
          <w:szCs w:val="24"/>
        </w:rPr>
        <w:t>vymezuje</w:t>
      </w:r>
      <w:r>
        <w:rPr>
          <w:rFonts w:cstheme="minorHAnsi"/>
          <w:sz w:val="24"/>
          <w:szCs w:val="24"/>
        </w:rPr>
        <w:t xml:space="preserve"> </w:t>
      </w:r>
      <w:r w:rsidRPr="00834B68">
        <w:rPr>
          <w:rFonts w:cstheme="minorHAnsi"/>
          <w:b/>
          <w:sz w:val="24"/>
          <w:szCs w:val="24"/>
        </w:rPr>
        <w:t xml:space="preserve">základní </w:t>
      </w:r>
      <w:r>
        <w:rPr>
          <w:rFonts w:cstheme="minorHAnsi"/>
          <w:b/>
          <w:sz w:val="24"/>
          <w:szCs w:val="24"/>
        </w:rPr>
        <w:t>služby</w:t>
      </w:r>
      <w:r>
        <w:rPr>
          <w:rFonts w:cstheme="minorHAnsi"/>
          <w:sz w:val="24"/>
          <w:szCs w:val="24"/>
        </w:rPr>
        <w:t xml:space="preserve"> v rozsahu:</w:t>
      </w:r>
    </w:p>
    <w:p w14:paraId="0704685C" w14:textId="77777777" w:rsidR="00D27AEC" w:rsidRPr="00F244C9" w:rsidRDefault="00D27AEC" w:rsidP="006151DC">
      <w:pPr>
        <w:pStyle w:val="Odstavecseseznamem"/>
        <w:numPr>
          <w:ilvl w:val="0"/>
          <w:numId w:val="28"/>
        </w:numPr>
        <w:spacing w:after="0" w:line="240" w:lineRule="auto"/>
        <w:ind w:left="567" w:hanging="283"/>
        <w:jc w:val="both"/>
        <w:rPr>
          <w:rFonts w:cstheme="minorHAnsi"/>
          <w:sz w:val="24"/>
        </w:rPr>
      </w:pPr>
      <w:r w:rsidRPr="00F244C9">
        <w:rPr>
          <w:rFonts w:cstheme="minorHAnsi"/>
          <w:sz w:val="24"/>
        </w:rPr>
        <w:t xml:space="preserve">dodání poštovních zásilek do 2 kg, </w:t>
      </w:r>
    </w:p>
    <w:p w14:paraId="4F243FF4" w14:textId="77777777" w:rsidR="00D27AEC" w:rsidRPr="00F244C9" w:rsidRDefault="00D27AEC" w:rsidP="006151DC">
      <w:pPr>
        <w:pStyle w:val="Odstavecseseznamem"/>
        <w:numPr>
          <w:ilvl w:val="0"/>
          <w:numId w:val="28"/>
        </w:numPr>
        <w:spacing w:after="0" w:line="240" w:lineRule="auto"/>
        <w:ind w:left="567" w:hanging="283"/>
        <w:jc w:val="both"/>
        <w:rPr>
          <w:rFonts w:cstheme="minorHAnsi"/>
          <w:sz w:val="24"/>
        </w:rPr>
      </w:pPr>
      <w:r w:rsidRPr="00F244C9">
        <w:rPr>
          <w:rFonts w:cstheme="minorHAnsi"/>
          <w:sz w:val="24"/>
        </w:rPr>
        <w:t xml:space="preserve">dodání poštovních balíků do 10 kg, </w:t>
      </w:r>
    </w:p>
    <w:p w14:paraId="3CB65399" w14:textId="77777777" w:rsidR="00D27AEC" w:rsidRPr="00F244C9" w:rsidRDefault="00D27AEC" w:rsidP="006151DC">
      <w:pPr>
        <w:pStyle w:val="Odstavecseseznamem"/>
        <w:numPr>
          <w:ilvl w:val="0"/>
          <w:numId w:val="28"/>
        </w:numPr>
        <w:spacing w:after="0" w:line="240" w:lineRule="auto"/>
        <w:ind w:left="567" w:hanging="283"/>
        <w:jc w:val="both"/>
        <w:rPr>
          <w:rFonts w:cstheme="minorHAnsi"/>
          <w:sz w:val="24"/>
        </w:rPr>
      </w:pPr>
      <w:r w:rsidRPr="00F244C9">
        <w:rPr>
          <w:rFonts w:cstheme="minorHAnsi"/>
          <w:sz w:val="24"/>
        </w:rPr>
        <w:t xml:space="preserve">dodání peněžní částky poštovním poukazem, </w:t>
      </w:r>
    </w:p>
    <w:p w14:paraId="39B1DACA" w14:textId="77777777" w:rsidR="00D27AEC" w:rsidRPr="00F244C9" w:rsidRDefault="00D27AEC" w:rsidP="006151DC">
      <w:pPr>
        <w:pStyle w:val="Odstavecseseznamem"/>
        <w:numPr>
          <w:ilvl w:val="0"/>
          <w:numId w:val="28"/>
        </w:numPr>
        <w:spacing w:after="0" w:line="240" w:lineRule="auto"/>
        <w:ind w:left="567" w:hanging="283"/>
        <w:jc w:val="both"/>
        <w:rPr>
          <w:rFonts w:cstheme="minorHAnsi"/>
          <w:sz w:val="24"/>
        </w:rPr>
      </w:pPr>
      <w:r w:rsidRPr="00F244C9">
        <w:rPr>
          <w:rFonts w:cstheme="minorHAnsi"/>
          <w:sz w:val="24"/>
        </w:rPr>
        <w:t xml:space="preserve">dodání doporučených zásilek, </w:t>
      </w:r>
    </w:p>
    <w:p w14:paraId="772358C9" w14:textId="77777777" w:rsidR="00D27AEC" w:rsidRPr="00F244C9" w:rsidRDefault="00D27AEC" w:rsidP="006151DC">
      <w:pPr>
        <w:pStyle w:val="Odstavecseseznamem"/>
        <w:numPr>
          <w:ilvl w:val="0"/>
          <w:numId w:val="28"/>
        </w:numPr>
        <w:spacing w:after="0" w:line="240" w:lineRule="auto"/>
        <w:ind w:left="567" w:hanging="283"/>
        <w:jc w:val="both"/>
        <w:rPr>
          <w:rFonts w:cstheme="minorHAnsi"/>
          <w:sz w:val="24"/>
        </w:rPr>
      </w:pPr>
      <w:r w:rsidRPr="00F244C9">
        <w:rPr>
          <w:rFonts w:cstheme="minorHAnsi"/>
          <w:sz w:val="24"/>
        </w:rPr>
        <w:t xml:space="preserve">dodání cenných zásilek, </w:t>
      </w:r>
    </w:p>
    <w:p w14:paraId="22121C52" w14:textId="77777777" w:rsidR="00D27AEC" w:rsidRDefault="00D27AEC" w:rsidP="006151DC">
      <w:pPr>
        <w:pStyle w:val="Odstavecseseznamem"/>
        <w:numPr>
          <w:ilvl w:val="0"/>
          <w:numId w:val="28"/>
        </w:numPr>
        <w:spacing w:after="0" w:line="240" w:lineRule="auto"/>
        <w:ind w:left="567" w:hanging="283"/>
        <w:jc w:val="both"/>
        <w:rPr>
          <w:rFonts w:cstheme="minorHAnsi"/>
          <w:sz w:val="24"/>
        </w:rPr>
      </w:pPr>
      <w:r w:rsidRPr="00F244C9">
        <w:rPr>
          <w:rFonts w:cstheme="minorHAnsi"/>
          <w:sz w:val="24"/>
        </w:rPr>
        <w:t>bezúplatné dodání poštovních zásilek do 7 kg pro nevidomé osoby</w:t>
      </w:r>
      <w:r>
        <w:rPr>
          <w:rFonts w:cstheme="minorHAnsi"/>
          <w:sz w:val="24"/>
        </w:rPr>
        <w:t>,</w:t>
      </w:r>
    </w:p>
    <w:p w14:paraId="2BD52EA9" w14:textId="77777777" w:rsidR="00D27AEC" w:rsidRPr="00CA4242" w:rsidRDefault="00D27AEC" w:rsidP="006151DC">
      <w:pPr>
        <w:pStyle w:val="Odstavecseseznamem"/>
        <w:numPr>
          <w:ilvl w:val="0"/>
          <w:numId w:val="28"/>
        </w:numPr>
        <w:spacing w:after="0" w:line="240" w:lineRule="auto"/>
        <w:ind w:left="567" w:hanging="283"/>
        <w:jc w:val="both"/>
        <w:rPr>
          <w:sz w:val="24"/>
        </w:rPr>
      </w:pPr>
      <w:r w:rsidRPr="00CA4242">
        <w:rPr>
          <w:rFonts w:cstheme="minorHAnsi"/>
          <w:sz w:val="24"/>
        </w:rPr>
        <w:t xml:space="preserve">poštovní služby zajišťované na základě závazků vyplývajících ze členství ČR ve </w:t>
      </w:r>
      <w:r w:rsidRPr="00E730E2">
        <w:rPr>
          <w:rFonts w:cstheme="minorHAnsi"/>
          <w:sz w:val="24"/>
          <w:szCs w:val="24"/>
        </w:rPr>
        <w:t>Světové poštovní unii</w:t>
      </w:r>
      <w:r w:rsidRPr="00E730E2">
        <w:rPr>
          <w:rStyle w:val="Znakapoznpodarou"/>
          <w:rFonts w:cstheme="minorHAnsi"/>
          <w:sz w:val="24"/>
          <w:szCs w:val="24"/>
        </w:rPr>
        <w:footnoteReference w:id="10"/>
      </w:r>
      <w:r w:rsidRPr="00E730E2">
        <w:rPr>
          <w:rFonts w:cstheme="minorHAnsi"/>
          <w:sz w:val="24"/>
          <w:szCs w:val="24"/>
        </w:rPr>
        <w:t>.</w:t>
      </w:r>
    </w:p>
    <w:p w14:paraId="3239D1F9" w14:textId="77777777" w:rsidR="00E730E2" w:rsidRPr="006151DC" w:rsidRDefault="00E730E2" w:rsidP="006151DC">
      <w:pPr>
        <w:spacing w:after="0"/>
        <w:jc w:val="both"/>
        <w:rPr>
          <w:color w:val="000000" w:themeColor="text1"/>
          <w:sz w:val="24"/>
        </w:rPr>
      </w:pPr>
    </w:p>
    <w:p w14:paraId="4132EF64" w14:textId="16FE4F7D" w:rsidR="00D27AEC" w:rsidRPr="006151DC" w:rsidRDefault="00F95186" w:rsidP="006151DC">
      <w:pPr>
        <w:spacing w:after="0"/>
        <w:jc w:val="both"/>
        <w:rPr>
          <w:color w:val="000000" w:themeColor="text1"/>
          <w:sz w:val="24"/>
        </w:rPr>
      </w:pPr>
      <w:r w:rsidRPr="006151DC">
        <w:rPr>
          <w:color w:val="000000" w:themeColor="text1"/>
          <w:sz w:val="24"/>
        </w:rPr>
        <w:t>Platná právní úprava</w:t>
      </w:r>
      <w:r w:rsidR="00D27AEC" w:rsidRPr="006151DC">
        <w:rPr>
          <w:color w:val="000000" w:themeColor="text1"/>
          <w:sz w:val="24"/>
        </w:rPr>
        <w:t xml:space="preserve"> stanoví požadavky na poskytování základních služeb </w:t>
      </w:r>
      <w:r w:rsidR="00551598">
        <w:rPr>
          <w:color w:val="000000" w:themeColor="text1"/>
          <w:sz w:val="24"/>
        </w:rPr>
        <w:t>–</w:t>
      </w:r>
      <w:r w:rsidR="00D27AEC" w:rsidRPr="006151DC">
        <w:rPr>
          <w:color w:val="000000" w:themeColor="text1"/>
          <w:sz w:val="24"/>
        </w:rPr>
        <w:t xml:space="preserve"> technickou specifikaci jednotlivých základních služeb, kvalitativní požadavky vč. jejich dostupnosti.</w:t>
      </w:r>
      <w:r w:rsidR="00707BFA" w:rsidRPr="006151DC">
        <w:rPr>
          <w:color w:val="000000" w:themeColor="text1"/>
          <w:sz w:val="24"/>
        </w:rPr>
        <w:t xml:space="preserve"> </w:t>
      </w:r>
      <w:r w:rsidR="00D27AEC" w:rsidRPr="006151DC">
        <w:rPr>
          <w:color w:val="000000" w:themeColor="text1"/>
          <w:sz w:val="24"/>
        </w:rPr>
        <w:t xml:space="preserve">ČTÚ má dle zákona o poštovních službách v souvislosti se základními službami mj. provádět analýzy všeobecné dostupnosti základních služeb, přezkoumávat nutnost uložení povinnosti poskytovat a zajišťovat základní služby, vyhlašuje výběrové řízení na držitele poštovní licence, uděluje poštovní licenci, která ukládá </w:t>
      </w:r>
      <w:r w:rsidR="00053478" w:rsidRPr="006151DC">
        <w:rPr>
          <w:color w:val="000000" w:themeColor="text1"/>
          <w:sz w:val="24"/>
        </w:rPr>
        <w:t>jejímu držiteli povinnost</w:t>
      </w:r>
      <w:r w:rsidR="00D27AEC" w:rsidRPr="006151DC">
        <w:rPr>
          <w:color w:val="000000" w:themeColor="text1"/>
          <w:sz w:val="24"/>
        </w:rPr>
        <w:t xml:space="preserve"> provozovat základní poštovní služby za stanovených podmínek. ČTÚ přezkoumává plnění povinností uložených držiteli poštovní licence. Poskytováním a zajišťováním základních služeb vznikají držiteli poštovní licence náklady a výnosy (</w:t>
      </w:r>
      <w:r w:rsidR="00DA463D" w:rsidRPr="006151DC">
        <w:rPr>
          <w:color w:val="000000" w:themeColor="text1"/>
          <w:sz w:val="24"/>
        </w:rPr>
        <w:t xml:space="preserve">jejich rozdílem jsou </w:t>
      </w:r>
      <w:r w:rsidR="00D27AEC" w:rsidRPr="006151DC">
        <w:rPr>
          <w:color w:val="000000" w:themeColor="text1"/>
          <w:sz w:val="24"/>
        </w:rPr>
        <w:t xml:space="preserve">tzv. čisté náklady), které by mu bez uložení této povinnosti nevznikaly. Držitel poštovní licence může požádat o kompenzaci čistých nákladů představujících nespravedlivou finanční zátěž, a to do výše zákonného limitu. </w:t>
      </w:r>
    </w:p>
    <w:p w14:paraId="73C54254" w14:textId="77777777" w:rsidR="006E2D2A" w:rsidRPr="006151DC" w:rsidRDefault="006E2D2A" w:rsidP="006151DC">
      <w:pPr>
        <w:spacing w:after="0"/>
        <w:jc w:val="both"/>
        <w:rPr>
          <w:color w:val="000000" w:themeColor="text1"/>
          <w:sz w:val="24"/>
        </w:rPr>
      </w:pPr>
    </w:p>
    <w:p w14:paraId="433F7316" w14:textId="0F7D99D6" w:rsidR="00F55586" w:rsidRDefault="00F55586" w:rsidP="00FF2867">
      <w:pPr>
        <w:tabs>
          <w:tab w:val="left" w:pos="7797"/>
        </w:tabs>
        <w:spacing w:after="0"/>
        <w:jc w:val="both"/>
        <w:rPr>
          <w:sz w:val="24"/>
        </w:rPr>
      </w:pPr>
      <w:r w:rsidRPr="000B4158">
        <w:rPr>
          <w:sz w:val="24"/>
        </w:rPr>
        <w:t xml:space="preserve">Celková výše účetní hodnoty dlouhodobého hmotného a nehmotného majetku dosáhla k 31. prosinci 2021 celkem 701 949 855 Kč. ČTÚ měl v době ukončení kontroly NKÚ příslušnost hospodaření ke třem stavbám a 27 pozemkům v celkové účetní hodnotě 514 907 610 Kč, jež byly ve vlastnictví ČR, případně na nichž měla ČR spoluvlastnický podíl. </w:t>
      </w:r>
      <w:r>
        <w:rPr>
          <w:sz w:val="24"/>
        </w:rPr>
        <w:t>V roce 2018 a 202</w:t>
      </w:r>
      <w:r w:rsidR="00F95186">
        <w:rPr>
          <w:sz w:val="24"/>
        </w:rPr>
        <w:t>0</w:t>
      </w:r>
      <w:r>
        <w:rPr>
          <w:sz w:val="24"/>
        </w:rPr>
        <w:t xml:space="preserve"> </w:t>
      </w:r>
      <w:r w:rsidRPr="000B4158">
        <w:rPr>
          <w:sz w:val="24"/>
        </w:rPr>
        <w:t>pořídil ČTÚ nemovitý majetek za celkovou pořizovací cenu 3 526 564 Kč. Jednalo se o</w:t>
      </w:r>
      <w:r w:rsidR="00B1728F">
        <w:rPr>
          <w:sz w:val="24"/>
        </w:rPr>
        <w:t> </w:t>
      </w:r>
      <w:r w:rsidRPr="000B4158">
        <w:rPr>
          <w:sz w:val="24"/>
        </w:rPr>
        <w:t>10</w:t>
      </w:r>
      <w:r w:rsidR="00B1728F">
        <w:rPr>
          <w:sz w:val="24"/>
        </w:rPr>
        <w:t> </w:t>
      </w:r>
      <w:r w:rsidRPr="000B4158">
        <w:rPr>
          <w:sz w:val="24"/>
        </w:rPr>
        <w:t>parkovacích stání v budově sídla ČTÚ a pět parkovacích stání v Brně, pořízených zejména za účelem parkování měř</w:t>
      </w:r>
      <w:r w:rsidR="00392184">
        <w:rPr>
          <w:sz w:val="24"/>
        </w:rPr>
        <w:t>i</w:t>
      </w:r>
      <w:r w:rsidRPr="000B4158">
        <w:rPr>
          <w:sz w:val="24"/>
        </w:rPr>
        <w:t xml:space="preserve">cích vozů vybavených speciální technikou. Movitý majetek ČTÚ pořídil v kontrolovaném období let 2018 </w:t>
      </w:r>
      <w:r w:rsidR="00474AF0">
        <w:rPr>
          <w:sz w:val="24"/>
        </w:rPr>
        <w:t>až</w:t>
      </w:r>
      <w:r w:rsidRPr="000B4158">
        <w:rPr>
          <w:sz w:val="24"/>
        </w:rPr>
        <w:t xml:space="preserve"> 2022 v celkové hodnotě 110 758 540,45 Kč. </w:t>
      </w:r>
    </w:p>
    <w:p w14:paraId="742EEF9A" w14:textId="5E08BCF0" w:rsidR="00F55586" w:rsidRDefault="00F55586" w:rsidP="00F55586">
      <w:pPr>
        <w:spacing w:after="0"/>
        <w:jc w:val="both"/>
        <w:rPr>
          <w:sz w:val="24"/>
        </w:rPr>
      </w:pPr>
    </w:p>
    <w:p w14:paraId="6DB7BB22" w14:textId="4C86AB08" w:rsidR="00F55586" w:rsidRPr="00BF68CD" w:rsidRDefault="00F55586" w:rsidP="006151DC">
      <w:pPr>
        <w:keepNext/>
        <w:spacing w:after="40" w:line="240" w:lineRule="auto"/>
        <w:jc w:val="both"/>
        <w:rPr>
          <w:b/>
          <w:sz w:val="24"/>
        </w:rPr>
      </w:pPr>
      <w:r w:rsidRPr="00BF68CD">
        <w:rPr>
          <w:b/>
          <w:sz w:val="24"/>
        </w:rPr>
        <w:lastRenderedPageBreak/>
        <w:t xml:space="preserve">Tabulka č. 1: Příjmy a výdaje ČTÚ v letech 2018 </w:t>
      </w:r>
      <w:r w:rsidR="00474AF0" w:rsidRPr="00BF68CD">
        <w:rPr>
          <w:b/>
          <w:sz w:val="24"/>
        </w:rPr>
        <w:t>až</w:t>
      </w:r>
      <w:r w:rsidRPr="00BF68CD">
        <w:rPr>
          <w:b/>
          <w:sz w:val="24"/>
        </w:rPr>
        <w:t xml:space="preserve"> 2021 (v Kč)</w:t>
      </w:r>
    </w:p>
    <w:tbl>
      <w:tblPr>
        <w:tblStyle w:val="Mkatabulky"/>
        <w:tblW w:w="9185" w:type="dxa"/>
        <w:tblLayout w:type="fixed"/>
        <w:tblLook w:val="04A0" w:firstRow="1" w:lastRow="0" w:firstColumn="1" w:lastColumn="0" w:noHBand="0" w:noVBand="1"/>
      </w:tblPr>
      <w:tblGrid>
        <w:gridCol w:w="2381"/>
        <w:gridCol w:w="1701"/>
        <w:gridCol w:w="1701"/>
        <w:gridCol w:w="1701"/>
        <w:gridCol w:w="1701"/>
      </w:tblGrid>
      <w:tr w:rsidR="0086053B" w:rsidRPr="006151DC" w14:paraId="1372B4A6" w14:textId="77777777" w:rsidTr="00BF68CD">
        <w:trPr>
          <w:trHeight w:val="255"/>
          <w:tblHeader/>
        </w:trPr>
        <w:tc>
          <w:tcPr>
            <w:tcW w:w="2381" w:type="dxa"/>
            <w:shd w:val="clear" w:color="auto" w:fill="E5F1FF"/>
            <w:noWrap/>
            <w:vAlign w:val="center"/>
          </w:tcPr>
          <w:p w14:paraId="2416E648" w14:textId="77777777" w:rsidR="0086053B" w:rsidRPr="006151DC" w:rsidRDefault="0086053B" w:rsidP="006151DC">
            <w:pPr>
              <w:keepNext/>
              <w:rPr>
                <w:rFonts w:ascii="Calibri" w:hAnsi="Calibri" w:cs="Calibri"/>
                <w:b/>
                <w:sz w:val="20"/>
                <w:szCs w:val="20"/>
              </w:rPr>
            </w:pPr>
          </w:p>
        </w:tc>
        <w:tc>
          <w:tcPr>
            <w:tcW w:w="1701" w:type="dxa"/>
            <w:shd w:val="clear" w:color="auto" w:fill="E5F1FF"/>
            <w:noWrap/>
            <w:vAlign w:val="center"/>
          </w:tcPr>
          <w:p w14:paraId="1D8D2EB3" w14:textId="77777777" w:rsidR="0086053B" w:rsidRPr="006151DC" w:rsidRDefault="0086053B" w:rsidP="006151DC">
            <w:pPr>
              <w:keepNext/>
              <w:jc w:val="center"/>
              <w:rPr>
                <w:rFonts w:ascii="Calibri" w:hAnsi="Calibri" w:cs="Calibri"/>
                <w:b/>
                <w:sz w:val="20"/>
                <w:szCs w:val="20"/>
              </w:rPr>
            </w:pPr>
            <w:r w:rsidRPr="006151DC">
              <w:rPr>
                <w:rFonts w:ascii="Calibri" w:hAnsi="Calibri" w:cs="Calibri"/>
                <w:b/>
                <w:sz w:val="20"/>
                <w:szCs w:val="20"/>
              </w:rPr>
              <w:t>2018</w:t>
            </w:r>
          </w:p>
        </w:tc>
        <w:tc>
          <w:tcPr>
            <w:tcW w:w="1701" w:type="dxa"/>
            <w:shd w:val="clear" w:color="auto" w:fill="E5F1FF"/>
            <w:noWrap/>
            <w:vAlign w:val="center"/>
          </w:tcPr>
          <w:p w14:paraId="4C455B00" w14:textId="77777777" w:rsidR="0086053B" w:rsidRPr="006151DC" w:rsidRDefault="0086053B" w:rsidP="006151DC">
            <w:pPr>
              <w:keepNext/>
              <w:jc w:val="center"/>
              <w:rPr>
                <w:rFonts w:ascii="Calibri" w:hAnsi="Calibri" w:cs="Calibri"/>
                <w:b/>
                <w:sz w:val="20"/>
                <w:szCs w:val="20"/>
              </w:rPr>
            </w:pPr>
            <w:r w:rsidRPr="006151DC">
              <w:rPr>
                <w:rFonts w:ascii="Calibri" w:hAnsi="Calibri" w:cs="Calibri"/>
                <w:b/>
                <w:sz w:val="20"/>
                <w:szCs w:val="20"/>
              </w:rPr>
              <w:t>2019</w:t>
            </w:r>
          </w:p>
        </w:tc>
        <w:tc>
          <w:tcPr>
            <w:tcW w:w="1701" w:type="dxa"/>
            <w:shd w:val="clear" w:color="auto" w:fill="E5F1FF"/>
            <w:noWrap/>
            <w:vAlign w:val="center"/>
          </w:tcPr>
          <w:p w14:paraId="1BC0DDE7" w14:textId="77777777" w:rsidR="0086053B" w:rsidRPr="006151DC" w:rsidRDefault="0086053B" w:rsidP="006151DC">
            <w:pPr>
              <w:keepNext/>
              <w:jc w:val="center"/>
              <w:rPr>
                <w:rFonts w:ascii="Calibri" w:hAnsi="Calibri" w:cs="Calibri"/>
                <w:b/>
                <w:sz w:val="20"/>
                <w:szCs w:val="20"/>
              </w:rPr>
            </w:pPr>
            <w:r w:rsidRPr="006151DC">
              <w:rPr>
                <w:rFonts w:ascii="Calibri" w:hAnsi="Calibri" w:cs="Calibri"/>
                <w:b/>
                <w:sz w:val="20"/>
                <w:szCs w:val="20"/>
              </w:rPr>
              <w:t>2020</w:t>
            </w:r>
          </w:p>
        </w:tc>
        <w:tc>
          <w:tcPr>
            <w:tcW w:w="1701" w:type="dxa"/>
            <w:shd w:val="clear" w:color="auto" w:fill="E5F1FF"/>
            <w:noWrap/>
            <w:vAlign w:val="center"/>
          </w:tcPr>
          <w:p w14:paraId="510DA4A8" w14:textId="77777777" w:rsidR="0086053B" w:rsidRPr="006151DC" w:rsidRDefault="0086053B" w:rsidP="006151DC">
            <w:pPr>
              <w:keepNext/>
              <w:jc w:val="center"/>
              <w:rPr>
                <w:rFonts w:ascii="Calibri" w:hAnsi="Calibri" w:cs="Calibri"/>
                <w:b/>
                <w:sz w:val="20"/>
                <w:szCs w:val="20"/>
              </w:rPr>
            </w:pPr>
            <w:r w:rsidRPr="006151DC">
              <w:rPr>
                <w:rFonts w:ascii="Calibri" w:hAnsi="Calibri" w:cs="Calibri"/>
                <w:b/>
                <w:sz w:val="20"/>
                <w:szCs w:val="20"/>
              </w:rPr>
              <w:t>2021</w:t>
            </w:r>
          </w:p>
        </w:tc>
      </w:tr>
      <w:tr w:rsidR="0086053B" w:rsidRPr="006151DC" w14:paraId="3D968D28" w14:textId="77777777" w:rsidTr="00BF68CD">
        <w:trPr>
          <w:trHeight w:val="255"/>
        </w:trPr>
        <w:tc>
          <w:tcPr>
            <w:tcW w:w="2381" w:type="dxa"/>
            <w:noWrap/>
            <w:vAlign w:val="center"/>
          </w:tcPr>
          <w:p w14:paraId="32890232" w14:textId="77777777" w:rsidR="0086053B" w:rsidRPr="006151DC" w:rsidRDefault="0086053B" w:rsidP="006151DC">
            <w:pPr>
              <w:keepNext/>
              <w:rPr>
                <w:rFonts w:ascii="Calibri" w:hAnsi="Calibri" w:cs="Calibri"/>
                <w:sz w:val="20"/>
                <w:szCs w:val="20"/>
              </w:rPr>
            </w:pPr>
            <w:r w:rsidRPr="006151DC">
              <w:rPr>
                <w:rFonts w:ascii="Calibri" w:hAnsi="Calibri" w:cs="Calibri"/>
                <w:sz w:val="20"/>
                <w:szCs w:val="20"/>
              </w:rPr>
              <w:t>Příjmy celkem</w:t>
            </w:r>
          </w:p>
        </w:tc>
        <w:tc>
          <w:tcPr>
            <w:tcW w:w="1701" w:type="dxa"/>
            <w:noWrap/>
            <w:vAlign w:val="center"/>
          </w:tcPr>
          <w:p w14:paraId="4D26135A"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1 065 770 319,00</w:t>
            </w:r>
          </w:p>
        </w:tc>
        <w:tc>
          <w:tcPr>
            <w:tcW w:w="1701" w:type="dxa"/>
            <w:noWrap/>
            <w:vAlign w:val="center"/>
          </w:tcPr>
          <w:p w14:paraId="48C13FB5"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856 328 896,00</w:t>
            </w:r>
          </w:p>
        </w:tc>
        <w:tc>
          <w:tcPr>
            <w:tcW w:w="1701" w:type="dxa"/>
            <w:noWrap/>
            <w:vAlign w:val="center"/>
          </w:tcPr>
          <w:p w14:paraId="38B5DEB1"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862 801 050,00</w:t>
            </w:r>
          </w:p>
        </w:tc>
        <w:tc>
          <w:tcPr>
            <w:tcW w:w="1701" w:type="dxa"/>
            <w:noWrap/>
            <w:vAlign w:val="center"/>
          </w:tcPr>
          <w:p w14:paraId="342D0145"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6 696 772 491,00</w:t>
            </w:r>
          </w:p>
        </w:tc>
      </w:tr>
      <w:tr w:rsidR="0086053B" w:rsidRPr="006151DC" w14:paraId="2A18B624" w14:textId="77777777" w:rsidTr="00BF68CD">
        <w:trPr>
          <w:trHeight w:val="255"/>
        </w:trPr>
        <w:tc>
          <w:tcPr>
            <w:tcW w:w="2381" w:type="dxa"/>
            <w:noWrap/>
            <w:vAlign w:val="center"/>
            <w:hideMark/>
          </w:tcPr>
          <w:p w14:paraId="53B2103F" w14:textId="77777777" w:rsidR="0086053B" w:rsidRPr="006151DC" w:rsidRDefault="0086053B" w:rsidP="006151DC">
            <w:pPr>
              <w:keepNext/>
              <w:rPr>
                <w:rFonts w:ascii="Calibri" w:hAnsi="Calibri" w:cs="Calibri"/>
                <w:color w:val="000000"/>
                <w:sz w:val="20"/>
                <w:szCs w:val="20"/>
              </w:rPr>
            </w:pPr>
            <w:r w:rsidRPr="006151DC">
              <w:rPr>
                <w:rFonts w:ascii="Calibri" w:hAnsi="Calibri" w:cs="Calibri"/>
                <w:color w:val="000000"/>
                <w:sz w:val="20"/>
                <w:szCs w:val="20"/>
              </w:rPr>
              <w:t>Výdaje celkem</w:t>
            </w:r>
          </w:p>
        </w:tc>
        <w:tc>
          <w:tcPr>
            <w:tcW w:w="1701" w:type="dxa"/>
            <w:noWrap/>
            <w:vAlign w:val="center"/>
            <w:hideMark/>
          </w:tcPr>
          <w:p w14:paraId="71261D1F" w14:textId="77777777" w:rsidR="0086053B" w:rsidRPr="006151DC" w:rsidRDefault="0086053B" w:rsidP="006151DC">
            <w:pPr>
              <w:keepNext/>
              <w:ind w:right="57"/>
              <w:jc w:val="right"/>
              <w:rPr>
                <w:rFonts w:ascii="Calibri" w:hAnsi="Calibri" w:cs="Calibri"/>
                <w:color w:val="000000"/>
                <w:sz w:val="20"/>
                <w:szCs w:val="20"/>
              </w:rPr>
            </w:pPr>
            <w:r w:rsidRPr="006151DC">
              <w:rPr>
                <w:rFonts w:ascii="Calibri" w:hAnsi="Calibri" w:cs="Calibri"/>
                <w:color w:val="000000"/>
                <w:sz w:val="20"/>
                <w:szCs w:val="20"/>
              </w:rPr>
              <w:t>2 488 500 877,69</w:t>
            </w:r>
          </w:p>
        </w:tc>
        <w:tc>
          <w:tcPr>
            <w:tcW w:w="1701" w:type="dxa"/>
            <w:noWrap/>
            <w:vAlign w:val="center"/>
            <w:hideMark/>
          </w:tcPr>
          <w:p w14:paraId="5E381F1A" w14:textId="77777777" w:rsidR="0086053B" w:rsidRPr="006151DC" w:rsidRDefault="0086053B" w:rsidP="006151DC">
            <w:pPr>
              <w:keepNext/>
              <w:ind w:right="57"/>
              <w:jc w:val="right"/>
              <w:rPr>
                <w:rFonts w:ascii="Calibri" w:hAnsi="Calibri" w:cs="Calibri"/>
                <w:color w:val="000000"/>
                <w:sz w:val="20"/>
                <w:szCs w:val="20"/>
              </w:rPr>
            </w:pPr>
            <w:r w:rsidRPr="006151DC">
              <w:rPr>
                <w:rFonts w:ascii="Calibri" w:hAnsi="Calibri" w:cs="Calibri"/>
                <w:color w:val="000000"/>
                <w:sz w:val="20"/>
                <w:szCs w:val="20"/>
              </w:rPr>
              <w:t>1 170 855 075,18</w:t>
            </w:r>
          </w:p>
        </w:tc>
        <w:tc>
          <w:tcPr>
            <w:tcW w:w="1701" w:type="dxa"/>
            <w:noWrap/>
            <w:vAlign w:val="center"/>
            <w:hideMark/>
          </w:tcPr>
          <w:p w14:paraId="2A0E1791" w14:textId="77777777" w:rsidR="0086053B" w:rsidRPr="006151DC" w:rsidRDefault="0086053B" w:rsidP="006151DC">
            <w:pPr>
              <w:keepNext/>
              <w:ind w:right="57"/>
              <w:jc w:val="right"/>
              <w:rPr>
                <w:rFonts w:ascii="Calibri" w:hAnsi="Calibri" w:cs="Calibri"/>
                <w:color w:val="000000"/>
                <w:sz w:val="20"/>
                <w:szCs w:val="20"/>
              </w:rPr>
            </w:pPr>
            <w:r w:rsidRPr="006151DC">
              <w:rPr>
                <w:rFonts w:ascii="Calibri" w:hAnsi="Calibri" w:cs="Calibri"/>
                <w:color w:val="000000"/>
                <w:sz w:val="20"/>
                <w:szCs w:val="20"/>
              </w:rPr>
              <w:t>967 222 568,85</w:t>
            </w:r>
          </w:p>
        </w:tc>
        <w:tc>
          <w:tcPr>
            <w:tcW w:w="1701" w:type="dxa"/>
            <w:noWrap/>
            <w:vAlign w:val="center"/>
            <w:hideMark/>
          </w:tcPr>
          <w:p w14:paraId="79AAD776" w14:textId="77777777" w:rsidR="0086053B" w:rsidRPr="006151DC" w:rsidRDefault="0086053B" w:rsidP="006151DC">
            <w:pPr>
              <w:keepNext/>
              <w:ind w:right="57"/>
              <w:jc w:val="right"/>
              <w:rPr>
                <w:rFonts w:ascii="Calibri" w:hAnsi="Calibri" w:cs="Calibri"/>
                <w:color w:val="000000"/>
                <w:sz w:val="20"/>
                <w:szCs w:val="20"/>
              </w:rPr>
            </w:pPr>
            <w:r w:rsidRPr="006151DC">
              <w:rPr>
                <w:rFonts w:ascii="Calibri" w:hAnsi="Calibri" w:cs="Calibri"/>
                <w:color w:val="000000"/>
                <w:sz w:val="20"/>
                <w:szCs w:val="20"/>
              </w:rPr>
              <w:t>697 117 241,39</w:t>
            </w:r>
          </w:p>
        </w:tc>
      </w:tr>
      <w:tr w:rsidR="0086053B" w:rsidRPr="006151DC" w14:paraId="24A3BD91" w14:textId="77777777" w:rsidTr="00BF68CD">
        <w:trPr>
          <w:trHeight w:val="255"/>
        </w:trPr>
        <w:tc>
          <w:tcPr>
            <w:tcW w:w="2381" w:type="dxa"/>
            <w:noWrap/>
            <w:vAlign w:val="center"/>
            <w:hideMark/>
          </w:tcPr>
          <w:p w14:paraId="111048B1" w14:textId="353C276E" w:rsidR="0086053B" w:rsidRPr="006151DC" w:rsidRDefault="0086053B" w:rsidP="006151DC">
            <w:pPr>
              <w:keepNext/>
              <w:rPr>
                <w:rFonts w:ascii="Calibri" w:hAnsi="Calibri" w:cs="Calibri"/>
                <w:sz w:val="20"/>
                <w:szCs w:val="20"/>
              </w:rPr>
            </w:pPr>
            <w:r w:rsidRPr="006151DC">
              <w:rPr>
                <w:rFonts w:ascii="Calibri" w:hAnsi="Calibri" w:cs="Calibri"/>
                <w:sz w:val="20"/>
                <w:szCs w:val="20"/>
              </w:rPr>
              <w:t>Výdaje na úhradu čistých nákladů držiteli poštovní licence</w:t>
            </w:r>
          </w:p>
        </w:tc>
        <w:tc>
          <w:tcPr>
            <w:tcW w:w="1701" w:type="dxa"/>
            <w:noWrap/>
            <w:vAlign w:val="center"/>
            <w:hideMark/>
          </w:tcPr>
          <w:p w14:paraId="38C157F6"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1 800 000 000,00</w:t>
            </w:r>
          </w:p>
        </w:tc>
        <w:tc>
          <w:tcPr>
            <w:tcW w:w="1701" w:type="dxa"/>
            <w:noWrap/>
            <w:vAlign w:val="center"/>
            <w:hideMark/>
          </w:tcPr>
          <w:p w14:paraId="6C5851E7"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500 000 000,00</w:t>
            </w:r>
          </w:p>
        </w:tc>
        <w:tc>
          <w:tcPr>
            <w:tcW w:w="1701" w:type="dxa"/>
            <w:noWrap/>
            <w:vAlign w:val="center"/>
            <w:hideMark/>
          </w:tcPr>
          <w:p w14:paraId="134B0D72"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300 000 000,00</w:t>
            </w:r>
          </w:p>
        </w:tc>
        <w:tc>
          <w:tcPr>
            <w:tcW w:w="1701" w:type="dxa"/>
            <w:noWrap/>
            <w:vAlign w:val="center"/>
            <w:hideMark/>
          </w:tcPr>
          <w:p w14:paraId="414F9213"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0,00</w:t>
            </w:r>
          </w:p>
        </w:tc>
      </w:tr>
      <w:tr w:rsidR="00474AF0" w:rsidRPr="006151DC" w14:paraId="09C51894" w14:textId="77777777" w:rsidTr="00BF68CD">
        <w:trPr>
          <w:trHeight w:val="255"/>
        </w:trPr>
        <w:tc>
          <w:tcPr>
            <w:tcW w:w="2381" w:type="dxa"/>
            <w:noWrap/>
            <w:vAlign w:val="center"/>
            <w:hideMark/>
          </w:tcPr>
          <w:p w14:paraId="38AC3546" w14:textId="52B933BE" w:rsidR="00474AF0" w:rsidRPr="006151DC" w:rsidRDefault="00474AF0" w:rsidP="006151DC">
            <w:pPr>
              <w:keepNext/>
              <w:rPr>
                <w:rFonts w:ascii="Calibri" w:hAnsi="Calibri" w:cs="Calibri"/>
                <w:sz w:val="20"/>
                <w:szCs w:val="20"/>
              </w:rPr>
            </w:pPr>
            <w:r w:rsidRPr="006151DC">
              <w:rPr>
                <w:rFonts w:ascii="Calibri" w:hAnsi="Calibri" w:cs="Calibri"/>
                <w:sz w:val="20"/>
                <w:szCs w:val="20"/>
              </w:rPr>
              <w:t xml:space="preserve">Výdaje na úhradu univerzální služby </w:t>
            </w:r>
          </w:p>
        </w:tc>
        <w:tc>
          <w:tcPr>
            <w:tcW w:w="1701" w:type="dxa"/>
            <w:noWrap/>
            <w:vAlign w:val="center"/>
            <w:hideMark/>
          </w:tcPr>
          <w:p w14:paraId="418490DA" w14:textId="21E7545B" w:rsidR="00474AF0" w:rsidRPr="006151DC" w:rsidRDefault="00474AF0" w:rsidP="006151DC">
            <w:pPr>
              <w:keepNext/>
              <w:ind w:right="57"/>
              <w:jc w:val="right"/>
              <w:rPr>
                <w:rFonts w:ascii="Calibri" w:hAnsi="Calibri" w:cs="Calibri"/>
                <w:sz w:val="20"/>
                <w:szCs w:val="20"/>
              </w:rPr>
            </w:pPr>
            <w:r w:rsidRPr="006151DC">
              <w:rPr>
                <w:rFonts w:ascii="Calibri" w:hAnsi="Calibri" w:cs="Calibri"/>
                <w:sz w:val="20"/>
                <w:szCs w:val="20"/>
              </w:rPr>
              <w:t>108 787</w:t>
            </w:r>
            <w:r w:rsidR="00125CED" w:rsidRPr="006151DC">
              <w:rPr>
                <w:rFonts w:ascii="Calibri" w:hAnsi="Calibri" w:cs="Calibri"/>
                <w:sz w:val="20"/>
                <w:szCs w:val="20"/>
              </w:rPr>
              <w:t> 309,54</w:t>
            </w:r>
          </w:p>
        </w:tc>
        <w:tc>
          <w:tcPr>
            <w:tcW w:w="1701" w:type="dxa"/>
            <w:noWrap/>
            <w:vAlign w:val="center"/>
            <w:hideMark/>
          </w:tcPr>
          <w:p w14:paraId="15B5CD8B" w14:textId="09763581" w:rsidR="00474AF0" w:rsidRPr="006151DC" w:rsidRDefault="00474AF0" w:rsidP="006151DC">
            <w:pPr>
              <w:keepNext/>
              <w:ind w:right="57"/>
              <w:jc w:val="right"/>
              <w:rPr>
                <w:rFonts w:ascii="Calibri" w:hAnsi="Calibri" w:cs="Calibri"/>
                <w:sz w:val="20"/>
                <w:szCs w:val="20"/>
              </w:rPr>
            </w:pPr>
            <w:r w:rsidRPr="006151DC">
              <w:rPr>
                <w:rFonts w:ascii="Calibri" w:hAnsi="Calibri" w:cs="Calibri"/>
                <w:sz w:val="20"/>
                <w:szCs w:val="20"/>
              </w:rPr>
              <w:t>104 039 424,72</w:t>
            </w:r>
          </w:p>
        </w:tc>
        <w:tc>
          <w:tcPr>
            <w:tcW w:w="1701" w:type="dxa"/>
            <w:noWrap/>
            <w:vAlign w:val="center"/>
            <w:hideMark/>
          </w:tcPr>
          <w:p w14:paraId="7A9B18DF" w14:textId="73A6EE3E" w:rsidR="00474AF0" w:rsidRPr="006151DC" w:rsidRDefault="00474AF0" w:rsidP="006151DC">
            <w:pPr>
              <w:keepNext/>
              <w:ind w:right="57"/>
              <w:jc w:val="right"/>
              <w:rPr>
                <w:rFonts w:ascii="Calibri" w:hAnsi="Calibri" w:cs="Calibri"/>
                <w:sz w:val="20"/>
                <w:szCs w:val="20"/>
              </w:rPr>
            </w:pPr>
            <w:r w:rsidRPr="006151DC">
              <w:rPr>
                <w:rFonts w:ascii="Calibri" w:hAnsi="Calibri" w:cs="Calibri"/>
                <w:sz w:val="20"/>
                <w:szCs w:val="20"/>
              </w:rPr>
              <w:t>93 337 050,48</w:t>
            </w:r>
          </w:p>
        </w:tc>
        <w:tc>
          <w:tcPr>
            <w:tcW w:w="1701" w:type="dxa"/>
            <w:noWrap/>
            <w:vAlign w:val="center"/>
            <w:hideMark/>
          </w:tcPr>
          <w:p w14:paraId="2B1618E0" w14:textId="5CA8CC79" w:rsidR="00474AF0" w:rsidRPr="006151DC" w:rsidRDefault="00474AF0" w:rsidP="006151DC">
            <w:pPr>
              <w:keepNext/>
              <w:ind w:right="57"/>
              <w:jc w:val="right"/>
              <w:rPr>
                <w:rFonts w:ascii="Calibri" w:hAnsi="Calibri" w:cs="Calibri"/>
                <w:sz w:val="20"/>
                <w:szCs w:val="20"/>
              </w:rPr>
            </w:pPr>
            <w:r w:rsidRPr="006151DC">
              <w:rPr>
                <w:rFonts w:ascii="Calibri" w:hAnsi="Calibri" w:cs="Calibri"/>
                <w:sz w:val="20"/>
                <w:szCs w:val="20"/>
              </w:rPr>
              <w:t>90 477 804,82</w:t>
            </w:r>
          </w:p>
        </w:tc>
      </w:tr>
      <w:tr w:rsidR="0086053B" w:rsidRPr="006151DC" w14:paraId="10424258" w14:textId="77777777" w:rsidTr="00BF68CD">
        <w:trPr>
          <w:trHeight w:val="255"/>
        </w:trPr>
        <w:tc>
          <w:tcPr>
            <w:tcW w:w="2381" w:type="dxa"/>
            <w:noWrap/>
            <w:vAlign w:val="center"/>
            <w:hideMark/>
          </w:tcPr>
          <w:p w14:paraId="44C81EE9" w14:textId="5E0EA858" w:rsidR="0086053B" w:rsidRPr="006151DC" w:rsidRDefault="0086053B" w:rsidP="006151DC">
            <w:pPr>
              <w:keepNext/>
              <w:rPr>
                <w:rFonts w:ascii="Calibri" w:hAnsi="Calibri" w:cs="Calibri"/>
                <w:sz w:val="20"/>
                <w:szCs w:val="20"/>
              </w:rPr>
            </w:pPr>
            <w:r w:rsidRPr="006151DC">
              <w:rPr>
                <w:rFonts w:ascii="Calibri" w:hAnsi="Calibri" w:cs="Calibri"/>
                <w:sz w:val="20"/>
                <w:szCs w:val="20"/>
              </w:rPr>
              <w:t>Provozní výdaje na činnost ČTÚ</w:t>
            </w:r>
            <w:r w:rsidR="005D05D7">
              <w:rPr>
                <w:rFonts w:ascii="Calibri" w:hAnsi="Calibri" w:cs="Calibri"/>
                <w:sz w:val="20"/>
                <w:szCs w:val="20"/>
              </w:rPr>
              <w:t>,</w:t>
            </w:r>
            <w:r w:rsidRPr="006151DC">
              <w:rPr>
                <w:rFonts w:ascii="Calibri" w:hAnsi="Calibri" w:cs="Calibri"/>
                <w:sz w:val="20"/>
                <w:szCs w:val="20"/>
              </w:rPr>
              <w:t xml:space="preserve"> </w:t>
            </w:r>
            <w:r w:rsidR="005D05D7" w:rsidRPr="006151DC">
              <w:rPr>
                <w:rFonts w:ascii="Calibri" w:hAnsi="Calibri" w:cs="Calibri"/>
                <w:sz w:val="20"/>
                <w:szCs w:val="20"/>
              </w:rPr>
              <w:t>v tom:</w:t>
            </w:r>
          </w:p>
        </w:tc>
        <w:tc>
          <w:tcPr>
            <w:tcW w:w="1701" w:type="dxa"/>
            <w:noWrap/>
            <w:vAlign w:val="center"/>
            <w:hideMark/>
          </w:tcPr>
          <w:p w14:paraId="4C56BA98"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579 713 568,15</w:t>
            </w:r>
          </w:p>
        </w:tc>
        <w:tc>
          <w:tcPr>
            <w:tcW w:w="1701" w:type="dxa"/>
            <w:noWrap/>
            <w:vAlign w:val="center"/>
            <w:hideMark/>
          </w:tcPr>
          <w:p w14:paraId="36412CEA"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566 815 650,46</w:t>
            </w:r>
          </w:p>
        </w:tc>
        <w:tc>
          <w:tcPr>
            <w:tcW w:w="1701" w:type="dxa"/>
            <w:noWrap/>
            <w:vAlign w:val="center"/>
            <w:hideMark/>
          </w:tcPr>
          <w:p w14:paraId="7D64E2B9"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573 885 518,37</w:t>
            </w:r>
          </w:p>
        </w:tc>
        <w:tc>
          <w:tcPr>
            <w:tcW w:w="1701" w:type="dxa"/>
            <w:noWrap/>
            <w:vAlign w:val="center"/>
            <w:hideMark/>
          </w:tcPr>
          <w:p w14:paraId="225ACB9E"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sz w:val="20"/>
                <w:szCs w:val="20"/>
              </w:rPr>
              <w:t>606 639 436,57</w:t>
            </w:r>
          </w:p>
        </w:tc>
      </w:tr>
      <w:tr w:rsidR="0086053B" w:rsidRPr="006151DC" w14:paraId="34D7832D" w14:textId="77777777" w:rsidTr="00BF68CD">
        <w:trPr>
          <w:trHeight w:val="255"/>
        </w:trPr>
        <w:tc>
          <w:tcPr>
            <w:tcW w:w="2381" w:type="dxa"/>
            <w:noWrap/>
            <w:vAlign w:val="center"/>
            <w:hideMark/>
          </w:tcPr>
          <w:p w14:paraId="58F7EA8E" w14:textId="14FB5F60" w:rsidR="0086053B" w:rsidRPr="006151DC" w:rsidRDefault="005D05D7" w:rsidP="006151DC">
            <w:pPr>
              <w:keepNext/>
              <w:rPr>
                <w:rFonts w:ascii="Calibri" w:hAnsi="Calibri" w:cs="Calibri"/>
                <w:sz w:val="20"/>
                <w:szCs w:val="20"/>
              </w:rPr>
            </w:pPr>
            <w:r>
              <w:rPr>
                <w:rFonts w:ascii="Calibri" w:hAnsi="Calibri" w:cs="Calibri"/>
                <w:i/>
                <w:sz w:val="20"/>
                <w:szCs w:val="20"/>
              </w:rPr>
              <w:t>–</w:t>
            </w:r>
            <w:r w:rsidR="0086053B" w:rsidRPr="006151DC">
              <w:rPr>
                <w:rFonts w:ascii="Calibri" w:hAnsi="Calibri" w:cs="Calibri"/>
                <w:sz w:val="20"/>
                <w:szCs w:val="20"/>
              </w:rPr>
              <w:t xml:space="preserve"> </w:t>
            </w:r>
            <w:r w:rsidR="0086053B" w:rsidRPr="006151DC">
              <w:rPr>
                <w:rFonts w:ascii="Calibri" w:hAnsi="Calibri" w:cs="Calibri"/>
                <w:i/>
                <w:sz w:val="20"/>
                <w:szCs w:val="20"/>
              </w:rPr>
              <w:t>kapitálové výdaje</w:t>
            </w:r>
          </w:p>
        </w:tc>
        <w:tc>
          <w:tcPr>
            <w:tcW w:w="1701" w:type="dxa"/>
            <w:noWrap/>
            <w:vAlign w:val="center"/>
            <w:hideMark/>
          </w:tcPr>
          <w:p w14:paraId="39EE3974" w14:textId="77777777" w:rsidR="0086053B" w:rsidRPr="006151DC" w:rsidRDefault="0086053B" w:rsidP="006151DC">
            <w:pPr>
              <w:keepNext/>
              <w:ind w:right="57"/>
              <w:jc w:val="right"/>
              <w:rPr>
                <w:rFonts w:ascii="Calibri" w:hAnsi="Calibri" w:cs="Calibri"/>
                <w:sz w:val="20"/>
                <w:szCs w:val="20"/>
              </w:rPr>
            </w:pPr>
          </w:p>
        </w:tc>
        <w:tc>
          <w:tcPr>
            <w:tcW w:w="1701" w:type="dxa"/>
            <w:noWrap/>
            <w:vAlign w:val="center"/>
            <w:hideMark/>
          </w:tcPr>
          <w:p w14:paraId="031EF840" w14:textId="77777777" w:rsidR="0086053B" w:rsidRPr="006151DC" w:rsidRDefault="0086053B" w:rsidP="006151DC">
            <w:pPr>
              <w:keepNext/>
              <w:ind w:right="57"/>
              <w:jc w:val="right"/>
              <w:rPr>
                <w:rFonts w:ascii="Calibri" w:hAnsi="Calibri" w:cs="Calibri"/>
                <w:sz w:val="20"/>
                <w:szCs w:val="20"/>
              </w:rPr>
            </w:pPr>
          </w:p>
        </w:tc>
        <w:tc>
          <w:tcPr>
            <w:tcW w:w="1701" w:type="dxa"/>
            <w:noWrap/>
            <w:vAlign w:val="center"/>
            <w:hideMark/>
          </w:tcPr>
          <w:p w14:paraId="5626724F" w14:textId="77777777" w:rsidR="0086053B" w:rsidRPr="006151DC" w:rsidRDefault="0086053B" w:rsidP="006151DC">
            <w:pPr>
              <w:keepNext/>
              <w:ind w:right="57"/>
              <w:jc w:val="right"/>
              <w:rPr>
                <w:rFonts w:ascii="Calibri" w:hAnsi="Calibri" w:cs="Calibri"/>
                <w:sz w:val="20"/>
                <w:szCs w:val="20"/>
              </w:rPr>
            </w:pPr>
          </w:p>
        </w:tc>
        <w:tc>
          <w:tcPr>
            <w:tcW w:w="1701" w:type="dxa"/>
            <w:noWrap/>
            <w:vAlign w:val="center"/>
            <w:hideMark/>
          </w:tcPr>
          <w:p w14:paraId="1BFC3059" w14:textId="77777777" w:rsidR="0086053B" w:rsidRPr="006151DC" w:rsidRDefault="0086053B" w:rsidP="006151DC">
            <w:pPr>
              <w:keepNext/>
              <w:ind w:right="57"/>
              <w:jc w:val="right"/>
              <w:rPr>
                <w:rFonts w:ascii="Calibri" w:hAnsi="Calibri" w:cs="Calibri"/>
                <w:sz w:val="20"/>
                <w:szCs w:val="20"/>
              </w:rPr>
            </w:pPr>
          </w:p>
        </w:tc>
      </w:tr>
      <w:tr w:rsidR="0086053B" w:rsidRPr="006151DC" w14:paraId="3D82F0C5" w14:textId="77777777" w:rsidTr="00BF68CD">
        <w:trPr>
          <w:trHeight w:val="255"/>
        </w:trPr>
        <w:tc>
          <w:tcPr>
            <w:tcW w:w="2381" w:type="dxa"/>
            <w:noWrap/>
            <w:vAlign w:val="center"/>
            <w:hideMark/>
          </w:tcPr>
          <w:p w14:paraId="4AD01BB4" w14:textId="64D4D7A4" w:rsidR="0086053B" w:rsidRPr="00FF2867" w:rsidRDefault="0086053B" w:rsidP="006C36AA">
            <w:pPr>
              <w:pStyle w:val="Odstavecseseznamem"/>
              <w:keepNext/>
              <w:numPr>
                <w:ilvl w:val="0"/>
                <w:numId w:val="31"/>
              </w:numPr>
              <w:ind w:left="316" w:hanging="142"/>
              <w:rPr>
                <w:rFonts w:ascii="Calibri" w:hAnsi="Calibri" w:cs="Calibri"/>
                <w:i/>
                <w:sz w:val="20"/>
                <w:szCs w:val="20"/>
              </w:rPr>
            </w:pPr>
            <w:r w:rsidRPr="00FF2867">
              <w:rPr>
                <w:rFonts w:ascii="Calibri" w:hAnsi="Calibri" w:cs="Calibri"/>
                <w:i/>
                <w:sz w:val="20"/>
                <w:szCs w:val="20"/>
              </w:rPr>
              <w:t>Program ev. č. 128 02</w:t>
            </w:r>
          </w:p>
        </w:tc>
        <w:tc>
          <w:tcPr>
            <w:tcW w:w="1701" w:type="dxa"/>
            <w:noWrap/>
            <w:vAlign w:val="center"/>
            <w:hideMark/>
          </w:tcPr>
          <w:p w14:paraId="2CC3B7BC"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color w:val="000000"/>
                <w:sz w:val="20"/>
                <w:szCs w:val="20"/>
              </w:rPr>
              <w:t>23 041 885,54</w:t>
            </w:r>
          </w:p>
        </w:tc>
        <w:tc>
          <w:tcPr>
            <w:tcW w:w="1701" w:type="dxa"/>
            <w:noWrap/>
            <w:vAlign w:val="center"/>
            <w:hideMark/>
          </w:tcPr>
          <w:p w14:paraId="6B6C7DFD"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color w:val="000000"/>
                <w:sz w:val="20"/>
                <w:szCs w:val="20"/>
              </w:rPr>
              <w:t>25 274 150,85</w:t>
            </w:r>
          </w:p>
        </w:tc>
        <w:tc>
          <w:tcPr>
            <w:tcW w:w="1701" w:type="dxa"/>
            <w:noWrap/>
            <w:vAlign w:val="center"/>
            <w:hideMark/>
          </w:tcPr>
          <w:p w14:paraId="3C2A32D2"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color w:val="000000"/>
                <w:sz w:val="20"/>
                <w:szCs w:val="20"/>
              </w:rPr>
              <w:t>35 257 660,33</w:t>
            </w:r>
          </w:p>
        </w:tc>
        <w:tc>
          <w:tcPr>
            <w:tcW w:w="1701" w:type="dxa"/>
            <w:noWrap/>
            <w:vAlign w:val="center"/>
            <w:hideMark/>
          </w:tcPr>
          <w:p w14:paraId="39EC68F2"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color w:val="000000"/>
                <w:sz w:val="20"/>
                <w:szCs w:val="20"/>
              </w:rPr>
              <w:t>22 676 638,95</w:t>
            </w:r>
          </w:p>
        </w:tc>
      </w:tr>
      <w:tr w:rsidR="0086053B" w:rsidRPr="006151DC" w14:paraId="5E779ECC" w14:textId="77777777" w:rsidTr="00BF68CD">
        <w:trPr>
          <w:trHeight w:val="255"/>
        </w:trPr>
        <w:tc>
          <w:tcPr>
            <w:tcW w:w="2381" w:type="dxa"/>
            <w:tcBorders>
              <w:bottom w:val="single" w:sz="4" w:space="0" w:color="auto"/>
            </w:tcBorders>
            <w:noWrap/>
            <w:vAlign w:val="center"/>
            <w:hideMark/>
          </w:tcPr>
          <w:p w14:paraId="635B7BC6" w14:textId="78170718" w:rsidR="0086053B" w:rsidRPr="00FF2867" w:rsidRDefault="0086053B" w:rsidP="006C36AA">
            <w:pPr>
              <w:pStyle w:val="Odstavecseseznamem"/>
              <w:keepNext/>
              <w:numPr>
                <w:ilvl w:val="0"/>
                <w:numId w:val="31"/>
              </w:numPr>
              <w:ind w:left="316" w:hanging="142"/>
              <w:rPr>
                <w:rFonts w:ascii="Calibri" w:hAnsi="Calibri" w:cs="Calibri"/>
                <w:i/>
                <w:sz w:val="20"/>
                <w:szCs w:val="20"/>
              </w:rPr>
            </w:pPr>
            <w:r w:rsidRPr="00FF2867">
              <w:rPr>
                <w:rFonts w:ascii="Calibri" w:hAnsi="Calibri" w:cs="Calibri"/>
                <w:i/>
                <w:sz w:val="20"/>
                <w:szCs w:val="20"/>
              </w:rPr>
              <w:t>Program ev. č. 128 03</w:t>
            </w:r>
          </w:p>
        </w:tc>
        <w:tc>
          <w:tcPr>
            <w:tcW w:w="1701" w:type="dxa"/>
            <w:tcBorders>
              <w:bottom w:val="single" w:sz="4" w:space="0" w:color="auto"/>
            </w:tcBorders>
            <w:noWrap/>
            <w:vAlign w:val="center"/>
            <w:hideMark/>
          </w:tcPr>
          <w:p w14:paraId="47A83C56"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color w:val="000000"/>
                <w:sz w:val="20"/>
                <w:szCs w:val="20"/>
              </w:rPr>
              <w:t>-</w:t>
            </w:r>
          </w:p>
        </w:tc>
        <w:tc>
          <w:tcPr>
            <w:tcW w:w="1701" w:type="dxa"/>
            <w:tcBorders>
              <w:bottom w:val="single" w:sz="4" w:space="0" w:color="auto"/>
            </w:tcBorders>
            <w:noWrap/>
            <w:vAlign w:val="center"/>
            <w:hideMark/>
          </w:tcPr>
          <w:p w14:paraId="1C1F8E2E"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color w:val="000000"/>
                <w:sz w:val="20"/>
                <w:szCs w:val="20"/>
              </w:rPr>
              <w:t>-</w:t>
            </w:r>
          </w:p>
        </w:tc>
        <w:tc>
          <w:tcPr>
            <w:tcW w:w="1701" w:type="dxa"/>
            <w:tcBorders>
              <w:bottom w:val="single" w:sz="4" w:space="0" w:color="auto"/>
            </w:tcBorders>
            <w:noWrap/>
            <w:vAlign w:val="center"/>
            <w:hideMark/>
          </w:tcPr>
          <w:p w14:paraId="019E3383"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color w:val="000000"/>
                <w:sz w:val="20"/>
                <w:szCs w:val="20"/>
              </w:rPr>
              <w:t>-</w:t>
            </w:r>
          </w:p>
        </w:tc>
        <w:tc>
          <w:tcPr>
            <w:tcW w:w="1701" w:type="dxa"/>
            <w:tcBorders>
              <w:bottom w:val="single" w:sz="4" w:space="0" w:color="auto"/>
            </w:tcBorders>
            <w:noWrap/>
            <w:vAlign w:val="center"/>
            <w:hideMark/>
          </w:tcPr>
          <w:p w14:paraId="2D2ACFEE" w14:textId="77777777" w:rsidR="0086053B" w:rsidRPr="006151DC" w:rsidRDefault="0086053B" w:rsidP="006151DC">
            <w:pPr>
              <w:keepNext/>
              <w:ind w:right="57"/>
              <w:jc w:val="right"/>
              <w:rPr>
                <w:rFonts w:ascii="Calibri" w:hAnsi="Calibri" w:cs="Calibri"/>
                <w:sz w:val="20"/>
                <w:szCs w:val="20"/>
              </w:rPr>
            </w:pPr>
            <w:r w:rsidRPr="006151DC">
              <w:rPr>
                <w:rFonts w:ascii="Calibri" w:hAnsi="Calibri" w:cs="Calibri"/>
                <w:color w:val="000000"/>
                <w:sz w:val="20"/>
                <w:szCs w:val="20"/>
              </w:rPr>
              <w:t>21 666 198,36</w:t>
            </w:r>
          </w:p>
        </w:tc>
      </w:tr>
      <w:tr w:rsidR="0086053B" w:rsidRPr="006151DC" w14:paraId="76939614" w14:textId="77777777" w:rsidTr="00BF68CD">
        <w:trPr>
          <w:trHeight w:val="255"/>
        </w:trPr>
        <w:tc>
          <w:tcPr>
            <w:tcW w:w="2381" w:type="dxa"/>
            <w:tcBorders>
              <w:top w:val="single" w:sz="4" w:space="0" w:color="auto"/>
              <w:bottom w:val="single" w:sz="4" w:space="0" w:color="auto"/>
              <w:right w:val="single" w:sz="4" w:space="0" w:color="auto"/>
            </w:tcBorders>
            <w:noWrap/>
            <w:vAlign w:val="center"/>
          </w:tcPr>
          <w:p w14:paraId="2E13EC70" w14:textId="12744EC7" w:rsidR="0086053B" w:rsidRPr="006151DC" w:rsidRDefault="005D05D7" w:rsidP="006151DC">
            <w:pPr>
              <w:keepNext/>
              <w:rPr>
                <w:rFonts w:ascii="Calibri" w:hAnsi="Calibri" w:cs="Calibri"/>
                <w:i/>
                <w:sz w:val="20"/>
                <w:szCs w:val="20"/>
              </w:rPr>
            </w:pPr>
            <w:r>
              <w:rPr>
                <w:rFonts w:ascii="Calibri" w:hAnsi="Calibri" w:cs="Calibri"/>
                <w:i/>
                <w:sz w:val="20"/>
                <w:szCs w:val="20"/>
              </w:rPr>
              <w:t xml:space="preserve">– </w:t>
            </w:r>
            <w:r w:rsidR="0086053B" w:rsidRPr="006151DC">
              <w:rPr>
                <w:rFonts w:ascii="Calibri" w:hAnsi="Calibri" w:cs="Calibri"/>
                <w:i/>
                <w:sz w:val="20"/>
                <w:szCs w:val="20"/>
              </w:rPr>
              <w:t>platy a podobné a</w:t>
            </w:r>
            <w:r w:rsidR="006151DC">
              <w:rPr>
                <w:rFonts w:ascii="Calibri" w:hAnsi="Calibri" w:cs="Calibri"/>
                <w:i/>
                <w:sz w:val="20"/>
                <w:szCs w:val="20"/>
              </w:rPr>
              <w:t> </w:t>
            </w:r>
            <w:r w:rsidR="0086053B" w:rsidRPr="006151DC">
              <w:rPr>
                <w:rFonts w:ascii="Calibri" w:hAnsi="Calibri" w:cs="Calibri"/>
                <w:i/>
                <w:sz w:val="20"/>
                <w:szCs w:val="20"/>
              </w:rPr>
              <w:t>související výdaje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24B45" w14:textId="77777777" w:rsidR="0086053B" w:rsidRPr="006151DC" w:rsidRDefault="0086053B" w:rsidP="006151DC">
            <w:pPr>
              <w:keepNext/>
              <w:ind w:right="57"/>
              <w:jc w:val="right"/>
              <w:rPr>
                <w:rFonts w:ascii="Calibri" w:hAnsi="Calibri" w:cs="Calibri"/>
                <w:color w:val="000000"/>
                <w:sz w:val="20"/>
                <w:szCs w:val="20"/>
              </w:rPr>
            </w:pPr>
            <w:r w:rsidRPr="006151DC">
              <w:rPr>
                <w:rFonts w:ascii="Calibri" w:hAnsi="Calibri" w:cs="Calibri"/>
                <w:color w:val="000000"/>
                <w:sz w:val="20"/>
                <w:szCs w:val="20"/>
              </w:rPr>
              <w:t>399 659 064,00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E73F3" w14:textId="77777777" w:rsidR="0086053B" w:rsidRPr="006151DC" w:rsidRDefault="0086053B" w:rsidP="006151DC">
            <w:pPr>
              <w:keepNext/>
              <w:ind w:right="57"/>
              <w:jc w:val="right"/>
              <w:rPr>
                <w:rFonts w:ascii="Calibri" w:hAnsi="Calibri" w:cs="Calibri"/>
                <w:color w:val="000000"/>
                <w:sz w:val="20"/>
                <w:szCs w:val="20"/>
              </w:rPr>
            </w:pPr>
            <w:r w:rsidRPr="006151DC">
              <w:rPr>
                <w:rFonts w:ascii="Calibri" w:hAnsi="Calibri" w:cs="Calibri"/>
                <w:color w:val="000000"/>
                <w:sz w:val="20"/>
                <w:szCs w:val="20"/>
              </w:rPr>
              <w:t>406 902 968,00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321F9" w14:textId="77777777" w:rsidR="0086053B" w:rsidRPr="006151DC" w:rsidRDefault="0086053B" w:rsidP="006151DC">
            <w:pPr>
              <w:keepNext/>
              <w:ind w:right="57"/>
              <w:jc w:val="right"/>
              <w:rPr>
                <w:rFonts w:ascii="Calibri" w:hAnsi="Calibri" w:cs="Calibri"/>
                <w:color w:val="000000"/>
                <w:sz w:val="20"/>
                <w:szCs w:val="20"/>
              </w:rPr>
            </w:pPr>
            <w:r w:rsidRPr="006151DC">
              <w:rPr>
                <w:rFonts w:ascii="Calibri" w:hAnsi="Calibri" w:cs="Calibri"/>
                <w:color w:val="000000"/>
                <w:sz w:val="20"/>
                <w:szCs w:val="20"/>
              </w:rPr>
              <w:t>421 406 553,00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0821" w14:textId="77777777" w:rsidR="0086053B" w:rsidRPr="006151DC" w:rsidRDefault="0086053B" w:rsidP="006151DC">
            <w:pPr>
              <w:keepNext/>
              <w:ind w:right="57"/>
              <w:jc w:val="right"/>
              <w:rPr>
                <w:rFonts w:ascii="Calibri" w:hAnsi="Calibri" w:cs="Calibri"/>
                <w:color w:val="000000"/>
                <w:sz w:val="20"/>
                <w:szCs w:val="20"/>
              </w:rPr>
            </w:pPr>
            <w:r w:rsidRPr="006151DC">
              <w:rPr>
                <w:rFonts w:ascii="Calibri" w:hAnsi="Calibri" w:cs="Calibri"/>
                <w:color w:val="000000"/>
                <w:sz w:val="20"/>
                <w:szCs w:val="20"/>
              </w:rPr>
              <w:t>411 268 090,00</w:t>
            </w:r>
          </w:p>
        </w:tc>
      </w:tr>
    </w:tbl>
    <w:p w14:paraId="667B4871" w14:textId="60FB6C09" w:rsidR="00F55586" w:rsidRPr="00750B58" w:rsidRDefault="005D05D7" w:rsidP="006151DC">
      <w:pPr>
        <w:spacing w:before="40" w:after="0"/>
        <w:jc w:val="both"/>
        <w:rPr>
          <w:sz w:val="20"/>
        </w:rPr>
      </w:pPr>
      <w:r>
        <w:rPr>
          <w:b/>
          <w:sz w:val="20"/>
        </w:rPr>
        <w:t>Z</w:t>
      </w:r>
      <w:r w:rsidR="00F55586" w:rsidRPr="00474985">
        <w:rPr>
          <w:b/>
          <w:sz w:val="20"/>
        </w:rPr>
        <w:t>droj:</w:t>
      </w:r>
      <w:r w:rsidR="00F55586" w:rsidRPr="00750B58">
        <w:rPr>
          <w:sz w:val="20"/>
        </w:rPr>
        <w:t xml:space="preserve"> výroční zprávy ČTÚ, účetnictví ČTÚ</w:t>
      </w:r>
      <w:r w:rsidR="00474985">
        <w:rPr>
          <w:sz w:val="20"/>
        </w:rPr>
        <w:t>.</w:t>
      </w:r>
    </w:p>
    <w:p w14:paraId="32236536" w14:textId="77777777" w:rsidR="004E60A1" w:rsidRDefault="004E60A1" w:rsidP="00F55586">
      <w:pPr>
        <w:spacing w:after="0"/>
        <w:jc w:val="both"/>
        <w:rPr>
          <w:sz w:val="24"/>
        </w:rPr>
      </w:pPr>
    </w:p>
    <w:p w14:paraId="15F171FE" w14:textId="3E2AB9B9" w:rsidR="00F55586" w:rsidRDefault="00F55586" w:rsidP="00F55586">
      <w:pPr>
        <w:spacing w:after="0"/>
        <w:jc w:val="both"/>
        <w:rPr>
          <w:sz w:val="24"/>
        </w:rPr>
      </w:pPr>
      <w:r>
        <w:rPr>
          <w:sz w:val="24"/>
        </w:rPr>
        <w:t xml:space="preserve">Příjmy ČTÚ </w:t>
      </w:r>
      <w:r w:rsidR="00392184">
        <w:rPr>
          <w:sz w:val="24"/>
        </w:rPr>
        <w:t>byly</w:t>
      </w:r>
      <w:r>
        <w:rPr>
          <w:sz w:val="24"/>
        </w:rPr>
        <w:t xml:space="preserve"> tvořeny zejména </w:t>
      </w:r>
      <w:r w:rsidR="00EA38C4">
        <w:rPr>
          <w:sz w:val="24"/>
        </w:rPr>
        <w:t xml:space="preserve">příjmy </w:t>
      </w:r>
      <w:r>
        <w:rPr>
          <w:sz w:val="24"/>
        </w:rPr>
        <w:t>ze správy rádiového spektra</w:t>
      </w:r>
      <w:r w:rsidR="00EA38C4">
        <w:rPr>
          <w:sz w:val="24"/>
        </w:rPr>
        <w:t xml:space="preserve"> a </w:t>
      </w:r>
      <w:r>
        <w:rPr>
          <w:sz w:val="24"/>
        </w:rPr>
        <w:t>ze správy čísel a</w:t>
      </w:r>
      <w:r w:rsidR="000F07A4">
        <w:rPr>
          <w:sz w:val="24"/>
        </w:rPr>
        <w:t> </w:t>
      </w:r>
      <w:r>
        <w:rPr>
          <w:sz w:val="24"/>
        </w:rPr>
        <w:t xml:space="preserve">správními poplatky. </w:t>
      </w:r>
      <w:r w:rsidRPr="00834023">
        <w:rPr>
          <w:sz w:val="24"/>
        </w:rPr>
        <w:t xml:space="preserve">V roce 2021 se v příjmech projevily výsledky </w:t>
      </w:r>
      <w:r w:rsidR="00053478">
        <w:rPr>
          <w:sz w:val="24"/>
        </w:rPr>
        <w:t>v</w:t>
      </w:r>
      <w:r w:rsidRPr="00834023">
        <w:rPr>
          <w:sz w:val="24"/>
        </w:rPr>
        <w:t>ýběrového řízení za účelem udělení práv k využívání rádiových kmitočtů pro zajištění sítí elektronických komunikací v kmitočtových pásmech 700 MHz a 3400</w:t>
      </w:r>
      <w:r w:rsidR="006C4D80">
        <w:rPr>
          <w:sz w:val="24"/>
        </w:rPr>
        <w:t>–</w:t>
      </w:r>
      <w:r w:rsidRPr="00834023">
        <w:rPr>
          <w:sz w:val="24"/>
        </w:rPr>
        <w:t xml:space="preserve">3600 MHz vyhlášeného v roce 2020, které se finančně vypořádalo na přelomu let 2020 a 2021. Příjem z </w:t>
      </w:r>
      <w:r w:rsidR="00AB451F">
        <w:rPr>
          <w:sz w:val="24"/>
        </w:rPr>
        <w:t>udělených práv k</w:t>
      </w:r>
      <w:r w:rsidR="00350412">
        <w:rPr>
          <w:sz w:val="24"/>
        </w:rPr>
        <w:t> </w:t>
      </w:r>
      <w:r w:rsidR="00AB451F">
        <w:rPr>
          <w:sz w:val="24"/>
        </w:rPr>
        <w:t>užívání</w:t>
      </w:r>
      <w:r w:rsidR="00350412">
        <w:rPr>
          <w:sz w:val="24"/>
        </w:rPr>
        <w:t xml:space="preserve"> rádiových kmitočtů</w:t>
      </w:r>
      <w:r w:rsidRPr="00834023">
        <w:rPr>
          <w:sz w:val="24"/>
        </w:rPr>
        <w:t xml:space="preserve"> činil 5</w:t>
      </w:r>
      <w:r w:rsidR="00474AF0">
        <w:rPr>
          <w:sz w:val="24"/>
        </w:rPr>
        <w:t>,</w:t>
      </w:r>
      <w:r w:rsidRPr="00834023">
        <w:rPr>
          <w:sz w:val="24"/>
        </w:rPr>
        <w:t>596</w:t>
      </w:r>
      <w:r>
        <w:rPr>
          <w:sz w:val="24"/>
        </w:rPr>
        <w:t> </w:t>
      </w:r>
      <w:r w:rsidR="00474AF0">
        <w:rPr>
          <w:sz w:val="24"/>
        </w:rPr>
        <w:t xml:space="preserve">mld. </w:t>
      </w:r>
      <w:r w:rsidRPr="00834023">
        <w:rPr>
          <w:sz w:val="24"/>
        </w:rPr>
        <w:t>Kč.</w:t>
      </w:r>
    </w:p>
    <w:p w14:paraId="55D848F7" w14:textId="77777777" w:rsidR="00474AF0" w:rsidRDefault="00474AF0" w:rsidP="00F55586">
      <w:pPr>
        <w:spacing w:after="0"/>
        <w:jc w:val="both"/>
        <w:rPr>
          <w:sz w:val="24"/>
        </w:rPr>
      </w:pPr>
    </w:p>
    <w:p w14:paraId="6AAECF79" w14:textId="28A3194F" w:rsidR="00F55586" w:rsidRDefault="00F55586" w:rsidP="00F55586">
      <w:pPr>
        <w:spacing w:after="0"/>
        <w:jc w:val="both"/>
        <w:rPr>
          <w:sz w:val="24"/>
        </w:rPr>
      </w:pPr>
      <w:r w:rsidRPr="00834023">
        <w:rPr>
          <w:sz w:val="24"/>
        </w:rPr>
        <w:t xml:space="preserve">Nejvyšší výdaje ČTÚ v kontrolovaném období let 2018 </w:t>
      </w:r>
      <w:r w:rsidR="00474AF0">
        <w:rPr>
          <w:sz w:val="24"/>
        </w:rPr>
        <w:t>až</w:t>
      </w:r>
      <w:r w:rsidRPr="00834023">
        <w:rPr>
          <w:sz w:val="24"/>
        </w:rPr>
        <w:t xml:space="preserve"> 2022 tvořily úhrady držiteli poštovní licence podle zákona o poštovních službách. Významnou položkou výdajů byly úhrady ztráty z</w:t>
      </w:r>
      <w:r w:rsidR="000F07A4">
        <w:rPr>
          <w:sz w:val="24"/>
        </w:rPr>
        <w:t> </w:t>
      </w:r>
      <w:r w:rsidRPr="00834023">
        <w:rPr>
          <w:sz w:val="24"/>
        </w:rPr>
        <w:t>poskytování dílčích služeb univerzální služby v</w:t>
      </w:r>
      <w:r w:rsidR="00EA38C4">
        <w:rPr>
          <w:sz w:val="24"/>
        </w:rPr>
        <w:t> </w:t>
      </w:r>
      <w:r w:rsidRPr="00834023">
        <w:rPr>
          <w:sz w:val="24"/>
        </w:rPr>
        <w:t>telekomunikacích</w:t>
      </w:r>
      <w:r w:rsidR="00EA38C4">
        <w:rPr>
          <w:sz w:val="24"/>
        </w:rPr>
        <w:t>.</w:t>
      </w:r>
      <w:r w:rsidRPr="00834023">
        <w:rPr>
          <w:sz w:val="24"/>
        </w:rPr>
        <w:t xml:space="preserve"> Z provozních výdajů ČTÚ byly nejvýznamnější položkou platy a </w:t>
      </w:r>
      <w:r w:rsidR="00AB451F">
        <w:rPr>
          <w:sz w:val="24"/>
        </w:rPr>
        <w:t>obdobné</w:t>
      </w:r>
      <w:r w:rsidR="00AB451F" w:rsidRPr="00834023">
        <w:rPr>
          <w:sz w:val="24"/>
        </w:rPr>
        <w:t xml:space="preserve"> </w:t>
      </w:r>
      <w:r w:rsidRPr="00834023">
        <w:rPr>
          <w:sz w:val="24"/>
        </w:rPr>
        <w:t>a související výdaje, které představovaly 70 % provozních výdajů ČTÚ.</w:t>
      </w:r>
    </w:p>
    <w:p w14:paraId="21956648" w14:textId="77777777" w:rsidR="00EA38C4" w:rsidRDefault="00EA38C4" w:rsidP="00F55586">
      <w:pPr>
        <w:spacing w:after="0"/>
        <w:jc w:val="both"/>
        <w:rPr>
          <w:sz w:val="24"/>
        </w:rPr>
      </w:pPr>
    </w:p>
    <w:p w14:paraId="48AFB9A2" w14:textId="286C8F54" w:rsidR="00D27AEC" w:rsidRPr="003457FE" w:rsidRDefault="00D27AEC" w:rsidP="00D27AEC">
      <w:pPr>
        <w:spacing w:after="0"/>
        <w:jc w:val="both"/>
        <w:rPr>
          <w:sz w:val="24"/>
        </w:rPr>
      </w:pPr>
      <w:r w:rsidRPr="003457FE">
        <w:rPr>
          <w:sz w:val="24"/>
        </w:rPr>
        <w:t xml:space="preserve">ČTÚ je od roku 2016 správcem programu ev. č. 128 </w:t>
      </w:r>
      <w:r w:rsidRPr="003457FE">
        <w:rPr>
          <w:rFonts w:cstheme="minorHAnsi"/>
          <w:sz w:val="24"/>
        </w:rPr>
        <w:t>02</w:t>
      </w:r>
      <w:r w:rsidR="005D05D7">
        <w:rPr>
          <w:rFonts w:cstheme="minorHAnsi"/>
          <w:sz w:val="24"/>
        </w:rPr>
        <w:t xml:space="preserve"> –</w:t>
      </w:r>
      <w:r w:rsidRPr="003457FE">
        <w:rPr>
          <w:rFonts w:cstheme="minorHAnsi"/>
          <w:sz w:val="24"/>
        </w:rPr>
        <w:t xml:space="preserve"> </w:t>
      </w:r>
      <w:r w:rsidRPr="003457FE">
        <w:rPr>
          <w:rFonts w:cstheme="minorHAnsi"/>
          <w:i/>
          <w:sz w:val="24"/>
        </w:rPr>
        <w:t>Rozvoj a obnova materiálně technické základny ČTÚ</w:t>
      </w:r>
      <w:r w:rsidRPr="003457FE">
        <w:rPr>
          <w:rFonts w:cstheme="minorHAnsi"/>
          <w:sz w:val="24"/>
        </w:rPr>
        <w:t xml:space="preserve"> a od roku 2021 programu 128 03</w:t>
      </w:r>
      <w:r w:rsidR="005D05D7">
        <w:rPr>
          <w:rFonts w:cstheme="minorHAnsi"/>
          <w:sz w:val="24"/>
        </w:rPr>
        <w:t xml:space="preserve"> –</w:t>
      </w:r>
      <w:r w:rsidRPr="003457FE">
        <w:rPr>
          <w:rFonts w:cstheme="minorHAnsi"/>
          <w:sz w:val="24"/>
        </w:rPr>
        <w:t xml:space="preserve"> </w:t>
      </w:r>
      <w:r w:rsidRPr="003457FE">
        <w:rPr>
          <w:rFonts w:cstheme="minorHAnsi"/>
          <w:i/>
          <w:sz w:val="24"/>
        </w:rPr>
        <w:t>Rozvoj a obnova materiálně technické základny ČTÚ.</w:t>
      </w:r>
      <w:r w:rsidRPr="003457FE">
        <w:rPr>
          <w:rFonts w:cstheme="minorHAnsi"/>
          <w:sz w:val="24"/>
        </w:rPr>
        <w:t xml:space="preserve"> Oba programy se člení na dva podprogramy, z nichž jeden je zaměřen na pořizování a</w:t>
      </w:r>
      <w:r w:rsidR="000F07A4">
        <w:rPr>
          <w:rFonts w:cstheme="minorHAnsi"/>
          <w:sz w:val="24"/>
        </w:rPr>
        <w:t> </w:t>
      </w:r>
      <w:r w:rsidRPr="003457FE">
        <w:rPr>
          <w:rFonts w:cstheme="minorHAnsi"/>
          <w:sz w:val="24"/>
        </w:rPr>
        <w:t>obnovu informačních a komunikačních technologií ČTÚ a druhý je zaměřen na nákup a</w:t>
      </w:r>
      <w:r w:rsidR="000F07A4">
        <w:rPr>
          <w:rFonts w:cstheme="minorHAnsi"/>
          <w:sz w:val="24"/>
        </w:rPr>
        <w:t> </w:t>
      </w:r>
      <w:r w:rsidRPr="003457FE">
        <w:rPr>
          <w:rFonts w:cstheme="minorHAnsi"/>
          <w:sz w:val="24"/>
        </w:rPr>
        <w:t>obnovu techniky a kancelářského vybavení.</w:t>
      </w:r>
    </w:p>
    <w:p w14:paraId="548B9CEF" w14:textId="2077D9BA" w:rsidR="003869EF" w:rsidRDefault="00407449" w:rsidP="00BF68CD">
      <w:pPr>
        <w:pStyle w:val="Nadpis1"/>
        <w:numPr>
          <w:ilvl w:val="0"/>
          <w:numId w:val="0"/>
        </w:numPr>
        <w:spacing w:after="240"/>
        <w:ind w:left="357" w:hanging="357"/>
        <w:rPr>
          <w:sz w:val="28"/>
          <w:szCs w:val="28"/>
        </w:rPr>
      </w:pPr>
      <w:r>
        <w:rPr>
          <w:sz w:val="28"/>
          <w:szCs w:val="28"/>
        </w:rPr>
        <w:t>I</w:t>
      </w:r>
      <w:r w:rsidR="003869EF" w:rsidRPr="00891AA7">
        <w:rPr>
          <w:sz w:val="28"/>
          <w:szCs w:val="28"/>
        </w:rPr>
        <w:t>II. Rozsah kontroly</w:t>
      </w:r>
    </w:p>
    <w:p w14:paraId="09BFF622" w14:textId="77777777" w:rsidR="00F55586" w:rsidRDefault="00F55586" w:rsidP="00F55586">
      <w:pPr>
        <w:spacing w:after="0"/>
        <w:jc w:val="both"/>
        <w:rPr>
          <w:sz w:val="24"/>
          <w:szCs w:val="24"/>
          <w:lang w:eastAsia="cs-CZ"/>
        </w:rPr>
      </w:pPr>
      <w:r w:rsidRPr="004F1FFD">
        <w:rPr>
          <w:sz w:val="24"/>
          <w:szCs w:val="24"/>
          <w:lang w:eastAsia="cs-CZ"/>
        </w:rPr>
        <w:t>Cílem kontroly bylo prověřit u vybraných oblastí hospodaření, zda Český telekomunikační úřad nakládá s peněžními prostředky a majetkem státu účelně, hospodárně a v souladu s právními předpisy.</w:t>
      </w:r>
    </w:p>
    <w:p w14:paraId="2452245C" w14:textId="77777777" w:rsidR="00F55586" w:rsidRPr="004F1FFD" w:rsidRDefault="00F55586" w:rsidP="00F55586">
      <w:pPr>
        <w:spacing w:after="0"/>
        <w:jc w:val="both"/>
        <w:rPr>
          <w:sz w:val="24"/>
          <w:szCs w:val="24"/>
          <w:lang w:eastAsia="cs-CZ"/>
        </w:rPr>
      </w:pPr>
    </w:p>
    <w:p w14:paraId="7E49A520" w14:textId="29188DDC" w:rsidR="00F55586" w:rsidRPr="004F1FFD" w:rsidRDefault="00F55586" w:rsidP="00F55586">
      <w:pPr>
        <w:spacing w:after="0"/>
        <w:jc w:val="both"/>
        <w:rPr>
          <w:sz w:val="24"/>
          <w:szCs w:val="24"/>
          <w:lang w:eastAsia="cs-CZ"/>
        </w:rPr>
      </w:pPr>
      <w:r>
        <w:rPr>
          <w:sz w:val="24"/>
          <w:szCs w:val="24"/>
          <w:lang w:eastAsia="cs-CZ"/>
        </w:rPr>
        <w:t xml:space="preserve">Kontrole bylo podrobeno hospodaření s majetkem a peněžními prostředky státu, se kterými </w:t>
      </w:r>
      <w:r w:rsidR="00392184">
        <w:rPr>
          <w:sz w:val="24"/>
          <w:szCs w:val="24"/>
          <w:lang w:eastAsia="cs-CZ"/>
        </w:rPr>
        <w:t>byl</w:t>
      </w:r>
      <w:r>
        <w:rPr>
          <w:sz w:val="24"/>
          <w:szCs w:val="24"/>
          <w:lang w:eastAsia="cs-CZ"/>
        </w:rPr>
        <w:t xml:space="preserve"> příslušný hospodařit ČTÚ. Kontrola prověřila nákupy nemovitého majetku, na vzorku nákupy movitého majetku</w:t>
      </w:r>
      <w:r w:rsidR="005A6259">
        <w:rPr>
          <w:sz w:val="24"/>
          <w:szCs w:val="24"/>
          <w:lang w:eastAsia="cs-CZ"/>
        </w:rPr>
        <w:t>, uzavírání nájemních smluv</w:t>
      </w:r>
      <w:r>
        <w:rPr>
          <w:sz w:val="24"/>
          <w:szCs w:val="24"/>
          <w:lang w:eastAsia="cs-CZ"/>
        </w:rPr>
        <w:t xml:space="preserve"> a pořizování externích právních </w:t>
      </w:r>
      <w:r>
        <w:rPr>
          <w:sz w:val="24"/>
          <w:szCs w:val="24"/>
          <w:lang w:eastAsia="cs-CZ"/>
        </w:rPr>
        <w:lastRenderedPageBreak/>
        <w:t>a</w:t>
      </w:r>
      <w:r w:rsidR="00BF68CD">
        <w:rPr>
          <w:sz w:val="24"/>
          <w:szCs w:val="24"/>
          <w:lang w:eastAsia="cs-CZ"/>
        </w:rPr>
        <w:t> </w:t>
      </w:r>
      <w:r>
        <w:rPr>
          <w:sz w:val="24"/>
          <w:szCs w:val="24"/>
          <w:lang w:eastAsia="cs-CZ"/>
        </w:rPr>
        <w:t xml:space="preserve">poradenských služeb. Kontrole byl podroben postup ČTÚ dle zákona č. 29/2000 Sb. při stanovení a úhradě čistých nákladů držitele poštovní licence a při výběru držitele poštovní licence. Kontrolou byl </w:t>
      </w:r>
      <w:r w:rsidR="00A80A2E">
        <w:rPr>
          <w:sz w:val="24"/>
          <w:szCs w:val="24"/>
          <w:lang w:eastAsia="cs-CZ"/>
        </w:rPr>
        <w:t xml:space="preserve">rovněž </w:t>
      </w:r>
      <w:r>
        <w:rPr>
          <w:sz w:val="24"/>
          <w:szCs w:val="24"/>
          <w:lang w:eastAsia="cs-CZ"/>
        </w:rPr>
        <w:t xml:space="preserve">prověřen postup ČTÚ dle zákona č. 127/2005 Sb. při výběru poskytovatele dílčích služeb univerzální služby v elektronických komunikacích a postup ČTÚ při stanovení a úhradě čistých nákladů a ztráty vzniklých z poskytování dílčích služeb univerzální služby elektronických komunikací dle zákona č. 127/2005 Sb. </w:t>
      </w:r>
      <w:r w:rsidR="00CE6E4B">
        <w:rPr>
          <w:sz w:val="24"/>
          <w:szCs w:val="24"/>
          <w:lang w:eastAsia="cs-CZ"/>
        </w:rPr>
        <w:t>Jelikož ČTÚ vykonává správu radiového spektra</w:t>
      </w:r>
      <w:r w:rsidR="000969F6">
        <w:rPr>
          <w:sz w:val="24"/>
          <w:szCs w:val="24"/>
          <w:lang w:eastAsia="cs-CZ"/>
        </w:rPr>
        <w:t xml:space="preserve"> a příjmy z této správy jsou příjmem státního rozpočtu</w:t>
      </w:r>
      <w:r w:rsidR="00CE6E4B">
        <w:rPr>
          <w:sz w:val="24"/>
          <w:szCs w:val="24"/>
          <w:lang w:eastAsia="cs-CZ"/>
        </w:rPr>
        <w:t xml:space="preserve">, </w:t>
      </w:r>
      <w:r w:rsidR="000D70D3">
        <w:rPr>
          <w:sz w:val="24"/>
          <w:szCs w:val="24"/>
          <w:lang w:eastAsia="cs-CZ"/>
        </w:rPr>
        <w:t>byl k</w:t>
      </w:r>
      <w:r>
        <w:rPr>
          <w:sz w:val="24"/>
          <w:szCs w:val="24"/>
          <w:lang w:eastAsia="cs-CZ"/>
        </w:rPr>
        <w:t>ontrole podroben postup ČTÚ při</w:t>
      </w:r>
      <w:r w:rsidRPr="00D67792">
        <w:rPr>
          <w:sz w:val="24"/>
          <w:szCs w:val="24"/>
          <w:lang w:eastAsia="cs-CZ"/>
        </w:rPr>
        <w:t xml:space="preserve"> </w:t>
      </w:r>
      <w:r w:rsidRPr="004F1FFD">
        <w:rPr>
          <w:sz w:val="24"/>
          <w:szCs w:val="24"/>
          <w:lang w:eastAsia="cs-CZ"/>
        </w:rPr>
        <w:t xml:space="preserve">přípravě a realizaci </w:t>
      </w:r>
      <w:r w:rsidR="00053478">
        <w:rPr>
          <w:sz w:val="24"/>
          <w:szCs w:val="24"/>
          <w:lang w:eastAsia="cs-CZ"/>
        </w:rPr>
        <w:t>v</w:t>
      </w:r>
      <w:r w:rsidRPr="004F1FFD">
        <w:rPr>
          <w:sz w:val="24"/>
          <w:szCs w:val="24"/>
          <w:lang w:eastAsia="cs-CZ"/>
        </w:rPr>
        <w:t>ýběrového řízení za účelem udělení práv k</w:t>
      </w:r>
      <w:r w:rsidR="006C4D80">
        <w:rPr>
          <w:sz w:val="24"/>
          <w:szCs w:val="24"/>
          <w:lang w:eastAsia="cs-CZ"/>
        </w:rPr>
        <w:t> </w:t>
      </w:r>
      <w:r w:rsidRPr="004F1FFD">
        <w:rPr>
          <w:sz w:val="24"/>
          <w:szCs w:val="24"/>
          <w:lang w:eastAsia="cs-CZ"/>
        </w:rPr>
        <w:t>využívání rádiových kmitočtů pro zajištění sítí elektronických komunikací v kmitočtových pásmech 700 MHz a 3400–3600 MHz.</w:t>
      </w:r>
      <w:r>
        <w:rPr>
          <w:sz w:val="24"/>
          <w:szCs w:val="24"/>
          <w:lang w:eastAsia="cs-CZ"/>
        </w:rPr>
        <w:t xml:space="preserve"> Výběrové řízení proběhlo v roce 2020.</w:t>
      </w:r>
    </w:p>
    <w:p w14:paraId="6A50B64E" w14:textId="77777777" w:rsidR="00F55586" w:rsidRPr="004F1FFD" w:rsidRDefault="00F55586" w:rsidP="00F55586">
      <w:pPr>
        <w:spacing w:after="0"/>
        <w:rPr>
          <w:sz w:val="24"/>
          <w:szCs w:val="24"/>
          <w:lang w:eastAsia="cs-CZ"/>
        </w:rPr>
      </w:pPr>
    </w:p>
    <w:p w14:paraId="356ECDF1" w14:textId="2E06F449" w:rsidR="00F55586" w:rsidRDefault="00F55586" w:rsidP="00F55586">
      <w:pPr>
        <w:spacing w:after="0"/>
        <w:jc w:val="both"/>
        <w:rPr>
          <w:sz w:val="24"/>
          <w:szCs w:val="24"/>
          <w:lang w:eastAsia="cs-CZ"/>
        </w:rPr>
      </w:pPr>
      <w:r>
        <w:rPr>
          <w:sz w:val="24"/>
          <w:szCs w:val="24"/>
          <w:lang w:eastAsia="cs-CZ"/>
        </w:rPr>
        <w:t>Kontrolovaný objem příjmů z aukce rádiových kmitočtů činil 5</w:t>
      </w:r>
      <w:r w:rsidR="00D83845">
        <w:rPr>
          <w:sz w:val="24"/>
          <w:szCs w:val="24"/>
          <w:lang w:eastAsia="cs-CZ"/>
        </w:rPr>
        <w:t xml:space="preserve"> </w:t>
      </w:r>
      <w:r>
        <w:rPr>
          <w:sz w:val="24"/>
          <w:szCs w:val="24"/>
          <w:lang w:eastAsia="cs-CZ"/>
        </w:rPr>
        <w:t>596</w:t>
      </w:r>
      <w:r w:rsidR="00D83845">
        <w:rPr>
          <w:sz w:val="24"/>
          <w:szCs w:val="24"/>
          <w:lang w:eastAsia="cs-CZ"/>
        </w:rPr>
        <w:t> 000 000</w:t>
      </w:r>
      <w:r>
        <w:rPr>
          <w:sz w:val="24"/>
          <w:szCs w:val="24"/>
          <w:lang w:eastAsia="cs-CZ"/>
        </w:rPr>
        <w:t xml:space="preserve"> Kč. Na straně výdajů</w:t>
      </w:r>
      <w:r w:rsidR="004E470D">
        <w:rPr>
          <w:sz w:val="24"/>
          <w:szCs w:val="24"/>
          <w:lang w:eastAsia="cs-CZ"/>
        </w:rPr>
        <w:t xml:space="preserve"> stanovil NKÚ </w:t>
      </w:r>
      <w:r>
        <w:rPr>
          <w:sz w:val="24"/>
          <w:szCs w:val="24"/>
          <w:lang w:eastAsia="cs-CZ"/>
        </w:rPr>
        <w:t>kontrolovaný objem jako součet hodnoty pořízeného nemovitého majetku, vzorku pořízeného movitého majetku</w:t>
      </w:r>
      <w:r w:rsidR="009A1133">
        <w:rPr>
          <w:sz w:val="24"/>
          <w:szCs w:val="24"/>
          <w:lang w:eastAsia="cs-CZ"/>
        </w:rPr>
        <w:t xml:space="preserve"> a</w:t>
      </w:r>
      <w:r>
        <w:rPr>
          <w:sz w:val="24"/>
          <w:szCs w:val="24"/>
          <w:lang w:eastAsia="cs-CZ"/>
        </w:rPr>
        <w:t xml:space="preserve"> vzorku pořízených služeb</w:t>
      </w:r>
      <w:r w:rsidR="009A1133">
        <w:rPr>
          <w:sz w:val="24"/>
          <w:szCs w:val="24"/>
          <w:lang w:eastAsia="cs-CZ"/>
        </w:rPr>
        <w:t xml:space="preserve"> v období let 2018 </w:t>
      </w:r>
      <w:r w:rsidR="00CD41A5">
        <w:rPr>
          <w:sz w:val="24"/>
          <w:szCs w:val="24"/>
          <w:lang w:eastAsia="cs-CZ"/>
        </w:rPr>
        <w:t>až</w:t>
      </w:r>
      <w:r w:rsidR="009A1133">
        <w:rPr>
          <w:sz w:val="24"/>
          <w:szCs w:val="24"/>
          <w:lang w:eastAsia="cs-CZ"/>
        </w:rPr>
        <w:t xml:space="preserve"> 2022</w:t>
      </w:r>
      <w:r w:rsidR="00846FC2">
        <w:rPr>
          <w:sz w:val="24"/>
          <w:szCs w:val="24"/>
          <w:lang w:eastAsia="cs-CZ"/>
        </w:rPr>
        <w:t xml:space="preserve"> v celkové výši 86 712 59</w:t>
      </w:r>
      <w:r w:rsidR="008D4B5A">
        <w:rPr>
          <w:sz w:val="24"/>
          <w:szCs w:val="24"/>
          <w:lang w:eastAsia="cs-CZ"/>
        </w:rPr>
        <w:t>3</w:t>
      </w:r>
      <w:r w:rsidR="00846FC2">
        <w:rPr>
          <w:sz w:val="24"/>
          <w:szCs w:val="24"/>
          <w:lang w:eastAsia="cs-CZ"/>
        </w:rPr>
        <w:t xml:space="preserve"> Kč.</w:t>
      </w:r>
      <w:r>
        <w:rPr>
          <w:sz w:val="24"/>
          <w:szCs w:val="24"/>
          <w:lang w:eastAsia="cs-CZ"/>
        </w:rPr>
        <w:t xml:space="preserve"> </w:t>
      </w:r>
      <w:r w:rsidR="009A1133">
        <w:rPr>
          <w:sz w:val="24"/>
          <w:szCs w:val="24"/>
          <w:lang w:eastAsia="cs-CZ"/>
        </w:rPr>
        <w:t xml:space="preserve">Součástí kontrolovaného objemu jsou </w:t>
      </w:r>
      <w:r w:rsidR="009D005F">
        <w:rPr>
          <w:sz w:val="24"/>
          <w:szCs w:val="24"/>
          <w:lang w:eastAsia="cs-CZ"/>
        </w:rPr>
        <w:t>dále</w:t>
      </w:r>
      <w:r>
        <w:rPr>
          <w:sz w:val="24"/>
          <w:szCs w:val="24"/>
          <w:lang w:eastAsia="cs-CZ"/>
        </w:rPr>
        <w:t xml:space="preserve"> úhrady čistých nákladů a</w:t>
      </w:r>
      <w:r w:rsidR="000F07A4">
        <w:rPr>
          <w:sz w:val="24"/>
          <w:szCs w:val="24"/>
          <w:lang w:eastAsia="cs-CZ"/>
        </w:rPr>
        <w:t> </w:t>
      </w:r>
      <w:r>
        <w:rPr>
          <w:sz w:val="24"/>
          <w:szCs w:val="24"/>
          <w:lang w:eastAsia="cs-CZ"/>
        </w:rPr>
        <w:t xml:space="preserve">ztráty za poskytování dílčích služeb univerzální služby v elektronických komunikacích za zúčtovací období let 2017 až 2020 v celkové výši </w:t>
      </w:r>
      <w:r w:rsidR="008D4B5A">
        <w:rPr>
          <w:sz w:val="24"/>
          <w:szCs w:val="24"/>
          <w:lang w:eastAsia="cs-CZ"/>
        </w:rPr>
        <w:t>396 641 590</w:t>
      </w:r>
      <w:r>
        <w:rPr>
          <w:sz w:val="24"/>
          <w:szCs w:val="24"/>
          <w:lang w:eastAsia="cs-CZ"/>
        </w:rPr>
        <w:t xml:space="preserve"> Kč</w:t>
      </w:r>
      <w:r w:rsidR="006E1D46">
        <w:rPr>
          <w:sz w:val="24"/>
          <w:szCs w:val="24"/>
          <w:lang w:eastAsia="cs-CZ"/>
        </w:rPr>
        <w:t xml:space="preserve"> (vyplacené v letech 2018</w:t>
      </w:r>
      <w:r w:rsidR="00CD41A5">
        <w:rPr>
          <w:sz w:val="24"/>
          <w:szCs w:val="24"/>
          <w:lang w:eastAsia="cs-CZ"/>
        </w:rPr>
        <w:t xml:space="preserve"> až </w:t>
      </w:r>
      <w:r w:rsidR="006E1D46">
        <w:rPr>
          <w:sz w:val="24"/>
          <w:szCs w:val="24"/>
          <w:lang w:eastAsia="cs-CZ"/>
        </w:rPr>
        <w:t>2021)</w:t>
      </w:r>
      <w:r>
        <w:rPr>
          <w:sz w:val="24"/>
          <w:szCs w:val="24"/>
          <w:lang w:eastAsia="cs-CZ"/>
        </w:rPr>
        <w:t>. Kontrolovaný objem</w:t>
      </w:r>
      <w:r w:rsidR="00474AF0">
        <w:rPr>
          <w:sz w:val="24"/>
          <w:szCs w:val="24"/>
          <w:lang w:eastAsia="cs-CZ"/>
        </w:rPr>
        <w:t xml:space="preserve"> na úrovni systému</w:t>
      </w:r>
      <w:r>
        <w:rPr>
          <w:sz w:val="24"/>
          <w:szCs w:val="24"/>
          <w:lang w:eastAsia="cs-CZ"/>
        </w:rPr>
        <w:t xml:space="preserve"> zahrnuje čisté náklady držitele poštovní licence vykázané v žádostech o úhradu za zúčtovací období let 2018 </w:t>
      </w:r>
      <w:r w:rsidR="00474AF0">
        <w:rPr>
          <w:sz w:val="24"/>
          <w:szCs w:val="24"/>
          <w:lang w:eastAsia="cs-CZ"/>
        </w:rPr>
        <w:t xml:space="preserve">až </w:t>
      </w:r>
      <w:r>
        <w:rPr>
          <w:sz w:val="24"/>
          <w:szCs w:val="24"/>
          <w:lang w:eastAsia="cs-CZ"/>
        </w:rPr>
        <w:t>2020</w:t>
      </w:r>
      <w:r w:rsidR="00474AF0">
        <w:rPr>
          <w:sz w:val="24"/>
          <w:szCs w:val="24"/>
          <w:lang w:eastAsia="cs-CZ"/>
        </w:rPr>
        <w:t xml:space="preserve"> ve výši 7</w:t>
      </w:r>
      <w:r w:rsidR="00D83845">
        <w:rPr>
          <w:sz w:val="24"/>
          <w:szCs w:val="24"/>
          <w:lang w:eastAsia="cs-CZ"/>
        </w:rPr>
        <w:t> </w:t>
      </w:r>
      <w:r w:rsidR="00474AF0">
        <w:rPr>
          <w:sz w:val="24"/>
          <w:szCs w:val="24"/>
          <w:lang w:eastAsia="cs-CZ"/>
        </w:rPr>
        <w:t>41</w:t>
      </w:r>
      <w:r w:rsidR="00D83845">
        <w:rPr>
          <w:sz w:val="24"/>
          <w:szCs w:val="24"/>
          <w:lang w:eastAsia="cs-CZ"/>
        </w:rPr>
        <w:t>5 924 7</w:t>
      </w:r>
      <w:r w:rsidR="007750FD">
        <w:rPr>
          <w:sz w:val="24"/>
          <w:szCs w:val="24"/>
          <w:lang w:eastAsia="cs-CZ"/>
        </w:rPr>
        <w:t>44</w:t>
      </w:r>
      <w:r w:rsidR="00474AF0">
        <w:rPr>
          <w:sz w:val="24"/>
          <w:szCs w:val="24"/>
          <w:lang w:eastAsia="cs-CZ"/>
        </w:rPr>
        <w:t xml:space="preserve"> Kč</w:t>
      </w:r>
      <w:r>
        <w:rPr>
          <w:sz w:val="24"/>
          <w:szCs w:val="24"/>
          <w:lang w:eastAsia="cs-CZ"/>
        </w:rPr>
        <w:t>.</w:t>
      </w:r>
    </w:p>
    <w:p w14:paraId="5BD6534F" w14:textId="77777777" w:rsidR="00BF68CD" w:rsidRDefault="00BF68CD" w:rsidP="00F55586">
      <w:pPr>
        <w:spacing w:after="0"/>
        <w:jc w:val="both"/>
        <w:rPr>
          <w:sz w:val="24"/>
          <w:szCs w:val="24"/>
          <w:lang w:eastAsia="cs-CZ"/>
        </w:rPr>
      </w:pPr>
    </w:p>
    <w:p w14:paraId="190DC912" w14:textId="77777777" w:rsidR="00F55586" w:rsidRDefault="00F55586" w:rsidP="00F55586">
      <w:pPr>
        <w:spacing w:after="0"/>
        <w:jc w:val="both"/>
        <w:rPr>
          <w:rFonts w:cstheme="minorHAnsi"/>
          <w:sz w:val="24"/>
          <w:szCs w:val="24"/>
        </w:rPr>
      </w:pPr>
      <w:r>
        <w:rPr>
          <w:rFonts w:cstheme="minorHAnsi"/>
          <w:sz w:val="24"/>
          <w:szCs w:val="24"/>
        </w:rPr>
        <w:t>Kontrolovaným obdobím byly roky 2018 až 2022, v případě věcných souvislostí i období předcházející.</w:t>
      </w:r>
    </w:p>
    <w:p w14:paraId="78293F5A" w14:textId="77777777" w:rsidR="00E730E2" w:rsidRDefault="00E730E2" w:rsidP="00F55586">
      <w:pPr>
        <w:spacing w:after="0" w:line="240" w:lineRule="auto"/>
        <w:ind w:left="567" w:hanging="567"/>
        <w:jc w:val="both"/>
        <w:rPr>
          <w:rFonts w:cstheme="minorHAnsi"/>
          <w:b/>
          <w:sz w:val="20"/>
          <w:szCs w:val="20"/>
        </w:rPr>
      </w:pPr>
    </w:p>
    <w:p w14:paraId="40E76B9D" w14:textId="6F38FC05" w:rsidR="00F55586" w:rsidRDefault="00F55586" w:rsidP="00BF68CD">
      <w:pPr>
        <w:spacing w:after="0" w:line="240" w:lineRule="auto"/>
        <w:ind w:left="567" w:hanging="567"/>
        <w:jc w:val="both"/>
      </w:pPr>
      <w:r w:rsidRPr="00891AA7">
        <w:rPr>
          <w:rFonts w:cstheme="minorHAnsi"/>
          <w:b/>
          <w:sz w:val="20"/>
          <w:szCs w:val="20"/>
        </w:rPr>
        <w:t>Pozn.:</w:t>
      </w:r>
      <w:r w:rsidRPr="00891AA7">
        <w:rPr>
          <w:rFonts w:cstheme="minorHAnsi"/>
          <w:sz w:val="20"/>
          <w:szCs w:val="20"/>
        </w:rPr>
        <w:tab/>
        <w:t>Právní předpisy uvedené v tomto kontrolním závěru jsou aplikovány ve znění účinném pro kontrolované období.</w:t>
      </w:r>
    </w:p>
    <w:p w14:paraId="469D2092" w14:textId="590F948C" w:rsidR="00D65D7D" w:rsidRDefault="00D65D7D" w:rsidP="005D05D7">
      <w:pPr>
        <w:pStyle w:val="Nadpis1"/>
        <w:numPr>
          <w:ilvl w:val="0"/>
          <w:numId w:val="0"/>
        </w:numPr>
        <w:spacing w:after="240" w:line="264" w:lineRule="auto"/>
        <w:ind w:left="357" w:hanging="357"/>
        <w:rPr>
          <w:sz w:val="28"/>
          <w:szCs w:val="28"/>
        </w:rPr>
      </w:pPr>
      <w:r w:rsidRPr="00D64F39">
        <w:rPr>
          <w:sz w:val="28"/>
          <w:szCs w:val="28"/>
        </w:rPr>
        <w:t>IV. Podrobné skutečnosti zjištěné kontrolou</w:t>
      </w:r>
    </w:p>
    <w:p w14:paraId="7B4E430E" w14:textId="40306CEB" w:rsidR="00C50574" w:rsidRPr="005D05D7" w:rsidRDefault="005D05D7" w:rsidP="005D05D7">
      <w:pPr>
        <w:keepNext/>
        <w:spacing w:after="120" w:line="264" w:lineRule="auto"/>
        <w:jc w:val="both"/>
        <w:rPr>
          <w:b/>
          <w:sz w:val="24"/>
          <w:szCs w:val="24"/>
        </w:rPr>
      </w:pPr>
      <w:r>
        <w:rPr>
          <w:b/>
          <w:sz w:val="24"/>
          <w:szCs w:val="24"/>
        </w:rPr>
        <w:t xml:space="preserve">1. </w:t>
      </w:r>
      <w:r w:rsidR="00C50574" w:rsidRPr="005D05D7">
        <w:rPr>
          <w:b/>
          <w:sz w:val="24"/>
          <w:szCs w:val="24"/>
        </w:rPr>
        <w:t>Hospodaření ČTÚ</w:t>
      </w:r>
    </w:p>
    <w:p w14:paraId="4CB15099" w14:textId="4C714C38" w:rsidR="00130242" w:rsidRPr="00BF68CD" w:rsidRDefault="00C50574" w:rsidP="00BF68CD">
      <w:pPr>
        <w:spacing w:after="120" w:line="264" w:lineRule="auto"/>
        <w:jc w:val="both"/>
        <w:rPr>
          <w:sz w:val="24"/>
          <w:szCs w:val="24"/>
        </w:rPr>
      </w:pPr>
      <w:r w:rsidRPr="00BF68CD">
        <w:rPr>
          <w:sz w:val="24"/>
          <w:szCs w:val="24"/>
        </w:rPr>
        <w:t>ČTÚ v souladu se svojí zákonnou povinností</w:t>
      </w:r>
      <w:r w:rsidRPr="00BF68CD">
        <w:rPr>
          <w:rStyle w:val="Znakapoznpodarou"/>
          <w:sz w:val="24"/>
          <w:szCs w:val="24"/>
        </w:rPr>
        <w:footnoteReference w:id="11"/>
      </w:r>
      <w:r w:rsidRPr="00BF68CD">
        <w:rPr>
          <w:sz w:val="24"/>
          <w:szCs w:val="24"/>
        </w:rPr>
        <w:t xml:space="preserve"> </w:t>
      </w:r>
      <w:r w:rsidR="00EA38C4" w:rsidRPr="00BF68CD">
        <w:rPr>
          <w:sz w:val="24"/>
          <w:szCs w:val="24"/>
        </w:rPr>
        <w:t xml:space="preserve">stanovil v květnu 2021 </w:t>
      </w:r>
      <w:r w:rsidRPr="00BF68CD">
        <w:rPr>
          <w:sz w:val="24"/>
          <w:szCs w:val="24"/>
        </w:rPr>
        <w:t>relevantní trhy v oboru elektronických komunikací včetně relevantní</w:t>
      </w:r>
      <w:r w:rsidR="00EA38C4" w:rsidRPr="00BF68CD">
        <w:rPr>
          <w:sz w:val="24"/>
          <w:szCs w:val="24"/>
        </w:rPr>
        <w:t>ho</w:t>
      </w:r>
      <w:r w:rsidRPr="00BF68CD">
        <w:rPr>
          <w:sz w:val="24"/>
          <w:szCs w:val="24"/>
        </w:rPr>
        <w:t xml:space="preserve"> trh</w:t>
      </w:r>
      <w:r w:rsidR="00EA38C4" w:rsidRPr="00BF68CD">
        <w:rPr>
          <w:sz w:val="24"/>
          <w:szCs w:val="24"/>
        </w:rPr>
        <w:t>u</w:t>
      </w:r>
      <w:r w:rsidRPr="00BF68CD">
        <w:rPr>
          <w:sz w:val="24"/>
          <w:szCs w:val="24"/>
        </w:rPr>
        <w:t xml:space="preserve"> č. 3 – velkoobchodní trh přístupu k mobilním službám. Po stanovení relevantního trhu musí ČTÚ ze zákona provést je</w:t>
      </w:r>
      <w:r w:rsidR="00707BFA" w:rsidRPr="00BF68CD">
        <w:rPr>
          <w:sz w:val="24"/>
          <w:szCs w:val="24"/>
        </w:rPr>
        <w:t>ho</w:t>
      </w:r>
      <w:r w:rsidRPr="00BF68CD">
        <w:rPr>
          <w:sz w:val="24"/>
          <w:szCs w:val="24"/>
        </w:rPr>
        <w:t xml:space="preserve"> analýzu. Tuto analýzu zpracovalo pro ČTÚ šest externích dodavatelů. Pěti dodavatelům ČTÚ zadal zpracování jednotlivých částí analýzy formou veřejné zakázky malého rozsahu napřímo. Tyto zakázky pokrýva</w:t>
      </w:r>
      <w:r w:rsidR="000D64A5" w:rsidRPr="00BF68CD">
        <w:rPr>
          <w:sz w:val="24"/>
          <w:szCs w:val="24"/>
        </w:rPr>
        <w:t>ly</w:t>
      </w:r>
      <w:r w:rsidRPr="00BF68CD">
        <w:rPr>
          <w:sz w:val="24"/>
          <w:szCs w:val="24"/>
        </w:rPr>
        <w:t xml:space="preserve"> zpracování samotné analýzy relevantního trhu č. 3, projednání a vypořádání připomínek vzešlých z veřejné konzultace včetně vypořádání připomínek, projednání</w:t>
      </w:r>
      <w:r w:rsidR="000D70D3" w:rsidRPr="00BF68CD">
        <w:rPr>
          <w:sz w:val="24"/>
          <w:szCs w:val="24"/>
        </w:rPr>
        <w:t xml:space="preserve"> analýzy</w:t>
      </w:r>
      <w:r w:rsidRPr="00BF68CD">
        <w:rPr>
          <w:sz w:val="24"/>
          <w:szCs w:val="24"/>
        </w:rPr>
        <w:t xml:space="preserve"> s</w:t>
      </w:r>
      <w:r w:rsidR="00707BFA" w:rsidRPr="00BF68CD">
        <w:rPr>
          <w:sz w:val="24"/>
          <w:szCs w:val="24"/>
        </w:rPr>
        <w:t xml:space="preserve"> Úřadem na ochranu hospodářské soutěže </w:t>
      </w:r>
      <w:r w:rsidRPr="00BF68CD">
        <w:rPr>
          <w:sz w:val="24"/>
          <w:szCs w:val="24"/>
        </w:rPr>
        <w:t xml:space="preserve">a zpracování podkladů pro zahájení notifikačního procesu u Evropské komise. Šestý </w:t>
      </w:r>
      <w:r w:rsidR="00707BFA" w:rsidRPr="00BF68CD">
        <w:rPr>
          <w:sz w:val="24"/>
          <w:szCs w:val="24"/>
        </w:rPr>
        <w:t xml:space="preserve">dodavatel </w:t>
      </w:r>
      <w:r w:rsidRPr="00BF68CD">
        <w:rPr>
          <w:sz w:val="24"/>
          <w:szCs w:val="24"/>
        </w:rPr>
        <w:t xml:space="preserve">se na této analýze podílel poskytováním poradenství na základě smlouvy o právním poradenství, která se týkala i dalších oblastí působnosti ČTÚ. </w:t>
      </w:r>
      <w:r w:rsidR="00EA38C4" w:rsidRPr="00BF68CD">
        <w:rPr>
          <w:sz w:val="24"/>
          <w:szCs w:val="24"/>
        </w:rPr>
        <w:t>Z</w:t>
      </w:r>
      <w:r w:rsidRPr="00BF68CD">
        <w:rPr>
          <w:sz w:val="24"/>
          <w:szCs w:val="24"/>
        </w:rPr>
        <w:t xml:space="preserve">a tyto služby uhradil ČTÚ </w:t>
      </w:r>
      <w:r w:rsidR="00EA38C4" w:rsidRPr="00BF68CD">
        <w:rPr>
          <w:sz w:val="24"/>
          <w:szCs w:val="24"/>
        </w:rPr>
        <w:t xml:space="preserve">celkem </w:t>
      </w:r>
      <w:r w:rsidRPr="00BF68CD">
        <w:rPr>
          <w:sz w:val="24"/>
          <w:szCs w:val="24"/>
        </w:rPr>
        <w:t>6 035 570 Kč bez DPH.</w:t>
      </w:r>
    </w:p>
    <w:p w14:paraId="0247B791" w14:textId="67C35F3B" w:rsidR="006E2D2A" w:rsidRPr="00BF68CD" w:rsidRDefault="00AB451F" w:rsidP="00BF68CD">
      <w:pPr>
        <w:keepNext/>
        <w:spacing w:after="120" w:line="264" w:lineRule="auto"/>
        <w:jc w:val="both"/>
        <w:rPr>
          <w:b/>
          <w:sz w:val="24"/>
          <w:szCs w:val="24"/>
        </w:rPr>
      </w:pPr>
      <w:r w:rsidRPr="00BF68CD">
        <w:rPr>
          <w:b/>
          <w:sz w:val="24"/>
          <w:szCs w:val="24"/>
        </w:rPr>
        <w:lastRenderedPageBreak/>
        <w:t xml:space="preserve">Neoprávněné </w:t>
      </w:r>
      <w:r w:rsidR="006E2D2A" w:rsidRPr="00BF68CD">
        <w:rPr>
          <w:b/>
          <w:sz w:val="24"/>
          <w:szCs w:val="24"/>
        </w:rPr>
        <w:t xml:space="preserve">rozdělení veřejné zakázky </w:t>
      </w:r>
      <w:r w:rsidR="00791C12" w:rsidRPr="00BF68CD">
        <w:rPr>
          <w:b/>
          <w:sz w:val="24"/>
          <w:szCs w:val="24"/>
        </w:rPr>
        <w:t>v rozporu s právním předpisem</w:t>
      </w:r>
    </w:p>
    <w:p w14:paraId="4CA77B65" w14:textId="78062D76" w:rsidR="00495B98" w:rsidRPr="00BF68CD" w:rsidRDefault="00C50574" w:rsidP="00BF68CD">
      <w:pPr>
        <w:spacing w:after="120" w:line="264" w:lineRule="auto"/>
        <w:jc w:val="both"/>
        <w:rPr>
          <w:sz w:val="24"/>
          <w:szCs w:val="24"/>
        </w:rPr>
      </w:pPr>
      <w:r w:rsidRPr="00BF68CD">
        <w:rPr>
          <w:sz w:val="24"/>
          <w:szCs w:val="24"/>
        </w:rPr>
        <w:t>Pět smluv na zpracování analýzy relevantního trhu č. 3</w:t>
      </w:r>
      <w:r w:rsidR="00495B98" w:rsidRPr="00BF68CD">
        <w:rPr>
          <w:sz w:val="24"/>
          <w:szCs w:val="24"/>
        </w:rPr>
        <w:t>, na její následné projednání v rámci veřejné konzultace a spolupráci v rámci notifikace u Evropské komise</w:t>
      </w:r>
      <w:r w:rsidRPr="00BF68CD">
        <w:rPr>
          <w:sz w:val="24"/>
          <w:szCs w:val="24"/>
        </w:rPr>
        <w:t xml:space="preserve"> uzavřel ČTÚ napřímo s</w:t>
      </w:r>
      <w:r w:rsidR="00520DB1" w:rsidRPr="00BF68CD">
        <w:rPr>
          <w:sz w:val="24"/>
          <w:szCs w:val="24"/>
        </w:rPr>
        <w:t xml:space="preserve"> pěti </w:t>
      </w:r>
      <w:r w:rsidRPr="00BF68CD">
        <w:rPr>
          <w:sz w:val="24"/>
          <w:szCs w:val="24"/>
        </w:rPr>
        <w:t xml:space="preserve">dodavateli bez výběrového řízení v rozmezí 19 dnů. </w:t>
      </w:r>
      <w:r w:rsidR="00520DB1" w:rsidRPr="00BF68CD">
        <w:rPr>
          <w:sz w:val="24"/>
          <w:szCs w:val="24"/>
        </w:rPr>
        <w:t>Tito dodavatelé</w:t>
      </w:r>
      <w:r w:rsidR="00235B42" w:rsidRPr="00BF68CD">
        <w:rPr>
          <w:sz w:val="24"/>
          <w:szCs w:val="24"/>
        </w:rPr>
        <w:t xml:space="preserve"> v průběhu analýzy relevantního trhu č. 3 úzce spolupracoval</w:t>
      </w:r>
      <w:r w:rsidR="00100712" w:rsidRPr="00BF68CD">
        <w:rPr>
          <w:sz w:val="24"/>
          <w:szCs w:val="24"/>
        </w:rPr>
        <w:t>i</w:t>
      </w:r>
      <w:r w:rsidR="00235B42" w:rsidRPr="00BF68CD">
        <w:rPr>
          <w:sz w:val="24"/>
          <w:szCs w:val="24"/>
        </w:rPr>
        <w:t xml:space="preserve">. Tři </w:t>
      </w:r>
      <w:r w:rsidR="00520DB1" w:rsidRPr="00BF68CD">
        <w:rPr>
          <w:sz w:val="24"/>
          <w:szCs w:val="24"/>
        </w:rPr>
        <w:t>dodavatelé</w:t>
      </w:r>
      <w:r w:rsidR="00235B42" w:rsidRPr="00BF68CD">
        <w:rPr>
          <w:sz w:val="24"/>
          <w:szCs w:val="24"/>
        </w:rPr>
        <w:t xml:space="preserve"> spolupracoval</w:t>
      </w:r>
      <w:r w:rsidR="00791C12" w:rsidRPr="00BF68CD">
        <w:rPr>
          <w:sz w:val="24"/>
          <w:szCs w:val="24"/>
        </w:rPr>
        <w:t>i</w:t>
      </w:r>
      <w:r w:rsidR="00235B42" w:rsidRPr="00BF68CD">
        <w:rPr>
          <w:sz w:val="24"/>
          <w:szCs w:val="24"/>
        </w:rPr>
        <w:t xml:space="preserve"> do takové míry, že </w:t>
      </w:r>
      <w:r w:rsidR="00520DB1" w:rsidRPr="00BF68CD">
        <w:rPr>
          <w:sz w:val="24"/>
          <w:szCs w:val="24"/>
        </w:rPr>
        <w:t xml:space="preserve">se </w:t>
      </w:r>
      <w:r w:rsidR="00235B42" w:rsidRPr="00BF68CD">
        <w:rPr>
          <w:sz w:val="24"/>
          <w:szCs w:val="24"/>
        </w:rPr>
        <w:t>jejich výstupy výrazně překrývaly a lišily se pouze formálně. Jedním</w:t>
      </w:r>
      <w:r w:rsidR="00707BFA" w:rsidRPr="00BF68CD">
        <w:rPr>
          <w:sz w:val="24"/>
          <w:szCs w:val="24"/>
        </w:rPr>
        <w:t xml:space="preserve"> z jejich</w:t>
      </w:r>
      <w:r w:rsidR="00235B42" w:rsidRPr="00BF68CD">
        <w:rPr>
          <w:sz w:val="24"/>
          <w:szCs w:val="24"/>
        </w:rPr>
        <w:t xml:space="preserve"> výstup</w:t>
      </w:r>
      <w:r w:rsidR="00707BFA" w:rsidRPr="00BF68CD">
        <w:rPr>
          <w:sz w:val="24"/>
          <w:szCs w:val="24"/>
        </w:rPr>
        <w:t>ů</w:t>
      </w:r>
      <w:r w:rsidR="00235B42" w:rsidRPr="00BF68CD">
        <w:rPr>
          <w:sz w:val="24"/>
          <w:szCs w:val="24"/>
        </w:rPr>
        <w:t xml:space="preserve"> byla samotná analýza relevantního trhu č. 3, druhým </w:t>
      </w:r>
      <w:r w:rsidR="00707BFA" w:rsidRPr="00BF68CD">
        <w:rPr>
          <w:sz w:val="24"/>
          <w:szCs w:val="24"/>
        </w:rPr>
        <w:t xml:space="preserve">jejich </w:t>
      </w:r>
      <w:r w:rsidR="00495B98" w:rsidRPr="00BF68CD">
        <w:rPr>
          <w:sz w:val="24"/>
          <w:szCs w:val="24"/>
        </w:rPr>
        <w:t xml:space="preserve">výstupem </w:t>
      </w:r>
      <w:r w:rsidR="00235B42" w:rsidRPr="00BF68CD">
        <w:rPr>
          <w:sz w:val="24"/>
          <w:szCs w:val="24"/>
        </w:rPr>
        <w:t xml:space="preserve">pak </w:t>
      </w:r>
      <w:r w:rsidR="00495B98" w:rsidRPr="00BF68CD">
        <w:rPr>
          <w:sz w:val="24"/>
          <w:szCs w:val="24"/>
        </w:rPr>
        <w:t xml:space="preserve">byla </w:t>
      </w:r>
      <w:r w:rsidR="00235B42" w:rsidRPr="00BF68CD">
        <w:rPr>
          <w:sz w:val="24"/>
          <w:szCs w:val="24"/>
        </w:rPr>
        <w:t>stejná analýz</w:t>
      </w:r>
      <w:r w:rsidR="00495B98" w:rsidRPr="00BF68CD">
        <w:rPr>
          <w:sz w:val="24"/>
          <w:szCs w:val="24"/>
        </w:rPr>
        <w:t>a</w:t>
      </w:r>
      <w:r w:rsidR="00235B42" w:rsidRPr="00BF68CD">
        <w:rPr>
          <w:sz w:val="24"/>
          <w:szCs w:val="24"/>
        </w:rPr>
        <w:t xml:space="preserve">, pouze ve formátu pro veřejnou konzultaci. Součástí obou výstupů pak byl i návrh regulace relevantního trhu č. 3. </w:t>
      </w:r>
      <w:r w:rsidR="00495B98" w:rsidRPr="00BF68CD">
        <w:rPr>
          <w:sz w:val="24"/>
          <w:szCs w:val="24"/>
        </w:rPr>
        <w:t xml:space="preserve">NKÚ zjistil, že ČTÚ definoval jednotlivé části analýzy, kterou mají </w:t>
      </w:r>
      <w:r w:rsidR="00707BFA" w:rsidRPr="00BF68CD">
        <w:rPr>
          <w:sz w:val="24"/>
          <w:szCs w:val="24"/>
        </w:rPr>
        <w:t xml:space="preserve">tito tři </w:t>
      </w:r>
      <w:r w:rsidR="00495B98" w:rsidRPr="00BF68CD">
        <w:rPr>
          <w:sz w:val="24"/>
          <w:szCs w:val="24"/>
        </w:rPr>
        <w:t xml:space="preserve">dodavatelé zpracovat, a to včetně stanovení přesného podílu prací. </w:t>
      </w:r>
      <w:r w:rsidR="00520DB1" w:rsidRPr="00BF68CD">
        <w:rPr>
          <w:sz w:val="24"/>
          <w:szCs w:val="24"/>
        </w:rPr>
        <w:t>Takto definované zadání dokládá, že se ve skutečnosti jedn</w:t>
      </w:r>
      <w:r w:rsidR="00364593" w:rsidRPr="00BF68CD">
        <w:rPr>
          <w:sz w:val="24"/>
          <w:szCs w:val="24"/>
        </w:rPr>
        <w:t>alo</w:t>
      </w:r>
      <w:r w:rsidR="00520DB1" w:rsidRPr="00BF68CD">
        <w:rPr>
          <w:sz w:val="24"/>
          <w:szCs w:val="24"/>
        </w:rPr>
        <w:t xml:space="preserve"> o analýzu, která tvoř</w:t>
      </w:r>
      <w:r w:rsidR="00364593" w:rsidRPr="00BF68CD">
        <w:rPr>
          <w:sz w:val="24"/>
          <w:szCs w:val="24"/>
        </w:rPr>
        <w:t>ila</w:t>
      </w:r>
      <w:r w:rsidR="00520DB1" w:rsidRPr="00BF68CD">
        <w:rPr>
          <w:sz w:val="24"/>
          <w:szCs w:val="24"/>
        </w:rPr>
        <w:t xml:space="preserve"> jeden funkční celek. </w:t>
      </w:r>
      <w:r w:rsidR="00495B98" w:rsidRPr="00BF68CD">
        <w:rPr>
          <w:sz w:val="24"/>
          <w:szCs w:val="24"/>
        </w:rPr>
        <w:t xml:space="preserve">I přes tento fakt ČTÚ zvolil pro zadání </w:t>
      </w:r>
      <w:r w:rsidR="00520DB1" w:rsidRPr="00BF68CD">
        <w:rPr>
          <w:sz w:val="24"/>
          <w:szCs w:val="24"/>
        </w:rPr>
        <w:t xml:space="preserve">veřejné zakázky na </w:t>
      </w:r>
      <w:r w:rsidR="00495B98" w:rsidRPr="00BF68CD">
        <w:rPr>
          <w:sz w:val="24"/>
          <w:szCs w:val="24"/>
        </w:rPr>
        <w:t>analýz</w:t>
      </w:r>
      <w:r w:rsidR="00520DB1" w:rsidRPr="00BF68CD">
        <w:rPr>
          <w:sz w:val="24"/>
          <w:szCs w:val="24"/>
        </w:rPr>
        <w:t>u</w:t>
      </w:r>
      <w:r w:rsidR="00495B98" w:rsidRPr="00BF68CD">
        <w:rPr>
          <w:sz w:val="24"/>
          <w:szCs w:val="24"/>
        </w:rPr>
        <w:t xml:space="preserve"> relevantního trhu č. 3 </w:t>
      </w:r>
      <w:r w:rsidR="00520DB1" w:rsidRPr="00BF68CD">
        <w:rPr>
          <w:sz w:val="24"/>
          <w:szCs w:val="24"/>
        </w:rPr>
        <w:t xml:space="preserve">formu </w:t>
      </w:r>
      <w:r w:rsidR="00495B98" w:rsidRPr="00BF68CD">
        <w:rPr>
          <w:sz w:val="24"/>
          <w:szCs w:val="24"/>
        </w:rPr>
        <w:t>veřejn</w:t>
      </w:r>
      <w:r w:rsidR="00520DB1" w:rsidRPr="00BF68CD">
        <w:rPr>
          <w:sz w:val="24"/>
          <w:szCs w:val="24"/>
        </w:rPr>
        <w:t>é</w:t>
      </w:r>
      <w:r w:rsidR="00495B98" w:rsidRPr="00BF68CD">
        <w:rPr>
          <w:sz w:val="24"/>
          <w:szCs w:val="24"/>
        </w:rPr>
        <w:t xml:space="preserve"> zakázk</w:t>
      </w:r>
      <w:r w:rsidR="00520DB1" w:rsidRPr="00BF68CD">
        <w:rPr>
          <w:sz w:val="24"/>
          <w:szCs w:val="24"/>
        </w:rPr>
        <w:t>y</w:t>
      </w:r>
      <w:r w:rsidR="00495B98" w:rsidRPr="00BF68CD">
        <w:rPr>
          <w:sz w:val="24"/>
          <w:szCs w:val="24"/>
        </w:rPr>
        <w:t xml:space="preserve"> malého rozsahu zadanou přímo konkrétním dodavatelům</w:t>
      </w:r>
      <w:r w:rsidR="000D70D3" w:rsidRPr="00BF68CD">
        <w:rPr>
          <w:sz w:val="24"/>
          <w:szCs w:val="24"/>
        </w:rPr>
        <w:t>, bez provedení zadávacího řízení</w:t>
      </w:r>
      <w:r w:rsidR="00520DB1" w:rsidRPr="00BF68CD">
        <w:rPr>
          <w:sz w:val="24"/>
          <w:szCs w:val="24"/>
        </w:rPr>
        <w:t xml:space="preserve"> podle zákona o zadávání veřejných zakázek</w:t>
      </w:r>
      <w:r w:rsidR="00495B98" w:rsidRPr="00BF68CD">
        <w:rPr>
          <w:sz w:val="24"/>
          <w:szCs w:val="24"/>
        </w:rPr>
        <w:t>.</w:t>
      </w:r>
    </w:p>
    <w:p w14:paraId="2D9E6416" w14:textId="4D2952D8" w:rsidR="006E1D46" w:rsidRPr="00BF68CD" w:rsidRDefault="00C50574" w:rsidP="00BF68CD">
      <w:pPr>
        <w:spacing w:after="120" w:line="264" w:lineRule="auto"/>
        <w:jc w:val="both"/>
        <w:rPr>
          <w:sz w:val="24"/>
          <w:szCs w:val="24"/>
        </w:rPr>
      </w:pPr>
      <w:r w:rsidRPr="00BF68CD">
        <w:rPr>
          <w:sz w:val="24"/>
          <w:szCs w:val="24"/>
        </w:rPr>
        <w:t>Výše popsaným postupem tak ČTÚ porušil zákon o zadávání veřejných zakázek, když ne</w:t>
      </w:r>
      <w:r w:rsidR="00DE642F" w:rsidRPr="00BF68CD">
        <w:rPr>
          <w:sz w:val="24"/>
          <w:szCs w:val="24"/>
        </w:rPr>
        <w:t>oprávněně</w:t>
      </w:r>
      <w:r w:rsidRPr="00BF68CD">
        <w:rPr>
          <w:sz w:val="24"/>
          <w:szCs w:val="24"/>
        </w:rPr>
        <w:t xml:space="preserve"> rozdělil veřejnou zakázku</w:t>
      </w:r>
      <w:r w:rsidRPr="00BF68CD">
        <w:rPr>
          <w:rStyle w:val="Znakapoznpodarou"/>
          <w:sz w:val="24"/>
          <w:szCs w:val="24"/>
        </w:rPr>
        <w:footnoteReference w:id="12"/>
      </w:r>
      <w:r w:rsidRPr="00BF68CD">
        <w:rPr>
          <w:sz w:val="24"/>
          <w:szCs w:val="24"/>
        </w:rPr>
        <w:t xml:space="preserve"> a neuzavřel smlouvy na základě zadávacího řízení a</w:t>
      </w:r>
      <w:r w:rsidR="00127214" w:rsidRPr="00BF68CD">
        <w:rPr>
          <w:sz w:val="24"/>
          <w:szCs w:val="24"/>
        </w:rPr>
        <w:t> </w:t>
      </w:r>
      <w:r w:rsidRPr="00BF68CD">
        <w:rPr>
          <w:sz w:val="24"/>
          <w:szCs w:val="24"/>
        </w:rPr>
        <w:t xml:space="preserve">omezil </w:t>
      </w:r>
      <w:r w:rsidR="001F25CA">
        <w:rPr>
          <w:sz w:val="24"/>
          <w:szCs w:val="24"/>
        </w:rPr>
        <w:t>tím</w:t>
      </w:r>
      <w:r w:rsidRPr="00BF68CD">
        <w:rPr>
          <w:sz w:val="24"/>
          <w:szCs w:val="24"/>
        </w:rPr>
        <w:t xml:space="preserve"> okruh možných dodavatelů. Přestože tyto tři smlouvy tvoří jeden funkční celek, ČTÚ nesečetl předpokládané hodnoty jednotlivých veřejných zakáze</w:t>
      </w:r>
      <w:r w:rsidR="000D70D3" w:rsidRPr="00BF68CD">
        <w:rPr>
          <w:sz w:val="24"/>
          <w:szCs w:val="24"/>
        </w:rPr>
        <w:t>k</w:t>
      </w:r>
      <w:r w:rsidRPr="00BF68CD">
        <w:rPr>
          <w:sz w:val="24"/>
          <w:szCs w:val="24"/>
        </w:rPr>
        <w:t>, jak požad</w:t>
      </w:r>
      <w:r w:rsidR="00135A82" w:rsidRPr="00BF68CD">
        <w:rPr>
          <w:sz w:val="24"/>
          <w:szCs w:val="24"/>
        </w:rPr>
        <w:t>oval</w:t>
      </w:r>
      <w:r w:rsidRPr="00BF68CD">
        <w:rPr>
          <w:sz w:val="24"/>
          <w:szCs w:val="24"/>
        </w:rPr>
        <w:t xml:space="preserve"> zákon o</w:t>
      </w:r>
      <w:r w:rsidR="00127214" w:rsidRPr="00BF68CD">
        <w:rPr>
          <w:sz w:val="24"/>
          <w:szCs w:val="24"/>
        </w:rPr>
        <w:t> </w:t>
      </w:r>
      <w:r w:rsidRPr="00BF68CD">
        <w:rPr>
          <w:sz w:val="24"/>
          <w:szCs w:val="24"/>
        </w:rPr>
        <w:t>zadávání veřejných zakázek</w:t>
      </w:r>
      <w:r w:rsidR="00952B41" w:rsidRPr="00BF68CD">
        <w:rPr>
          <w:sz w:val="24"/>
          <w:szCs w:val="24"/>
        </w:rPr>
        <w:t>. Ten uklád</w:t>
      </w:r>
      <w:r w:rsidR="00135A82" w:rsidRPr="00BF68CD">
        <w:rPr>
          <w:sz w:val="24"/>
          <w:szCs w:val="24"/>
        </w:rPr>
        <w:t>al</w:t>
      </w:r>
      <w:r w:rsidR="00BE4944" w:rsidRPr="00BF68CD">
        <w:rPr>
          <w:sz w:val="24"/>
          <w:szCs w:val="24"/>
        </w:rPr>
        <w:t xml:space="preserve">, aby zadavatel </w:t>
      </w:r>
      <w:r w:rsidR="000D70D3" w:rsidRPr="00BF68CD">
        <w:rPr>
          <w:sz w:val="24"/>
          <w:szCs w:val="24"/>
        </w:rPr>
        <w:t>stanovil předpokládanou hodnotu všech plnění, která tvoří jeden funkční celek a jsou zadávána v časové souvislosti, a</w:t>
      </w:r>
      <w:r w:rsidR="001F25CA">
        <w:rPr>
          <w:sz w:val="24"/>
          <w:szCs w:val="24"/>
        </w:rPr>
        <w:t> </w:t>
      </w:r>
      <w:r w:rsidR="000D70D3" w:rsidRPr="00BF68CD">
        <w:rPr>
          <w:sz w:val="24"/>
          <w:szCs w:val="24"/>
        </w:rPr>
        <w:t xml:space="preserve">podle její výše pak </w:t>
      </w:r>
      <w:r w:rsidRPr="00BF68CD">
        <w:rPr>
          <w:sz w:val="24"/>
          <w:szCs w:val="24"/>
        </w:rPr>
        <w:t>zjistil, jaké zadávací řízení má použít</w:t>
      </w:r>
      <w:r w:rsidRPr="00BF68CD">
        <w:rPr>
          <w:rStyle w:val="Znakapoznpodarou"/>
          <w:sz w:val="24"/>
          <w:szCs w:val="24"/>
        </w:rPr>
        <w:footnoteReference w:id="13"/>
      </w:r>
      <w:r w:rsidRPr="00BF68CD">
        <w:rPr>
          <w:sz w:val="24"/>
          <w:szCs w:val="24"/>
        </w:rPr>
        <w:t xml:space="preserve">. </w:t>
      </w:r>
    </w:p>
    <w:p w14:paraId="7B15AEF0" w14:textId="2F00091C" w:rsidR="00C50574" w:rsidRPr="00BF68CD" w:rsidRDefault="00C50574" w:rsidP="00BF68CD">
      <w:pPr>
        <w:spacing w:after="120" w:line="264" w:lineRule="auto"/>
        <w:jc w:val="both"/>
        <w:rPr>
          <w:sz w:val="24"/>
          <w:szCs w:val="24"/>
        </w:rPr>
      </w:pPr>
      <w:r w:rsidRPr="00BF68CD">
        <w:rPr>
          <w:sz w:val="24"/>
          <w:szCs w:val="24"/>
        </w:rPr>
        <w:t>ČTÚ tímto porušil zásadu transparentnosti, zákaz diskriminace a zásadu rovného zacházení</w:t>
      </w:r>
      <w:r w:rsidRPr="00BF68CD">
        <w:rPr>
          <w:rStyle w:val="Znakapoznpodarou"/>
          <w:sz w:val="24"/>
          <w:szCs w:val="24"/>
        </w:rPr>
        <w:footnoteReference w:id="14"/>
      </w:r>
      <w:r w:rsidRPr="00BF68CD">
        <w:rPr>
          <w:sz w:val="24"/>
          <w:szCs w:val="24"/>
        </w:rPr>
        <w:t>. Za tyto tři smlouvy ČTÚ uhradil celkem 4 685 145 Kč včetně DPH, což NKÚ vyhodnotil jako</w:t>
      </w:r>
      <w:r w:rsidR="00707BFA" w:rsidRPr="00BF68CD">
        <w:rPr>
          <w:sz w:val="24"/>
          <w:szCs w:val="24"/>
        </w:rPr>
        <w:t xml:space="preserve"> </w:t>
      </w:r>
      <w:r w:rsidR="00247DF9" w:rsidRPr="00BF68CD">
        <w:rPr>
          <w:sz w:val="24"/>
          <w:szCs w:val="24"/>
        </w:rPr>
        <w:t>skutečnosti nasvědčující porušení rozpočtové kázně dle</w:t>
      </w:r>
      <w:r w:rsidRPr="00BF68CD">
        <w:rPr>
          <w:sz w:val="24"/>
          <w:szCs w:val="24"/>
        </w:rPr>
        <w:t xml:space="preserve"> </w:t>
      </w:r>
      <w:r w:rsidR="00127214" w:rsidRPr="00BF68CD">
        <w:rPr>
          <w:sz w:val="24"/>
          <w:szCs w:val="24"/>
        </w:rPr>
        <w:t xml:space="preserve">ustanovení </w:t>
      </w:r>
      <w:r w:rsidRPr="00BF68CD">
        <w:rPr>
          <w:sz w:val="24"/>
          <w:szCs w:val="24"/>
        </w:rPr>
        <w:t>§ 44 odst. 1 písm. a) zákona č.</w:t>
      </w:r>
      <w:r w:rsidR="00127214" w:rsidRPr="00BF68CD">
        <w:rPr>
          <w:sz w:val="24"/>
          <w:szCs w:val="24"/>
        </w:rPr>
        <w:t> </w:t>
      </w:r>
      <w:r w:rsidRPr="00BF68CD">
        <w:rPr>
          <w:sz w:val="24"/>
          <w:szCs w:val="24"/>
        </w:rPr>
        <w:t>218/2000 Sb.</w:t>
      </w:r>
      <w:r w:rsidR="00247DF9" w:rsidRPr="00BF68CD">
        <w:rPr>
          <w:sz w:val="24"/>
          <w:szCs w:val="24"/>
        </w:rPr>
        <w:t>, o rozpočtových pravidlech a o změně některých souvisejících zákonů (rozpočtová pravidla)</w:t>
      </w:r>
      <w:r w:rsidR="00570A24" w:rsidRPr="00BF68CD">
        <w:rPr>
          <w:sz w:val="24"/>
          <w:szCs w:val="24"/>
        </w:rPr>
        <w:t>.</w:t>
      </w:r>
      <w:r w:rsidRPr="00BF68CD">
        <w:rPr>
          <w:sz w:val="24"/>
          <w:szCs w:val="24"/>
        </w:rPr>
        <w:t xml:space="preserve"> </w:t>
      </w:r>
    </w:p>
    <w:p w14:paraId="315633A5" w14:textId="455BFE56" w:rsidR="006E2D2A" w:rsidRPr="00BF68CD" w:rsidRDefault="006E2D2A" w:rsidP="002D7205">
      <w:pPr>
        <w:keepNext/>
        <w:spacing w:after="120" w:line="264" w:lineRule="auto"/>
        <w:jc w:val="both"/>
        <w:rPr>
          <w:b/>
          <w:sz w:val="24"/>
          <w:szCs w:val="24"/>
        </w:rPr>
      </w:pPr>
      <w:r w:rsidRPr="00BF68CD">
        <w:rPr>
          <w:b/>
          <w:sz w:val="24"/>
          <w:szCs w:val="24"/>
        </w:rPr>
        <w:t>Hospodaření s majetkem bez nedostatků</w:t>
      </w:r>
    </w:p>
    <w:p w14:paraId="54168940" w14:textId="4A3AD360" w:rsidR="00C50574" w:rsidRPr="00BF68CD" w:rsidRDefault="00C50574" w:rsidP="00BF68CD">
      <w:pPr>
        <w:spacing w:after="120" w:line="264" w:lineRule="auto"/>
        <w:jc w:val="both"/>
        <w:rPr>
          <w:sz w:val="24"/>
          <w:szCs w:val="24"/>
        </w:rPr>
      </w:pPr>
      <w:r w:rsidRPr="00BF68CD">
        <w:rPr>
          <w:sz w:val="24"/>
          <w:szCs w:val="24"/>
        </w:rPr>
        <w:t xml:space="preserve">NKÚ také kontroloval </w:t>
      </w:r>
      <w:r w:rsidR="000D70D3" w:rsidRPr="00BF68CD">
        <w:rPr>
          <w:sz w:val="24"/>
          <w:szCs w:val="24"/>
        </w:rPr>
        <w:t>pořizování</w:t>
      </w:r>
      <w:r w:rsidRPr="00BF68CD">
        <w:rPr>
          <w:sz w:val="24"/>
          <w:szCs w:val="24"/>
        </w:rPr>
        <w:t xml:space="preserve"> a využívání nemovitého </w:t>
      </w:r>
      <w:r w:rsidR="00591C27" w:rsidRPr="00BF68CD">
        <w:rPr>
          <w:sz w:val="24"/>
          <w:szCs w:val="24"/>
        </w:rPr>
        <w:t>a</w:t>
      </w:r>
      <w:r w:rsidRPr="00BF68CD">
        <w:rPr>
          <w:sz w:val="24"/>
          <w:szCs w:val="24"/>
        </w:rPr>
        <w:t xml:space="preserve"> movitého majetku a nájemní vztahy ČTÚ</w:t>
      </w:r>
      <w:r w:rsidR="00591C27" w:rsidRPr="00BF68CD">
        <w:rPr>
          <w:sz w:val="24"/>
          <w:szCs w:val="24"/>
        </w:rPr>
        <w:t>.</w:t>
      </w:r>
      <w:r w:rsidRPr="00BF68CD">
        <w:rPr>
          <w:sz w:val="24"/>
          <w:szCs w:val="24"/>
        </w:rPr>
        <w:t xml:space="preserve"> </w:t>
      </w:r>
      <w:r w:rsidR="00591C27" w:rsidRPr="00BF68CD">
        <w:rPr>
          <w:sz w:val="24"/>
          <w:szCs w:val="24"/>
        </w:rPr>
        <w:t>NKÚ v</w:t>
      </w:r>
      <w:r w:rsidRPr="00BF68CD">
        <w:rPr>
          <w:sz w:val="24"/>
          <w:szCs w:val="24"/>
        </w:rPr>
        <w:t> těchto oblastech nezjistil</w:t>
      </w:r>
      <w:r w:rsidR="00707BFA" w:rsidRPr="00BF68CD">
        <w:rPr>
          <w:sz w:val="24"/>
          <w:szCs w:val="24"/>
        </w:rPr>
        <w:t xml:space="preserve"> v kontrolovaném období</w:t>
      </w:r>
      <w:r w:rsidRPr="00BF68CD">
        <w:rPr>
          <w:sz w:val="24"/>
          <w:szCs w:val="24"/>
        </w:rPr>
        <w:t xml:space="preserve"> pochybení při nakládání s</w:t>
      </w:r>
      <w:r w:rsidR="000878D4" w:rsidRPr="00BF68CD">
        <w:rPr>
          <w:sz w:val="24"/>
          <w:szCs w:val="24"/>
        </w:rPr>
        <w:t> </w:t>
      </w:r>
      <w:r w:rsidRPr="00BF68CD">
        <w:rPr>
          <w:sz w:val="24"/>
          <w:szCs w:val="24"/>
        </w:rPr>
        <w:t xml:space="preserve">peněžními prostředky státu. </w:t>
      </w:r>
    </w:p>
    <w:p w14:paraId="66F59ACB" w14:textId="7B8B5BC0" w:rsidR="00C50574" w:rsidRPr="002D7205" w:rsidRDefault="002D7205" w:rsidP="002D7205">
      <w:pPr>
        <w:keepNext/>
        <w:spacing w:before="240" w:after="120" w:line="264" w:lineRule="auto"/>
        <w:rPr>
          <w:b/>
          <w:sz w:val="24"/>
          <w:szCs w:val="24"/>
          <w:lang w:eastAsia="cs-CZ"/>
        </w:rPr>
      </w:pPr>
      <w:r>
        <w:rPr>
          <w:b/>
          <w:sz w:val="24"/>
          <w:szCs w:val="24"/>
          <w:lang w:eastAsia="cs-CZ"/>
        </w:rPr>
        <w:t xml:space="preserve">2. </w:t>
      </w:r>
      <w:r w:rsidR="00214C7E" w:rsidRPr="002D7205">
        <w:rPr>
          <w:b/>
          <w:sz w:val="24"/>
          <w:szCs w:val="24"/>
          <w:lang w:eastAsia="cs-CZ"/>
        </w:rPr>
        <w:t xml:space="preserve">Aukce kmitočtů </w:t>
      </w:r>
    </w:p>
    <w:p w14:paraId="1A80E066" w14:textId="7F176465" w:rsidR="00214C7E" w:rsidRPr="00BF68CD" w:rsidRDefault="00214C7E" w:rsidP="00BF68CD">
      <w:pPr>
        <w:spacing w:after="120" w:line="264" w:lineRule="auto"/>
        <w:jc w:val="both"/>
        <w:rPr>
          <w:sz w:val="24"/>
          <w:szCs w:val="24"/>
        </w:rPr>
      </w:pPr>
      <w:r w:rsidRPr="00BF68CD">
        <w:rPr>
          <w:sz w:val="24"/>
          <w:szCs w:val="24"/>
        </w:rPr>
        <w:t>ČTÚ v roce 2020 provedl výběrové řízení formou aukce, jehož předmětem bylo udělení práv k využívání rádiových kmitočtů 703</w:t>
      </w:r>
      <w:r w:rsidR="001F25CA" w:rsidRPr="00BF68CD">
        <w:rPr>
          <w:sz w:val="24"/>
          <w:szCs w:val="24"/>
        </w:rPr>
        <w:t>–</w:t>
      </w:r>
      <w:r w:rsidRPr="00BF68CD">
        <w:rPr>
          <w:sz w:val="24"/>
          <w:szCs w:val="24"/>
        </w:rPr>
        <w:t>733 MHz, 758</w:t>
      </w:r>
      <w:r w:rsidR="001F25CA" w:rsidRPr="00BF68CD">
        <w:rPr>
          <w:sz w:val="24"/>
          <w:szCs w:val="24"/>
        </w:rPr>
        <w:t>–</w:t>
      </w:r>
      <w:r w:rsidRPr="00BF68CD">
        <w:rPr>
          <w:sz w:val="24"/>
          <w:szCs w:val="24"/>
        </w:rPr>
        <w:t>788 MHz (souhrnně označováno jako pásmo 700 MHz)</w:t>
      </w:r>
      <w:r w:rsidRPr="00BF68CD">
        <w:rPr>
          <w:rStyle w:val="Znakapoznpodarou"/>
          <w:sz w:val="24"/>
          <w:szCs w:val="24"/>
        </w:rPr>
        <w:footnoteReference w:id="15"/>
      </w:r>
      <w:r w:rsidRPr="00BF68CD">
        <w:rPr>
          <w:sz w:val="24"/>
          <w:szCs w:val="24"/>
        </w:rPr>
        <w:t xml:space="preserve"> a 3400</w:t>
      </w:r>
      <w:r w:rsidR="006C4D80" w:rsidRPr="00BF68CD">
        <w:rPr>
          <w:sz w:val="24"/>
          <w:szCs w:val="24"/>
        </w:rPr>
        <w:t>–</w:t>
      </w:r>
      <w:r w:rsidRPr="00BF68CD">
        <w:rPr>
          <w:sz w:val="24"/>
          <w:szCs w:val="24"/>
        </w:rPr>
        <w:t>3600 MHz</w:t>
      </w:r>
      <w:r w:rsidRPr="00BF68CD">
        <w:rPr>
          <w:rStyle w:val="Znakapoznpodarou"/>
          <w:sz w:val="24"/>
          <w:szCs w:val="24"/>
        </w:rPr>
        <w:footnoteReference w:id="16"/>
      </w:r>
      <w:r w:rsidRPr="00BF68CD">
        <w:rPr>
          <w:sz w:val="24"/>
          <w:szCs w:val="24"/>
        </w:rPr>
        <w:t>. Tato pásma byla určena jako primární pro rozvoj sítí páté generace (5G).</w:t>
      </w:r>
      <w:r w:rsidR="00CE6E4B" w:rsidRPr="00BF68CD">
        <w:rPr>
          <w:sz w:val="24"/>
          <w:szCs w:val="24"/>
        </w:rPr>
        <w:t xml:space="preserve"> Držitelé kmitočtů provádějí update sítí na 5G v různé míře i u jiných pásem </w:t>
      </w:r>
      <w:r w:rsidR="00CE6E4B" w:rsidRPr="00BF68CD">
        <w:rPr>
          <w:sz w:val="24"/>
          <w:szCs w:val="24"/>
        </w:rPr>
        <w:lastRenderedPageBreak/>
        <w:t>(1800 MHz a 2100 MHz), pokud jsou tato pásma určena k poskytování hlasových a mobilních datových služeb.</w:t>
      </w:r>
      <w:r w:rsidRPr="00BF68CD">
        <w:rPr>
          <w:sz w:val="24"/>
          <w:szCs w:val="24"/>
        </w:rPr>
        <w:t xml:space="preserve"> Usnesením vlády ze dne 27. ledna 2020 č. 84</w:t>
      </w:r>
      <w:r w:rsidRPr="00BF68CD">
        <w:rPr>
          <w:rStyle w:val="Znakapoznpodarou"/>
          <w:sz w:val="24"/>
          <w:szCs w:val="24"/>
        </w:rPr>
        <w:footnoteReference w:id="17"/>
      </w:r>
      <w:r w:rsidRPr="00BF68CD">
        <w:rPr>
          <w:sz w:val="24"/>
          <w:szCs w:val="24"/>
        </w:rPr>
        <w:t xml:space="preserve"> obdržel ČTÚ doporučení, aby při aukci kmitočtů nastavil takové podmínky, aby mimo jiné došlo ke snížení ceny mobilních dat pro koncové spotřebitele na evropsky srovnatelnou úroveň. ČTÚ aukci připravoval od roku 2018 a do vyhlášení aukce dne 7. srpna 2020 její podmínky na základě veřejných konzultací a</w:t>
      </w:r>
      <w:r w:rsidR="006C4D80" w:rsidRPr="00BF68CD">
        <w:rPr>
          <w:sz w:val="24"/>
          <w:szCs w:val="24"/>
        </w:rPr>
        <w:t> </w:t>
      </w:r>
      <w:r w:rsidRPr="00BF68CD">
        <w:rPr>
          <w:sz w:val="24"/>
          <w:szCs w:val="24"/>
        </w:rPr>
        <w:t xml:space="preserve">na základě usnesení vlády dvakrát upravoval. Do 30. září 2020 byl termín pro doručení žádostí o využívání rádiových kmitočtů a vlastní aukce proběhla ve dnech 10. </w:t>
      </w:r>
      <w:r w:rsidR="00707BFA" w:rsidRPr="00BF68CD">
        <w:rPr>
          <w:sz w:val="24"/>
          <w:szCs w:val="24"/>
        </w:rPr>
        <w:t>až</w:t>
      </w:r>
      <w:r w:rsidRPr="00BF68CD">
        <w:rPr>
          <w:sz w:val="24"/>
          <w:szCs w:val="24"/>
        </w:rPr>
        <w:t xml:space="preserve"> 13.</w:t>
      </w:r>
      <w:r w:rsidR="006C4D80" w:rsidRPr="00BF68CD">
        <w:rPr>
          <w:sz w:val="24"/>
          <w:szCs w:val="24"/>
        </w:rPr>
        <w:t> </w:t>
      </w:r>
      <w:r w:rsidRPr="00BF68CD">
        <w:rPr>
          <w:sz w:val="24"/>
          <w:szCs w:val="24"/>
        </w:rPr>
        <w:t>listopadu</w:t>
      </w:r>
      <w:r w:rsidR="001F25CA">
        <w:rPr>
          <w:sz w:val="24"/>
          <w:szCs w:val="24"/>
        </w:rPr>
        <w:t xml:space="preserve"> </w:t>
      </w:r>
      <w:r w:rsidRPr="00BF68CD">
        <w:rPr>
          <w:sz w:val="24"/>
          <w:szCs w:val="24"/>
        </w:rPr>
        <w:t>2020 elektronickou formou. Celkem se do aukce přihlásilo sedm zájemců o</w:t>
      </w:r>
      <w:r w:rsidR="002D7205">
        <w:rPr>
          <w:sz w:val="24"/>
          <w:szCs w:val="24"/>
        </w:rPr>
        <w:t> </w:t>
      </w:r>
      <w:r w:rsidRPr="00BF68CD">
        <w:rPr>
          <w:sz w:val="24"/>
          <w:szCs w:val="24"/>
        </w:rPr>
        <w:t>příděl kmitočtů</w:t>
      </w:r>
      <w:r w:rsidR="00B70002" w:rsidRPr="00BF68CD">
        <w:rPr>
          <w:sz w:val="24"/>
          <w:szCs w:val="24"/>
        </w:rPr>
        <w:t>.</w:t>
      </w:r>
      <w:r w:rsidRPr="00BF68CD">
        <w:rPr>
          <w:sz w:val="24"/>
          <w:szCs w:val="24"/>
        </w:rPr>
        <w:t xml:space="preserve"> </w:t>
      </w:r>
      <w:r w:rsidR="00B70002" w:rsidRPr="00BF68CD">
        <w:rPr>
          <w:sz w:val="24"/>
          <w:szCs w:val="24"/>
        </w:rPr>
        <w:t>V</w:t>
      </w:r>
      <w:r w:rsidRPr="00BF68CD">
        <w:rPr>
          <w:sz w:val="24"/>
          <w:szCs w:val="24"/>
        </w:rPr>
        <w:t> průběhu celého výběrového řízení byly zájemci anonymní a jejich jména byla zveřejněna až po ukončení aukce.</w:t>
      </w:r>
    </w:p>
    <w:p w14:paraId="382CB670" w14:textId="293C4DC8" w:rsidR="006E2D2A" w:rsidRPr="00BF68CD" w:rsidRDefault="006E2D2A" w:rsidP="002D7205">
      <w:pPr>
        <w:keepNext/>
        <w:spacing w:after="120" w:line="264" w:lineRule="auto"/>
        <w:rPr>
          <w:b/>
          <w:sz w:val="24"/>
          <w:szCs w:val="24"/>
        </w:rPr>
      </w:pPr>
      <w:r w:rsidRPr="00BF68CD">
        <w:rPr>
          <w:b/>
          <w:sz w:val="24"/>
          <w:szCs w:val="24"/>
        </w:rPr>
        <w:t>Příjem z aukce kmitočtů činil 5,6 mld. Kč oproti plánovaným 7 mld. Kč</w:t>
      </w:r>
      <w:r w:rsidR="00135A82" w:rsidRPr="00BF68CD">
        <w:rPr>
          <w:b/>
          <w:sz w:val="24"/>
          <w:szCs w:val="24"/>
        </w:rPr>
        <w:t>.</w:t>
      </w:r>
    </w:p>
    <w:p w14:paraId="36E4D76A" w14:textId="3F7363A3" w:rsidR="006E2D2A" w:rsidRPr="00BF68CD" w:rsidRDefault="00214C7E" w:rsidP="00BF68CD">
      <w:pPr>
        <w:spacing w:after="120" w:line="264" w:lineRule="auto"/>
        <w:jc w:val="both"/>
        <w:rPr>
          <w:sz w:val="24"/>
          <w:szCs w:val="24"/>
        </w:rPr>
      </w:pPr>
      <w:r w:rsidRPr="00BF68CD">
        <w:rPr>
          <w:sz w:val="24"/>
          <w:szCs w:val="24"/>
        </w:rPr>
        <w:t>Kmitočtová pásma byla rozdělena do jednotlivých bloků. Kmitočtové pásmo 700 MHz bylo rozděleno na aukční bloky kategorie A, kmitočtové pásmo 3400</w:t>
      </w:r>
      <w:r w:rsidR="006C4D80" w:rsidRPr="00BF68CD">
        <w:rPr>
          <w:sz w:val="24"/>
          <w:szCs w:val="24"/>
        </w:rPr>
        <w:t>–</w:t>
      </w:r>
      <w:r w:rsidRPr="00BF68CD">
        <w:rPr>
          <w:sz w:val="24"/>
          <w:szCs w:val="24"/>
        </w:rPr>
        <w:t>3600 MHz na aukční bloky kategorie B. Vyvolávací cenu jednotlivých bloků</w:t>
      </w:r>
      <w:r w:rsidR="00502D6E" w:rsidRPr="00BF68CD">
        <w:rPr>
          <w:sz w:val="24"/>
          <w:szCs w:val="24"/>
        </w:rPr>
        <w:t>, která činila celkem 5,26 mld. Kč,</w:t>
      </w:r>
      <w:r w:rsidRPr="00BF68CD">
        <w:rPr>
          <w:sz w:val="24"/>
          <w:szCs w:val="24"/>
        </w:rPr>
        <w:t xml:space="preserve"> stanovil ČTÚ na základě </w:t>
      </w:r>
      <w:proofErr w:type="spellStart"/>
      <w:r w:rsidRPr="00BF68CD">
        <w:rPr>
          <w:sz w:val="24"/>
          <w:szCs w:val="24"/>
        </w:rPr>
        <w:t>benchmarkingu</w:t>
      </w:r>
      <w:proofErr w:type="spellEnd"/>
      <w:r w:rsidRPr="00BF68CD">
        <w:rPr>
          <w:sz w:val="24"/>
          <w:szCs w:val="24"/>
        </w:rPr>
        <w:t xml:space="preserve"> cen aukcí kmitočtů, které proběhly v evropských zemích pro kmitočty využitelné pro sítě 5G. </w:t>
      </w:r>
      <w:r w:rsidR="006E2D2A" w:rsidRPr="00BF68CD">
        <w:rPr>
          <w:sz w:val="24"/>
          <w:szCs w:val="24"/>
        </w:rPr>
        <w:t xml:space="preserve">ČTÚ plánoval příjem státního rozpočtu na rok 2020 z aukce ve výši 7 mld. Kč, ale v důsledku realizace aukce ke konci roku 2020 tento údaj </w:t>
      </w:r>
      <w:r w:rsidR="00567452" w:rsidRPr="00BF68CD">
        <w:rPr>
          <w:sz w:val="24"/>
          <w:szCs w:val="24"/>
        </w:rPr>
        <w:t xml:space="preserve">aktualizoval </w:t>
      </w:r>
      <w:r w:rsidR="006E2D2A" w:rsidRPr="00BF68CD">
        <w:rPr>
          <w:sz w:val="24"/>
          <w:szCs w:val="24"/>
        </w:rPr>
        <w:t>a</w:t>
      </w:r>
      <w:r w:rsidR="006C4D80" w:rsidRPr="00BF68CD">
        <w:rPr>
          <w:sz w:val="24"/>
          <w:szCs w:val="24"/>
        </w:rPr>
        <w:t> </w:t>
      </w:r>
      <w:r w:rsidR="006E2D2A" w:rsidRPr="00BF68CD">
        <w:rPr>
          <w:sz w:val="24"/>
          <w:szCs w:val="24"/>
        </w:rPr>
        <w:t xml:space="preserve">přesunul očekávaný příjem z aukce na rok 2021, kde už ovšem uvedl částku 5,26 mld. Kč, která odpovídala vyvolávací ceně aukce. </w:t>
      </w:r>
      <w:r w:rsidR="00502D6E" w:rsidRPr="00BF68CD">
        <w:rPr>
          <w:sz w:val="24"/>
          <w:szCs w:val="24"/>
        </w:rPr>
        <w:t>Skutečný příjem z aukce činil 5,596 mld. Kč.</w:t>
      </w:r>
    </w:p>
    <w:p w14:paraId="2525BAC6" w14:textId="3E551652" w:rsidR="006E2D2A" w:rsidRPr="00BF68CD" w:rsidRDefault="006E2D2A" w:rsidP="002D7205">
      <w:pPr>
        <w:keepNext/>
        <w:spacing w:after="120" w:line="264" w:lineRule="auto"/>
        <w:rPr>
          <w:b/>
          <w:sz w:val="24"/>
          <w:szCs w:val="24"/>
        </w:rPr>
      </w:pPr>
      <w:r w:rsidRPr="00BF68CD">
        <w:rPr>
          <w:b/>
          <w:sz w:val="24"/>
          <w:szCs w:val="24"/>
        </w:rPr>
        <w:t xml:space="preserve">Pásmo 700 MHz bylo v aukci rozděleno mezi stávající velké operátory bez výrazného soutěžení o </w:t>
      </w:r>
      <w:r w:rsidR="00055C8B" w:rsidRPr="00BF68CD">
        <w:rPr>
          <w:b/>
          <w:sz w:val="24"/>
          <w:szCs w:val="24"/>
        </w:rPr>
        <w:t xml:space="preserve">vyšší cenovou nabídku. </w:t>
      </w:r>
    </w:p>
    <w:p w14:paraId="24AB33DF" w14:textId="48C24240" w:rsidR="00502D6E" w:rsidRPr="00BF68CD" w:rsidRDefault="00214C7E" w:rsidP="00BF68CD">
      <w:pPr>
        <w:spacing w:after="120" w:line="264" w:lineRule="auto"/>
        <w:jc w:val="both"/>
        <w:rPr>
          <w:sz w:val="24"/>
          <w:szCs w:val="24"/>
          <w:lang w:eastAsia="cs-CZ"/>
        </w:rPr>
      </w:pPr>
      <w:r w:rsidRPr="00BF68CD">
        <w:rPr>
          <w:sz w:val="24"/>
          <w:szCs w:val="24"/>
        </w:rPr>
        <w:t>Aukce měla 20 kol, v každém kole probíhala dražba zvlášť na bloky v kmitočtovém pásmu 700</w:t>
      </w:r>
      <w:r w:rsidR="00135A82" w:rsidRPr="00BF68CD">
        <w:rPr>
          <w:sz w:val="24"/>
          <w:szCs w:val="24"/>
        </w:rPr>
        <w:t> </w:t>
      </w:r>
      <w:r w:rsidRPr="00BF68CD">
        <w:rPr>
          <w:sz w:val="24"/>
          <w:szCs w:val="24"/>
        </w:rPr>
        <w:t>MHz a 3400</w:t>
      </w:r>
      <w:r w:rsidR="006C4D80" w:rsidRPr="00BF68CD">
        <w:rPr>
          <w:sz w:val="24"/>
          <w:szCs w:val="24"/>
        </w:rPr>
        <w:t>–</w:t>
      </w:r>
      <w:r w:rsidRPr="00BF68CD">
        <w:rPr>
          <w:sz w:val="24"/>
          <w:szCs w:val="24"/>
        </w:rPr>
        <w:t xml:space="preserve">3600 MHz. </w:t>
      </w:r>
      <w:r w:rsidR="006E2D2A" w:rsidRPr="00BF68CD">
        <w:rPr>
          <w:sz w:val="24"/>
          <w:szCs w:val="24"/>
        </w:rPr>
        <w:t>U aukce pásma 700 MHz byl</w:t>
      </w:r>
      <w:r w:rsidRPr="00BF68CD">
        <w:rPr>
          <w:sz w:val="24"/>
          <w:szCs w:val="24"/>
        </w:rPr>
        <w:t xml:space="preserve"> vyhrazen</w:t>
      </w:r>
      <w:r w:rsidR="006E2D2A" w:rsidRPr="00BF68CD">
        <w:rPr>
          <w:sz w:val="24"/>
          <w:szCs w:val="24"/>
        </w:rPr>
        <w:t xml:space="preserve"> jeden blok</w:t>
      </w:r>
      <w:r w:rsidRPr="00BF68CD">
        <w:rPr>
          <w:sz w:val="24"/>
          <w:szCs w:val="24"/>
        </w:rPr>
        <w:t xml:space="preserve"> uchazeč</w:t>
      </w:r>
      <w:r w:rsidR="00027F7F" w:rsidRPr="00BF68CD">
        <w:rPr>
          <w:sz w:val="24"/>
          <w:szCs w:val="24"/>
        </w:rPr>
        <w:t>ům</w:t>
      </w:r>
      <w:r w:rsidRPr="00BF68CD">
        <w:rPr>
          <w:sz w:val="24"/>
          <w:szCs w:val="24"/>
        </w:rPr>
        <w:t>, kte</w:t>
      </w:r>
      <w:r w:rsidR="00027F7F" w:rsidRPr="00BF68CD">
        <w:rPr>
          <w:sz w:val="24"/>
          <w:szCs w:val="24"/>
        </w:rPr>
        <w:t>ří</w:t>
      </w:r>
      <w:r w:rsidRPr="00BF68CD">
        <w:rPr>
          <w:sz w:val="24"/>
          <w:szCs w:val="24"/>
        </w:rPr>
        <w:t xml:space="preserve"> nebyl</w:t>
      </w:r>
      <w:r w:rsidR="00027F7F" w:rsidRPr="00BF68CD">
        <w:rPr>
          <w:sz w:val="24"/>
          <w:szCs w:val="24"/>
        </w:rPr>
        <w:t>i</w:t>
      </w:r>
      <w:r w:rsidRPr="00BF68CD">
        <w:rPr>
          <w:sz w:val="24"/>
          <w:szCs w:val="24"/>
        </w:rPr>
        <w:t xml:space="preserve"> stávajícím</w:t>
      </w:r>
      <w:r w:rsidR="00027F7F" w:rsidRPr="00BF68CD">
        <w:rPr>
          <w:sz w:val="24"/>
          <w:szCs w:val="24"/>
        </w:rPr>
        <w:t>i</w:t>
      </w:r>
      <w:r w:rsidRPr="00BF68CD">
        <w:rPr>
          <w:sz w:val="24"/>
          <w:szCs w:val="24"/>
        </w:rPr>
        <w:t xml:space="preserve"> operátor</w:t>
      </w:r>
      <w:r w:rsidR="00027F7F" w:rsidRPr="00BF68CD">
        <w:rPr>
          <w:sz w:val="24"/>
          <w:szCs w:val="24"/>
        </w:rPr>
        <w:t>y</w:t>
      </w:r>
      <w:r w:rsidRPr="00BF68CD">
        <w:rPr>
          <w:sz w:val="24"/>
          <w:szCs w:val="24"/>
        </w:rPr>
        <w:t xml:space="preserve">. </w:t>
      </w:r>
      <w:r w:rsidR="00962DAD" w:rsidRPr="00BF68CD">
        <w:rPr>
          <w:sz w:val="24"/>
          <w:szCs w:val="24"/>
        </w:rPr>
        <w:t>Vzhledem k tomu, že noví operátoři zájem neprojevili, bylo umožněno ucházet se o tento blok stávajícím operátorům. Přestože aukce měla celkem 20</w:t>
      </w:r>
      <w:r w:rsidR="00F51AF6" w:rsidRPr="00BF68CD">
        <w:rPr>
          <w:sz w:val="24"/>
          <w:szCs w:val="24"/>
        </w:rPr>
        <w:t> </w:t>
      </w:r>
      <w:r w:rsidR="00962DAD" w:rsidRPr="00BF68CD">
        <w:rPr>
          <w:sz w:val="24"/>
          <w:szCs w:val="24"/>
        </w:rPr>
        <w:t>kol, v pásmu 700 MHz proběhla</w:t>
      </w:r>
      <w:r w:rsidR="00502D6E" w:rsidRPr="00BF68CD">
        <w:rPr>
          <w:sz w:val="24"/>
          <w:szCs w:val="24"/>
        </w:rPr>
        <w:t xml:space="preserve"> aktivně</w:t>
      </w:r>
      <w:r w:rsidR="00962DAD" w:rsidRPr="00BF68CD">
        <w:rPr>
          <w:sz w:val="24"/>
          <w:szCs w:val="24"/>
        </w:rPr>
        <w:t xml:space="preserve"> pouze tři kola. P</w:t>
      </w:r>
      <w:r w:rsidR="00962DAD" w:rsidRPr="00BF68CD">
        <w:rPr>
          <w:sz w:val="24"/>
          <w:szCs w:val="24"/>
          <w:lang w:eastAsia="cs-CZ"/>
        </w:rPr>
        <w:t xml:space="preserve">ásmo 700 MHz, které ČTÚ rozdělil na tři bloky, získali stávající tři operátoři. Při aukci dvou z těchto bloků ale soutěž o </w:t>
      </w:r>
      <w:r w:rsidR="00055C8B" w:rsidRPr="00BF68CD">
        <w:rPr>
          <w:sz w:val="24"/>
          <w:szCs w:val="24"/>
          <w:lang w:eastAsia="cs-CZ"/>
        </w:rPr>
        <w:t xml:space="preserve">vyšší cenovou nabídku </w:t>
      </w:r>
      <w:r w:rsidR="00962DAD" w:rsidRPr="00BF68CD">
        <w:rPr>
          <w:sz w:val="24"/>
          <w:szCs w:val="24"/>
          <w:lang w:eastAsia="cs-CZ"/>
        </w:rPr>
        <w:t>v podstatě neproběhla, protože o každý blok projevil zájem vždy jeden ze dvou stávajících operátorů a</w:t>
      </w:r>
      <w:r w:rsidR="00F51AF6" w:rsidRPr="00BF68CD">
        <w:rPr>
          <w:sz w:val="24"/>
          <w:szCs w:val="24"/>
          <w:lang w:eastAsia="cs-CZ"/>
        </w:rPr>
        <w:t> </w:t>
      </w:r>
      <w:r w:rsidR="00962DAD" w:rsidRPr="00BF68CD">
        <w:rPr>
          <w:sz w:val="24"/>
          <w:szCs w:val="24"/>
          <w:lang w:eastAsia="cs-CZ"/>
        </w:rPr>
        <w:t xml:space="preserve">každý z nich získal příslušný blok za vyvolávací cenu. </w:t>
      </w:r>
      <w:r w:rsidR="00502D6E" w:rsidRPr="00BF68CD">
        <w:rPr>
          <w:sz w:val="24"/>
          <w:szCs w:val="24"/>
          <w:lang w:eastAsia="cs-CZ"/>
        </w:rPr>
        <w:t>Třetí blok, o který projevili zájem</w:t>
      </w:r>
      <w:r w:rsidR="00E746A6" w:rsidRPr="00BF68CD">
        <w:rPr>
          <w:sz w:val="24"/>
          <w:szCs w:val="24"/>
          <w:lang w:eastAsia="cs-CZ"/>
        </w:rPr>
        <w:t xml:space="preserve"> za vyvolávací cenu</w:t>
      </w:r>
      <w:r w:rsidR="00502D6E" w:rsidRPr="00BF68CD">
        <w:rPr>
          <w:sz w:val="24"/>
          <w:szCs w:val="24"/>
          <w:lang w:eastAsia="cs-CZ"/>
        </w:rPr>
        <w:t xml:space="preserve"> v prvním kole aukce všichni stávající operátoři, tak zůstal třetímu stávajícímu operátorovi, který blok získal</w:t>
      </w:r>
      <w:r w:rsidR="00E746A6" w:rsidRPr="00BF68CD">
        <w:rPr>
          <w:sz w:val="24"/>
          <w:szCs w:val="24"/>
          <w:lang w:eastAsia="cs-CZ"/>
        </w:rPr>
        <w:t xml:space="preserve"> v</w:t>
      </w:r>
      <w:r w:rsidR="002C2CFC" w:rsidRPr="00BF68CD">
        <w:rPr>
          <w:sz w:val="24"/>
          <w:szCs w:val="24"/>
          <w:lang w:eastAsia="cs-CZ"/>
        </w:rPr>
        <w:t>e</w:t>
      </w:r>
      <w:r w:rsidR="00083BA5">
        <w:rPr>
          <w:sz w:val="24"/>
          <w:szCs w:val="24"/>
          <w:lang w:eastAsia="cs-CZ"/>
        </w:rPr>
        <w:t xml:space="preserve"> </w:t>
      </w:r>
      <w:r w:rsidR="00E746A6" w:rsidRPr="00BF68CD">
        <w:rPr>
          <w:sz w:val="24"/>
          <w:szCs w:val="24"/>
          <w:lang w:eastAsia="cs-CZ"/>
        </w:rPr>
        <w:t>druhém kole</w:t>
      </w:r>
      <w:r w:rsidR="00502D6E" w:rsidRPr="00BF68CD">
        <w:rPr>
          <w:sz w:val="24"/>
          <w:szCs w:val="24"/>
          <w:lang w:eastAsia="cs-CZ"/>
        </w:rPr>
        <w:t xml:space="preserve"> za cenu o 70 mil. Kč vyšší, než činila jeho vyvolávací cena.</w:t>
      </w:r>
    </w:p>
    <w:p w14:paraId="6ACECCBE" w14:textId="0465B0DE" w:rsidR="00832FEF" w:rsidRPr="00BF68CD" w:rsidRDefault="00D815B1" w:rsidP="002D7205">
      <w:pPr>
        <w:keepNext/>
        <w:spacing w:after="120" w:line="264" w:lineRule="auto"/>
        <w:rPr>
          <w:b/>
          <w:sz w:val="24"/>
          <w:szCs w:val="24"/>
        </w:rPr>
      </w:pPr>
      <w:r w:rsidRPr="00BF68CD">
        <w:rPr>
          <w:b/>
          <w:sz w:val="24"/>
          <w:szCs w:val="24"/>
        </w:rPr>
        <w:lastRenderedPageBreak/>
        <w:t>Nástroje</w:t>
      </w:r>
      <w:r w:rsidR="00832FEF" w:rsidRPr="00BF68CD">
        <w:rPr>
          <w:b/>
          <w:sz w:val="24"/>
          <w:szCs w:val="24"/>
        </w:rPr>
        <w:t xml:space="preserve"> k zajištění vyšší konkurence a snížení cen mobilních dat se zatím v praxi ne</w:t>
      </w:r>
      <w:r w:rsidRPr="00BF68CD">
        <w:rPr>
          <w:b/>
          <w:sz w:val="24"/>
          <w:szCs w:val="24"/>
        </w:rPr>
        <w:t>uplatnily</w:t>
      </w:r>
      <w:r w:rsidR="00832FEF" w:rsidRPr="00BF68CD">
        <w:rPr>
          <w:b/>
          <w:sz w:val="24"/>
          <w:szCs w:val="24"/>
        </w:rPr>
        <w:t xml:space="preserve">. Jeden z nich nebude od roku 2026 již </w:t>
      </w:r>
      <w:r w:rsidRPr="00BF68CD">
        <w:rPr>
          <w:b/>
          <w:sz w:val="24"/>
          <w:szCs w:val="24"/>
        </w:rPr>
        <w:t>využitelný</w:t>
      </w:r>
      <w:r w:rsidR="00832FEF" w:rsidRPr="00BF68CD">
        <w:rPr>
          <w:b/>
          <w:sz w:val="24"/>
          <w:szCs w:val="24"/>
        </w:rPr>
        <w:t>.</w:t>
      </w:r>
    </w:p>
    <w:p w14:paraId="3E919097" w14:textId="287AE120" w:rsidR="00214C7E" w:rsidRPr="00BF68CD" w:rsidRDefault="00962DAD" w:rsidP="002D7205">
      <w:pPr>
        <w:keepNext/>
        <w:spacing w:after="0" w:line="264" w:lineRule="auto"/>
        <w:jc w:val="both"/>
        <w:rPr>
          <w:sz w:val="24"/>
          <w:szCs w:val="24"/>
        </w:rPr>
      </w:pPr>
      <w:r w:rsidRPr="00BF68CD">
        <w:rPr>
          <w:sz w:val="24"/>
          <w:szCs w:val="24"/>
        </w:rPr>
        <w:t>Ke zvýšení konkurence</w:t>
      </w:r>
      <w:r w:rsidR="00214C7E" w:rsidRPr="00BF68CD">
        <w:rPr>
          <w:sz w:val="24"/>
          <w:szCs w:val="24"/>
        </w:rPr>
        <w:t xml:space="preserve"> na trhu elektronických komunikací v ČR stanovil ČTÚ v podmínkách aukce a následně ve vydaném rozhodnutí o přídělech kmitočtů</w:t>
      </w:r>
      <w:r w:rsidRPr="00BF68CD">
        <w:rPr>
          <w:sz w:val="24"/>
          <w:szCs w:val="24"/>
        </w:rPr>
        <w:t xml:space="preserve"> v pásmu 700 MHz</w:t>
      </w:r>
      <w:r w:rsidR="00214C7E" w:rsidRPr="00BF68CD">
        <w:rPr>
          <w:sz w:val="24"/>
          <w:szCs w:val="24"/>
        </w:rPr>
        <w:t xml:space="preserve"> pro jejich držitele dva závazky:</w:t>
      </w:r>
    </w:p>
    <w:p w14:paraId="7164BC61" w14:textId="5F746984" w:rsidR="00214C7E" w:rsidRPr="00BF68CD" w:rsidRDefault="00214C7E" w:rsidP="00BF68CD">
      <w:pPr>
        <w:pStyle w:val="Odstavecseseznamem"/>
        <w:numPr>
          <w:ilvl w:val="0"/>
          <w:numId w:val="25"/>
        </w:numPr>
        <w:spacing w:after="0" w:line="264" w:lineRule="auto"/>
        <w:contextualSpacing w:val="0"/>
        <w:jc w:val="both"/>
        <w:rPr>
          <w:sz w:val="24"/>
          <w:szCs w:val="24"/>
        </w:rPr>
      </w:pPr>
      <w:r w:rsidRPr="00BF68CD">
        <w:rPr>
          <w:b/>
          <w:sz w:val="24"/>
          <w:szCs w:val="24"/>
        </w:rPr>
        <w:t>závazek národního roamingu.</w:t>
      </w:r>
      <w:r w:rsidRPr="00BF68CD">
        <w:rPr>
          <w:sz w:val="24"/>
          <w:szCs w:val="24"/>
        </w:rPr>
        <w:t xml:space="preserve"> Tento závazek se týká pouze držitele přídělu </w:t>
      </w:r>
      <w:r w:rsidR="00832FEF" w:rsidRPr="00BF68CD">
        <w:rPr>
          <w:sz w:val="24"/>
          <w:szCs w:val="24"/>
        </w:rPr>
        <w:t xml:space="preserve">třetího </w:t>
      </w:r>
      <w:r w:rsidRPr="00BF68CD">
        <w:rPr>
          <w:sz w:val="24"/>
          <w:szCs w:val="24"/>
        </w:rPr>
        <w:t xml:space="preserve">aukčního bloku. Ten musí na základě smlouvy umožnit tzv. oprávněným zájemcům využívání všech kmitočtových pásem držitele </w:t>
      </w:r>
      <w:r w:rsidR="00832FEF" w:rsidRPr="00BF68CD">
        <w:rPr>
          <w:sz w:val="24"/>
          <w:szCs w:val="24"/>
        </w:rPr>
        <w:t>tohoto bloku</w:t>
      </w:r>
      <w:r w:rsidRPr="00BF68CD">
        <w:rPr>
          <w:sz w:val="24"/>
          <w:szCs w:val="24"/>
        </w:rPr>
        <w:t xml:space="preserve">. Tato podmínka se tedy vztahuje i na jiná kmitočtová pásma, která držitel </w:t>
      </w:r>
      <w:r w:rsidR="00832FEF" w:rsidRPr="00BF68CD">
        <w:rPr>
          <w:sz w:val="24"/>
          <w:szCs w:val="24"/>
        </w:rPr>
        <w:t>tohoto třetího bloku</w:t>
      </w:r>
      <w:r w:rsidRPr="00BF68CD">
        <w:rPr>
          <w:sz w:val="24"/>
          <w:szCs w:val="24"/>
        </w:rPr>
        <w:t xml:space="preserve"> vydražil v předchozích aukcích. Oprávněnými zájemci se rozumí držitelé kmitočtů v</w:t>
      </w:r>
      <w:r w:rsidR="00F51AF6" w:rsidRPr="00BF68CD">
        <w:rPr>
          <w:sz w:val="24"/>
          <w:szCs w:val="24"/>
        </w:rPr>
        <w:t> </w:t>
      </w:r>
      <w:r w:rsidRPr="00BF68CD">
        <w:rPr>
          <w:sz w:val="24"/>
          <w:szCs w:val="24"/>
        </w:rPr>
        <w:t>pásmech</w:t>
      </w:r>
      <w:r w:rsidR="00F51AF6" w:rsidRPr="00BF68CD">
        <w:rPr>
          <w:sz w:val="24"/>
          <w:szCs w:val="24"/>
        </w:rPr>
        <w:br/>
      </w:r>
      <w:r w:rsidRPr="00BF68CD">
        <w:rPr>
          <w:sz w:val="24"/>
          <w:szCs w:val="24"/>
        </w:rPr>
        <w:t>3400</w:t>
      </w:r>
      <w:r w:rsidR="00B52779" w:rsidRPr="00BF68CD">
        <w:rPr>
          <w:sz w:val="24"/>
          <w:szCs w:val="24"/>
        </w:rPr>
        <w:t>–</w:t>
      </w:r>
      <w:r w:rsidRPr="00BF68CD">
        <w:rPr>
          <w:sz w:val="24"/>
          <w:szCs w:val="24"/>
        </w:rPr>
        <w:t>3800 MHz</w:t>
      </w:r>
      <w:r w:rsidRPr="00BF68CD">
        <w:rPr>
          <w:rStyle w:val="Znakapoznpodarou"/>
          <w:sz w:val="24"/>
          <w:szCs w:val="24"/>
        </w:rPr>
        <w:footnoteReference w:id="18"/>
      </w:r>
      <w:r w:rsidRPr="00BF68CD">
        <w:rPr>
          <w:sz w:val="24"/>
          <w:szCs w:val="24"/>
        </w:rPr>
        <w:t xml:space="preserve">, kteří nejsou zároveň stávajícími operátory a splní </w:t>
      </w:r>
      <w:r w:rsidR="006E1D46" w:rsidRPr="00BF68CD">
        <w:rPr>
          <w:sz w:val="24"/>
          <w:szCs w:val="24"/>
        </w:rPr>
        <w:t xml:space="preserve">pro </w:t>
      </w:r>
      <w:r w:rsidRPr="00BF68CD">
        <w:rPr>
          <w:sz w:val="24"/>
          <w:szCs w:val="24"/>
        </w:rPr>
        <w:t>využívání národního roamingu podmínku, že prostřednictvím vlastní sítě elektronických komunikací ve standardu 5G pokryj</w:t>
      </w:r>
      <w:r w:rsidR="000D70D3" w:rsidRPr="00BF68CD">
        <w:rPr>
          <w:sz w:val="24"/>
          <w:szCs w:val="24"/>
        </w:rPr>
        <w:t>í</w:t>
      </w:r>
      <w:r w:rsidRPr="00BF68CD">
        <w:rPr>
          <w:sz w:val="24"/>
          <w:szCs w:val="24"/>
        </w:rPr>
        <w:t xml:space="preserve"> alespoň 10 % obyvatelstva ČR. Pro </w:t>
      </w:r>
      <w:r w:rsidR="006E1D46" w:rsidRPr="00BF68CD">
        <w:rPr>
          <w:sz w:val="24"/>
          <w:szCs w:val="24"/>
        </w:rPr>
        <w:t xml:space="preserve">využití </w:t>
      </w:r>
      <w:r w:rsidRPr="00BF68CD">
        <w:rPr>
          <w:sz w:val="24"/>
          <w:szCs w:val="24"/>
        </w:rPr>
        <w:t xml:space="preserve">národního roamingu musí oprávnění zájemci do 30. června 2025 pokrýt vlastní sítí 30 % obyvatelstva ČR. Tento závazek je platný do 30. června 2029, po tomto datu již tato služba nemusí být držitelem </w:t>
      </w:r>
      <w:r w:rsidR="00D26921" w:rsidRPr="00BF68CD">
        <w:rPr>
          <w:sz w:val="24"/>
          <w:szCs w:val="24"/>
        </w:rPr>
        <w:t>třetího bloku</w:t>
      </w:r>
      <w:r w:rsidRPr="00BF68CD">
        <w:rPr>
          <w:sz w:val="24"/>
          <w:szCs w:val="24"/>
        </w:rPr>
        <w:t xml:space="preserve"> poskytována. </w:t>
      </w:r>
      <w:r w:rsidRPr="00BF68CD">
        <w:rPr>
          <w:b/>
          <w:sz w:val="24"/>
          <w:szCs w:val="24"/>
        </w:rPr>
        <w:t>V době ukončení kontroly ani jeden oprávněný zájemce nesplnil podmínky pro využívání národního roamingu</w:t>
      </w:r>
      <w:r w:rsidR="00083BA5">
        <w:rPr>
          <w:b/>
          <w:sz w:val="24"/>
          <w:szCs w:val="24"/>
        </w:rPr>
        <w:t>;</w:t>
      </w:r>
    </w:p>
    <w:p w14:paraId="40A4B757" w14:textId="77777777" w:rsidR="00E7139B" w:rsidRPr="00BF68CD" w:rsidRDefault="00214C7E" w:rsidP="00BF68CD">
      <w:pPr>
        <w:pStyle w:val="Odstavecseseznamem"/>
        <w:numPr>
          <w:ilvl w:val="0"/>
          <w:numId w:val="25"/>
        </w:numPr>
        <w:spacing w:after="120" w:line="264" w:lineRule="auto"/>
        <w:contextualSpacing w:val="0"/>
        <w:jc w:val="both"/>
        <w:rPr>
          <w:b/>
          <w:sz w:val="24"/>
          <w:szCs w:val="24"/>
        </w:rPr>
      </w:pPr>
      <w:r w:rsidRPr="00BF68CD">
        <w:rPr>
          <w:b/>
          <w:sz w:val="24"/>
          <w:szCs w:val="24"/>
        </w:rPr>
        <w:t>závazek velkoobchodní nabídky.</w:t>
      </w:r>
      <w:r w:rsidRPr="00BF68CD">
        <w:rPr>
          <w:sz w:val="24"/>
          <w:szCs w:val="24"/>
        </w:rPr>
        <w:t xml:space="preserve"> Tento závazek se vztahuje na všechny držitele přídělu kmitočtů v pásmu 700 MHz. Jeho cílem je vytvořit podmínky pro poskytování služeb elektronických komunikací prostřednictvím provozovatele sítí v pásmu 700 MHz</w:t>
      </w:r>
      <w:r w:rsidRPr="00BF68CD">
        <w:rPr>
          <w:rStyle w:val="Znakapoznpodarou"/>
          <w:sz w:val="24"/>
          <w:szCs w:val="24"/>
        </w:rPr>
        <w:footnoteReference w:id="19"/>
      </w:r>
      <w:r w:rsidRPr="00BF68CD">
        <w:rPr>
          <w:sz w:val="24"/>
          <w:szCs w:val="24"/>
        </w:rPr>
        <w:t xml:space="preserve"> i pro ty zájemce, kteří nemají vybudovanou vlastní infrastrukturu a kteří uzavřou s držitelem přídělu v pásmu 700 MHz smlouvu. Jedná se zejména o tzv. virtuální operátory. Platnost tohoto závazku stanovil ČTÚ do 24. února 2026. Poté již bude </w:t>
      </w:r>
      <w:r w:rsidR="0022300A" w:rsidRPr="00BF68CD">
        <w:rPr>
          <w:sz w:val="24"/>
          <w:szCs w:val="24"/>
        </w:rPr>
        <w:t>na rozhodnutí</w:t>
      </w:r>
      <w:r w:rsidRPr="00BF68CD">
        <w:rPr>
          <w:sz w:val="24"/>
          <w:szCs w:val="24"/>
        </w:rPr>
        <w:t xml:space="preserve"> držitel</w:t>
      </w:r>
      <w:r w:rsidR="0022300A" w:rsidRPr="00BF68CD">
        <w:rPr>
          <w:sz w:val="24"/>
          <w:szCs w:val="24"/>
        </w:rPr>
        <w:t>e</w:t>
      </w:r>
      <w:r w:rsidRPr="00BF68CD">
        <w:rPr>
          <w:sz w:val="24"/>
          <w:szCs w:val="24"/>
        </w:rPr>
        <w:t xml:space="preserve"> kmitočtů, zda </w:t>
      </w:r>
      <w:r w:rsidR="00165C5D" w:rsidRPr="00BF68CD">
        <w:rPr>
          <w:sz w:val="24"/>
          <w:szCs w:val="24"/>
        </w:rPr>
        <w:t>umožní působení virtuálních operátorů ve své síti</w:t>
      </w:r>
      <w:r w:rsidRPr="00BF68CD">
        <w:rPr>
          <w:sz w:val="24"/>
          <w:szCs w:val="24"/>
        </w:rPr>
        <w:t xml:space="preserve">. </w:t>
      </w:r>
      <w:r w:rsidR="005B7BE0" w:rsidRPr="00BF68CD">
        <w:rPr>
          <w:b/>
          <w:sz w:val="24"/>
          <w:szCs w:val="24"/>
        </w:rPr>
        <w:t xml:space="preserve">V době ukončení kontroly NKÚ </w:t>
      </w:r>
      <w:r w:rsidR="00E7139B" w:rsidRPr="00BF68CD">
        <w:rPr>
          <w:b/>
          <w:sz w:val="24"/>
          <w:szCs w:val="24"/>
        </w:rPr>
        <w:t xml:space="preserve">byly předložené velkoobchodní nabídky operátorů pro přístup k síti 700 MHz ve fázi prověřování ze strany ČTÚ. </w:t>
      </w:r>
    </w:p>
    <w:p w14:paraId="486550AD" w14:textId="2CDED1F3" w:rsidR="00DF0D5E" w:rsidRPr="00BF68CD" w:rsidRDefault="00214C7E" w:rsidP="00BF68CD">
      <w:pPr>
        <w:spacing w:after="120" w:line="264" w:lineRule="auto"/>
        <w:jc w:val="both"/>
        <w:rPr>
          <w:sz w:val="24"/>
          <w:szCs w:val="24"/>
        </w:rPr>
      </w:pPr>
      <w:r w:rsidRPr="00BF68CD">
        <w:rPr>
          <w:sz w:val="24"/>
          <w:szCs w:val="24"/>
        </w:rPr>
        <w:t>Pro využití velkoobchodní nabídky virtuálními operátory</w:t>
      </w:r>
      <w:r w:rsidR="00E7139B" w:rsidRPr="00BF68CD">
        <w:rPr>
          <w:sz w:val="24"/>
          <w:szCs w:val="24"/>
        </w:rPr>
        <w:t xml:space="preserve"> a národního roamingu oprávněnými zájemci</w:t>
      </w:r>
      <w:r w:rsidRPr="00BF68CD">
        <w:rPr>
          <w:sz w:val="24"/>
          <w:szCs w:val="24"/>
        </w:rPr>
        <w:t xml:space="preserve"> je zásadní pokrytí dostatečného počtu obyvatel a území ČR, aby mohl konkrétní virtuální operátor představit takovou nabídku služeb, která bude cenově výhodná jak pro zákazníky, tak pro samotného virtuálního operátora. To je podmíněno zejména dostatečným územním pokrytím sítí 5G, které zahrnuje vysoký počet potenciálních uživatelů</w:t>
      </w:r>
      <w:r w:rsidR="002C61FF" w:rsidRPr="00BF68CD">
        <w:rPr>
          <w:sz w:val="24"/>
          <w:szCs w:val="24"/>
        </w:rPr>
        <w:t xml:space="preserve"> sítě</w:t>
      </w:r>
      <w:r w:rsidR="008B44FC" w:rsidRPr="00BF68CD">
        <w:rPr>
          <w:sz w:val="24"/>
          <w:szCs w:val="24"/>
        </w:rPr>
        <w:t xml:space="preserve">. </w:t>
      </w:r>
      <w:r w:rsidR="00DF0D5E" w:rsidRPr="00BF68CD">
        <w:rPr>
          <w:sz w:val="24"/>
          <w:szCs w:val="24"/>
        </w:rPr>
        <w:t>K 30.</w:t>
      </w:r>
      <w:r w:rsidR="00570A24" w:rsidRPr="00BF68CD">
        <w:rPr>
          <w:sz w:val="24"/>
          <w:szCs w:val="24"/>
        </w:rPr>
        <w:t> </w:t>
      </w:r>
      <w:r w:rsidR="00DF0D5E" w:rsidRPr="00BF68CD">
        <w:rPr>
          <w:sz w:val="24"/>
          <w:szCs w:val="24"/>
        </w:rPr>
        <w:t>červnu 2022 pouze jeden operátor provozoval sítě v pásmu 700 MHz a pokrýval jimi 32</w:t>
      </w:r>
      <w:r w:rsidR="002D7205">
        <w:rPr>
          <w:sz w:val="24"/>
          <w:szCs w:val="24"/>
        </w:rPr>
        <w:t> </w:t>
      </w:r>
      <w:r w:rsidR="00DF0D5E" w:rsidRPr="00BF68CD">
        <w:rPr>
          <w:sz w:val="24"/>
          <w:szCs w:val="24"/>
        </w:rPr>
        <w:t>% území ČR (19 % obyvatel ČR). Ostatní dva operátoři provozovali sítě v pásmu 3400</w:t>
      </w:r>
      <w:r w:rsidR="006C4D80" w:rsidRPr="00BF68CD">
        <w:rPr>
          <w:sz w:val="24"/>
          <w:szCs w:val="24"/>
        </w:rPr>
        <w:t>–</w:t>
      </w:r>
      <w:r w:rsidR="00DF0D5E" w:rsidRPr="00BF68CD">
        <w:rPr>
          <w:sz w:val="24"/>
          <w:szCs w:val="24"/>
        </w:rPr>
        <w:t>3600 MHz s pokrytím 0,1 %, resp. 24 % obyvatel ČR.</w:t>
      </w:r>
    </w:p>
    <w:p w14:paraId="5282B8DE" w14:textId="5E93B871" w:rsidR="00214C7E" w:rsidRPr="00BF68CD" w:rsidRDefault="00214C7E" w:rsidP="00BF68CD">
      <w:pPr>
        <w:spacing w:after="120" w:line="264" w:lineRule="auto"/>
        <w:jc w:val="both"/>
        <w:rPr>
          <w:sz w:val="24"/>
          <w:szCs w:val="24"/>
        </w:rPr>
      </w:pPr>
      <w:r w:rsidRPr="00BF68CD">
        <w:rPr>
          <w:b/>
          <w:sz w:val="24"/>
          <w:szCs w:val="24"/>
        </w:rPr>
        <w:t xml:space="preserve">Do doby ukončení kontroly </w:t>
      </w:r>
      <w:r w:rsidR="003C46BB" w:rsidRPr="00BF68CD">
        <w:rPr>
          <w:b/>
          <w:sz w:val="24"/>
          <w:szCs w:val="24"/>
        </w:rPr>
        <w:t>se závazek národního roamingu ani velkoobchodní nabídky</w:t>
      </w:r>
      <w:r w:rsidRPr="00BF68CD">
        <w:rPr>
          <w:b/>
          <w:sz w:val="24"/>
          <w:szCs w:val="24"/>
        </w:rPr>
        <w:t xml:space="preserve"> stanovený držitelům kmitočtů v pásmu 700 MHz reálně v praxi neuplatnil</w:t>
      </w:r>
      <w:r w:rsidR="00083BA5">
        <w:rPr>
          <w:b/>
          <w:sz w:val="24"/>
          <w:szCs w:val="24"/>
        </w:rPr>
        <w:t>,</w:t>
      </w:r>
      <w:r w:rsidRPr="00BF68CD">
        <w:rPr>
          <w:b/>
          <w:sz w:val="24"/>
          <w:szCs w:val="24"/>
        </w:rPr>
        <w:t xml:space="preserve"> a nevedl tak ke zvýšení konkurence a následnému tlaku na snížení cen mobilních dat.</w:t>
      </w:r>
      <w:r w:rsidRPr="00BF68CD">
        <w:rPr>
          <w:sz w:val="24"/>
          <w:szCs w:val="24"/>
        </w:rPr>
        <w:t xml:space="preserve"> ČTÚ nastavil podmínky </w:t>
      </w:r>
      <w:r w:rsidRPr="00BF68CD">
        <w:rPr>
          <w:sz w:val="24"/>
          <w:szCs w:val="24"/>
        </w:rPr>
        <w:lastRenderedPageBreak/>
        <w:t>aukce tak, že v okamžiku, kdy budou mít držitelé přídělu kmitočtů v pásmu 700 MHz</w:t>
      </w:r>
      <w:r w:rsidR="00E746A6" w:rsidRPr="00BF68CD">
        <w:rPr>
          <w:sz w:val="24"/>
          <w:szCs w:val="24"/>
        </w:rPr>
        <w:t xml:space="preserve"> splněnu</w:t>
      </w:r>
      <w:r w:rsidRPr="00BF68CD">
        <w:rPr>
          <w:sz w:val="24"/>
          <w:szCs w:val="24"/>
        </w:rPr>
        <w:t xml:space="preserve"> povinnost dosáhnout dostatečného vysokého pokrytí sítěmi 5G, nebudou mít již povinnost poskytovat velkoobchodní nabídky. Tím tak přestane být využitelný jeden </w:t>
      </w:r>
      <w:r w:rsidR="007A6146" w:rsidRPr="00BF68CD">
        <w:rPr>
          <w:sz w:val="24"/>
          <w:szCs w:val="24"/>
        </w:rPr>
        <w:t>z nástrojů</w:t>
      </w:r>
      <w:r w:rsidRPr="00BF68CD">
        <w:rPr>
          <w:sz w:val="24"/>
          <w:szCs w:val="24"/>
        </w:rPr>
        <w:t xml:space="preserve">, kterým má být dosaženo zvýšení konkurence na trhu elektronických komunikací. </w:t>
      </w:r>
    </w:p>
    <w:p w14:paraId="37C0C6FF" w14:textId="3240B921" w:rsidR="00832FEF" w:rsidRPr="00BF68CD" w:rsidRDefault="00832FEF" w:rsidP="002D7205">
      <w:pPr>
        <w:keepNext/>
        <w:spacing w:after="120" w:line="264" w:lineRule="auto"/>
        <w:rPr>
          <w:b/>
          <w:sz w:val="24"/>
          <w:szCs w:val="24"/>
        </w:rPr>
      </w:pPr>
      <w:r w:rsidRPr="00BF68CD">
        <w:rPr>
          <w:b/>
          <w:sz w:val="24"/>
          <w:szCs w:val="24"/>
        </w:rPr>
        <w:t xml:space="preserve">Konkurence na trhu elektronických komunikací v ČR není dostatečná a ceny mobilních dat </w:t>
      </w:r>
      <w:r w:rsidR="00FC5FEC" w:rsidRPr="00BF68CD">
        <w:rPr>
          <w:b/>
          <w:sz w:val="24"/>
          <w:szCs w:val="24"/>
        </w:rPr>
        <w:t>a</w:t>
      </w:r>
      <w:r w:rsidR="00B52779" w:rsidRPr="00BF68CD">
        <w:rPr>
          <w:b/>
          <w:sz w:val="24"/>
          <w:szCs w:val="24"/>
        </w:rPr>
        <w:t> </w:t>
      </w:r>
      <w:r w:rsidR="00FC5FEC" w:rsidRPr="00BF68CD">
        <w:rPr>
          <w:b/>
          <w:sz w:val="24"/>
          <w:szCs w:val="24"/>
        </w:rPr>
        <w:t xml:space="preserve">volání </w:t>
      </w:r>
      <w:r w:rsidRPr="00BF68CD">
        <w:rPr>
          <w:b/>
          <w:sz w:val="24"/>
          <w:szCs w:val="24"/>
        </w:rPr>
        <w:t>jsou</w:t>
      </w:r>
      <w:r w:rsidR="00BF16DF" w:rsidRPr="00BF68CD">
        <w:rPr>
          <w:b/>
          <w:sz w:val="24"/>
          <w:szCs w:val="24"/>
        </w:rPr>
        <w:t xml:space="preserve"> jedny z</w:t>
      </w:r>
      <w:r w:rsidRPr="00BF68CD">
        <w:rPr>
          <w:b/>
          <w:sz w:val="24"/>
          <w:szCs w:val="24"/>
        </w:rPr>
        <w:t xml:space="preserve"> nejvyšší</w:t>
      </w:r>
      <w:r w:rsidR="00BF16DF" w:rsidRPr="00BF68CD">
        <w:rPr>
          <w:b/>
          <w:sz w:val="24"/>
          <w:szCs w:val="24"/>
        </w:rPr>
        <w:t>ch</w:t>
      </w:r>
      <w:r w:rsidRPr="00BF68CD">
        <w:rPr>
          <w:b/>
          <w:sz w:val="24"/>
          <w:szCs w:val="24"/>
        </w:rPr>
        <w:t xml:space="preserve"> v Evropské unii</w:t>
      </w:r>
      <w:r w:rsidR="00135A82" w:rsidRPr="00BF68CD">
        <w:rPr>
          <w:b/>
          <w:sz w:val="24"/>
          <w:szCs w:val="24"/>
        </w:rPr>
        <w:t>.</w:t>
      </w:r>
    </w:p>
    <w:p w14:paraId="61B6CE28" w14:textId="70A452B9" w:rsidR="00096989" w:rsidRPr="00BF68CD" w:rsidRDefault="00214C7E" w:rsidP="00BF68CD">
      <w:pPr>
        <w:spacing w:after="120" w:line="264" w:lineRule="auto"/>
        <w:jc w:val="both"/>
        <w:rPr>
          <w:sz w:val="24"/>
          <w:szCs w:val="24"/>
        </w:rPr>
      </w:pPr>
      <w:r w:rsidRPr="00BF68CD">
        <w:rPr>
          <w:sz w:val="24"/>
          <w:szCs w:val="24"/>
        </w:rPr>
        <w:t>V současné době jsou ceny mobilních dat</w:t>
      </w:r>
      <w:r w:rsidR="00FC5FEC" w:rsidRPr="00BF68CD">
        <w:rPr>
          <w:sz w:val="24"/>
          <w:szCs w:val="24"/>
        </w:rPr>
        <w:t xml:space="preserve"> a volání</w:t>
      </w:r>
      <w:r w:rsidR="002C61FF" w:rsidRPr="00BF68CD">
        <w:rPr>
          <w:sz w:val="24"/>
          <w:szCs w:val="24"/>
        </w:rPr>
        <w:t xml:space="preserve"> v ČR</w:t>
      </w:r>
      <w:r w:rsidRPr="00BF68CD">
        <w:rPr>
          <w:sz w:val="24"/>
          <w:szCs w:val="24"/>
        </w:rPr>
        <w:t xml:space="preserve"> </w:t>
      </w:r>
      <w:r w:rsidR="00BF16DF" w:rsidRPr="00BF68CD">
        <w:rPr>
          <w:sz w:val="24"/>
          <w:szCs w:val="24"/>
        </w:rPr>
        <w:t xml:space="preserve">jedny z </w:t>
      </w:r>
      <w:r w:rsidRPr="00BF68CD">
        <w:rPr>
          <w:sz w:val="24"/>
          <w:szCs w:val="24"/>
        </w:rPr>
        <w:t>nejvyšší</w:t>
      </w:r>
      <w:r w:rsidR="00BF16DF" w:rsidRPr="00BF68CD">
        <w:rPr>
          <w:sz w:val="24"/>
          <w:szCs w:val="24"/>
        </w:rPr>
        <w:t>ch</w:t>
      </w:r>
      <w:r w:rsidRPr="00BF68CD">
        <w:rPr>
          <w:sz w:val="24"/>
          <w:szCs w:val="24"/>
        </w:rPr>
        <w:t xml:space="preserve"> v Evropské unii. Tuto skutečnost dokládá jak </w:t>
      </w:r>
      <w:hyperlink r:id="rId20" w:history="1">
        <w:r w:rsidR="00A2514F" w:rsidRPr="00BF68CD">
          <w:rPr>
            <w:rStyle w:val="Hypertextovodkaz"/>
            <w:sz w:val="24"/>
            <w:szCs w:val="24"/>
          </w:rPr>
          <w:t>mezinárodní srovnání</w:t>
        </w:r>
      </w:hyperlink>
      <w:r w:rsidR="00484AED" w:rsidRPr="00BF68CD">
        <w:rPr>
          <w:rStyle w:val="Znakapoznpodarou"/>
          <w:sz w:val="24"/>
          <w:szCs w:val="24"/>
        </w:rPr>
        <w:footnoteReference w:id="20"/>
      </w:r>
      <w:r w:rsidRPr="00BF68CD">
        <w:rPr>
          <w:sz w:val="24"/>
          <w:szCs w:val="24"/>
        </w:rPr>
        <w:t xml:space="preserve">, které NKÚ zpracoval, tak </w:t>
      </w:r>
      <w:hyperlink r:id="rId21" w:history="1">
        <w:r w:rsidR="00A2514F" w:rsidRPr="00BF68CD">
          <w:rPr>
            <w:rStyle w:val="Hypertextovodkaz"/>
            <w:sz w:val="24"/>
            <w:szCs w:val="24"/>
          </w:rPr>
          <w:t>studie</w:t>
        </w:r>
      </w:hyperlink>
      <w:r w:rsidR="00484AED" w:rsidRPr="00BF68CD">
        <w:rPr>
          <w:rStyle w:val="Znakapoznpodarou"/>
          <w:sz w:val="24"/>
          <w:szCs w:val="24"/>
        </w:rPr>
        <w:footnoteReference w:id="21"/>
      </w:r>
      <w:r w:rsidRPr="00BF68CD">
        <w:rPr>
          <w:sz w:val="24"/>
          <w:szCs w:val="24"/>
        </w:rPr>
        <w:t xml:space="preserve"> zpracovaná v roce 2022 pro Evropskou komisi</w:t>
      </w:r>
      <w:r w:rsidR="00484AED" w:rsidRPr="00BF68CD">
        <w:rPr>
          <w:sz w:val="24"/>
          <w:szCs w:val="24"/>
        </w:rPr>
        <w:t>,</w:t>
      </w:r>
      <w:r w:rsidRPr="00BF68CD">
        <w:rPr>
          <w:sz w:val="24"/>
          <w:szCs w:val="24"/>
        </w:rPr>
        <w:t xml:space="preserve"> publikovaná </w:t>
      </w:r>
      <w:r w:rsidR="00135A82" w:rsidRPr="00BF68CD">
        <w:rPr>
          <w:sz w:val="24"/>
          <w:szCs w:val="24"/>
        </w:rPr>
        <w:t xml:space="preserve">dne </w:t>
      </w:r>
      <w:r w:rsidRPr="00BF68CD">
        <w:rPr>
          <w:sz w:val="24"/>
          <w:szCs w:val="24"/>
        </w:rPr>
        <w:t>28. července 2022</w:t>
      </w:r>
      <w:r w:rsidR="00955C74" w:rsidRPr="00BF68CD">
        <w:rPr>
          <w:sz w:val="24"/>
          <w:szCs w:val="24"/>
        </w:rPr>
        <w:t xml:space="preserve">. </w:t>
      </w:r>
      <w:r w:rsidR="00586754" w:rsidRPr="00BF68CD">
        <w:rPr>
          <w:sz w:val="24"/>
          <w:szCs w:val="24"/>
        </w:rPr>
        <w:t xml:space="preserve">Pokusy ze strany ČTÚ zavést regulaci cen byly do doby ukončení kontroly </w:t>
      </w:r>
      <w:r w:rsidR="00CE6E4B" w:rsidRPr="00BF68CD">
        <w:rPr>
          <w:sz w:val="24"/>
          <w:szCs w:val="24"/>
        </w:rPr>
        <w:t>Evropskou komisí zamítnuty</w:t>
      </w:r>
      <w:r w:rsidR="00586754" w:rsidRPr="00BF68CD">
        <w:rPr>
          <w:sz w:val="24"/>
          <w:szCs w:val="24"/>
        </w:rPr>
        <w:t xml:space="preserve">. </w:t>
      </w:r>
      <w:r w:rsidR="00096989" w:rsidRPr="00BF68CD">
        <w:rPr>
          <w:sz w:val="24"/>
          <w:szCs w:val="24"/>
        </w:rPr>
        <w:t>Evropská komise</w:t>
      </w:r>
      <w:r w:rsidR="007A6146" w:rsidRPr="00BF68CD">
        <w:rPr>
          <w:sz w:val="24"/>
          <w:szCs w:val="24"/>
        </w:rPr>
        <w:t xml:space="preserve"> </w:t>
      </w:r>
      <w:r w:rsidR="00096989" w:rsidRPr="00BF68CD">
        <w:rPr>
          <w:sz w:val="24"/>
          <w:szCs w:val="24"/>
        </w:rPr>
        <w:t>nedoporučuje</w:t>
      </w:r>
      <w:r w:rsidR="00096989" w:rsidRPr="00BF68CD">
        <w:rPr>
          <w:rStyle w:val="Znakapoznpodarou"/>
          <w:sz w:val="24"/>
          <w:szCs w:val="24"/>
        </w:rPr>
        <w:footnoteReference w:id="22"/>
      </w:r>
      <w:r w:rsidR="00096989" w:rsidRPr="00BF68CD">
        <w:rPr>
          <w:sz w:val="24"/>
          <w:szCs w:val="24"/>
        </w:rPr>
        <w:t xml:space="preserve"> regulovat trh s mobilními daty</w:t>
      </w:r>
      <w:r w:rsidR="00586754" w:rsidRPr="00BF68CD">
        <w:rPr>
          <w:sz w:val="24"/>
          <w:szCs w:val="24"/>
        </w:rPr>
        <w:t>.</w:t>
      </w:r>
    </w:p>
    <w:p w14:paraId="381B0E13" w14:textId="6B068043" w:rsidR="00042CB2" w:rsidRPr="00BF68CD" w:rsidRDefault="00042CB2" w:rsidP="002D7205">
      <w:pPr>
        <w:keepNext/>
        <w:spacing w:after="120" w:line="264" w:lineRule="auto"/>
        <w:jc w:val="both"/>
        <w:rPr>
          <w:b/>
          <w:sz w:val="24"/>
          <w:szCs w:val="24"/>
        </w:rPr>
      </w:pPr>
      <w:r w:rsidRPr="00BF68CD">
        <w:rPr>
          <w:b/>
          <w:sz w:val="24"/>
          <w:szCs w:val="24"/>
        </w:rPr>
        <w:t>Příklad vedoucí ke snížení ceny volání a mobilních dat</w:t>
      </w:r>
      <w:r w:rsidR="00057CEC">
        <w:rPr>
          <w:b/>
          <w:sz w:val="24"/>
          <w:szCs w:val="24"/>
        </w:rPr>
        <w:t>:</w:t>
      </w:r>
    </w:p>
    <w:p w14:paraId="69512A70" w14:textId="3A238877" w:rsidR="00CC63FD" w:rsidRDefault="00042CB2" w:rsidP="00214C7E">
      <w:pPr>
        <w:spacing w:after="0"/>
        <w:jc w:val="both"/>
        <w:rPr>
          <w:sz w:val="24"/>
        </w:rPr>
      </w:pPr>
      <w:r w:rsidRPr="00042CB2">
        <w:rPr>
          <w:i/>
          <w:noProof/>
          <w:sz w:val="24"/>
        </w:rPr>
        <mc:AlternateContent>
          <mc:Choice Requires="wps">
            <w:drawing>
              <wp:inline distT="0" distB="0" distL="0" distR="0" wp14:anchorId="0036FFB2" wp14:editId="62C98EDB">
                <wp:extent cx="5756275" cy="1404620"/>
                <wp:effectExtent l="0" t="0" r="15875" b="27305"/>
                <wp:docPr id="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1404620"/>
                        </a:xfrm>
                        <a:prstGeom prst="rect">
                          <a:avLst/>
                        </a:prstGeom>
                        <a:solidFill>
                          <a:schemeClr val="accent1">
                            <a:lumMod val="20000"/>
                            <a:lumOff val="80000"/>
                          </a:schemeClr>
                        </a:solidFill>
                        <a:ln w="9525">
                          <a:solidFill>
                            <a:srgbClr val="000000"/>
                          </a:solidFill>
                          <a:miter lim="800000"/>
                          <a:headEnd/>
                          <a:tailEnd/>
                        </a:ln>
                      </wps:spPr>
                      <wps:txbx>
                        <w:txbxContent>
                          <w:p w14:paraId="328C5CDC" w14:textId="3B5F8759" w:rsidR="00DB6622" w:rsidRPr="002D7205" w:rsidRDefault="00DB6622" w:rsidP="002D7205">
                            <w:pPr>
                              <w:spacing w:after="0" w:line="240" w:lineRule="auto"/>
                              <w:jc w:val="both"/>
                              <w:rPr>
                                <w:i/>
                                <w:sz w:val="24"/>
                                <w:szCs w:val="24"/>
                              </w:rPr>
                            </w:pPr>
                            <w:r w:rsidRPr="002D7205">
                              <w:rPr>
                                <w:i/>
                                <w:sz w:val="24"/>
                                <w:szCs w:val="24"/>
                              </w:rPr>
                              <w:t>NKÚ uvádí příklad úspěšného výsledku aukce kmitočtů, který vedl ke snížení ceny volání a mobilních dat ve Francii vstupem čtvrtého infrastrukturního operátora. Ten získal licenci na využívání kmitočtů v roce 2010 a svoji síť spustil v roce 2012. Do roka pak nastalo snížení cen volání a mobilních dat v průměru o 40 %. Postup Francie při udělování licence byl prověřován Evropskou komisí, která v jejím postupu nespatřovala státní podporu a naopak konstatovala, že v jejím postupu byl kladen důraz na konkurenceschopnost a hospodářskou soutěž. Detailní popis situace a postupu Francie je dostupný na:</w:t>
                            </w:r>
                          </w:p>
                          <w:p w14:paraId="4DD3319F" w14:textId="77777777" w:rsidR="00DB6622" w:rsidRPr="002D7205" w:rsidRDefault="00073230" w:rsidP="002D7205">
                            <w:pPr>
                              <w:spacing w:after="0" w:line="240" w:lineRule="auto"/>
                              <w:jc w:val="both"/>
                              <w:rPr>
                                <w:i/>
                                <w:sz w:val="24"/>
                                <w:szCs w:val="24"/>
                              </w:rPr>
                            </w:pPr>
                            <w:hyperlink r:id="rId22" w:history="1">
                              <w:r w:rsidR="00DB6622" w:rsidRPr="00C61E99">
                                <w:rPr>
                                  <w:rStyle w:val="Hypertextovodkaz"/>
                                  <w:i/>
                                  <w:color w:val="0070C0"/>
                                  <w:sz w:val="24"/>
                                  <w:szCs w:val="24"/>
                                </w:rPr>
                                <w:t>https://ec.europa.eu/competition/publications/cpn/2011_3_6_en.pdf</w:t>
                              </w:r>
                            </w:hyperlink>
                            <w:r w:rsidR="00DB6622" w:rsidRPr="002D7205">
                              <w:rPr>
                                <w:i/>
                                <w:sz w:val="24"/>
                                <w:szCs w:val="24"/>
                              </w:rPr>
                              <w:t xml:space="preserve">. </w:t>
                            </w:r>
                          </w:p>
                        </w:txbxContent>
                      </wps:txbx>
                      <wps:bodyPr rot="0" vert="horz" wrap="square" lIns="91440" tIns="45720" rIns="91440" bIns="45720" anchor="t" anchorCtr="0">
                        <a:spAutoFit/>
                      </wps:bodyPr>
                    </wps:wsp>
                  </a:graphicData>
                </a:graphic>
              </wp:inline>
            </w:drawing>
          </mc:Choice>
          <mc:Fallback>
            <w:pict>
              <v:shapetype w14:anchorId="0036FFB2" id="_x0000_t202" coordsize="21600,21600" o:spt="202" path="m,l,21600r21600,l21600,xe">
                <v:stroke joinstyle="miter"/>
                <v:path gradientshapeok="t" o:connecttype="rect"/>
              </v:shapetype>
              <v:shape id="Textové pole 2" o:spid="_x0000_s1031" type="#_x0000_t202" style="width:453.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" fillcolor="#deeaf6 [660]">
                <v:textbox style="mso-fit-shape-to-text:t">
                  <w:txbxContent>
                    <w:p w14:paraId="328C5CDC" w14:textId="3B5F8759" w:rsidR="00DB6622" w:rsidRPr="002D7205" w:rsidRDefault="00DB6622" w:rsidP="002D7205">
                      <w:pPr>
                        <w:spacing w:after="0" w:line="240" w:lineRule="auto"/>
                        <w:jc w:val="both"/>
                        <w:rPr>
                          <w:i/>
                          <w:sz w:val="24"/>
                          <w:szCs w:val="24"/>
                        </w:rPr>
                      </w:pPr>
                      <w:r w:rsidRPr="002D7205">
                        <w:rPr>
                          <w:i/>
                          <w:sz w:val="24"/>
                          <w:szCs w:val="24"/>
                        </w:rPr>
                        <w:t>NKÚ uvádí příklad úspěšného výsledku aukce kmitočtů, který vedl ke snížení ceny volání a mobilních dat ve Francii vstupem čtvrtého infrastrukturního operátora. Ten získal licenci na využívání kmitočtů v roce 2010 a svoji síť spustil v roce 2012. Do roka pak nastalo snížení cen volání a mobilních dat v průměru o 40 %. Postup Francie při udělování licence byl prověřován Evropskou komisí, která v jejím postupu nespatřovala státní podporu a naopak konstatovala, že v jejím postupu byl kladen důraz na konkurenceschopnost a hospodářskou soutěž. Detailní popis situace a postupu Francie je dostupný na:</w:t>
                      </w:r>
                    </w:p>
                    <w:p w14:paraId="4DD3319F" w14:textId="77777777" w:rsidR="00DB6622" w:rsidRPr="002D7205" w:rsidRDefault="009B4251" w:rsidP="002D7205">
                      <w:pPr>
                        <w:spacing w:after="0" w:line="240" w:lineRule="auto"/>
                        <w:jc w:val="both"/>
                        <w:rPr>
                          <w:i/>
                          <w:sz w:val="24"/>
                          <w:szCs w:val="24"/>
                        </w:rPr>
                      </w:pPr>
                      <w:hyperlink r:id="rId26" w:history="1">
                        <w:r w:rsidR="00DB6622" w:rsidRPr="00C61E99">
                          <w:rPr>
                            <w:rStyle w:val="Hypertextovodkaz"/>
                            <w:i/>
                            <w:color w:val="0070C0"/>
                            <w:sz w:val="24"/>
                            <w:szCs w:val="24"/>
                          </w:rPr>
                          <w:t>https://ec.europa.eu/competition/publications/cpn/2011_3_6_en.pdf</w:t>
                        </w:r>
                      </w:hyperlink>
                      <w:r w:rsidR="00DB6622" w:rsidRPr="002D7205">
                        <w:rPr>
                          <w:i/>
                          <w:sz w:val="24"/>
                          <w:szCs w:val="24"/>
                        </w:rPr>
                        <w:t xml:space="preserve">. </w:t>
                      </w:r>
                    </w:p>
                  </w:txbxContent>
                </v:textbox>
                <w10:anchorlock/>
              </v:shape>
            </w:pict>
          </mc:Fallback>
        </mc:AlternateContent>
      </w:r>
    </w:p>
    <w:p w14:paraId="04DBEE76" w14:textId="698C9199" w:rsidR="004E60A1" w:rsidRPr="002D7205" w:rsidRDefault="002D7205" w:rsidP="002D7205">
      <w:pPr>
        <w:keepNext/>
        <w:spacing w:before="240" w:after="120" w:line="264" w:lineRule="auto"/>
        <w:rPr>
          <w:b/>
          <w:sz w:val="24"/>
          <w:lang w:eastAsia="cs-CZ"/>
        </w:rPr>
      </w:pPr>
      <w:r w:rsidRPr="002D7205">
        <w:rPr>
          <w:b/>
          <w:sz w:val="24"/>
          <w:lang w:eastAsia="cs-CZ"/>
        </w:rPr>
        <w:t xml:space="preserve">3. </w:t>
      </w:r>
      <w:r w:rsidR="00214C7E" w:rsidRPr="002D7205">
        <w:rPr>
          <w:b/>
          <w:sz w:val="24"/>
          <w:lang w:eastAsia="cs-CZ"/>
        </w:rPr>
        <w:t>Čisté náklady základních poštovních služeb</w:t>
      </w:r>
    </w:p>
    <w:p w14:paraId="5299FA16" w14:textId="73736A52" w:rsidR="00214C7E" w:rsidRPr="004961E8" w:rsidRDefault="00214C7E" w:rsidP="004961E8">
      <w:pPr>
        <w:spacing w:after="120" w:line="264" w:lineRule="auto"/>
        <w:jc w:val="both"/>
        <w:rPr>
          <w:sz w:val="24"/>
          <w:szCs w:val="24"/>
        </w:rPr>
      </w:pPr>
      <w:r w:rsidRPr="004961E8">
        <w:rPr>
          <w:sz w:val="24"/>
          <w:szCs w:val="24"/>
        </w:rPr>
        <w:t xml:space="preserve">Členské státy EU jsou povinny na základě </w:t>
      </w:r>
      <w:r w:rsidR="00057CEC">
        <w:rPr>
          <w:sz w:val="24"/>
          <w:szCs w:val="24"/>
        </w:rPr>
        <w:t>s</w:t>
      </w:r>
      <w:r w:rsidRPr="004961E8">
        <w:rPr>
          <w:sz w:val="24"/>
          <w:szCs w:val="24"/>
        </w:rPr>
        <w:t>měrnice Evropského parlamentu a Rady 97/67/ES</w:t>
      </w:r>
      <w:r w:rsidRPr="004961E8">
        <w:rPr>
          <w:sz w:val="24"/>
          <w:szCs w:val="24"/>
          <w:vertAlign w:val="superscript"/>
        </w:rPr>
        <w:footnoteReference w:id="23"/>
      </w:r>
      <w:r w:rsidRPr="004961E8">
        <w:rPr>
          <w:sz w:val="24"/>
          <w:szCs w:val="24"/>
          <w:vertAlign w:val="superscript"/>
        </w:rPr>
        <w:t xml:space="preserve"> </w:t>
      </w:r>
      <w:r w:rsidRPr="004961E8">
        <w:rPr>
          <w:sz w:val="24"/>
          <w:szCs w:val="24"/>
        </w:rPr>
        <w:t>ve veřejném zájmu zajišťovat poskytování základních poštovních služeb. Jejich poskytování zajišťuje ČR prostřednictvím držitele poštovní licence. Pro období let 2013</w:t>
      </w:r>
      <w:r w:rsidR="00057CEC">
        <w:rPr>
          <w:sz w:val="24"/>
          <w:szCs w:val="24"/>
        </w:rPr>
        <w:t xml:space="preserve"> </w:t>
      </w:r>
      <w:r w:rsidR="007A6146" w:rsidRPr="004961E8">
        <w:rPr>
          <w:sz w:val="24"/>
          <w:szCs w:val="24"/>
        </w:rPr>
        <w:t>až</w:t>
      </w:r>
      <w:r w:rsidR="00057CEC">
        <w:rPr>
          <w:sz w:val="24"/>
          <w:szCs w:val="24"/>
        </w:rPr>
        <w:t xml:space="preserve"> </w:t>
      </w:r>
      <w:r w:rsidRPr="004961E8">
        <w:rPr>
          <w:sz w:val="24"/>
          <w:szCs w:val="24"/>
        </w:rPr>
        <w:t>2017 určil držitele poštovní licence zákon č. 221/2012 Sb.</w:t>
      </w:r>
      <w:r w:rsidRPr="004961E8">
        <w:rPr>
          <w:rStyle w:val="Znakapoznpodarou"/>
          <w:sz w:val="24"/>
          <w:szCs w:val="24"/>
        </w:rPr>
        <w:footnoteReference w:id="24"/>
      </w:r>
      <w:r w:rsidRPr="004961E8">
        <w:rPr>
          <w:sz w:val="24"/>
          <w:szCs w:val="24"/>
        </w:rPr>
        <w:t xml:space="preserve"> a od roku 2018 vybírá držitele poštovní licence výběrovým řízením ČTÚ. V období let 2013 </w:t>
      </w:r>
      <w:r w:rsidR="007A6146" w:rsidRPr="004961E8">
        <w:rPr>
          <w:sz w:val="24"/>
          <w:szCs w:val="24"/>
        </w:rPr>
        <w:t>až</w:t>
      </w:r>
      <w:r w:rsidRPr="004961E8">
        <w:rPr>
          <w:sz w:val="24"/>
          <w:szCs w:val="24"/>
        </w:rPr>
        <w:t> 2017 a let 2018</w:t>
      </w:r>
      <w:r w:rsidR="00057CEC">
        <w:rPr>
          <w:sz w:val="24"/>
          <w:szCs w:val="24"/>
        </w:rPr>
        <w:t xml:space="preserve"> </w:t>
      </w:r>
      <w:r w:rsidR="007A6146" w:rsidRPr="004961E8">
        <w:rPr>
          <w:sz w:val="24"/>
          <w:szCs w:val="24"/>
        </w:rPr>
        <w:t>až</w:t>
      </w:r>
      <w:r w:rsidR="00057CEC">
        <w:rPr>
          <w:sz w:val="24"/>
          <w:szCs w:val="24"/>
        </w:rPr>
        <w:t xml:space="preserve"> </w:t>
      </w:r>
      <w:r w:rsidRPr="004961E8">
        <w:rPr>
          <w:sz w:val="24"/>
          <w:szCs w:val="24"/>
        </w:rPr>
        <w:t xml:space="preserve">2022 byla držitelem poštovní licence Česká pošta, </w:t>
      </w:r>
      <w:proofErr w:type="spellStart"/>
      <w:r w:rsidRPr="004961E8">
        <w:rPr>
          <w:sz w:val="24"/>
          <w:szCs w:val="24"/>
        </w:rPr>
        <w:t>s.p</w:t>
      </w:r>
      <w:proofErr w:type="spellEnd"/>
      <w:r w:rsidRPr="004961E8">
        <w:rPr>
          <w:sz w:val="24"/>
          <w:szCs w:val="24"/>
        </w:rPr>
        <w:t>. (dále jen „Česká pošta“). Ta byla jediným účastníkem výběrového řízení na držitele poštovní licence pro období let 2018</w:t>
      </w:r>
      <w:r w:rsidR="007A6146" w:rsidRPr="004961E8">
        <w:rPr>
          <w:sz w:val="24"/>
          <w:szCs w:val="24"/>
        </w:rPr>
        <w:t xml:space="preserve"> až </w:t>
      </w:r>
      <w:r w:rsidRPr="004961E8">
        <w:rPr>
          <w:sz w:val="24"/>
          <w:szCs w:val="24"/>
        </w:rPr>
        <w:t xml:space="preserve">2022, nesplnila však </w:t>
      </w:r>
      <w:r w:rsidRPr="004961E8">
        <w:rPr>
          <w:sz w:val="24"/>
          <w:szCs w:val="24"/>
        </w:rPr>
        <w:lastRenderedPageBreak/>
        <w:t xml:space="preserve">jednu z podmínek </w:t>
      </w:r>
      <w:r w:rsidR="00E9568F" w:rsidRPr="004961E8">
        <w:rPr>
          <w:sz w:val="24"/>
          <w:szCs w:val="24"/>
        </w:rPr>
        <w:t xml:space="preserve">účasti ve </w:t>
      </w:r>
      <w:r w:rsidRPr="004961E8">
        <w:rPr>
          <w:sz w:val="24"/>
          <w:szCs w:val="24"/>
        </w:rPr>
        <w:t>výběrové</w:t>
      </w:r>
      <w:r w:rsidR="00E9568F" w:rsidRPr="004961E8">
        <w:rPr>
          <w:sz w:val="24"/>
          <w:szCs w:val="24"/>
        </w:rPr>
        <w:t>m</w:t>
      </w:r>
      <w:r w:rsidRPr="004961E8">
        <w:rPr>
          <w:sz w:val="24"/>
          <w:szCs w:val="24"/>
        </w:rPr>
        <w:t xml:space="preserve"> řízení</w:t>
      </w:r>
      <w:r w:rsidR="00057CEC">
        <w:rPr>
          <w:sz w:val="24"/>
          <w:szCs w:val="24"/>
        </w:rPr>
        <w:t>,</w:t>
      </w:r>
      <w:r w:rsidRPr="004961E8">
        <w:rPr>
          <w:sz w:val="24"/>
          <w:szCs w:val="24"/>
        </w:rPr>
        <w:t xml:space="preserve"> a ČTÚ</w:t>
      </w:r>
      <w:r w:rsidR="00E9568F" w:rsidRPr="004961E8">
        <w:rPr>
          <w:sz w:val="24"/>
          <w:szCs w:val="24"/>
        </w:rPr>
        <w:t xml:space="preserve"> proto její žádost o udělení licence zamítl.</w:t>
      </w:r>
      <w:r w:rsidRPr="004961E8">
        <w:rPr>
          <w:sz w:val="24"/>
          <w:szCs w:val="24"/>
        </w:rPr>
        <w:t xml:space="preserve"> S ohledem na nutnost zajistit poskytování základních služeb v období let 2018 </w:t>
      </w:r>
      <w:r w:rsidR="007A6146" w:rsidRPr="004961E8">
        <w:rPr>
          <w:sz w:val="24"/>
          <w:szCs w:val="24"/>
        </w:rPr>
        <w:t>až</w:t>
      </w:r>
      <w:r w:rsidRPr="004961E8">
        <w:rPr>
          <w:sz w:val="24"/>
          <w:szCs w:val="24"/>
        </w:rPr>
        <w:t xml:space="preserve"> 2022 rozhodl ČTÚ v souladu se zákonem o poštovních službách</w:t>
      </w:r>
      <w:r w:rsidRPr="004961E8">
        <w:rPr>
          <w:rStyle w:val="Znakapoznpodarou"/>
          <w:sz w:val="24"/>
          <w:szCs w:val="24"/>
        </w:rPr>
        <w:footnoteReference w:id="25"/>
      </w:r>
      <w:r w:rsidRPr="004961E8">
        <w:rPr>
          <w:sz w:val="24"/>
          <w:szCs w:val="24"/>
        </w:rPr>
        <w:t xml:space="preserve"> o udělení poštovní licence napřímo České poště, neboť byla jediný</w:t>
      </w:r>
      <w:r w:rsidR="00135A82" w:rsidRPr="004961E8">
        <w:rPr>
          <w:sz w:val="24"/>
          <w:szCs w:val="24"/>
        </w:rPr>
        <w:t>m</w:t>
      </w:r>
      <w:r w:rsidRPr="004961E8">
        <w:rPr>
          <w:sz w:val="24"/>
          <w:szCs w:val="24"/>
        </w:rPr>
        <w:t xml:space="preserve"> provozovatel</w:t>
      </w:r>
      <w:r w:rsidR="00135A82" w:rsidRPr="004961E8">
        <w:rPr>
          <w:sz w:val="24"/>
          <w:szCs w:val="24"/>
        </w:rPr>
        <w:t>em</w:t>
      </w:r>
      <w:r w:rsidRPr="004961E8">
        <w:rPr>
          <w:sz w:val="24"/>
          <w:szCs w:val="24"/>
        </w:rPr>
        <w:t xml:space="preserve"> v ČR schopný</w:t>
      </w:r>
      <w:r w:rsidR="00135A82" w:rsidRPr="004961E8">
        <w:rPr>
          <w:sz w:val="24"/>
          <w:szCs w:val="24"/>
        </w:rPr>
        <w:t>m</w:t>
      </w:r>
      <w:r w:rsidRPr="004961E8">
        <w:rPr>
          <w:sz w:val="24"/>
          <w:szCs w:val="24"/>
        </w:rPr>
        <w:t xml:space="preserve"> zajistit poskytování základních služeb za podmínek stanovených příslušnou </w:t>
      </w:r>
      <w:r w:rsidR="00E9568F" w:rsidRPr="004961E8">
        <w:rPr>
          <w:sz w:val="24"/>
          <w:szCs w:val="24"/>
        </w:rPr>
        <w:t>právní úpravou</w:t>
      </w:r>
      <w:r w:rsidRPr="004961E8">
        <w:rPr>
          <w:sz w:val="24"/>
          <w:szCs w:val="24"/>
        </w:rPr>
        <w:t>. Pro období let 2023</w:t>
      </w:r>
      <w:r w:rsidR="007A6146" w:rsidRPr="004961E8">
        <w:rPr>
          <w:sz w:val="24"/>
          <w:szCs w:val="24"/>
        </w:rPr>
        <w:t xml:space="preserve"> až</w:t>
      </w:r>
      <w:r w:rsidRPr="004961E8">
        <w:rPr>
          <w:sz w:val="24"/>
          <w:szCs w:val="24"/>
        </w:rPr>
        <w:t xml:space="preserve"> 2024 vypsal ČTÚ v roce 2022 výběrové řízení na držitele poštovní licence, kterého se Česká pošta zúčastnila jako jediný uchazeč. Splnila podmínky výběrového řízení a stala se držitelem poštovní licence na období let 2023 </w:t>
      </w:r>
      <w:r w:rsidR="007A6146" w:rsidRPr="004961E8">
        <w:rPr>
          <w:sz w:val="24"/>
          <w:szCs w:val="24"/>
        </w:rPr>
        <w:t>až</w:t>
      </w:r>
      <w:r w:rsidRPr="004961E8">
        <w:rPr>
          <w:sz w:val="24"/>
          <w:szCs w:val="24"/>
        </w:rPr>
        <w:t xml:space="preserve"> 2024. NKÚ ověřoval nastavení podmínek obou vyhlášených výběrových řízení na držitele poštovní licence a zjistil, že ČTÚ tyto podmínky nastavil v souladu s platnou právní úpravou bez preference konkrétního provozovatele.</w:t>
      </w:r>
    </w:p>
    <w:p w14:paraId="770AA09E" w14:textId="51B56996" w:rsidR="007156FB" w:rsidRPr="004961E8" w:rsidRDefault="007156FB" w:rsidP="004961E8">
      <w:pPr>
        <w:keepNext/>
        <w:spacing w:after="120" w:line="264" w:lineRule="auto"/>
        <w:rPr>
          <w:b/>
          <w:sz w:val="24"/>
          <w:szCs w:val="24"/>
        </w:rPr>
      </w:pPr>
      <w:r w:rsidRPr="004961E8">
        <w:rPr>
          <w:b/>
          <w:sz w:val="24"/>
          <w:szCs w:val="24"/>
        </w:rPr>
        <w:t>Nastavený systém ověřování čistých nákladů základních poštovních služeb nevykaz</w:t>
      </w:r>
      <w:r w:rsidR="00CC63FD" w:rsidRPr="004961E8">
        <w:rPr>
          <w:b/>
          <w:sz w:val="24"/>
          <w:szCs w:val="24"/>
        </w:rPr>
        <w:t>oval</w:t>
      </w:r>
      <w:r w:rsidRPr="004961E8">
        <w:rPr>
          <w:b/>
          <w:sz w:val="24"/>
          <w:szCs w:val="24"/>
        </w:rPr>
        <w:t xml:space="preserve"> nedostatky</w:t>
      </w:r>
      <w:r w:rsidR="00135A82" w:rsidRPr="004961E8">
        <w:rPr>
          <w:b/>
          <w:sz w:val="24"/>
          <w:szCs w:val="24"/>
        </w:rPr>
        <w:t>.</w:t>
      </w:r>
    </w:p>
    <w:p w14:paraId="64A070CE" w14:textId="1B6DA8C6" w:rsidR="00214C7E" w:rsidRPr="004961E8" w:rsidRDefault="00214C7E" w:rsidP="004961E8">
      <w:pPr>
        <w:spacing w:after="120" w:line="264" w:lineRule="auto"/>
        <w:jc w:val="both"/>
        <w:rPr>
          <w:sz w:val="24"/>
          <w:szCs w:val="24"/>
        </w:rPr>
      </w:pPr>
      <w:r w:rsidRPr="004961E8">
        <w:rPr>
          <w:sz w:val="24"/>
          <w:szCs w:val="24"/>
        </w:rPr>
        <w:t>ČTÚ pravidelně kontrol</w:t>
      </w:r>
      <w:r w:rsidR="00613CBD" w:rsidRPr="004961E8">
        <w:rPr>
          <w:sz w:val="24"/>
          <w:szCs w:val="24"/>
        </w:rPr>
        <w:t>oval</w:t>
      </w:r>
      <w:r w:rsidRPr="004961E8">
        <w:rPr>
          <w:sz w:val="24"/>
          <w:szCs w:val="24"/>
        </w:rPr>
        <w:t xml:space="preserve"> plnění povinností stanovených držiteli poštovní licence vč. kvality a způsobu poskytování základních služeb. Výsledky provedených kontrol zveřejň</w:t>
      </w:r>
      <w:r w:rsidR="00613CBD" w:rsidRPr="004961E8">
        <w:rPr>
          <w:sz w:val="24"/>
          <w:szCs w:val="24"/>
        </w:rPr>
        <w:t>oval</w:t>
      </w:r>
      <w:r w:rsidRPr="004961E8">
        <w:rPr>
          <w:sz w:val="24"/>
          <w:szCs w:val="24"/>
        </w:rPr>
        <w:t xml:space="preserve"> každoročně v souhrnné zprávě o plnění povinností uložených držiteli poštovní licence. </w:t>
      </w:r>
      <w:r w:rsidR="007156FB" w:rsidRPr="004961E8">
        <w:rPr>
          <w:sz w:val="24"/>
          <w:szCs w:val="24"/>
        </w:rPr>
        <w:t>P</w:t>
      </w:r>
      <w:r w:rsidRPr="004961E8">
        <w:rPr>
          <w:sz w:val="24"/>
          <w:szCs w:val="24"/>
        </w:rPr>
        <w:t>řed vyhlášením výběrového řízení na držitele poštovní licence</w:t>
      </w:r>
      <w:r w:rsidR="007156FB" w:rsidRPr="004961E8">
        <w:rPr>
          <w:sz w:val="24"/>
          <w:szCs w:val="24"/>
        </w:rPr>
        <w:t xml:space="preserve"> ČTÚ rovněž provedl přezkumy,</w:t>
      </w:r>
      <w:r w:rsidRPr="004961E8">
        <w:rPr>
          <w:sz w:val="24"/>
          <w:szCs w:val="24"/>
        </w:rPr>
        <w:t xml:space="preserve"> v </w:t>
      </w:r>
      <w:r w:rsidR="003E4C56">
        <w:rPr>
          <w:sz w:val="24"/>
          <w:szCs w:val="24"/>
        </w:rPr>
        <w:t xml:space="preserve">jejichž </w:t>
      </w:r>
      <w:r w:rsidRPr="004961E8">
        <w:rPr>
          <w:sz w:val="24"/>
          <w:szCs w:val="24"/>
        </w:rPr>
        <w:t>rámci analyz</w:t>
      </w:r>
      <w:r w:rsidR="007156FB" w:rsidRPr="004961E8">
        <w:rPr>
          <w:sz w:val="24"/>
          <w:szCs w:val="24"/>
        </w:rPr>
        <w:t>oval</w:t>
      </w:r>
      <w:r w:rsidRPr="004961E8">
        <w:rPr>
          <w:sz w:val="24"/>
          <w:szCs w:val="24"/>
        </w:rPr>
        <w:t xml:space="preserve"> trh poštovních služeb</w:t>
      </w:r>
      <w:r w:rsidR="007A6146" w:rsidRPr="004961E8">
        <w:rPr>
          <w:sz w:val="24"/>
          <w:szCs w:val="24"/>
        </w:rPr>
        <w:t xml:space="preserve">. </w:t>
      </w:r>
      <w:r w:rsidRPr="004961E8">
        <w:rPr>
          <w:sz w:val="24"/>
          <w:szCs w:val="24"/>
        </w:rPr>
        <w:t>Při přezkumu</w:t>
      </w:r>
      <w:r w:rsidR="007156FB" w:rsidRPr="004961E8">
        <w:rPr>
          <w:sz w:val="24"/>
          <w:szCs w:val="24"/>
        </w:rPr>
        <w:t xml:space="preserve"> v roce </w:t>
      </w:r>
      <w:r w:rsidRPr="004961E8">
        <w:rPr>
          <w:sz w:val="24"/>
          <w:szCs w:val="24"/>
        </w:rPr>
        <w:t xml:space="preserve">2021 pro výběrové řízení na držitele poštovní licence v letech 2023 </w:t>
      </w:r>
      <w:r w:rsidR="007A6146" w:rsidRPr="004961E8">
        <w:rPr>
          <w:sz w:val="24"/>
          <w:szCs w:val="24"/>
        </w:rPr>
        <w:t>až</w:t>
      </w:r>
      <w:r w:rsidRPr="004961E8">
        <w:rPr>
          <w:sz w:val="24"/>
          <w:szCs w:val="24"/>
        </w:rPr>
        <w:t xml:space="preserve"> 2024 ČTÚ zjistil, že část základních služeb již nemusí být </w:t>
      </w:r>
      <w:r w:rsidR="00A85E96" w:rsidRPr="004961E8">
        <w:rPr>
          <w:sz w:val="24"/>
          <w:szCs w:val="24"/>
        </w:rPr>
        <w:t xml:space="preserve">v tomto období </w:t>
      </w:r>
      <w:r w:rsidRPr="004961E8">
        <w:rPr>
          <w:sz w:val="24"/>
          <w:szCs w:val="24"/>
        </w:rPr>
        <w:t xml:space="preserve">zajišťována držitelem poštovní licence, neboť jejich poskytování </w:t>
      </w:r>
      <w:r w:rsidR="00135A82" w:rsidRPr="004961E8">
        <w:rPr>
          <w:sz w:val="24"/>
          <w:szCs w:val="24"/>
        </w:rPr>
        <w:t>bylo</w:t>
      </w:r>
      <w:r w:rsidRPr="004961E8">
        <w:rPr>
          <w:sz w:val="24"/>
          <w:szCs w:val="24"/>
        </w:rPr>
        <w:t xml:space="preserve"> pokryto obdobnými poštovními službami poskytovanými </w:t>
      </w:r>
      <w:r w:rsidRPr="004961E8">
        <w:rPr>
          <w:rFonts w:cstheme="minorHAnsi"/>
          <w:sz w:val="24"/>
          <w:szCs w:val="24"/>
        </w:rPr>
        <w:t>na komerční bázi v požadované kvalitě a dostupnosti. Jedná se o dodání poštovního balíku do 10 kg vnitrostátně a</w:t>
      </w:r>
      <w:r w:rsidRPr="004961E8">
        <w:rPr>
          <w:sz w:val="24"/>
          <w:szCs w:val="24"/>
        </w:rPr>
        <w:t xml:space="preserve"> </w:t>
      </w:r>
      <w:r w:rsidRPr="004961E8">
        <w:rPr>
          <w:rFonts w:cstheme="minorHAnsi"/>
          <w:sz w:val="24"/>
          <w:szCs w:val="24"/>
        </w:rPr>
        <w:t xml:space="preserve">dodání poštovních zásilek do 2 kg vnitrostátně v rozsahu přesahujícím rozměr zásilky 35,3 </w:t>
      </w:r>
      <w:r w:rsidR="003E4C56">
        <w:rPr>
          <w:rFonts w:cstheme="minorHAnsi"/>
          <w:sz w:val="24"/>
          <w:szCs w:val="24"/>
        </w:rPr>
        <w:t>×</w:t>
      </w:r>
      <w:r w:rsidRPr="004961E8">
        <w:rPr>
          <w:rFonts w:cstheme="minorHAnsi"/>
          <w:sz w:val="24"/>
          <w:szCs w:val="24"/>
        </w:rPr>
        <w:t xml:space="preserve"> 25 </w:t>
      </w:r>
      <w:r w:rsidR="003E4C56">
        <w:rPr>
          <w:rFonts w:cstheme="minorHAnsi"/>
          <w:sz w:val="24"/>
          <w:szCs w:val="24"/>
        </w:rPr>
        <w:t>×</w:t>
      </w:r>
      <w:r w:rsidRPr="004961E8">
        <w:rPr>
          <w:rFonts w:cstheme="minorHAnsi"/>
          <w:sz w:val="24"/>
          <w:szCs w:val="24"/>
        </w:rPr>
        <w:t xml:space="preserve"> 2 cm nebo hmotnost 1 kg, které proto byly z povinnosti držitele poštovní licence v letech 2023</w:t>
      </w:r>
      <w:r w:rsidR="007A6146" w:rsidRPr="004961E8">
        <w:rPr>
          <w:rFonts w:cstheme="minorHAnsi"/>
          <w:sz w:val="24"/>
          <w:szCs w:val="24"/>
        </w:rPr>
        <w:t xml:space="preserve"> až</w:t>
      </w:r>
      <w:r w:rsidRPr="004961E8">
        <w:rPr>
          <w:rFonts w:cstheme="minorHAnsi"/>
          <w:sz w:val="24"/>
          <w:szCs w:val="24"/>
        </w:rPr>
        <w:t xml:space="preserve"> 2024 vyjmuty.</w:t>
      </w:r>
    </w:p>
    <w:p w14:paraId="019DC5DC" w14:textId="5A09E8A8" w:rsidR="00214C7E" w:rsidRPr="004961E8" w:rsidRDefault="00214C7E" w:rsidP="004961E8">
      <w:pPr>
        <w:spacing w:after="120" w:line="264" w:lineRule="auto"/>
        <w:jc w:val="both"/>
        <w:rPr>
          <w:sz w:val="24"/>
          <w:szCs w:val="24"/>
        </w:rPr>
      </w:pPr>
      <w:r w:rsidRPr="004961E8">
        <w:rPr>
          <w:sz w:val="24"/>
          <w:szCs w:val="24"/>
        </w:rPr>
        <w:t>Držitel poštovní licence má zákonný nárok požádat o kompenzaci tzv. čistých nákladů, které představují nespravedlivou finanční zátěž. Tato zátěž vzniká povinností poskytovat základní poštovní služby podle nastavených legislativních pravidel na celém území ČR, každý pracovní den bez ohledu na ekonomickou výhodnost. Držitel poštovní licence předkládá ČTÚ žádost o</w:t>
      </w:r>
      <w:r w:rsidR="00481940" w:rsidRPr="004961E8">
        <w:rPr>
          <w:sz w:val="24"/>
          <w:szCs w:val="24"/>
        </w:rPr>
        <w:t> </w:t>
      </w:r>
      <w:r w:rsidRPr="004961E8">
        <w:rPr>
          <w:sz w:val="24"/>
          <w:szCs w:val="24"/>
        </w:rPr>
        <w:t xml:space="preserve">úhradu čistých nákladů za daný rok do 31. srpna následujícího roku. O </w:t>
      </w:r>
      <w:r w:rsidR="00A85E96" w:rsidRPr="004961E8">
        <w:rPr>
          <w:sz w:val="24"/>
          <w:szCs w:val="24"/>
        </w:rPr>
        <w:t>čistých</w:t>
      </w:r>
      <w:r w:rsidRPr="004961E8">
        <w:rPr>
          <w:sz w:val="24"/>
          <w:szCs w:val="24"/>
        </w:rPr>
        <w:t xml:space="preserve"> nákladech je držitel poštovní licence povinen vést oddělenou účetní evidenci, která podléhá kontrole ČTÚ a nezávislému auditu. Maximální výše kompenzace ze státního rozpočtu je stanovena zákonem o poštovních službách (tabulka č. </w:t>
      </w:r>
      <w:r w:rsidR="0086053B" w:rsidRPr="004961E8">
        <w:rPr>
          <w:sz w:val="24"/>
          <w:szCs w:val="24"/>
        </w:rPr>
        <w:t>2</w:t>
      </w:r>
      <w:r w:rsidRPr="004961E8">
        <w:rPr>
          <w:sz w:val="24"/>
          <w:szCs w:val="24"/>
        </w:rPr>
        <w:t>).</w:t>
      </w:r>
    </w:p>
    <w:p w14:paraId="17591E3F" w14:textId="28384825" w:rsidR="005D3AA8" w:rsidRPr="004961E8" w:rsidRDefault="00B070EA" w:rsidP="004961E8">
      <w:pPr>
        <w:spacing w:after="120" w:line="264" w:lineRule="auto"/>
        <w:jc w:val="both"/>
        <w:rPr>
          <w:sz w:val="24"/>
          <w:szCs w:val="24"/>
        </w:rPr>
      </w:pPr>
      <w:r w:rsidRPr="004961E8">
        <w:rPr>
          <w:sz w:val="24"/>
          <w:szCs w:val="24"/>
        </w:rPr>
        <w:t>NKÚ za</w:t>
      </w:r>
      <w:r w:rsidR="003E4C56">
        <w:rPr>
          <w:sz w:val="24"/>
          <w:szCs w:val="24"/>
        </w:rPr>
        <w:t xml:space="preserve"> </w:t>
      </w:r>
      <w:r w:rsidRPr="004961E8">
        <w:rPr>
          <w:sz w:val="24"/>
          <w:szCs w:val="24"/>
        </w:rPr>
        <w:t>kontrolované období ověřil, že nastavený systém výpočtu čistých nákladů, vedení oddělené účetní evidence a její pravidelné ověření spolu s následnou kontrolou výpočtu nákladů jsou dostatečným předpokladem, že držiteli poštovní licence budou propláceny náklady, které souvisí se zajištěním a poskytováním základních služeb</w:t>
      </w:r>
      <w:r w:rsidR="000D2C38" w:rsidRPr="004961E8">
        <w:rPr>
          <w:sz w:val="24"/>
          <w:szCs w:val="24"/>
        </w:rPr>
        <w:t>.</w:t>
      </w:r>
    </w:p>
    <w:p w14:paraId="61C2730D" w14:textId="24CB4CCA" w:rsidR="00214C7E" w:rsidRPr="004961E8" w:rsidRDefault="00214C7E" w:rsidP="004961E8">
      <w:pPr>
        <w:keepNext/>
        <w:spacing w:after="40" w:line="240" w:lineRule="auto"/>
        <w:jc w:val="both"/>
        <w:rPr>
          <w:b/>
          <w:sz w:val="24"/>
        </w:rPr>
      </w:pPr>
      <w:r w:rsidRPr="004961E8">
        <w:rPr>
          <w:b/>
          <w:sz w:val="24"/>
        </w:rPr>
        <w:lastRenderedPageBreak/>
        <w:t xml:space="preserve">Tabulka č. </w:t>
      </w:r>
      <w:r w:rsidR="0086053B" w:rsidRPr="004961E8">
        <w:rPr>
          <w:b/>
          <w:sz w:val="24"/>
        </w:rPr>
        <w:t>2</w:t>
      </w:r>
      <w:r w:rsidRPr="004961E8">
        <w:rPr>
          <w:b/>
          <w:sz w:val="24"/>
        </w:rPr>
        <w:t>: Čisté náklady držitele poštovní licence</w:t>
      </w:r>
    </w:p>
    <w:tbl>
      <w:tblPr>
        <w:tblStyle w:val="Mkatabulky"/>
        <w:tblW w:w="9070" w:type="dxa"/>
        <w:jc w:val="center"/>
        <w:tblLook w:val="04A0" w:firstRow="1" w:lastRow="0" w:firstColumn="1" w:lastColumn="0" w:noHBand="0" w:noVBand="1"/>
      </w:tblPr>
      <w:tblGrid>
        <w:gridCol w:w="1134"/>
        <w:gridCol w:w="1417"/>
        <w:gridCol w:w="1984"/>
        <w:gridCol w:w="1417"/>
        <w:gridCol w:w="1134"/>
        <w:gridCol w:w="1984"/>
      </w:tblGrid>
      <w:tr w:rsidR="00D460A0" w:rsidRPr="00D460A0" w14:paraId="5A7757B4" w14:textId="77777777" w:rsidTr="00A02975">
        <w:trPr>
          <w:cantSplit/>
          <w:trHeight w:val="255"/>
          <w:tblHeader/>
          <w:jc w:val="center"/>
        </w:trPr>
        <w:tc>
          <w:tcPr>
            <w:tcW w:w="1134" w:type="dxa"/>
            <w:shd w:val="clear" w:color="auto" w:fill="E5F1FF"/>
            <w:vAlign w:val="center"/>
          </w:tcPr>
          <w:p w14:paraId="7BC49B33" w14:textId="58F08719" w:rsidR="00214C7E" w:rsidRPr="00D460A0" w:rsidRDefault="003E4C56" w:rsidP="004961E8">
            <w:pPr>
              <w:keepNext/>
              <w:keepLines/>
              <w:jc w:val="center"/>
              <w:rPr>
                <w:rFonts w:ascii="Calibri" w:hAnsi="Calibri" w:cs="Calibri"/>
                <w:b/>
                <w:sz w:val="18"/>
                <w:szCs w:val="18"/>
              </w:rPr>
            </w:pPr>
            <w:r>
              <w:rPr>
                <w:rFonts w:ascii="Calibri" w:hAnsi="Calibri" w:cs="Calibri"/>
                <w:b/>
                <w:sz w:val="18"/>
                <w:szCs w:val="18"/>
              </w:rPr>
              <w:t>Z</w:t>
            </w:r>
            <w:r w:rsidR="00214C7E" w:rsidRPr="00D460A0">
              <w:rPr>
                <w:rFonts w:ascii="Calibri" w:hAnsi="Calibri" w:cs="Calibri"/>
                <w:b/>
                <w:sz w:val="18"/>
                <w:szCs w:val="18"/>
              </w:rPr>
              <w:t>účtovací období</w:t>
            </w:r>
          </w:p>
        </w:tc>
        <w:tc>
          <w:tcPr>
            <w:tcW w:w="1417" w:type="dxa"/>
            <w:shd w:val="clear" w:color="auto" w:fill="E5F1FF"/>
            <w:vAlign w:val="center"/>
          </w:tcPr>
          <w:p w14:paraId="04649219" w14:textId="1E7BBBC0" w:rsidR="00214C7E" w:rsidRPr="00D460A0" w:rsidRDefault="003E4C56" w:rsidP="004961E8">
            <w:pPr>
              <w:keepNext/>
              <w:keepLines/>
              <w:jc w:val="center"/>
              <w:rPr>
                <w:rFonts w:ascii="Calibri" w:hAnsi="Calibri" w:cs="Calibri"/>
                <w:b/>
                <w:sz w:val="18"/>
                <w:szCs w:val="18"/>
              </w:rPr>
            </w:pPr>
            <w:r>
              <w:rPr>
                <w:rFonts w:ascii="Calibri" w:hAnsi="Calibri" w:cs="Calibri"/>
                <w:b/>
                <w:sz w:val="18"/>
                <w:szCs w:val="18"/>
              </w:rPr>
              <w:t>V</w:t>
            </w:r>
            <w:r w:rsidR="00214C7E" w:rsidRPr="00D460A0">
              <w:rPr>
                <w:rFonts w:ascii="Calibri" w:hAnsi="Calibri" w:cs="Calibri"/>
                <w:b/>
                <w:sz w:val="18"/>
                <w:szCs w:val="18"/>
              </w:rPr>
              <w:t>ýše čistých nákladů</w:t>
            </w:r>
            <w:r w:rsidR="004961E8" w:rsidRPr="00D460A0">
              <w:rPr>
                <w:rFonts w:ascii="Calibri" w:hAnsi="Calibri" w:cs="Calibri"/>
                <w:b/>
                <w:sz w:val="18"/>
                <w:szCs w:val="18"/>
              </w:rPr>
              <w:t xml:space="preserve"> </w:t>
            </w:r>
            <w:r w:rsidR="004961E8" w:rsidRPr="00D460A0">
              <w:rPr>
                <w:rFonts w:ascii="Calibri" w:hAnsi="Calibri" w:cs="Calibri"/>
                <w:b/>
                <w:sz w:val="18"/>
                <w:szCs w:val="18"/>
              </w:rPr>
              <w:br/>
            </w:r>
            <w:r w:rsidR="00214C7E" w:rsidRPr="00D460A0">
              <w:rPr>
                <w:rFonts w:ascii="Calibri" w:hAnsi="Calibri" w:cs="Calibri"/>
                <w:b/>
                <w:sz w:val="18"/>
                <w:szCs w:val="18"/>
              </w:rPr>
              <w:t>(v Kč)</w:t>
            </w:r>
          </w:p>
        </w:tc>
        <w:tc>
          <w:tcPr>
            <w:tcW w:w="1984" w:type="dxa"/>
            <w:shd w:val="clear" w:color="auto" w:fill="E5F1FF"/>
            <w:vAlign w:val="center"/>
          </w:tcPr>
          <w:p w14:paraId="2145870D" w14:textId="0BDE7D49" w:rsidR="00214C7E" w:rsidRPr="00D460A0" w:rsidRDefault="003E4C56" w:rsidP="004961E8">
            <w:pPr>
              <w:keepNext/>
              <w:keepLines/>
              <w:jc w:val="center"/>
              <w:rPr>
                <w:rFonts w:ascii="Calibri" w:hAnsi="Calibri" w:cs="Calibri"/>
                <w:b/>
                <w:sz w:val="18"/>
                <w:szCs w:val="18"/>
              </w:rPr>
            </w:pPr>
            <w:r>
              <w:rPr>
                <w:rFonts w:ascii="Calibri" w:hAnsi="Calibri" w:cs="Calibri"/>
                <w:b/>
                <w:sz w:val="18"/>
                <w:szCs w:val="18"/>
              </w:rPr>
              <w:t>M</w:t>
            </w:r>
            <w:r w:rsidR="00214C7E" w:rsidRPr="00D460A0">
              <w:rPr>
                <w:rFonts w:ascii="Calibri" w:hAnsi="Calibri" w:cs="Calibri"/>
                <w:b/>
                <w:sz w:val="18"/>
                <w:szCs w:val="18"/>
              </w:rPr>
              <w:t xml:space="preserve">ax. výše kompenzace čistých nákladů ze SR </w:t>
            </w:r>
            <w:r w:rsidR="004961E8" w:rsidRPr="00D460A0">
              <w:rPr>
                <w:rFonts w:ascii="Calibri" w:hAnsi="Calibri" w:cs="Calibri"/>
                <w:b/>
                <w:sz w:val="18"/>
                <w:szCs w:val="18"/>
              </w:rPr>
              <w:br/>
            </w:r>
            <w:r w:rsidR="00214C7E" w:rsidRPr="00D460A0">
              <w:rPr>
                <w:rFonts w:ascii="Calibri" w:hAnsi="Calibri" w:cs="Calibri"/>
                <w:b/>
                <w:sz w:val="18"/>
                <w:szCs w:val="18"/>
              </w:rPr>
              <w:t>(v Kč)</w:t>
            </w:r>
          </w:p>
        </w:tc>
        <w:tc>
          <w:tcPr>
            <w:tcW w:w="1417" w:type="dxa"/>
            <w:shd w:val="clear" w:color="auto" w:fill="E5F1FF"/>
            <w:vAlign w:val="center"/>
          </w:tcPr>
          <w:p w14:paraId="4A8BD4D8" w14:textId="71790666" w:rsidR="00214C7E" w:rsidRPr="00D460A0" w:rsidRDefault="003E4C56" w:rsidP="004961E8">
            <w:pPr>
              <w:keepNext/>
              <w:keepLines/>
              <w:jc w:val="center"/>
              <w:rPr>
                <w:rFonts w:ascii="Calibri" w:hAnsi="Calibri" w:cs="Calibri"/>
                <w:b/>
                <w:sz w:val="18"/>
                <w:szCs w:val="18"/>
              </w:rPr>
            </w:pPr>
            <w:r>
              <w:rPr>
                <w:rFonts w:ascii="Calibri" w:hAnsi="Calibri" w:cs="Calibri"/>
                <w:b/>
                <w:sz w:val="18"/>
                <w:szCs w:val="18"/>
              </w:rPr>
              <w:t>U</w:t>
            </w:r>
            <w:r w:rsidR="00214C7E" w:rsidRPr="00D460A0">
              <w:rPr>
                <w:rFonts w:ascii="Calibri" w:hAnsi="Calibri" w:cs="Calibri"/>
                <w:b/>
                <w:sz w:val="18"/>
                <w:szCs w:val="18"/>
              </w:rPr>
              <w:t xml:space="preserve">hrazeno ze SR do 31.7.2022 </w:t>
            </w:r>
            <w:r w:rsidR="004961E8" w:rsidRPr="00D460A0">
              <w:rPr>
                <w:rFonts w:ascii="Calibri" w:hAnsi="Calibri" w:cs="Calibri"/>
                <w:b/>
                <w:sz w:val="18"/>
                <w:szCs w:val="18"/>
              </w:rPr>
              <w:br/>
            </w:r>
            <w:r w:rsidR="00214C7E" w:rsidRPr="00D460A0">
              <w:rPr>
                <w:rFonts w:ascii="Calibri" w:hAnsi="Calibri" w:cs="Calibri"/>
                <w:b/>
                <w:sz w:val="18"/>
                <w:szCs w:val="18"/>
              </w:rPr>
              <w:t>(v Kč)</w:t>
            </w:r>
          </w:p>
        </w:tc>
        <w:tc>
          <w:tcPr>
            <w:tcW w:w="1134" w:type="dxa"/>
            <w:shd w:val="clear" w:color="auto" w:fill="E5F1FF"/>
            <w:vAlign w:val="center"/>
          </w:tcPr>
          <w:p w14:paraId="71713EC7" w14:textId="4AF76FB0" w:rsidR="00214C7E" w:rsidRPr="00D460A0" w:rsidRDefault="003E4C56" w:rsidP="00D460A0">
            <w:pPr>
              <w:keepNext/>
              <w:keepLines/>
              <w:ind w:left="-57" w:right="57"/>
              <w:jc w:val="center"/>
              <w:rPr>
                <w:rFonts w:ascii="Calibri" w:hAnsi="Calibri" w:cs="Calibri"/>
                <w:b/>
                <w:sz w:val="18"/>
                <w:szCs w:val="18"/>
              </w:rPr>
            </w:pPr>
            <w:r>
              <w:rPr>
                <w:rFonts w:ascii="Calibri" w:hAnsi="Calibri" w:cs="Calibri"/>
                <w:b/>
                <w:sz w:val="18"/>
                <w:szCs w:val="18"/>
              </w:rPr>
              <w:t>D</w:t>
            </w:r>
            <w:r w:rsidR="00214C7E" w:rsidRPr="00D460A0">
              <w:rPr>
                <w:rFonts w:ascii="Calibri" w:hAnsi="Calibri" w:cs="Calibri"/>
                <w:b/>
                <w:sz w:val="18"/>
                <w:szCs w:val="18"/>
              </w:rPr>
              <w:t>atum úhrady</w:t>
            </w:r>
          </w:p>
        </w:tc>
        <w:tc>
          <w:tcPr>
            <w:tcW w:w="1984" w:type="dxa"/>
            <w:shd w:val="clear" w:color="auto" w:fill="E5F1FF"/>
            <w:vAlign w:val="center"/>
          </w:tcPr>
          <w:p w14:paraId="4247E05E" w14:textId="11849DDD" w:rsidR="00214C7E" w:rsidRPr="00D460A0" w:rsidRDefault="003E4C56" w:rsidP="004961E8">
            <w:pPr>
              <w:keepNext/>
              <w:keepLines/>
              <w:jc w:val="center"/>
              <w:rPr>
                <w:rFonts w:ascii="Calibri" w:hAnsi="Calibri" w:cs="Calibri"/>
                <w:b/>
                <w:sz w:val="18"/>
                <w:szCs w:val="18"/>
              </w:rPr>
            </w:pPr>
            <w:r>
              <w:rPr>
                <w:rFonts w:ascii="Calibri" w:hAnsi="Calibri" w:cs="Calibri"/>
                <w:b/>
                <w:sz w:val="18"/>
                <w:szCs w:val="18"/>
              </w:rPr>
              <w:t>P</w:t>
            </w:r>
            <w:r w:rsidR="00214C7E" w:rsidRPr="00D460A0">
              <w:rPr>
                <w:rFonts w:ascii="Calibri" w:hAnsi="Calibri" w:cs="Calibri"/>
                <w:b/>
                <w:sz w:val="18"/>
                <w:szCs w:val="18"/>
              </w:rPr>
              <w:t xml:space="preserve">odíl uhrazené kompenzace ze SR na čistých nákladech </w:t>
            </w:r>
            <w:r w:rsidR="004961E8" w:rsidRPr="00D460A0">
              <w:rPr>
                <w:rFonts w:ascii="Calibri" w:hAnsi="Calibri" w:cs="Calibri"/>
                <w:b/>
                <w:sz w:val="18"/>
                <w:szCs w:val="18"/>
              </w:rPr>
              <w:br/>
            </w:r>
            <w:r w:rsidR="00214C7E" w:rsidRPr="00D460A0">
              <w:rPr>
                <w:rFonts w:ascii="Calibri" w:hAnsi="Calibri" w:cs="Calibri"/>
                <w:b/>
                <w:sz w:val="18"/>
                <w:szCs w:val="18"/>
              </w:rPr>
              <w:t>(v %)</w:t>
            </w:r>
          </w:p>
        </w:tc>
      </w:tr>
      <w:tr w:rsidR="00D460A0" w:rsidRPr="00D460A0" w14:paraId="3FCA1D7C" w14:textId="77777777" w:rsidTr="00A02975">
        <w:trPr>
          <w:cantSplit/>
          <w:trHeight w:val="255"/>
          <w:tblHeader/>
          <w:jc w:val="center"/>
        </w:trPr>
        <w:tc>
          <w:tcPr>
            <w:tcW w:w="1134" w:type="dxa"/>
            <w:vAlign w:val="center"/>
          </w:tcPr>
          <w:p w14:paraId="2F6C8143" w14:textId="77777777" w:rsidR="00214C7E" w:rsidRPr="00D460A0" w:rsidRDefault="00214C7E" w:rsidP="004961E8">
            <w:pPr>
              <w:keepNext/>
              <w:keepLines/>
              <w:jc w:val="center"/>
              <w:rPr>
                <w:rFonts w:ascii="Calibri" w:hAnsi="Calibri" w:cs="Calibri"/>
                <w:sz w:val="18"/>
                <w:szCs w:val="18"/>
              </w:rPr>
            </w:pPr>
            <w:r w:rsidRPr="00D460A0">
              <w:rPr>
                <w:rFonts w:ascii="Calibri" w:hAnsi="Calibri" w:cs="Calibri"/>
                <w:sz w:val="18"/>
                <w:szCs w:val="18"/>
              </w:rPr>
              <w:t>2013</w:t>
            </w:r>
          </w:p>
        </w:tc>
        <w:tc>
          <w:tcPr>
            <w:tcW w:w="1417" w:type="dxa"/>
            <w:vAlign w:val="center"/>
          </w:tcPr>
          <w:p w14:paraId="70A7BE41" w14:textId="2CF05735" w:rsidR="00214C7E" w:rsidRPr="00D460A0" w:rsidRDefault="00214C7E" w:rsidP="00D460A0">
            <w:pPr>
              <w:ind w:right="142"/>
              <w:jc w:val="right"/>
              <w:rPr>
                <w:rFonts w:ascii="Calibri" w:hAnsi="Calibri" w:cs="Calibri"/>
                <w:sz w:val="18"/>
                <w:szCs w:val="18"/>
              </w:rPr>
            </w:pPr>
            <w:r w:rsidRPr="00D460A0">
              <w:rPr>
                <w:rFonts w:ascii="Calibri" w:hAnsi="Calibri" w:cs="Calibri"/>
                <w:sz w:val="18"/>
                <w:szCs w:val="18"/>
              </w:rPr>
              <w:t>947 797 553</w:t>
            </w:r>
          </w:p>
        </w:tc>
        <w:tc>
          <w:tcPr>
            <w:tcW w:w="1984" w:type="dxa"/>
            <w:vAlign w:val="center"/>
          </w:tcPr>
          <w:p w14:paraId="6E3AB86D" w14:textId="77777777" w:rsidR="00214C7E" w:rsidRPr="00D460A0" w:rsidRDefault="00214C7E" w:rsidP="00D460A0">
            <w:pPr>
              <w:ind w:right="113"/>
              <w:jc w:val="right"/>
              <w:rPr>
                <w:rFonts w:ascii="Calibri" w:hAnsi="Calibri" w:cs="Calibri"/>
                <w:sz w:val="18"/>
                <w:szCs w:val="18"/>
              </w:rPr>
            </w:pPr>
            <w:r w:rsidRPr="00D460A0">
              <w:rPr>
                <w:rFonts w:ascii="Calibri" w:hAnsi="Calibri" w:cs="Calibri"/>
                <w:sz w:val="18"/>
                <w:szCs w:val="18"/>
              </w:rPr>
              <w:t>500 000 000</w:t>
            </w:r>
          </w:p>
        </w:tc>
        <w:tc>
          <w:tcPr>
            <w:tcW w:w="1417" w:type="dxa"/>
            <w:vAlign w:val="center"/>
          </w:tcPr>
          <w:p w14:paraId="5DC20E54" w14:textId="77777777" w:rsidR="00214C7E" w:rsidRPr="00D460A0" w:rsidRDefault="00214C7E" w:rsidP="00D460A0">
            <w:pPr>
              <w:ind w:right="28"/>
              <w:jc w:val="right"/>
              <w:rPr>
                <w:rFonts w:ascii="Calibri" w:hAnsi="Calibri" w:cs="Calibri"/>
                <w:sz w:val="18"/>
                <w:szCs w:val="18"/>
              </w:rPr>
            </w:pPr>
            <w:r w:rsidRPr="00D460A0">
              <w:rPr>
                <w:rFonts w:ascii="Calibri" w:hAnsi="Calibri" w:cs="Calibri"/>
                <w:sz w:val="18"/>
                <w:szCs w:val="18"/>
              </w:rPr>
              <w:t>500 000 000</w:t>
            </w:r>
          </w:p>
        </w:tc>
        <w:tc>
          <w:tcPr>
            <w:tcW w:w="1134" w:type="dxa"/>
          </w:tcPr>
          <w:p w14:paraId="78AC9988" w14:textId="6E7DC1FB" w:rsidR="00214C7E" w:rsidRPr="00D460A0" w:rsidRDefault="00214C7E" w:rsidP="00D460A0">
            <w:pPr>
              <w:ind w:left="-57" w:right="57"/>
              <w:jc w:val="right"/>
              <w:rPr>
                <w:rFonts w:ascii="Calibri" w:hAnsi="Calibri" w:cs="Calibri"/>
                <w:sz w:val="18"/>
                <w:szCs w:val="18"/>
              </w:rPr>
            </w:pPr>
            <w:r w:rsidRPr="00D460A0">
              <w:rPr>
                <w:rFonts w:ascii="Calibri" w:hAnsi="Calibri" w:cs="Calibri"/>
                <w:sz w:val="18"/>
                <w:szCs w:val="18"/>
              </w:rPr>
              <w:t>4.</w:t>
            </w:r>
            <w:r w:rsidR="001F59CB">
              <w:rPr>
                <w:rFonts w:ascii="Calibri" w:hAnsi="Calibri" w:cs="Calibri"/>
                <w:sz w:val="18"/>
                <w:szCs w:val="18"/>
              </w:rPr>
              <w:t> </w:t>
            </w:r>
            <w:r w:rsidRPr="00D460A0">
              <w:rPr>
                <w:rFonts w:ascii="Calibri" w:hAnsi="Calibri" w:cs="Calibri"/>
                <w:sz w:val="18"/>
                <w:szCs w:val="18"/>
              </w:rPr>
              <w:t>9.</w:t>
            </w:r>
            <w:r w:rsidR="001F59CB">
              <w:rPr>
                <w:rFonts w:ascii="Calibri" w:hAnsi="Calibri" w:cs="Calibri"/>
                <w:sz w:val="18"/>
                <w:szCs w:val="18"/>
              </w:rPr>
              <w:t> </w:t>
            </w:r>
            <w:r w:rsidRPr="00D460A0">
              <w:rPr>
                <w:rFonts w:ascii="Calibri" w:hAnsi="Calibri" w:cs="Calibri"/>
                <w:sz w:val="18"/>
                <w:szCs w:val="18"/>
              </w:rPr>
              <w:t>2019</w:t>
            </w:r>
          </w:p>
        </w:tc>
        <w:tc>
          <w:tcPr>
            <w:tcW w:w="1984" w:type="dxa"/>
            <w:vAlign w:val="center"/>
          </w:tcPr>
          <w:p w14:paraId="108B01A0" w14:textId="77777777" w:rsidR="00214C7E" w:rsidRPr="00D460A0" w:rsidRDefault="00214C7E" w:rsidP="004961E8">
            <w:pPr>
              <w:jc w:val="right"/>
              <w:rPr>
                <w:rFonts w:ascii="Calibri" w:hAnsi="Calibri" w:cs="Calibri"/>
                <w:sz w:val="18"/>
                <w:szCs w:val="18"/>
              </w:rPr>
            </w:pPr>
            <w:r w:rsidRPr="00D460A0">
              <w:rPr>
                <w:rFonts w:ascii="Calibri" w:hAnsi="Calibri" w:cs="Calibri"/>
                <w:sz w:val="18"/>
                <w:szCs w:val="18"/>
              </w:rPr>
              <w:t>52,8 %</w:t>
            </w:r>
          </w:p>
        </w:tc>
      </w:tr>
      <w:tr w:rsidR="00D460A0" w:rsidRPr="00D460A0" w14:paraId="4936CAA9" w14:textId="77777777" w:rsidTr="00A02975">
        <w:trPr>
          <w:cantSplit/>
          <w:trHeight w:val="255"/>
          <w:tblHeader/>
          <w:jc w:val="center"/>
        </w:trPr>
        <w:tc>
          <w:tcPr>
            <w:tcW w:w="1134" w:type="dxa"/>
          </w:tcPr>
          <w:p w14:paraId="47D9E707" w14:textId="77777777" w:rsidR="00214C7E" w:rsidRPr="00D460A0" w:rsidRDefault="00214C7E" w:rsidP="004961E8">
            <w:pPr>
              <w:keepNext/>
              <w:keepLines/>
              <w:jc w:val="center"/>
              <w:rPr>
                <w:rFonts w:ascii="Calibri" w:hAnsi="Calibri" w:cs="Calibri"/>
                <w:sz w:val="18"/>
                <w:szCs w:val="18"/>
              </w:rPr>
            </w:pPr>
            <w:r w:rsidRPr="00D460A0">
              <w:rPr>
                <w:rFonts w:ascii="Calibri" w:hAnsi="Calibri" w:cs="Calibri"/>
                <w:sz w:val="18"/>
                <w:szCs w:val="18"/>
              </w:rPr>
              <w:t>2014</w:t>
            </w:r>
          </w:p>
        </w:tc>
        <w:tc>
          <w:tcPr>
            <w:tcW w:w="1417" w:type="dxa"/>
          </w:tcPr>
          <w:p w14:paraId="0D80CE3D" w14:textId="77777777" w:rsidR="00214C7E" w:rsidRPr="00D460A0" w:rsidRDefault="00214C7E" w:rsidP="00D460A0">
            <w:pPr>
              <w:ind w:right="142"/>
              <w:jc w:val="right"/>
              <w:rPr>
                <w:rFonts w:ascii="Calibri" w:hAnsi="Calibri" w:cs="Calibri"/>
                <w:sz w:val="18"/>
                <w:szCs w:val="18"/>
              </w:rPr>
            </w:pPr>
            <w:r w:rsidRPr="00D460A0">
              <w:rPr>
                <w:rFonts w:ascii="Calibri" w:hAnsi="Calibri" w:cs="Calibri"/>
                <w:sz w:val="18"/>
                <w:szCs w:val="18"/>
              </w:rPr>
              <w:t>851 780 872</w:t>
            </w:r>
          </w:p>
        </w:tc>
        <w:tc>
          <w:tcPr>
            <w:tcW w:w="1984" w:type="dxa"/>
            <w:vAlign w:val="center"/>
          </w:tcPr>
          <w:p w14:paraId="2174B3B5" w14:textId="77777777" w:rsidR="00214C7E" w:rsidRPr="00D460A0" w:rsidRDefault="00214C7E" w:rsidP="00D460A0">
            <w:pPr>
              <w:ind w:right="113"/>
              <w:jc w:val="right"/>
              <w:rPr>
                <w:rFonts w:ascii="Calibri" w:hAnsi="Calibri" w:cs="Calibri"/>
                <w:sz w:val="18"/>
                <w:szCs w:val="18"/>
              </w:rPr>
            </w:pPr>
            <w:r w:rsidRPr="00D460A0">
              <w:rPr>
                <w:rFonts w:ascii="Calibri" w:hAnsi="Calibri" w:cs="Calibri"/>
                <w:sz w:val="18"/>
                <w:szCs w:val="18"/>
              </w:rPr>
              <w:t>300 000 000</w:t>
            </w:r>
          </w:p>
        </w:tc>
        <w:tc>
          <w:tcPr>
            <w:tcW w:w="1417" w:type="dxa"/>
            <w:vAlign w:val="center"/>
          </w:tcPr>
          <w:p w14:paraId="151EED6A" w14:textId="77777777" w:rsidR="00214C7E" w:rsidRPr="00D460A0" w:rsidRDefault="00214C7E" w:rsidP="00D460A0">
            <w:pPr>
              <w:ind w:right="28"/>
              <w:jc w:val="right"/>
              <w:rPr>
                <w:rFonts w:ascii="Calibri" w:hAnsi="Calibri" w:cs="Calibri"/>
                <w:sz w:val="18"/>
                <w:szCs w:val="18"/>
              </w:rPr>
            </w:pPr>
            <w:r w:rsidRPr="00D460A0">
              <w:rPr>
                <w:rFonts w:ascii="Calibri" w:hAnsi="Calibri" w:cs="Calibri"/>
                <w:sz w:val="18"/>
                <w:szCs w:val="18"/>
              </w:rPr>
              <w:t>300 000 000</w:t>
            </w:r>
          </w:p>
        </w:tc>
        <w:tc>
          <w:tcPr>
            <w:tcW w:w="1134" w:type="dxa"/>
          </w:tcPr>
          <w:p w14:paraId="5E86B9FF" w14:textId="159C0A02" w:rsidR="00214C7E" w:rsidRPr="00D460A0" w:rsidRDefault="00214C7E" w:rsidP="00D460A0">
            <w:pPr>
              <w:ind w:left="-57" w:right="57"/>
              <w:jc w:val="right"/>
              <w:rPr>
                <w:rFonts w:ascii="Calibri" w:hAnsi="Calibri" w:cs="Calibri"/>
                <w:sz w:val="18"/>
                <w:szCs w:val="18"/>
              </w:rPr>
            </w:pPr>
            <w:r w:rsidRPr="00D460A0">
              <w:rPr>
                <w:rFonts w:ascii="Calibri" w:hAnsi="Calibri" w:cs="Calibri"/>
                <w:sz w:val="18"/>
                <w:szCs w:val="18"/>
              </w:rPr>
              <w:t>20.</w:t>
            </w:r>
            <w:r w:rsidR="001F59CB">
              <w:rPr>
                <w:rFonts w:ascii="Calibri" w:hAnsi="Calibri" w:cs="Calibri"/>
                <w:sz w:val="18"/>
                <w:szCs w:val="18"/>
              </w:rPr>
              <w:t> </w:t>
            </w:r>
            <w:r w:rsidRPr="00D460A0">
              <w:rPr>
                <w:rFonts w:ascii="Calibri" w:hAnsi="Calibri" w:cs="Calibri"/>
                <w:sz w:val="18"/>
                <w:szCs w:val="18"/>
              </w:rPr>
              <w:t>2.</w:t>
            </w:r>
            <w:r w:rsidR="001F59CB">
              <w:rPr>
                <w:rFonts w:ascii="Calibri" w:hAnsi="Calibri" w:cs="Calibri"/>
                <w:sz w:val="18"/>
                <w:szCs w:val="18"/>
              </w:rPr>
              <w:t> </w:t>
            </w:r>
            <w:r w:rsidRPr="00D460A0">
              <w:rPr>
                <w:rFonts w:ascii="Calibri" w:hAnsi="Calibri" w:cs="Calibri"/>
                <w:sz w:val="18"/>
                <w:szCs w:val="18"/>
              </w:rPr>
              <w:t>2020</w:t>
            </w:r>
          </w:p>
        </w:tc>
        <w:tc>
          <w:tcPr>
            <w:tcW w:w="1984" w:type="dxa"/>
            <w:vAlign w:val="center"/>
          </w:tcPr>
          <w:p w14:paraId="719A5835" w14:textId="77777777" w:rsidR="00214C7E" w:rsidRPr="00D460A0" w:rsidRDefault="00214C7E" w:rsidP="004961E8">
            <w:pPr>
              <w:jc w:val="right"/>
              <w:rPr>
                <w:rFonts w:ascii="Calibri" w:hAnsi="Calibri" w:cs="Calibri"/>
                <w:sz w:val="18"/>
                <w:szCs w:val="18"/>
              </w:rPr>
            </w:pPr>
            <w:r w:rsidRPr="00D460A0">
              <w:rPr>
                <w:rFonts w:ascii="Calibri" w:hAnsi="Calibri" w:cs="Calibri"/>
                <w:sz w:val="18"/>
                <w:szCs w:val="18"/>
              </w:rPr>
              <w:t>35,2 %</w:t>
            </w:r>
          </w:p>
        </w:tc>
      </w:tr>
      <w:tr w:rsidR="00D460A0" w:rsidRPr="00D460A0" w14:paraId="42D1CF9C" w14:textId="77777777" w:rsidTr="00A02975">
        <w:trPr>
          <w:cantSplit/>
          <w:trHeight w:val="255"/>
          <w:tblHeader/>
          <w:jc w:val="center"/>
        </w:trPr>
        <w:tc>
          <w:tcPr>
            <w:tcW w:w="1134" w:type="dxa"/>
            <w:vAlign w:val="center"/>
          </w:tcPr>
          <w:p w14:paraId="56099454" w14:textId="77777777" w:rsidR="00214C7E" w:rsidRPr="00D460A0" w:rsidRDefault="00214C7E" w:rsidP="004961E8">
            <w:pPr>
              <w:keepNext/>
              <w:keepLines/>
              <w:jc w:val="center"/>
              <w:rPr>
                <w:rFonts w:ascii="Calibri" w:hAnsi="Calibri" w:cs="Calibri"/>
                <w:sz w:val="18"/>
                <w:szCs w:val="18"/>
              </w:rPr>
            </w:pPr>
            <w:r w:rsidRPr="00D460A0">
              <w:rPr>
                <w:rFonts w:ascii="Calibri" w:hAnsi="Calibri" w:cs="Calibri"/>
                <w:sz w:val="18"/>
                <w:szCs w:val="18"/>
              </w:rPr>
              <w:t>2015</w:t>
            </w:r>
          </w:p>
        </w:tc>
        <w:tc>
          <w:tcPr>
            <w:tcW w:w="1417" w:type="dxa"/>
            <w:vAlign w:val="center"/>
          </w:tcPr>
          <w:p w14:paraId="488C39AD" w14:textId="77777777" w:rsidR="00214C7E" w:rsidRPr="00D460A0" w:rsidRDefault="00214C7E" w:rsidP="00D460A0">
            <w:pPr>
              <w:ind w:right="142"/>
              <w:jc w:val="right"/>
              <w:rPr>
                <w:rFonts w:ascii="Calibri" w:hAnsi="Calibri" w:cs="Calibri"/>
                <w:sz w:val="18"/>
                <w:szCs w:val="18"/>
              </w:rPr>
            </w:pPr>
            <w:r w:rsidRPr="00D460A0">
              <w:rPr>
                <w:rFonts w:ascii="Calibri" w:hAnsi="Calibri" w:cs="Calibri"/>
                <w:sz w:val="18"/>
                <w:szCs w:val="18"/>
              </w:rPr>
              <w:t>914 807 746</w:t>
            </w:r>
          </w:p>
        </w:tc>
        <w:tc>
          <w:tcPr>
            <w:tcW w:w="1984" w:type="dxa"/>
            <w:vAlign w:val="center"/>
          </w:tcPr>
          <w:p w14:paraId="468D6F8C" w14:textId="77777777" w:rsidR="00214C7E" w:rsidRPr="00D460A0" w:rsidRDefault="00214C7E" w:rsidP="00D460A0">
            <w:pPr>
              <w:ind w:right="113"/>
              <w:jc w:val="right"/>
              <w:rPr>
                <w:rFonts w:ascii="Calibri" w:hAnsi="Calibri" w:cs="Calibri"/>
                <w:sz w:val="18"/>
                <w:szCs w:val="18"/>
              </w:rPr>
            </w:pPr>
            <w:r w:rsidRPr="00D460A0">
              <w:rPr>
                <w:rFonts w:ascii="Calibri" w:hAnsi="Calibri" w:cs="Calibri"/>
                <w:sz w:val="18"/>
                <w:szCs w:val="18"/>
              </w:rPr>
              <w:t>700 000 000</w:t>
            </w:r>
          </w:p>
        </w:tc>
        <w:tc>
          <w:tcPr>
            <w:tcW w:w="1417" w:type="dxa"/>
            <w:vAlign w:val="center"/>
          </w:tcPr>
          <w:p w14:paraId="3AFD3590" w14:textId="77777777" w:rsidR="00214C7E" w:rsidRPr="00D460A0" w:rsidRDefault="00214C7E" w:rsidP="00D460A0">
            <w:pPr>
              <w:ind w:right="28"/>
              <w:jc w:val="right"/>
              <w:rPr>
                <w:rFonts w:ascii="Calibri" w:hAnsi="Calibri" w:cs="Calibri"/>
                <w:sz w:val="18"/>
                <w:szCs w:val="18"/>
              </w:rPr>
            </w:pPr>
            <w:r w:rsidRPr="00D460A0">
              <w:rPr>
                <w:rFonts w:ascii="Calibri" w:hAnsi="Calibri" w:cs="Calibri"/>
                <w:sz w:val="18"/>
                <w:szCs w:val="18"/>
              </w:rPr>
              <w:t>700 000 000</w:t>
            </w:r>
          </w:p>
        </w:tc>
        <w:tc>
          <w:tcPr>
            <w:tcW w:w="1134" w:type="dxa"/>
          </w:tcPr>
          <w:p w14:paraId="1EFC97C7" w14:textId="01C127E1" w:rsidR="00214C7E" w:rsidRPr="00D460A0" w:rsidRDefault="00214C7E" w:rsidP="00D460A0">
            <w:pPr>
              <w:ind w:left="-57" w:right="57"/>
              <w:jc w:val="right"/>
              <w:rPr>
                <w:rFonts w:ascii="Calibri" w:hAnsi="Calibri" w:cs="Calibri"/>
                <w:sz w:val="18"/>
                <w:szCs w:val="18"/>
              </w:rPr>
            </w:pPr>
            <w:r w:rsidRPr="00D460A0">
              <w:rPr>
                <w:rFonts w:ascii="Calibri" w:hAnsi="Calibri" w:cs="Calibri"/>
                <w:sz w:val="18"/>
                <w:szCs w:val="18"/>
              </w:rPr>
              <w:t>26.</w:t>
            </w:r>
            <w:r w:rsidR="001F59CB">
              <w:rPr>
                <w:rFonts w:ascii="Calibri" w:hAnsi="Calibri" w:cs="Calibri"/>
                <w:sz w:val="18"/>
                <w:szCs w:val="18"/>
              </w:rPr>
              <w:t> </w:t>
            </w:r>
            <w:r w:rsidRPr="00D460A0">
              <w:rPr>
                <w:rFonts w:ascii="Calibri" w:hAnsi="Calibri" w:cs="Calibri"/>
                <w:sz w:val="18"/>
                <w:szCs w:val="18"/>
              </w:rPr>
              <w:t>3.</w:t>
            </w:r>
            <w:r w:rsidR="001F59CB">
              <w:rPr>
                <w:rFonts w:ascii="Calibri" w:hAnsi="Calibri" w:cs="Calibri"/>
                <w:sz w:val="18"/>
                <w:szCs w:val="18"/>
              </w:rPr>
              <w:t> </w:t>
            </w:r>
            <w:r w:rsidRPr="00D460A0">
              <w:rPr>
                <w:rFonts w:ascii="Calibri" w:hAnsi="Calibri" w:cs="Calibri"/>
                <w:sz w:val="18"/>
                <w:szCs w:val="18"/>
              </w:rPr>
              <w:t>2018</w:t>
            </w:r>
          </w:p>
        </w:tc>
        <w:tc>
          <w:tcPr>
            <w:tcW w:w="1984" w:type="dxa"/>
            <w:vAlign w:val="center"/>
          </w:tcPr>
          <w:p w14:paraId="5B576530" w14:textId="77777777" w:rsidR="00214C7E" w:rsidRPr="00D460A0" w:rsidRDefault="00214C7E" w:rsidP="004961E8">
            <w:pPr>
              <w:jc w:val="right"/>
              <w:rPr>
                <w:rFonts w:ascii="Calibri" w:hAnsi="Calibri" w:cs="Calibri"/>
                <w:sz w:val="18"/>
                <w:szCs w:val="18"/>
              </w:rPr>
            </w:pPr>
            <w:r w:rsidRPr="00D460A0">
              <w:rPr>
                <w:rFonts w:ascii="Calibri" w:hAnsi="Calibri" w:cs="Calibri"/>
                <w:sz w:val="18"/>
                <w:szCs w:val="18"/>
              </w:rPr>
              <w:t>76,5 %</w:t>
            </w:r>
          </w:p>
        </w:tc>
      </w:tr>
      <w:tr w:rsidR="00D460A0" w:rsidRPr="00D460A0" w14:paraId="368ACE64" w14:textId="77777777" w:rsidTr="00A02975">
        <w:trPr>
          <w:cantSplit/>
          <w:trHeight w:val="255"/>
          <w:tblHeader/>
          <w:jc w:val="center"/>
        </w:trPr>
        <w:tc>
          <w:tcPr>
            <w:tcW w:w="1134" w:type="dxa"/>
            <w:vAlign w:val="center"/>
          </w:tcPr>
          <w:p w14:paraId="0616601A" w14:textId="77777777" w:rsidR="00214C7E" w:rsidRPr="00D460A0" w:rsidRDefault="00214C7E" w:rsidP="004961E8">
            <w:pPr>
              <w:keepNext/>
              <w:keepLines/>
              <w:jc w:val="center"/>
              <w:rPr>
                <w:rFonts w:ascii="Calibri" w:hAnsi="Calibri" w:cs="Calibri"/>
                <w:sz w:val="18"/>
                <w:szCs w:val="18"/>
              </w:rPr>
            </w:pPr>
            <w:r w:rsidRPr="00D460A0">
              <w:rPr>
                <w:rFonts w:ascii="Calibri" w:hAnsi="Calibri" w:cs="Calibri"/>
                <w:sz w:val="18"/>
                <w:szCs w:val="18"/>
              </w:rPr>
              <w:t>2016</w:t>
            </w:r>
          </w:p>
        </w:tc>
        <w:tc>
          <w:tcPr>
            <w:tcW w:w="1417" w:type="dxa"/>
            <w:vAlign w:val="center"/>
          </w:tcPr>
          <w:p w14:paraId="2371836A" w14:textId="7D0110D9" w:rsidR="00214C7E" w:rsidRPr="00D460A0" w:rsidRDefault="00214C7E" w:rsidP="00D460A0">
            <w:pPr>
              <w:ind w:right="142"/>
              <w:jc w:val="right"/>
              <w:rPr>
                <w:rFonts w:ascii="Calibri" w:hAnsi="Calibri" w:cs="Calibri"/>
                <w:sz w:val="18"/>
                <w:szCs w:val="18"/>
              </w:rPr>
            </w:pPr>
            <w:r w:rsidRPr="00D460A0">
              <w:rPr>
                <w:rFonts w:ascii="Calibri" w:hAnsi="Calibri" w:cs="Calibri"/>
                <w:sz w:val="18"/>
                <w:szCs w:val="18"/>
              </w:rPr>
              <w:t>1 267 674 931</w:t>
            </w:r>
          </w:p>
        </w:tc>
        <w:tc>
          <w:tcPr>
            <w:tcW w:w="1984" w:type="dxa"/>
            <w:vAlign w:val="center"/>
          </w:tcPr>
          <w:p w14:paraId="54CB354D" w14:textId="77777777" w:rsidR="00214C7E" w:rsidRPr="00D460A0" w:rsidRDefault="00214C7E" w:rsidP="00D460A0">
            <w:pPr>
              <w:ind w:right="113"/>
              <w:jc w:val="right"/>
              <w:rPr>
                <w:rFonts w:ascii="Calibri" w:hAnsi="Calibri" w:cs="Calibri"/>
                <w:sz w:val="18"/>
                <w:szCs w:val="18"/>
              </w:rPr>
            </w:pPr>
            <w:r w:rsidRPr="00D460A0">
              <w:rPr>
                <w:rFonts w:ascii="Calibri" w:hAnsi="Calibri" w:cs="Calibri"/>
                <w:sz w:val="18"/>
                <w:szCs w:val="18"/>
              </w:rPr>
              <w:t>600 000 000</w:t>
            </w:r>
          </w:p>
        </w:tc>
        <w:tc>
          <w:tcPr>
            <w:tcW w:w="1417" w:type="dxa"/>
            <w:vAlign w:val="center"/>
          </w:tcPr>
          <w:p w14:paraId="12C8A2DE" w14:textId="77777777" w:rsidR="00214C7E" w:rsidRPr="00D460A0" w:rsidRDefault="00214C7E" w:rsidP="00D460A0">
            <w:pPr>
              <w:ind w:right="28"/>
              <w:jc w:val="right"/>
              <w:rPr>
                <w:rFonts w:ascii="Calibri" w:hAnsi="Calibri" w:cs="Calibri"/>
                <w:sz w:val="18"/>
                <w:szCs w:val="18"/>
              </w:rPr>
            </w:pPr>
            <w:r w:rsidRPr="00D460A0">
              <w:rPr>
                <w:rFonts w:ascii="Calibri" w:hAnsi="Calibri" w:cs="Calibri"/>
                <w:sz w:val="18"/>
                <w:szCs w:val="18"/>
              </w:rPr>
              <w:t>600 000 000</w:t>
            </w:r>
          </w:p>
        </w:tc>
        <w:tc>
          <w:tcPr>
            <w:tcW w:w="1134" w:type="dxa"/>
          </w:tcPr>
          <w:p w14:paraId="361CD499" w14:textId="737A1FD0" w:rsidR="00214C7E" w:rsidRPr="00D460A0" w:rsidRDefault="00214C7E" w:rsidP="00D460A0">
            <w:pPr>
              <w:ind w:left="-57" w:right="57"/>
              <w:jc w:val="right"/>
              <w:rPr>
                <w:rFonts w:ascii="Calibri" w:hAnsi="Calibri" w:cs="Calibri"/>
                <w:sz w:val="18"/>
                <w:szCs w:val="18"/>
              </w:rPr>
            </w:pPr>
            <w:r w:rsidRPr="00D460A0">
              <w:rPr>
                <w:rFonts w:ascii="Calibri" w:hAnsi="Calibri" w:cs="Calibri"/>
                <w:sz w:val="18"/>
                <w:szCs w:val="18"/>
              </w:rPr>
              <w:t>26.</w:t>
            </w:r>
            <w:r w:rsidR="001F59CB">
              <w:rPr>
                <w:rFonts w:ascii="Calibri" w:hAnsi="Calibri" w:cs="Calibri"/>
                <w:sz w:val="18"/>
                <w:szCs w:val="18"/>
              </w:rPr>
              <w:t> </w:t>
            </w:r>
            <w:r w:rsidRPr="00D460A0">
              <w:rPr>
                <w:rFonts w:ascii="Calibri" w:hAnsi="Calibri" w:cs="Calibri"/>
                <w:sz w:val="18"/>
                <w:szCs w:val="18"/>
              </w:rPr>
              <w:t>3.</w:t>
            </w:r>
            <w:r w:rsidR="001F59CB">
              <w:rPr>
                <w:rFonts w:ascii="Calibri" w:hAnsi="Calibri" w:cs="Calibri"/>
                <w:sz w:val="18"/>
                <w:szCs w:val="18"/>
              </w:rPr>
              <w:t> </w:t>
            </w:r>
            <w:r w:rsidRPr="00D460A0">
              <w:rPr>
                <w:rFonts w:ascii="Calibri" w:hAnsi="Calibri" w:cs="Calibri"/>
                <w:sz w:val="18"/>
                <w:szCs w:val="18"/>
              </w:rPr>
              <w:t>2018</w:t>
            </w:r>
          </w:p>
        </w:tc>
        <w:tc>
          <w:tcPr>
            <w:tcW w:w="1984" w:type="dxa"/>
            <w:vAlign w:val="center"/>
          </w:tcPr>
          <w:p w14:paraId="0B14C308" w14:textId="77777777" w:rsidR="00214C7E" w:rsidRPr="00D460A0" w:rsidRDefault="00214C7E" w:rsidP="004961E8">
            <w:pPr>
              <w:jc w:val="right"/>
              <w:rPr>
                <w:rFonts w:ascii="Calibri" w:hAnsi="Calibri" w:cs="Calibri"/>
                <w:sz w:val="18"/>
                <w:szCs w:val="18"/>
              </w:rPr>
            </w:pPr>
            <w:r w:rsidRPr="00D460A0">
              <w:rPr>
                <w:rFonts w:ascii="Calibri" w:hAnsi="Calibri" w:cs="Calibri"/>
                <w:sz w:val="18"/>
                <w:szCs w:val="18"/>
              </w:rPr>
              <w:t>47,3 %</w:t>
            </w:r>
          </w:p>
        </w:tc>
      </w:tr>
      <w:tr w:rsidR="00D460A0" w:rsidRPr="00D460A0" w14:paraId="15A949FE" w14:textId="77777777" w:rsidTr="00A02975">
        <w:trPr>
          <w:cantSplit/>
          <w:trHeight w:val="255"/>
          <w:tblHeader/>
          <w:jc w:val="center"/>
        </w:trPr>
        <w:tc>
          <w:tcPr>
            <w:tcW w:w="1134" w:type="dxa"/>
            <w:vAlign w:val="center"/>
          </w:tcPr>
          <w:p w14:paraId="061CACEC" w14:textId="77777777" w:rsidR="00214C7E" w:rsidRPr="00D460A0" w:rsidRDefault="00214C7E" w:rsidP="004961E8">
            <w:pPr>
              <w:keepNext/>
              <w:keepLines/>
              <w:jc w:val="center"/>
              <w:rPr>
                <w:rFonts w:ascii="Calibri" w:hAnsi="Calibri" w:cs="Calibri"/>
                <w:sz w:val="18"/>
                <w:szCs w:val="18"/>
              </w:rPr>
            </w:pPr>
            <w:r w:rsidRPr="00D460A0">
              <w:rPr>
                <w:rFonts w:ascii="Calibri" w:hAnsi="Calibri" w:cs="Calibri"/>
                <w:sz w:val="18"/>
                <w:szCs w:val="18"/>
              </w:rPr>
              <w:t>2017</w:t>
            </w:r>
          </w:p>
        </w:tc>
        <w:tc>
          <w:tcPr>
            <w:tcW w:w="1417" w:type="dxa"/>
            <w:vAlign w:val="center"/>
          </w:tcPr>
          <w:p w14:paraId="15227E01" w14:textId="59751DB2" w:rsidR="00214C7E" w:rsidRPr="00D460A0" w:rsidRDefault="00214C7E" w:rsidP="00D460A0">
            <w:pPr>
              <w:ind w:right="142"/>
              <w:jc w:val="right"/>
              <w:rPr>
                <w:rFonts w:ascii="Calibri" w:hAnsi="Calibri" w:cs="Calibri"/>
                <w:sz w:val="18"/>
                <w:szCs w:val="18"/>
              </w:rPr>
            </w:pPr>
            <w:r w:rsidRPr="00D460A0">
              <w:rPr>
                <w:rFonts w:ascii="Calibri" w:hAnsi="Calibri" w:cs="Calibri"/>
                <w:sz w:val="18"/>
                <w:szCs w:val="18"/>
              </w:rPr>
              <w:t>1 253 322 382</w:t>
            </w:r>
          </w:p>
        </w:tc>
        <w:tc>
          <w:tcPr>
            <w:tcW w:w="1984" w:type="dxa"/>
            <w:vAlign w:val="center"/>
          </w:tcPr>
          <w:p w14:paraId="67489C8A" w14:textId="77777777" w:rsidR="00214C7E" w:rsidRPr="00D460A0" w:rsidRDefault="00214C7E" w:rsidP="00D460A0">
            <w:pPr>
              <w:ind w:right="113"/>
              <w:jc w:val="right"/>
              <w:rPr>
                <w:rFonts w:ascii="Calibri" w:hAnsi="Calibri" w:cs="Calibri"/>
                <w:sz w:val="18"/>
                <w:szCs w:val="18"/>
              </w:rPr>
            </w:pPr>
            <w:r w:rsidRPr="00D460A0">
              <w:rPr>
                <w:rFonts w:ascii="Calibri" w:hAnsi="Calibri" w:cs="Calibri"/>
                <w:sz w:val="18"/>
                <w:szCs w:val="18"/>
              </w:rPr>
              <w:t>500 000 000</w:t>
            </w:r>
          </w:p>
        </w:tc>
        <w:tc>
          <w:tcPr>
            <w:tcW w:w="1417" w:type="dxa"/>
            <w:vAlign w:val="center"/>
          </w:tcPr>
          <w:p w14:paraId="67AA5277" w14:textId="77777777" w:rsidR="00214C7E" w:rsidRPr="00D460A0" w:rsidRDefault="00214C7E" w:rsidP="00D460A0">
            <w:pPr>
              <w:ind w:right="28"/>
              <w:jc w:val="right"/>
              <w:rPr>
                <w:rFonts w:ascii="Calibri" w:hAnsi="Calibri" w:cs="Calibri"/>
                <w:sz w:val="18"/>
                <w:szCs w:val="18"/>
              </w:rPr>
            </w:pPr>
            <w:r w:rsidRPr="00D460A0">
              <w:rPr>
                <w:rFonts w:ascii="Calibri" w:hAnsi="Calibri" w:cs="Calibri"/>
                <w:sz w:val="18"/>
                <w:szCs w:val="18"/>
              </w:rPr>
              <w:t>500 000 000</w:t>
            </w:r>
          </w:p>
        </w:tc>
        <w:tc>
          <w:tcPr>
            <w:tcW w:w="1134" w:type="dxa"/>
          </w:tcPr>
          <w:p w14:paraId="0C2A947F" w14:textId="7DE720BD" w:rsidR="00214C7E" w:rsidRPr="00D460A0" w:rsidRDefault="00214C7E" w:rsidP="00D460A0">
            <w:pPr>
              <w:ind w:left="-57" w:right="57"/>
              <w:jc w:val="right"/>
              <w:rPr>
                <w:rFonts w:ascii="Calibri" w:hAnsi="Calibri" w:cs="Calibri"/>
                <w:sz w:val="18"/>
                <w:szCs w:val="18"/>
              </w:rPr>
            </w:pPr>
            <w:r w:rsidRPr="00D460A0">
              <w:rPr>
                <w:rFonts w:ascii="Calibri" w:hAnsi="Calibri" w:cs="Calibri"/>
                <w:sz w:val="18"/>
                <w:szCs w:val="18"/>
              </w:rPr>
              <w:t>14.</w:t>
            </w:r>
            <w:r w:rsidR="001F59CB">
              <w:rPr>
                <w:rFonts w:ascii="Calibri" w:hAnsi="Calibri" w:cs="Calibri"/>
                <w:sz w:val="18"/>
                <w:szCs w:val="18"/>
              </w:rPr>
              <w:t> </w:t>
            </w:r>
            <w:r w:rsidRPr="00D460A0">
              <w:rPr>
                <w:rFonts w:ascii="Calibri" w:hAnsi="Calibri" w:cs="Calibri"/>
                <w:sz w:val="18"/>
                <w:szCs w:val="18"/>
              </w:rPr>
              <w:t>12.</w:t>
            </w:r>
            <w:r w:rsidR="001F59CB">
              <w:rPr>
                <w:rFonts w:ascii="Calibri" w:hAnsi="Calibri" w:cs="Calibri"/>
                <w:sz w:val="18"/>
                <w:szCs w:val="18"/>
              </w:rPr>
              <w:t> </w:t>
            </w:r>
            <w:r w:rsidRPr="00D460A0">
              <w:rPr>
                <w:rFonts w:ascii="Calibri" w:hAnsi="Calibri" w:cs="Calibri"/>
                <w:sz w:val="18"/>
                <w:szCs w:val="18"/>
              </w:rPr>
              <w:t>2018</w:t>
            </w:r>
          </w:p>
        </w:tc>
        <w:tc>
          <w:tcPr>
            <w:tcW w:w="1984" w:type="dxa"/>
            <w:vAlign w:val="center"/>
          </w:tcPr>
          <w:p w14:paraId="588F89E0" w14:textId="77777777" w:rsidR="00214C7E" w:rsidRPr="00D460A0" w:rsidRDefault="00214C7E" w:rsidP="004961E8">
            <w:pPr>
              <w:jc w:val="right"/>
              <w:rPr>
                <w:rFonts w:ascii="Calibri" w:hAnsi="Calibri" w:cs="Calibri"/>
                <w:sz w:val="18"/>
                <w:szCs w:val="18"/>
              </w:rPr>
            </w:pPr>
            <w:r w:rsidRPr="00D460A0">
              <w:rPr>
                <w:rFonts w:ascii="Calibri" w:hAnsi="Calibri" w:cs="Calibri"/>
                <w:sz w:val="18"/>
                <w:szCs w:val="18"/>
              </w:rPr>
              <w:t>39,9 %</w:t>
            </w:r>
          </w:p>
        </w:tc>
      </w:tr>
      <w:tr w:rsidR="00D460A0" w:rsidRPr="00D460A0" w14:paraId="1E427878" w14:textId="77777777" w:rsidTr="00A02975">
        <w:trPr>
          <w:cantSplit/>
          <w:trHeight w:val="255"/>
          <w:tblHeader/>
          <w:jc w:val="center"/>
        </w:trPr>
        <w:tc>
          <w:tcPr>
            <w:tcW w:w="1134" w:type="dxa"/>
            <w:shd w:val="clear" w:color="auto" w:fill="E5F1FF"/>
            <w:vAlign w:val="center"/>
          </w:tcPr>
          <w:p w14:paraId="1A88532B" w14:textId="02CAA42F" w:rsidR="00214C7E" w:rsidRPr="00D460A0" w:rsidRDefault="00214C7E" w:rsidP="004961E8">
            <w:pPr>
              <w:keepNext/>
              <w:keepLines/>
              <w:jc w:val="center"/>
              <w:rPr>
                <w:rFonts w:ascii="Calibri" w:hAnsi="Calibri" w:cs="Calibri"/>
                <w:b/>
                <w:sz w:val="18"/>
                <w:szCs w:val="18"/>
              </w:rPr>
            </w:pPr>
            <w:r w:rsidRPr="00D460A0">
              <w:rPr>
                <w:rFonts w:ascii="Calibri" w:hAnsi="Calibri" w:cs="Calibri"/>
                <w:b/>
                <w:sz w:val="18"/>
                <w:szCs w:val="18"/>
              </w:rPr>
              <w:t>2013</w:t>
            </w:r>
            <w:r w:rsidR="00D460A0" w:rsidRPr="00D460A0">
              <w:rPr>
                <w:rFonts w:ascii="Calibri" w:hAnsi="Calibri" w:cs="Calibri"/>
                <w:b/>
                <w:sz w:val="18"/>
                <w:szCs w:val="18"/>
              </w:rPr>
              <w:t>–</w:t>
            </w:r>
            <w:r w:rsidRPr="00D460A0">
              <w:rPr>
                <w:rFonts w:ascii="Calibri" w:hAnsi="Calibri" w:cs="Calibri"/>
                <w:b/>
                <w:sz w:val="18"/>
                <w:szCs w:val="18"/>
              </w:rPr>
              <w:t>2017</w:t>
            </w:r>
          </w:p>
        </w:tc>
        <w:tc>
          <w:tcPr>
            <w:tcW w:w="1417" w:type="dxa"/>
            <w:shd w:val="clear" w:color="auto" w:fill="E5F1FF"/>
            <w:vAlign w:val="center"/>
          </w:tcPr>
          <w:p w14:paraId="7AEB4D71" w14:textId="77777777" w:rsidR="00214C7E" w:rsidRPr="00D460A0" w:rsidRDefault="00214C7E" w:rsidP="00D460A0">
            <w:pPr>
              <w:ind w:right="142"/>
              <w:jc w:val="right"/>
              <w:rPr>
                <w:rFonts w:ascii="Calibri" w:hAnsi="Calibri" w:cs="Calibri"/>
                <w:b/>
                <w:sz w:val="18"/>
                <w:szCs w:val="18"/>
              </w:rPr>
            </w:pPr>
            <w:r w:rsidRPr="00D460A0">
              <w:rPr>
                <w:rFonts w:ascii="Calibri" w:hAnsi="Calibri" w:cs="Calibri"/>
                <w:b/>
                <w:sz w:val="18"/>
                <w:szCs w:val="18"/>
              </w:rPr>
              <w:t>5 235 383 484</w:t>
            </w:r>
          </w:p>
        </w:tc>
        <w:tc>
          <w:tcPr>
            <w:tcW w:w="1984" w:type="dxa"/>
            <w:shd w:val="clear" w:color="auto" w:fill="E5F1FF"/>
            <w:vAlign w:val="center"/>
          </w:tcPr>
          <w:p w14:paraId="3006EA6D" w14:textId="77777777" w:rsidR="00214C7E" w:rsidRPr="00D460A0" w:rsidRDefault="00214C7E" w:rsidP="00D460A0">
            <w:pPr>
              <w:ind w:right="113"/>
              <w:jc w:val="right"/>
              <w:rPr>
                <w:rFonts w:ascii="Calibri" w:hAnsi="Calibri" w:cs="Calibri"/>
                <w:b/>
                <w:sz w:val="18"/>
                <w:szCs w:val="18"/>
              </w:rPr>
            </w:pPr>
            <w:r w:rsidRPr="00D460A0">
              <w:rPr>
                <w:rFonts w:ascii="Calibri" w:hAnsi="Calibri" w:cs="Calibri"/>
                <w:b/>
                <w:sz w:val="18"/>
                <w:szCs w:val="18"/>
              </w:rPr>
              <w:t>2 600 000 000</w:t>
            </w:r>
          </w:p>
        </w:tc>
        <w:tc>
          <w:tcPr>
            <w:tcW w:w="1417" w:type="dxa"/>
            <w:shd w:val="clear" w:color="auto" w:fill="E5F1FF"/>
            <w:vAlign w:val="center"/>
          </w:tcPr>
          <w:p w14:paraId="145C338A" w14:textId="77777777" w:rsidR="00214C7E" w:rsidRPr="00D460A0" w:rsidRDefault="00214C7E" w:rsidP="00D460A0">
            <w:pPr>
              <w:ind w:right="28"/>
              <w:jc w:val="right"/>
              <w:rPr>
                <w:rFonts w:ascii="Calibri" w:hAnsi="Calibri" w:cs="Calibri"/>
                <w:b/>
                <w:sz w:val="18"/>
                <w:szCs w:val="18"/>
              </w:rPr>
            </w:pPr>
            <w:r w:rsidRPr="00D460A0">
              <w:rPr>
                <w:rFonts w:ascii="Calibri" w:hAnsi="Calibri" w:cs="Calibri"/>
                <w:b/>
                <w:sz w:val="18"/>
                <w:szCs w:val="18"/>
              </w:rPr>
              <w:t>2 600 000 000</w:t>
            </w:r>
          </w:p>
        </w:tc>
        <w:tc>
          <w:tcPr>
            <w:tcW w:w="1134" w:type="dxa"/>
            <w:shd w:val="clear" w:color="auto" w:fill="E5F1FF"/>
          </w:tcPr>
          <w:p w14:paraId="3031E3BD" w14:textId="77777777" w:rsidR="00214C7E" w:rsidRPr="00D460A0" w:rsidRDefault="00214C7E" w:rsidP="00D460A0">
            <w:pPr>
              <w:ind w:left="-57" w:right="57"/>
              <w:jc w:val="right"/>
              <w:rPr>
                <w:rFonts w:ascii="Calibri" w:hAnsi="Calibri" w:cs="Calibri"/>
                <w:b/>
                <w:sz w:val="18"/>
                <w:szCs w:val="18"/>
              </w:rPr>
            </w:pPr>
          </w:p>
        </w:tc>
        <w:tc>
          <w:tcPr>
            <w:tcW w:w="1984" w:type="dxa"/>
            <w:shd w:val="clear" w:color="auto" w:fill="E5F1FF"/>
            <w:vAlign w:val="center"/>
          </w:tcPr>
          <w:p w14:paraId="04FAA2C1" w14:textId="77777777" w:rsidR="00214C7E" w:rsidRPr="00D460A0" w:rsidRDefault="00214C7E" w:rsidP="004961E8">
            <w:pPr>
              <w:jc w:val="right"/>
              <w:rPr>
                <w:rFonts w:ascii="Calibri" w:hAnsi="Calibri" w:cs="Calibri"/>
                <w:b/>
                <w:sz w:val="18"/>
                <w:szCs w:val="18"/>
              </w:rPr>
            </w:pPr>
            <w:r w:rsidRPr="00D460A0">
              <w:rPr>
                <w:rFonts w:ascii="Calibri" w:hAnsi="Calibri" w:cs="Calibri"/>
                <w:b/>
                <w:sz w:val="18"/>
                <w:szCs w:val="18"/>
              </w:rPr>
              <w:t>49,7 %</w:t>
            </w:r>
          </w:p>
        </w:tc>
      </w:tr>
      <w:tr w:rsidR="00D460A0" w:rsidRPr="00D460A0" w14:paraId="574D2077" w14:textId="77777777" w:rsidTr="00A02975">
        <w:trPr>
          <w:cantSplit/>
          <w:trHeight w:val="255"/>
          <w:tblHeader/>
          <w:jc w:val="center"/>
        </w:trPr>
        <w:tc>
          <w:tcPr>
            <w:tcW w:w="1134" w:type="dxa"/>
            <w:shd w:val="clear" w:color="auto" w:fill="auto"/>
            <w:vAlign w:val="center"/>
          </w:tcPr>
          <w:p w14:paraId="77144977" w14:textId="77777777" w:rsidR="00214C7E" w:rsidRPr="00D460A0" w:rsidRDefault="00214C7E" w:rsidP="004961E8">
            <w:pPr>
              <w:keepNext/>
              <w:keepLines/>
              <w:jc w:val="center"/>
              <w:rPr>
                <w:rFonts w:ascii="Calibri" w:hAnsi="Calibri" w:cs="Calibri"/>
                <w:sz w:val="18"/>
                <w:szCs w:val="18"/>
              </w:rPr>
            </w:pPr>
            <w:r w:rsidRPr="00D460A0">
              <w:rPr>
                <w:rFonts w:ascii="Calibri" w:hAnsi="Calibri" w:cs="Calibri"/>
                <w:sz w:val="18"/>
                <w:szCs w:val="18"/>
              </w:rPr>
              <w:t>2018</w:t>
            </w:r>
          </w:p>
        </w:tc>
        <w:tc>
          <w:tcPr>
            <w:tcW w:w="1417" w:type="dxa"/>
            <w:shd w:val="clear" w:color="auto" w:fill="auto"/>
          </w:tcPr>
          <w:p w14:paraId="60534B12" w14:textId="46AA1E80" w:rsidR="00214C7E" w:rsidRPr="00D460A0" w:rsidRDefault="00214C7E" w:rsidP="00D460A0">
            <w:pPr>
              <w:ind w:right="28"/>
              <w:jc w:val="right"/>
              <w:rPr>
                <w:rFonts w:ascii="Calibri" w:hAnsi="Calibri" w:cs="Calibri"/>
                <w:sz w:val="18"/>
                <w:szCs w:val="18"/>
              </w:rPr>
            </w:pPr>
            <w:r w:rsidRPr="00D460A0">
              <w:rPr>
                <w:rFonts w:ascii="Calibri" w:hAnsi="Calibri" w:cs="Calibri"/>
                <w:sz w:val="18"/>
                <w:szCs w:val="18"/>
              </w:rPr>
              <w:t>2 711 845 862*</w:t>
            </w:r>
          </w:p>
        </w:tc>
        <w:tc>
          <w:tcPr>
            <w:tcW w:w="1984" w:type="dxa"/>
            <w:vAlign w:val="center"/>
          </w:tcPr>
          <w:p w14:paraId="7673E0A8" w14:textId="77777777" w:rsidR="00214C7E" w:rsidRPr="00D460A0" w:rsidRDefault="00214C7E" w:rsidP="00D460A0">
            <w:pPr>
              <w:ind w:right="113"/>
              <w:jc w:val="right"/>
              <w:rPr>
                <w:rFonts w:ascii="Calibri" w:hAnsi="Calibri" w:cs="Calibri"/>
                <w:sz w:val="18"/>
                <w:szCs w:val="18"/>
              </w:rPr>
            </w:pPr>
            <w:r w:rsidRPr="00D460A0">
              <w:rPr>
                <w:rFonts w:ascii="Calibri" w:hAnsi="Calibri" w:cs="Calibri"/>
                <w:sz w:val="18"/>
                <w:szCs w:val="18"/>
              </w:rPr>
              <w:t>1 500 000 000</w:t>
            </w:r>
          </w:p>
        </w:tc>
        <w:tc>
          <w:tcPr>
            <w:tcW w:w="1417" w:type="dxa"/>
            <w:vAlign w:val="center"/>
          </w:tcPr>
          <w:p w14:paraId="567E752E" w14:textId="77777777" w:rsidR="00214C7E" w:rsidRPr="00D460A0" w:rsidRDefault="00214C7E" w:rsidP="00D460A0">
            <w:pPr>
              <w:ind w:right="28"/>
              <w:jc w:val="right"/>
              <w:rPr>
                <w:rFonts w:ascii="Calibri" w:hAnsi="Calibri" w:cs="Calibri"/>
                <w:sz w:val="18"/>
                <w:szCs w:val="18"/>
              </w:rPr>
            </w:pPr>
            <w:r w:rsidRPr="00D460A0">
              <w:rPr>
                <w:rFonts w:ascii="Calibri" w:hAnsi="Calibri" w:cs="Calibri"/>
                <w:sz w:val="18"/>
                <w:szCs w:val="18"/>
              </w:rPr>
              <w:t>---</w:t>
            </w:r>
          </w:p>
        </w:tc>
        <w:tc>
          <w:tcPr>
            <w:tcW w:w="1134" w:type="dxa"/>
          </w:tcPr>
          <w:p w14:paraId="4C625222" w14:textId="77777777" w:rsidR="00214C7E" w:rsidRPr="00D460A0" w:rsidRDefault="00214C7E" w:rsidP="00D460A0">
            <w:pPr>
              <w:ind w:left="-57" w:right="57"/>
              <w:jc w:val="right"/>
              <w:rPr>
                <w:rFonts w:ascii="Calibri" w:hAnsi="Calibri" w:cs="Calibri"/>
                <w:sz w:val="18"/>
                <w:szCs w:val="18"/>
              </w:rPr>
            </w:pPr>
          </w:p>
        </w:tc>
        <w:tc>
          <w:tcPr>
            <w:tcW w:w="1984" w:type="dxa"/>
            <w:shd w:val="clear" w:color="auto" w:fill="auto"/>
            <w:vAlign w:val="center"/>
          </w:tcPr>
          <w:p w14:paraId="72F5B5D2" w14:textId="77777777" w:rsidR="00214C7E" w:rsidRPr="00D460A0" w:rsidRDefault="00214C7E" w:rsidP="004961E8">
            <w:pPr>
              <w:jc w:val="right"/>
              <w:rPr>
                <w:rFonts w:ascii="Calibri" w:hAnsi="Calibri" w:cs="Calibri"/>
                <w:sz w:val="18"/>
                <w:szCs w:val="18"/>
              </w:rPr>
            </w:pPr>
            <w:r w:rsidRPr="00D460A0">
              <w:rPr>
                <w:rFonts w:ascii="Calibri" w:hAnsi="Calibri" w:cs="Calibri"/>
                <w:sz w:val="18"/>
                <w:szCs w:val="18"/>
              </w:rPr>
              <w:t>---</w:t>
            </w:r>
          </w:p>
        </w:tc>
      </w:tr>
      <w:tr w:rsidR="00D460A0" w:rsidRPr="00D460A0" w14:paraId="51A4EA94" w14:textId="77777777" w:rsidTr="00A02975">
        <w:trPr>
          <w:cantSplit/>
          <w:trHeight w:val="255"/>
          <w:tblHeader/>
          <w:jc w:val="center"/>
        </w:trPr>
        <w:tc>
          <w:tcPr>
            <w:tcW w:w="1134" w:type="dxa"/>
            <w:shd w:val="clear" w:color="auto" w:fill="auto"/>
            <w:vAlign w:val="center"/>
          </w:tcPr>
          <w:p w14:paraId="44E353B7" w14:textId="77777777" w:rsidR="00214C7E" w:rsidRPr="00D460A0" w:rsidRDefault="00214C7E" w:rsidP="004961E8">
            <w:pPr>
              <w:keepNext/>
              <w:keepLines/>
              <w:jc w:val="center"/>
              <w:rPr>
                <w:rFonts w:ascii="Calibri" w:hAnsi="Calibri" w:cs="Calibri"/>
                <w:sz w:val="18"/>
                <w:szCs w:val="18"/>
              </w:rPr>
            </w:pPr>
            <w:r w:rsidRPr="00D460A0">
              <w:rPr>
                <w:rFonts w:ascii="Calibri" w:hAnsi="Calibri" w:cs="Calibri"/>
                <w:sz w:val="18"/>
                <w:szCs w:val="18"/>
              </w:rPr>
              <w:t>2019</w:t>
            </w:r>
          </w:p>
        </w:tc>
        <w:tc>
          <w:tcPr>
            <w:tcW w:w="1417" w:type="dxa"/>
            <w:shd w:val="clear" w:color="auto" w:fill="auto"/>
          </w:tcPr>
          <w:p w14:paraId="600F6F31" w14:textId="0760E367" w:rsidR="00214C7E" w:rsidRPr="00D460A0" w:rsidRDefault="00214C7E" w:rsidP="00D460A0">
            <w:pPr>
              <w:ind w:right="28"/>
              <w:jc w:val="right"/>
              <w:rPr>
                <w:rFonts w:ascii="Calibri" w:hAnsi="Calibri" w:cs="Calibri"/>
                <w:sz w:val="18"/>
                <w:szCs w:val="18"/>
              </w:rPr>
            </w:pPr>
            <w:r w:rsidRPr="00D460A0">
              <w:rPr>
                <w:rFonts w:ascii="Calibri" w:hAnsi="Calibri" w:cs="Calibri"/>
                <w:sz w:val="18"/>
                <w:szCs w:val="18"/>
              </w:rPr>
              <w:t>2 834 387 630*</w:t>
            </w:r>
          </w:p>
        </w:tc>
        <w:tc>
          <w:tcPr>
            <w:tcW w:w="1984" w:type="dxa"/>
            <w:vAlign w:val="center"/>
          </w:tcPr>
          <w:p w14:paraId="4B29913A" w14:textId="77777777" w:rsidR="00214C7E" w:rsidRPr="00D460A0" w:rsidRDefault="00214C7E" w:rsidP="00D460A0">
            <w:pPr>
              <w:ind w:right="113"/>
              <w:jc w:val="right"/>
              <w:rPr>
                <w:rFonts w:ascii="Calibri" w:hAnsi="Calibri" w:cs="Calibri"/>
                <w:sz w:val="18"/>
                <w:szCs w:val="18"/>
              </w:rPr>
            </w:pPr>
            <w:r w:rsidRPr="00D460A0">
              <w:rPr>
                <w:rFonts w:ascii="Calibri" w:hAnsi="Calibri" w:cs="Calibri"/>
                <w:sz w:val="18"/>
                <w:szCs w:val="18"/>
              </w:rPr>
              <w:t>1 500 000 000</w:t>
            </w:r>
          </w:p>
        </w:tc>
        <w:tc>
          <w:tcPr>
            <w:tcW w:w="1417" w:type="dxa"/>
            <w:vAlign w:val="center"/>
          </w:tcPr>
          <w:p w14:paraId="14B54387" w14:textId="77777777" w:rsidR="00214C7E" w:rsidRPr="00D460A0" w:rsidRDefault="00214C7E" w:rsidP="00D460A0">
            <w:pPr>
              <w:ind w:right="28"/>
              <w:jc w:val="right"/>
              <w:rPr>
                <w:rFonts w:ascii="Calibri" w:hAnsi="Calibri" w:cs="Calibri"/>
                <w:sz w:val="18"/>
                <w:szCs w:val="18"/>
              </w:rPr>
            </w:pPr>
            <w:r w:rsidRPr="00D460A0">
              <w:rPr>
                <w:rFonts w:ascii="Calibri" w:hAnsi="Calibri" w:cs="Calibri"/>
                <w:sz w:val="18"/>
                <w:szCs w:val="18"/>
              </w:rPr>
              <w:t>---</w:t>
            </w:r>
          </w:p>
        </w:tc>
        <w:tc>
          <w:tcPr>
            <w:tcW w:w="1134" w:type="dxa"/>
          </w:tcPr>
          <w:p w14:paraId="08EC4346" w14:textId="77777777" w:rsidR="00214C7E" w:rsidRPr="00D460A0" w:rsidRDefault="00214C7E" w:rsidP="00D460A0">
            <w:pPr>
              <w:ind w:left="-57" w:right="57"/>
              <w:jc w:val="right"/>
              <w:rPr>
                <w:rFonts w:ascii="Calibri" w:hAnsi="Calibri" w:cs="Calibri"/>
                <w:sz w:val="18"/>
                <w:szCs w:val="18"/>
              </w:rPr>
            </w:pPr>
          </w:p>
        </w:tc>
        <w:tc>
          <w:tcPr>
            <w:tcW w:w="1984" w:type="dxa"/>
            <w:shd w:val="clear" w:color="auto" w:fill="auto"/>
            <w:vAlign w:val="center"/>
          </w:tcPr>
          <w:p w14:paraId="6ADD94DE" w14:textId="77777777" w:rsidR="00214C7E" w:rsidRPr="00D460A0" w:rsidRDefault="00214C7E" w:rsidP="004961E8">
            <w:pPr>
              <w:jc w:val="right"/>
              <w:rPr>
                <w:rFonts w:ascii="Calibri" w:hAnsi="Calibri" w:cs="Calibri"/>
                <w:sz w:val="18"/>
                <w:szCs w:val="18"/>
              </w:rPr>
            </w:pPr>
            <w:r w:rsidRPr="00D460A0">
              <w:rPr>
                <w:rFonts w:ascii="Calibri" w:hAnsi="Calibri" w:cs="Calibri"/>
                <w:sz w:val="18"/>
                <w:szCs w:val="18"/>
              </w:rPr>
              <w:t>---</w:t>
            </w:r>
          </w:p>
        </w:tc>
      </w:tr>
      <w:tr w:rsidR="00D460A0" w:rsidRPr="00D460A0" w14:paraId="578D0882" w14:textId="77777777" w:rsidTr="00A02975">
        <w:trPr>
          <w:cantSplit/>
          <w:trHeight w:val="255"/>
          <w:tblHeader/>
          <w:jc w:val="center"/>
        </w:trPr>
        <w:tc>
          <w:tcPr>
            <w:tcW w:w="1134" w:type="dxa"/>
            <w:shd w:val="clear" w:color="auto" w:fill="auto"/>
            <w:vAlign w:val="center"/>
          </w:tcPr>
          <w:p w14:paraId="3EC81931" w14:textId="77777777" w:rsidR="00214C7E" w:rsidRPr="00D460A0" w:rsidRDefault="00214C7E" w:rsidP="004961E8">
            <w:pPr>
              <w:keepNext/>
              <w:keepLines/>
              <w:jc w:val="center"/>
              <w:rPr>
                <w:rFonts w:ascii="Calibri" w:hAnsi="Calibri" w:cs="Calibri"/>
                <w:sz w:val="18"/>
                <w:szCs w:val="18"/>
              </w:rPr>
            </w:pPr>
            <w:r w:rsidRPr="00D460A0">
              <w:rPr>
                <w:rFonts w:ascii="Calibri" w:hAnsi="Calibri" w:cs="Calibri"/>
                <w:sz w:val="18"/>
                <w:szCs w:val="18"/>
              </w:rPr>
              <w:t>2020</w:t>
            </w:r>
          </w:p>
        </w:tc>
        <w:tc>
          <w:tcPr>
            <w:tcW w:w="1417" w:type="dxa"/>
            <w:shd w:val="clear" w:color="auto" w:fill="auto"/>
          </w:tcPr>
          <w:p w14:paraId="1D7B3615" w14:textId="2B00A429" w:rsidR="00214C7E" w:rsidRPr="00D460A0" w:rsidRDefault="00214C7E" w:rsidP="00D460A0">
            <w:pPr>
              <w:ind w:right="28"/>
              <w:jc w:val="right"/>
              <w:rPr>
                <w:rFonts w:ascii="Calibri" w:hAnsi="Calibri" w:cs="Calibri"/>
                <w:sz w:val="18"/>
                <w:szCs w:val="18"/>
              </w:rPr>
            </w:pPr>
            <w:r w:rsidRPr="00D460A0">
              <w:rPr>
                <w:rFonts w:ascii="Calibri" w:hAnsi="Calibri" w:cs="Calibri"/>
                <w:sz w:val="18"/>
                <w:szCs w:val="18"/>
              </w:rPr>
              <w:t>1 869 691 252*</w:t>
            </w:r>
          </w:p>
        </w:tc>
        <w:tc>
          <w:tcPr>
            <w:tcW w:w="1984" w:type="dxa"/>
            <w:vAlign w:val="center"/>
          </w:tcPr>
          <w:p w14:paraId="1AD68FD5" w14:textId="77777777" w:rsidR="00214C7E" w:rsidRPr="00D460A0" w:rsidRDefault="00214C7E" w:rsidP="00D460A0">
            <w:pPr>
              <w:ind w:right="113"/>
              <w:jc w:val="right"/>
              <w:rPr>
                <w:rFonts w:ascii="Calibri" w:hAnsi="Calibri" w:cs="Calibri"/>
                <w:sz w:val="18"/>
                <w:szCs w:val="18"/>
              </w:rPr>
            </w:pPr>
            <w:r w:rsidRPr="00D460A0">
              <w:rPr>
                <w:rFonts w:ascii="Calibri" w:hAnsi="Calibri" w:cs="Calibri"/>
                <w:sz w:val="18"/>
                <w:szCs w:val="18"/>
              </w:rPr>
              <w:t>1 500 000 000</w:t>
            </w:r>
          </w:p>
        </w:tc>
        <w:tc>
          <w:tcPr>
            <w:tcW w:w="1417" w:type="dxa"/>
            <w:vAlign w:val="center"/>
          </w:tcPr>
          <w:p w14:paraId="3458ADCE" w14:textId="77777777" w:rsidR="00214C7E" w:rsidRPr="00D460A0" w:rsidRDefault="00214C7E" w:rsidP="00D460A0">
            <w:pPr>
              <w:ind w:right="28"/>
              <w:jc w:val="right"/>
              <w:rPr>
                <w:rFonts w:ascii="Calibri" w:hAnsi="Calibri" w:cs="Calibri"/>
                <w:sz w:val="18"/>
                <w:szCs w:val="18"/>
              </w:rPr>
            </w:pPr>
            <w:r w:rsidRPr="00D460A0">
              <w:rPr>
                <w:rFonts w:ascii="Calibri" w:hAnsi="Calibri" w:cs="Calibri"/>
                <w:sz w:val="18"/>
                <w:szCs w:val="18"/>
              </w:rPr>
              <w:t>---</w:t>
            </w:r>
          </w:p>
        </w:tc>
        <w:tc>
          <w:tcPr>
            <w:tcW w:w="1134" w:type="dxa"/>
          </w:tcPr>
          <w:p w14:paraId="49107FFE" w14:textId="77777777" w:rsidR="00214C7E" w:rsidRPr="00D460A0" w:rsidRDefault="00214C7E" w:rsidP="00D460A0">
            <w:pPr>
              <w:ind w:left="-57" w:right="57"/>
              <w:jc w:val="right"/>
              <w:rPr>
                <w:rFonts w:ascii="Calibri" w:hAnsi="Calibri" w:cs="Calibri"/>
                <w:sz w:val="18"/>
                <w:szCs w:val="18"/>
              </w:rPr>
            </w:pPr>
          </w:p>
        </w:tc>
        <w:tc>
          <w:tcPr>
            <w:tcW w:w="1984" w:type="dxa"/>
            <w:shd w:val="clear" w:color="auto" w:fill="auto"/>
            <w:vAlign w:val="center"/>
          </w:tcPr>
          <w:p w14:paraId="190B0A0B" w14:textId="77777777" w:rsidR="00214C7E" w:rsidRPr="00D460A0" w:rsidRDefault="00214C7E" w:rsidP="004961E8">
            <w:pPr>
              <w:jc w:val="right"/>
              <w:rPr>
                <w:rFonts w:ascii="Calibri" w:hAnsi="Calibri" w:cs="Calibri"/>
                <w:sz w:val="18"/>
                <w:szCs w:val="18"/>
              </w:rPr>
            </w:pPr>
            <w:r w:rsidRPr="00D460A0">
              <w:rPr>
                <w:rFonts w:ascii="Calibri" w:hAnsi="Calibri" w:cs="Calibri"/>
                <w:sz w:val="18"/>
                <w:szCs w:val="18"/>
              </w:rPr>
              <w:t>---</w:t>
            </w:r>
          </w:p>
        </w:tc>
      </w:tr>
      <w:tr w:rsidR="00D460A0" w:rsidRPr="00D460A0" w14:paraId="2C42ADF4" w14:textId="77777777" w:rsidTr="00A02975">
        <w:trPr>
          <w:cantSplit/>
          <w:trHeight w:val="255"/>
          <w:tblHeader/>
          <w:jc w:val="center"/>
        </w:trPr>
        <w:tc>
          <w:tcPr>
            <w:tcW w:w="1134" w:type="dxa"/>
            <w:shd w:val="clear" w:color="auto" w:fill="E5F1FF"/>
            <w:vAlign w:val="center"/>
          </w:tcPr>
          <w:p w14:paraId="588C4C20" w14:textId="34CBBAFA" w:rsidR="00214C7E" w:rsidRPr="00D460A0" w:rsidRDefault="00214C7E" w:rsidP="004961E8">
            <w:pPr>
              <w:keepNext/>
              <w:keepLines/>
              <w:jc w:val="center"/>
              <w:rPr>
                <w:rFonts w:ascii="Calibri" w:hAnsi="Calibri" w:cs="Calibri"/>
                <w:b/>
                <w:sz w:val="18"/>
                <w:szCs w:val="18"/>
              </w:rPr>
            </w:pPr>
            <w:r w:rsidRPr="00D460A0">
              <w:rPr>
                <w:rFonts w:ascii="Calibri" w:hAnsi="Calibri" w:cs="Calibri"/>
                <w:b/>
                <w:sz w:val="18"/>
                <w:szCs w:val="18"/>
              </w:rPr>
              <w:t>2018</w:t>
            </w:r>
            <w:r w:rsidR="00D460A0" w:rsidRPr="00D460A0">
              <w:rPr>
                <w:rFonts w:ascii="Calibri" w:hAnsi="Calibri" w:cs="Calibri"/>
                <w:b/>
                <w:sz w:val="18"/>
                <w:szCs w:val="18"/>
              </w:rPr>
              <w:t>–</w:t>
            </w:r>
            <w:r w:rsidRPr="00D460A0">
              <w:rPr>
                <w:rFonts w:ascii="Calibri" w:hAnsi="Calibri" w:cs="Calibri"/>
                <w:b/>
                <w:sz w:val="18"/>
                <w:szCs w:val="18"/>
              </w:rPr>
              <w:t>2020</w:t>
            </w:r>
          </w:p>
        </w:tc>
        <w:tc>
          <w:tcPr>
            <w:tcW w:w="1417" w:type="dxa"/>
            <w:shd w:val="clear" w:color="auto" w:fill="E5F1FF"/>
            <w:vAlign w:val="center"/>
          </w:tcPr>
          <w:p w14:paraId="19514CDB" w14:textId="52A68625" w:rsidR="00214C7E" w:rsidRPr="00D460A0" w:rsidRDefault="00214C7E" w:rsidP="00D460A0">
            <w:pPr>
              <w:ind w:right="28"/>
              <w:jc w:val="right"/>
              <w:rPr>
                <w:rFonts w:ascii="Calibri" w:hAnsi="Calibri" w:cs="Calibri"/>
                <w:b/>
                <w:sz w:val="18"/>
                <w:szCs w:val="18"/>
              </w:rPr>
            </w:pPr>
            <w:r w:rsidRPr="00D460A0">
              <w:rPr>
                <w:rFonts w:ascii="Calibri" w:hAnsi="Calibri" w:cs="Calibri"/>
                <w:b/>
                <w:sz w:val="18"/>
                <w:szCs w:val="18"/>
              </w:rPr>
              <w:t>7 415 924 744*</w:t>
            </w:r>
          </w:p>
        </w:tc>
        <w:tc>
          <w:tcPr>
            <w:tcW w:w="1984" w:type="dxa"/>
            <w:shd w:val="clear" w:color="auto" w:fill="E5F1FF"/>
            <w:vAlign w:val="center"/>
          </w:tcPr>
          <w:p w14:paraId="5EFE303E" w14:textId="77777777" w:rsidR="00214C7E" w:rsidRPr="00D460A0" w:rsidRDefault="00214C7E" w:rsidP="00D460A0">
            <w:pPr>
              <w:ind w:right="113"/>
              <w:jc w:val="right"/>
              <w:rPr>
                <w:rFonts w:ascii="Calibri" w:hAnsi="Calibri" w:cs="Calibri"/>
                <w:b/>
                <w:sz w:val="18"/>
                <w:szCs w:val="18"/>
              </w:rPr>
            </w:pPr>
            <w:r w:rsidRPr="00D460A0">
              <w:rPr>
                <w:rFonts w:ascii="Calibri" w:hAnsi="Calibri" w:cs="Calibri"/>
                <w:b/>
                <w:sz w:val="18"/>
                <w:szCs w:val="18"/>
              </w:rPr>
              <w:t>4 500 000 000</w:t>
            </w:r>
          </w:p>
        </w:tc>
        <w:tc>
          <w:tcPr>
            <w:tcW w:w="1417" w:type="dxa"/>
            <w:shd w:val="clear" w:color="auto" w:fill="E5F1FF"/>
            <w:vAlign w:val="center"/>
          </w:tcPr>
          <w:p w14:paraId="588DADB0" w14:textId="77777777" w:rsidR="00214C7E" w:rsidRPr="00D460A0" w:rsidRDefault="00214C7E" w:rsidP="00D460A0">
            <w:pPr>
              <w:ind w:right="28"/>
              <w:jc w:val="right"/>
              <w:rPr>
                <w:rFonts w:ascii="Calibri" w:hAnsi="Calibri" w:cs="Calibri"/>
                <w:b/>
                <w:sz w:val="18"/>
                <w:szCs w:val="18"/>
              </w:rPr>
            </w:pPr>
            <w:r w:rsidRPr="00D460A0">
              <w:rPr>
                <w:rFonts w:ascii="Calibri" w:hAnsi="Calibri" w:cs="Calibri"/>
                <w:b/>
                <w:sz w:val="18"/>
                <w:szCs w:val="18"/>
              </w:rPr>
              <w:t>---</w:t>
            </w:r>
          </w:p>
        </w:tc>
        <w:tc>
          <w:tcPr>
            <w:tcW w:w="1134" w:type="dxa"/>
            <w:shd w:val="clear" w:color="auto" w:fill="E5F1FF"/>
          </w:tcPr>
          <w:p w14:paraId="4E4D19BF" w14:textId="77777777" w:rsidR="00214C7E" w:rsidRPr="00D460A0" w:rsidRDefault="00214C7E" w:rsidP="00D460A0">
            <w:pPr>
              <w:ind w:left="-57" w:right="57"/>
              <w:jc w:val="right"/>
              <w:rPr>
                <w:rFonts w:ascii="Calibri" w:hAnsi="Calibri" w:cs="Calibri"/>
                <w:b/>
                <w:sz w:val="18"/>
                <w:szCs w:val="18"/>
              </w:rPr>
            </w:pPr>
          </w:p>
        </w:tc>
        <w:tc>
          <w:tcPr>
            <w:tcW w:w="1984" w:type="dxa"/>
            <w:shd w:val="clear" w:color="auto" w:fill="E5F1FF"/>
            <w:vAlign w:val="center"/>
          </w:tcPr>
          <w:p w14:paraId="7EE181EF" w14:textId="77777777" w:rsidR="00214C7E" w:rsidRPr="00D460A0" w:rsidRDefault="00214C7E" w:rsidP="004961E8">
            <w:pPr>
              <w:jc w:val="right"/>
              <w:rPr>
                <w:rFonts w:ascii="Calibri" w:hAnsi="Calibri" w:cs="Calibri"/>
                <w:b/>
                <w:sz w:val="18"/>
                <w:szCs w:val="18"/>
              </w:rPr>
            </w:pPr>
            <w:r w:rsidRPr="00D460A0">
              <w:rPr>
                <w:rFonts w:ascii="Calibri" w:hAnsi="Calibri" w:cs="Calibri"/>
                <w:b/>
                <w:sz w:val="18"/>
                <w:szCs w:val="18"/>
              </w:rPr>
              <w:t>---</w:t>
            </w:r>
          </w:p>
        </w:tc>
      </w:tr>
    </w:tbl>
    <w:p w14:paraId="1518347F" w14:textId="27A8E27B" w:rsidR="00214C7E" w:rsidRPr="000A4578" w:rsidRDefault="00214C7E" w:rsidP="00A02975">
      <w:pPr>
        <w:pStyle w:val="Odstavecseseznamem"/>
        <w:spacing w:before="40" w:after="0" w:line="240" w:lineRule="auto"/>
        <w:ind w:left="284" w:hanging="284"/>
        <w:contextualSpacing w:val="0"/>
        <w:jc w:val="both"/>
        <w:rPr>
          <w:rFonts w:cstheme="minorHAnsi"/>
          <w:sz w:val="20"/>
          <w:szCs w:val="20"/>
        </w:rPr>
      </w:pPr>
      <w:r w:rsidRPr="000A4578">
        <w:rPr>
          <w:rFonts w:ascii="Calibri" w:hAnsi="Calibri" w:cs="Calibri"/>
          <w:sz w:val="20"/>
          <w:szCs w:val="20"/>
        </w:rPr>
        <w:t>*</w:t>
      </w:r>
      <w:r w:rsidR="00A02975">
        <w:rPr>
          <w:rFonts w:ascii="Calibri" w:hAnsi="Calibri" w:cs="Calibri"/>
          <w:sz w:val="20"/>
          <w:szCs w:val="20"/>
        </w:rPr>
        <w:tab/>
      </w:r>
      <w:r w:rsidRPr="000A4578">
        <w:rPr>
          <w:rFonts w:ascii="Calibri" w:hAnsi="Calibri" w:cs="Calibri"/>
          <w:sz w:val="20"/>
          <w:szCs w:val="20"/>
        </w:rPr>
        <w:t>Údaj dle žádosti držitele poštovní licence o úhradu čistých nákladů představujících nespravedlivou finanční zátěž</w:t>
      </w:r>
      <w:r>
        <w:rPr>
          <w:rFonts w:ascii="Calibri" w:hAnsi="Calibri" w:cs="Calibri"/>
          <w:sz w:val="20"/>
          <w:szCs w:val="20"/>
        </w:rPr>
        <w:t>.</w:t>
      </w:r>
    </w:p>
    <w:p w14:paraId="5CA2B138" w14:textId="15054F32" w:rsidR="00214C7E" w:rsidRDefault="003E4C56" w:rsidP="00A02975">
      <w:pPr>
        <w:pStyle w:val="Odstavecseseznamem"/>
        <w:spacing w:after="0" w:line="240" w:lineRule="auto"/>
        <w:ind w:left="567" w:hanging="567"/>
        <w:jc w:val="both"/>
        <w:rPr>
          <w:rFonts w:cstheme="minorHAnsi"/>
        </w:rPr>
      </w:pPr>
      <w:r>
        <w:rPr>
          <w:rFonts w:cstheme="minorHAnsi"/>
          <w:b/>
          <w:sz w:val="20"/>
          <w:szCs w:val="20"/>
        </w:rPr>
        <w:t>Z</w:t>
      </w:r>
      <w:r w:rsidR="00214C7E" w:rsidRPr="00481940">
        <w:rPr>
          <w:rFonts w:cstheme="minorHAnsi"/>
          <w:b/>
          <w:sz w:val="20"/>
          <w:szCs w:val="20"/>
        </w:rPr>
        <w:t>droj:</w:t>
      </w:r>
      <w:r w:rsidR="00214C7E" w:rsidRPr="00BB10BB">
        <w:rPr>
          <w:rFonts w:cstheme="minorHAnsi"/>
          <w:sz w:val="20"/>
          <w:szCs w:val="20"/>
        </w:rPr>
        <w:t xml:space="preserve"> </w:t>
      </w:r>
      <w:r w:rsidR="00214C7E" w:rsidRPr="00C61E99">
        <w:rPr>
          <w:rFonts w:cstheme="minorHAnsi"/>
          <w:i/>
          <w:sz w:val="20"/>
          <w:szCs w:val="20"/>
        </w:rPr>
        <w:t xml:space="preserve">Výroční zpráva </w:t>
      </w:r>
      <w:r w:rsidR="00DE642F" w:rsidRPr="00C61E99">
        <w:rPr>
          <w:rFonts w:cstheme="minorHAnsi"/>
          <w:i/>
          <w:sz w:val="20"/>
          <w:szCs w:val="20"/>
        </w:rPr>
        <w:t>Č</w:t>
      </w:r>
      <w:r w:rsidR="0073543A" w:rsidRPr="00C61E99">
        <w:rPr>
          <w:rFonts w:cstheme="minorHAnsi"/>
          <w:i/>
          <w:sz w:val="20"/>
          <w:szCs w:val="20"/>
        </w:rPr>
        <w:t>eského telekomunikačního úřadu</w:t>
      </w:r>
      <w:r w:rsidR="00214C7E" w:rsidRPr="00C61E99">
        <w:rPr>
          <w:rFonts w:cstheme="minorHAnsi"/>
          <w:i/>
          <w:sz w:val="20"/>
          <w:szCs w:val="20"/>
        </w:rPr>
        <w:t xml:space="preserve"> za rok 2021</w:t>
      </w:r>
      <w:r w:rsidR="00214C7E">
        <w:rPr>
          <w:rFonts w:cstheme="minorHAnsi"/>
          <w:sz w:val="20"/>
          <w:szCs w:val="20"/>
        </w:rPr>
        <w:t>, ž</w:t>
      </w:r>
      <w:r w:rsidR="00214C7E" w:rsidRPr="00BB10BB">
        <w:rPr>
          <w:rFonts w:cstheme="minorHAnsi"/>
          <w:sz w:val="20"/>
          <w:szCs w:val="20"/>
        </w:rPr>
        <w:t>ádosti České pošty o úhradu čistých nákladů představující</w:t>
      </w:r>
      <w:r w:rsidR="00675FBF">
        <w:rPr>
          <w:rFonts w:cstheme="minorHAnsi"/>
          <w:sz w:val="20"/>
          <w:szCs w:val="20"/>
        </w:rPr>
        <w:t>ch</w:t>
      </w:r>
      <w:r w:rsidR="00214C7E" w:rsidRPr="00BB10BB">
        <w:rPr>
          <w:rFonts w:cstheme="minorHAnsi"/>
          <w:sz w:val="20"/>
          <w:szCs w:val="20"/>
        </w:rPr>
        <w:t xml:space="preserve"> nespravedlivou finanční zátěž za</w:t>
      </w:r>
      <w:r>
        <w:rPr>
          <w:rFonts w:cstheme="minorHAnsi"/>
          <w:sz w:val="20"/>
          <w:szCs w:val="20"/>
        </w:rPr>
        <w:t xml:space="preserve"> </w:t>
      </w:r>
      <w:r w:rsidR="00214C7E" w:rsidRPr="00BB10BB">
        <w:rPr>
          <w:rFonts w:cstheme="minorHAnsi"/>
          <w:sz w:val="20"/>
          <w:szCs w:val="20"/>
        </w:rPr>
        <w:t>jednotlivé roky, interní doklady ČTÚ za roky 2018, 2019 a 2020 k průběhu ověřování výše čistých nákladů</w:t>
      </w:r>
      <w:r w:rsidR="004E60A1">
        <w:rPr>
          <w:rFonts w:cstheme="minorHAnsi"/>
          <w:sz w:val="20"/>
          <w:szCs w:val="20"/>
        </w:rPr>
        <w:t>.</w:t>
      </w:r>
    </w:p>
    <w:p w14:paraId="6A25A399" w14:textId="2B44539D" w:rsidR="00B070EA" w:rsidRPr="00C16BA0" w:rsidRDefault="00B070EA" w:rsidP="00A02975">
      <w:pPr>
        <w:keepNext/>
        <w:spacing w:before="120" w:after="120" w:line="264" w:lineRule="auto"/>
        <w:rPr>
          <w:b/>
          <w:sz w:val="24"/>
        </w:rPr>
      </w:pPr>
      <w:r>
        <w:rPr>
          <w:b/>
          <w:sz w:val="24"/>
        </w:rPr>
        <w:t>Dlouhý notifikační proces Evropské komise brzd</w:t>
      </w:r>
      <w:r w:rsidR="00CC63FD">
        <w:rPr>
          <w:b/>
          <w:sz w:val="24"/>
        </w:rPr>
        <w:t>il</w:t>
      </w:r>
      <w:r>
        <w:rPr>
          <w:b/>
          <w:sz w:val="24"/>
        </w:rPr>
        <w:t xml:space="preserve"> proplácení</w:t>
      </w:r>
      <w:r w:rsidRPr="00C16BA0">
        <w:rPr>
          <w:b/>
          <w:sz w:val="24"/>
        </w:rPr>
        <w:t xml:space="preserve"> </w:t>
      </w:r>
      <w:r w:rsidRPr="0083164F">
        <w:rPr>
          <w:b/>
          <w:sz w:val="24"/>
          <w:szCs w:val="24"/>
        </w:rPr>
        <w:t xml:space="preserve">čistých nákladů </w:t>
      </w:r>
      <w:r>
        <w:rPr>
          <w:b/>
          <w:sz w:val="24"/>
          <w:szCs w:val="24"/>
        </w:rPr>
        <w:t>základních poštovních služeb</w:t>
      </w:r>
      <w:r w:rsidR="00715634">
        <w:rPr>
          <w:b/>
          <w:sz w:val="24"/>
          <w:szCs w:val="24"/>
        </w:rPr>
        <w:t>.</w:t>
      </w:r>
    </w:p>
    <w:p w14:paraId="60E04400" w14:textId="64DA6E77" w:rsidR="004A0AAB" w:rsidRPr="00A02975" w:rsidRDefault="00214C7E" w:rsidP="00A02975">
      <w:pPr>
        <w:spacing w:after="120" w:line="264" w:lineRule="auto"/>
        <w:jc w:val="both"/>
        <w:rPr>
          <w:strike/>
          <w:sz w:val="24"/>
          <w:szCs w:val="24"/>
        </w:rPr>
      </w:pPr>
      <w:r w:rsidRPr="00A02975">
        <w:rPr>
          <w:sz w:val="24"/>
          <w:szCs w:val="24"/>
        </w:rPr>
        <w:t>Úhrada čistých nákladů, které představují nespravedlivou finanční zátěž, podléhá notifikaci Evropské komise z důvodu prověření souladu poskytování těchto úhrad s pravidly veřejné podpory. Zákonem č. 221/2012 Sb. byl nastaven systém financování základních služeb z peněžních prostředků tzv. kompenzačního fondu, který nebyl součástí státního rozpočtu a</w:t>
      </w:r>
      <w:r w:rsidR="008235C2" w:rsidRPr="00A02975">
        <w:rPr>
          <w:sz w:val="24"/>
          <w:szCs w:val="24"/>
        </w:rPr>
        <w:t> </w:t>
      </w:r>
      <w:r w:rsidRPr="00A02975">
        <w:rPr>
          <w:sz w:val="24"/>
          <w:szCs w:val="24"/>
        </w:rPr>
        <w:t xml:space="preserve">do kterého měli přispívat ostatní </w:t>
      </w:r>
      <w:r w:rsidR="000D2C38" w:rsidRPr="00A02975">
        <w:rPr>
          <w:sz w:val="24"/>
          <w:szCs w:val="24"/>
        </w:rPr>
        <w:t>poskytovatelé</w:t>
      </w:r>
      <w:r w:rsidRPr="00A02975">
        <w:rPr>
          <w:sz w:val="24"/>
          <w:szCs w:val="24"/>
        </w:rPr>
        <w:t xml:space="preserve"> poštovních služeb. Tento mechanismus se stal předmětem několika soudních sporů některých poskytovatelů poštovních služeb s ČTÚ</w:t>
      </w:r>
      <w:r w:rsidR="004B5EEB" w:rsidRPr="00A02975">
        <w:rPr>
          <w:sz w:val="24"/>
          <w:szCs w:val="24"/>
        </w:rPr>
        <w:t xml:space="preserve"> a</w:t>
      </w:r>
      <w:r w:rsidR="008235C2" w:rsidRPr="00A02975">
        <w:rPr>
          <w:sz w:val="24"/>
          <w:szCs w:val="24"/>
        </w:rPr>
        <w:t> </w:t>
      </w:r>
      <w:r w:rsidR="004B5EEB" w:rsidRPr="00A02975">
        <w:rPr>
          <w:sz w:val="24"/>
          <w:szCs w:val="24"/>
        </w:rPr>
        <w:t>rovněž předmětem kritiky ze strany Evropské komise. V souladu se zákonnou úpravou z roku 2015</w:t>
      </w:r>
      <w:r w:rsidR="004B5EEB" w:rsidRPr="00A02975">
        <w:rPr>
          <w:rStyle w:val="Znakapoznpodarou"/>
          <w:sz w:val="24"/>
          <w:szCs w:val="24"/>
        </w:rPr>
        <w:footnoteReference w:id="26"/>
      </w:r>
      <w:r w:rsidR="004B5EEB" w:rsidRPr="00A02975">
        <w:rPr>
          <w:sz w:val="24"/>
          <w:szCs w:val="24"/>
        </w:rPr>
        <w:t xml:space="preserve"> a po ukončení notifikačního procesu v roce 2018 byly čisté náklady za období let 2015</w:t>
      </w:r>
      <w:r w:rsidR="007A6146" w:rsidRPr="00A02975">
        <w:rPr>
          <w:sz w:val="24"/>
          <w:szCs w:val="24"/>
        </w:rPr>
        <w:t xml:space="preserve"> až </w:t>
      </w:r>
      <w:r w:rsidR="004B5EEB" w:rsidRPr="00A02975">
        <w:rPr>
          <w:sz w:val="24"/>
          <w:szCs w:val="24"/>
        </w:rPr>
        <w:t>2017 proplaceny v roce 2018 České poště z</w:t>
      </w:r>
      <w:r w:rsidR="007A6146" w:rsidRPr="00A02975">
        <w:rPr>
          <w:sz w:val="24"/>
          <w:szCs w:val="24"/>
        </w:rPr>
        <w:t>e státního rozpočtu prostřednictvím</w:t>
      </w:r>
      <w:r w:rsidR="004B5EEB" w:rsidRPr="00A02975">
        <w:rPr>
          <w:sz w:val="24"/>
          <w:szCs w:val="24"/>
        </w:rPr>
        <w:t xml:space="preserve"> rozpočtové kapitoly ČTÚ. Na základě výzvy Evropské komise ke zrušení kompenzačního fondu rozhodla vláda ČR v březnu 2017</w:t>
      </w:r>
      <w:r w:rsidR="004B5EEB" w:rsidRPr="00A02975">
        <w:rPr>
          <w:rStyle w:val="Znakapoznpodarou"/>
          <w:sz w:val="24"/>
          <w:szCs w:val="24"/>
        </w:rPr>
        <w:footnoteReference w:id="27"/>
      </w:r>
      <w:r w:rsidR="004B5EEB" w:rsidRPr="00A02975">
        <w:rPr>
          <w:sz w:val="24"/>
          <w:szCs w:val="24"/>
        </w:rPr>
        <w:t>, že také čisté náklady za roky 2013 a 2014 budou proplaceny</w:t>
      </w:r>
      <w:r w:rsidR="007A6146" w:rsidRPr="00A02975">
        <w:rPr>
          <w:sz w:val="24"/>
          <w:szCs w:val="24"/>
        </w:rPr>
        <w:t xml:space="preserve"> ze státního rozpočtu prostřednictvím</w:t>
      </w:r>
      <w:r w:rsidR="004B5EEB" w:rsidRPr="00A02975">
        <w:rPr>
          <w:sz w:val="24"/>
          <w:szCs w:val="24"/>
        </w:rPr>
        <w:t xml:space="preserve"> rozpočtové kapitoly ČTÚ. Úhradu těchto nákladů ve výši 800 mil. Kč provedl ČTÚ v roce 2019 a 2020 poté, co se rozhodnutí vlády promítlo do novelizace</w:t>
      </w:r>
      <w:r w:rsidR="001F59CB">
        <w:rPr>
          <w:sz w:val="24"/>
          <w:szCs w:val="24"/>
        </w:rPr>
        <w:t xml:space="preserve"> </w:t>
      </w:r>
      <w:r w:rsidR="004B5EEB" w:rsidRPr="00A02975">
        <w:rPr>
          <w:sz w:val="24"/>
          <w:szCs w:val="24"/>
        </w:rPr>
        <w:t>zákona č. 29/2000 Sb.</w:t>
      </w:r>
      <w:r w:rsidR="004B5EEB" w:rsidRPr="00A02975">
        <w:rPr>
          <w:rStyle w:val="Znakapoznpodarou"/>
          <w:sz w:val="24"/>
          <w:szCs w:val="24"/>
        </w:rPr>
        <w:footnoteReference w:id="28"/>
      </w:r>
      <w:r w:rsidR="004A0AAB" w:rsidRPr="00A02975">
        <w:rPr>
          <w:sz w:val="24"/>
          <w:szCs w:val="24"/>
        </w:rPr>
        <w:t xml:space="preserve"> Pro období let 2018 </w:t>
      </w:r>
      <w:r w:rsidR="00E77FB6" w:rsidRPr="00A02975">
        <w:rPr>
          <w:sz w:val="24"/>
          <w:szCs w:val="24"/>
        </w:rPr>
        <w:t>až</w:t>
      </w:r>
      <w:r w:rsidR="004A0AAB" w:rsidRPr="00A02975">
        <w:rPr>
          <w:sz w:val="24"/>
          <w:szCs w:val="24"/>
        </w:rPr>
        <w:t xml:space="preserve"> 2022 byl notifikační proces </w:t>
      </w:r>
      <w:r w:rsidR="004A0AAB" w:rsidRPr="00A02975">
        <w:rPr>
          <w:sz w:val="24"/>
          <w:szCs w:val="24"/>
        </w:rPr>
        <w:lastRenderedPageBreak/>
        <w:t>k proplácení čistých nákladů ukončen v </w:t>
      </w:r>
      <w:r w:rsidR="00A630A8" w:rsidRPr="00A02975">
        <w:rPr>
          <w:sz w:val="24"/>
          <w:szCs w:val="24"/>
        </w:rPr>
        <w:t>červenci</w:t>
      </w:r>
      <w:r w:rsidR="004A0AAB" w:rsidRPr="00A02975">
        <w:rPr>
          <w:sz w:val="24"/>
          <w:szCs w:val="24"/>
        </w:rPr>
        <w:t xml:space="preserve"> 2022, čisté náklady za období let 2018 </w:t>
      </w:r>
      <w:r w:rsidR="007A6146" w:rsidRPr="00A02975">
        <w:rPr>
          <w:sz w:val="24"/>
          <w:szCs w:val="24"/>
        </w:rPr>
        <w:t>až</w:t>
      </w:r>
      <w:r w:rsidR="004A0AAB" w:rsidRPr="00A02975">
        <w:rPr>
          <w:sz w:val="24"/>
          <w:szCs w:val="24"/>
        </w:rPr>
        <w:t xml:space="preserve"> 2020 ČTÚ uhradil v srpnu 2022</w:t>
      </w:r>
      <w:r w:rsidR="004A0AAB" w:rsidRPr="00A02975">
        <w:rPr>
          <w:rStyle w:val="Znakapoznpodarou"/>
          <w:sz w:val="24"/>
          <w:szCs w:val="24"/>
        </w:rPr>
        <w:footnoteReference w:id="29"/>
      </w:r>
      <w:r w:rsidR="0073543A" w:rsidRPr="00A02975">
        <w:rPr>
          <w:sz w:val="24"/>
          <w:szCs w:val="24"/>
        </w:rPr>
        <w:t>.</w:t>
      </w:r>
    </w:p>
    <w:p w14:paraId="47AAD61F" w14:textId="3FDD0C61" w:rsidR="00E746A6" w:rsidRPr="00A02975" w:rsidRDefault="00E746A6" w:rsidP="00A02975">
      <w:pPr>
        <w:keepNext/>
        <w:spacing w:after="120" w:line="264" w:lineRule="auto"/>
        <w:rPr>
          <w:b/>
          <w:sz w:val="24"/>
          <w:szCs w:val="24"/>
        </w:rPr>
      </w:pPr>
      <w:r w:rsidRPr="00A02975">
        <w:rPr>
          <w:b/>
          <w:sz w:val="24"/>
          <w:szCs w:val="24"/>
        </w:rPr>
        <w:t>Podíl nákladů, který proplác</w:t>
      </w:r>
      <w:r w:rsidR="009E7020" w:rsidRPr="00A02975">
        <w:rPr>
          <w:b/>
          <w:sz w:val="24"/>
          <w:szCs w:val="24"/>
        </w:rPr>
        <w:t>el</w:t>
      </w:r>
      <w:r w:rsidRPr="00A02975">
        <w:rPr>
          <w:b/>
          <w:sz w:val="24"/>
          <w:szCs w:val="24"/>
        </w:rPr>
        <w:t xml:space="preserve"> ČTÚ držiteli poštovní licence na základě zákonných limitů, čin</w:t>
      </w:r>
      <w:r w:rsidR="00CC63FD" w:rsidRPr="00A02975">
        <w:rPr>
          <w:b/>
          <w:sz w:val="24"/>
          <w:szCs w:val="24"/>
        </w:rPr>
        <w:t>il</w:t>
      </w:r>
      <w:r w:rsidRPr="00A02975">
        <w:rPr>
          <w:b/>
          <w:sz w:val="24"/>
          <w:szCs w:val="24"/>
        </w:rPr>
        <w:t xml:space="preserve"> </w:t>
      </w:r>
      <w:r w:rsidR="006F6DAF" w:rsidRPr="00A02975">
        <w:rPr>
          <w:b/>
          <w:sz w:val="24"/>
          <w:szCs w:val="24"/>
        </w:rPr>
        <w:t xml:space="preserve">až </w:t>
      </w:r>
      <w:r w:rsidRPr="00A02975">
        <w:rPr>
          <w:b/>
          <w:sz w:val="24"/>
          <w:szCs w:val="24"/>
        </w:rPr>
        <w:t>61 % požadavku držitele licence</w:t>
      </w:r>
      <w:r w:rsidR="00715634" w:rsidRPr="00A02975">
        <w:rPr>
          <w:b/>
          <w:sz w:val="24"/>
          <w:szCs w:val="24"/>
        </w:rPr>
        <w:t>.</w:t>
      </w:r>
    </w:p>
    <w:p w14:paraId="1BEE3C1D" w14:textId="64D331B0" w:rsidR="004A0AAB" w:rsidRPr="00A02975" w:rsidRDefault="004A0AAB" w:rsidP="00A02975">
      <w:pPr>
        <w:spacing w:after="120" w:line="264" w:lineRule="auto"/>
        <w:jc w:val="both"/>
        <w:rPr>
          <w:sz w:val="24"/>
          <w:szCs w:val="24"/>
        </w:rPr>
      </w:pPr>
      <w:r w:rsidRPr="00A02975">
        <w:rPr>
          <w:sz w:val="24"/>
          <w:szCs w:val="24"/>
        </w:rPr>
        <w:t xml:space="preserve">Přehled výše čistých nákladů, jejich zákonných limitů a skutečných úhrad je uveden v tabulce č. </w:t>
      </w:r>
      <w:r w:rsidR="0086053B" w:rsidRPr="00A02975">
        <w:rPr>
          <w:sz w:val="24"/>
          <w:szCs w:val="24"/>
        </w:rPr>
        <w:t>2</w:t>
      </w:r>
      <w:r w:rsidRPr="00A02975">
        <w:rPr>
          <w:sz w:val="24"/>
          <w:szCs w:val="24"/>
        </w:rPr>
        <w:t>. Za zajišťování a poskytování základních služeb v letech 2013</w:t>
      </w:r>
      <w:r w:rsidR="00365852" w:rsidRPr="00A02975">
        <w:rPr>
          <w:sz w:val="24"/>
          <w:szCs w:val="24"/>
        </w:rPr>
        <w:t xml:space="preserve"> až </w:t>
      </w:r>
      <w:r w:rsidRPr="00A02975">
        <w:rPr>
          <w:sz w:val="24"/>
          <w:szCs w:val="24"/>
        </w:rPr>
        <w:t>2017 uhradil ČTÚ České poště celkem 2</w:t>
      </w:r>
      <w:r w:rsidR="00715634" w:rsidRPr="00A02975">
        <w:rPr>
          <w:sz w:val="24"/>
          <w:szCs w:val="24"/>
        </w:rPr>
        <w:t>,</w:t>
      </w:r>
      <w:r w:rsidRPr="00A02975">
        <w:rPr>
          <w:sz w:val="24"/>
          <w:szCs w:val="24"/>
        </w:rPr>
        <w:t>6 m</w:t>
      </w:r>
      <w:r w:rsidR="00715634" w:rsidRPr="00A02975">
        <w:rPr>
          <w:sz w:val="24"/>
          <w:szCs w:val="24"/>
        </w:rPr>
        <w:t>ld</w:t>
      </w:r>
      <w:r w:rsidRPr="00A02975">
        <w:rPr>
          <w:sz w:val="24"/>
          <w:szCs w:val="24"/>
        </w:rPr>
        <w:t xml:space="preserve">. Kč. Výše kompenzace ze státního rozpočtu se tak na úhradě čistých nákladů vynaložených Českou poštou podílela ze 49,7 %. Podíl státního rozpočtu v požadavku na úhradu </w:t>
      </w:r>
      <w:r w:rsidR="00715634" w:rsidRPr="00A02975">
        <w:rPr>
          <w:sz w:val="24"/>
          <w:szCs w:val="24"/>
        </w:rPr>
        <w:t xml:space="preserve">čistých nákladů </w:t>
      </w:r>
      <w:r w:rsidRPr="00A02975">
        <w:rPr>
          <w:sz w:val="24"/>
          <w:szCs w:val="24"/>
        </w:rPr>
        <w:t>za období</w:t>
      </w:r>
      <w:r w:rsidR="00A625B1" w:rsidRPr="00A02975">
        <w:rPr>
          <w:sz w:val="24"/>
          <w:szCs w:val="24"/>
        </w:rPr>
        <w:t xml:space="preserve"> let</w:t>
      </w:r>
      <w:r w:rsidRPr="00A02975">
        <w:rPr>
          <w:sz w:val="24"/>
          <w:szCs w:val="24"/>
        </w:rPr>
        <w:t xml:space="preserve"> 2018</w:t>
      </w:r>
      <w:r w:rsidR="00365852" w:rsidRPr="00A02975">
        <w:rPr>
          <w:sz w:val="24"/>
          <w:szCs w:val="24"/>
        </w:rPr>
        <w:t xml:space="preserve"> až </w:t>
      </w:r>
      <w:r w:rsidRPr="00A02975">
        <w:rPr>
          <w:sz w:val="24"/>
          <w:szCs w:val="24"/>
        </w:rPr>
        <w:t>2020 čin</w:t>
      </w:r>
      <w:r w:rsidR="00715634" w:rsidRPr="00A02975">
        <w:rPr>
          <w:sz w:val="24"/>
          <w:szCs w:val="24"/>
        </w:rPr>
        <w:t>il</w:t>
      </w:r>
      <w:r w:rsidRPr="00A02975">
        <w:rPr>
          <w:sz w:val="24"/>
          <w:szCs w:val="24"/>
        </w:rPr>
        <w:t xml:space="preserve"> 60,7 %.</w:t>
      </w:r>
    </w:p>
    <w:p w14:paraId="30BA3FEA" w14:textId="09D3A822" w:rsidR="004A0AAB" w:rsidRPr="00A02975" w:rsidRDefault="004A0AAB" w:rsidP="00274B9B">
      <w:pPr>
        <w:keepNext/>
        <w:spacing w:after="120" w:line="264" w:lineRule="auto"/>
        <w:rPr>
          <w:b/>
          <w:sz w:val="24"/>
          <w:szCs w:val="24"/>
        </w:rPr>
      </w:pPr>
      <w:r w:rsidRPr="00A02975">
        <w:rPr>
          <w:b/>
          <w:sz w:val="24"/>
          <w:szCs w:val="24"/>
        </w:rPr>
        <w:t xml:space="preserve">Náklady na poskytování základních poštovních služeb mezi roky 2013 a 2020 se zdvojnásobily, zatímco jejich </w:t>
      </w:r>
      <w:r w:rsidR="00A625B1" w:rsidRPr="00A02975">
        <w:rPr>
          <w:b/>
          <w:sz w:val="24"/>
          <w:szCs w:val="24"/>
        </w:rPr>
        <w:t>objem</w:t>
      </w:r>
      <w:r w:rsidRPr="00A02975">
        <w:rPr>
          <w:b/>
          <w:sz w:val="24"/>
          <w:szCs w:val="24"/>
        </w:rPr>
        <w:t xml:space="preserve"> klesl na polovinu</w:t>
      </w:r>
      <w:r w:rsidR="007A1B39" w:rsidRPr="00A02975">
        <w:rPr>
          <w:b/>
          <w:sz w:val="24"/>
          <w:szCs w:val="24"/>
        </w:rPr>
        <w:t>.</w:t>
      </w:r>
    </w:p>
    <w:p w14:paraId="61015CCD" w14:textId="1DCA03E8" w:rsidR="00214C7E" w:rsidRPr="00A02975" w:rsidRDefault="00A625B1" w:rsidP="00A02975">
      <w:pPr>
        <w:spacing w:after="120" w:line="264" w:lineRule="auto"/>
        <w:jc w:val="both"/>
        <w:rPr>
          <w:sz w:val="24"/>
          <w:szCs w:val="24"/>
        </w:rPr>
      </w:pPr>
      <w:r w:rsidRPr="00A02975">
        <w:rPr>
          <w:sz w:val="24"/>
          <w:szCs w:val="24"/>
        </w:rPr>
        <w:t>Objem</w:t>
      </w:r>
      <w:r w:rsidR="00214C7E" w:rsidRPr="00A02975">
        <w:rPr>
          <w:sz w:val="24"/>
          <w:szCs w:val="24"/>
        </w:rPr>
        <w:t xml:space="preserve"> poskytovaných základních služeb klesl mezi roky 2013</w:t>
      </w:r>
      <w:r w:rsidR="00CE7BE8" w:rsidRPr="00A02975">
        <w:rPr>
          <w:sz w:val="24"/>
          <w:szCs w:val="24"/>
        </w:rPr>
        <w:t xml:space="preserve"> a 2020</w:t>
      </w:r>
      <w:r w:rsidR="00666C23" w:rsidRPr="00A02975">
        <w:rPr>
          <w:sz w:val="24"/>
          <w:szCs w:val="24"/>
        </w:rPr>
        <w:t xml:space="preserve"> z</w:t>
      </w:r>
      <w:r w:rsidR="0073543A" w:rsidRPr="00A02975">
        <w:rPr>
          <w:sz w:val="24"/>
          <w:szCs w:val="24"/>
        </w:rPr>
        <w:t>e</w:t>
      </w:r>
      <w:r w:rsidR="00CE7BE8" w:rsidRPr="00A02975">
        <w:rPr>
          <w:sz w:val="24"/>
          <w:szCs w:val="24"/>
        </w:rPr>
        <w:t xml:space="preserve"> 477,6 mil</w:t>
      </w:r>
      <w:r w:rsidR="008B3246">
        <w:rPr>
          <w:sz w:val="24"/>
          <w:szCs w:val="24"/>
        </w:rPr>
        <w:t>ionu</w:t>
      </w:r>
      <w:r w:rsidR="00CE7BE8" w:rsidRPr="00A02975">
        <w:rPr>
          <w:sz w:val="24"/>
          <w:szCs w:val="24"/>
        </w:rPr>
        <w:t xml:space="preserve"> na 24</w:t>
      </w:r>
      <w:r w:rsidR="00484AED" w:rsidRPr="00A02975">
        <w:rPr>
          <w:sz w:val="24"/>
          <w:szCs w:val="24"/>
        </w:rPr>
        <w:t>7</w:t>
      </w:r>
      <w:r w:rsidR="00CE7BE8" w:rsidRPr="00A02975">
        <w:rPr>
          <w:sz w:val="24"/>
          <w:szCs w:val="24"/>
        </w:rPr>
        <w:t>,4</w:t>
      </w:r>
      <w:r w:rsidR="00274B9B">
        <w:rPr>
          <w:sz w:val="24"/>
          <w:szCs w:val="24"/>
        </w:rPr>
        <w:t> </w:t>
      </w:r>
      <w:r w:rsidR="00CE7BE8" w:rsidRPr="00A02975">
        <w:rPr>
          <w:sz w:val="24"/>
          <w:szCs w:val="24"/>
        </w:rPr>
        <w:t>mil</w:t>
      </w:r>
      <w:r w:rsidR="008B3246">
        <w:rPr>
          <w:sz w:val="24"/>
          <w:szCs w:val="24"/>
        </w:rPr>
        <w:t>ionu</w:t>
      </w:r>
      <w:r w:rsidR="00274B9B">
        <w:rPr>
          <w:sz w:val="24"/>
          <w:szCs w:val="24"/>
        </w:rPr>
        <w:t> </w:t>
      </w:r>
      <w:r w:rsidR="00CE7BE8" w:rsidRPr="00A02975">
        <w:rPr>
          <w:sz w:val="24"/>
          <w:szCs w:val="24"/>
        </w:rPr>
        <w:t>kusů. C</w:t>
      </w:r>
      <w:r w:rsidR="00214C7E" w:rsidRPr="00A02975">
        <w:rPr>
          <w:sz w:val="24"/>
          <w:szCs w:val="24"/>
        </w:rPr>
        <w:t>elkové náklady</w:t>
      </w:r>
      <w:r w:rsidR="00CE7BE8" w:rsidRPr="00A02975">
        <w:rPr>
          <w:sz w:val="24"/>
          <w:szCs w:val="24"/>
        </w:rPr>
        <w:t xml:space="preserve"> </w:t>
      </w:r>
      <w:r w:rsidR="00214C7E" w:rsidRPr="00A02975">
        <w:rPr>
          <w:sz w:val="24"/>
          <w:szCs w:val="24"/>
        </w:rPr>
        <w:t xml:space="preserve">na jejich poskytování </w:t>
      </w:r>
      <w:r w:rsidR="00CE7BE8" w:rsidRPr="00A02975">
        <w:rPr>
          <w:sz w:val="24"/>
          <w:szCs w:val="24"/>
        </w:rPr>
        <w:t xml:space="preserve">se ve stejném období </w:t>
      </w:r>
      <w:r w:rsidR="00214C7E" w:rsidRPr="00A02975">
        <w:rPr>
          <w:sz w:val="24"/>
          <w:szCs w:val="24"/>
        </w:rPr>
        <w:t>zdvojnásobily</w:t>
      </w:r>
      <w:r w:rsidR="00CE7BE8" w:rsidRPr="00A02975">
        <w:rPr>
          <w:sz w:val="24"/>
          <w:szCs w:val="24"/>
        </w:rPr>
        <w:t xml:space="preserve"> z</w:t>
      </w:r>
      <w:r w:rsidR="00274B9B">
        <w:rPr>
          <w:sz w:val="24"/>
          <w:szCs w:val="24"/>
        </w:rPr>
        <w:t> </w:t>
      </w:r>
      <w:r w:rsidR="00CE7BE8" w:rsidRPr="00A02975">
        <w:rPr>
          <w:sz w:val="24"/>
          <w:szCs w:val="24"/>
        </w:rPr>
        <w:t>948</w:t>
      </w:r>
      <w:r w:rsidR="00274B9B">
        <w:rPr>
          <w:sz w:val="24"/>
          <w:szCs w:val="24"/>
        </w:rPr>
        <w:t> </w:t>
      </w:r>
      <w:r w:rsidR="00CE7BE8" w:rsidRPr="00A02975">
        <w:rPr>
          <w:sz w:val="24"/>
          <w:szCs w:val="24"/>
        </w:rPr>
        <w:t>mil.</w:t>
      </w:r>
      <w:r w:rsidR="00274B9B">
        <w:rPr>
          <w:sz w:val="24"/>
          <w:szCs w:val="24"/>
        </w:rPr>
        <w:t> </w:t>
      </w:r>
      <w:r w:rsidR="00CE7BE8" w:rsidRPr="00A02975">
        <w:rPr>
          <w:sz w:val="24"/>
          <w:szCs w:val="24"/>
        </w:rPr>
        <w:t xml:space="preserve">Kč na 1 870 mil. Kč </w:t>
      </w:r>
      <w:r w:rsidR="00CC63FD" w:rsidRPr="00A02975">
        <w:rPr>
          <w:sz w:val="24"/>
          <w:szCs w:val="24"/>
        </w:rPr>
        <w:t>(graf č. 1</w:t>
      </w:r>
      <w:r w:rsidR="00CE7BE8" w:rsidRPr="00A02975">
        <w:rPr>
          <w:sz w:val="24"/>
          <w:szCs w:val="24"/>
        </w:rPr>
        <w:t>, tabulka č. 2</w:t>
      </w:r>
      <w:r w:rsidR="00CC63FD" w:rsidRPr="00A02975">
        <w:rPr>
          <w:sz w:val="24"/>
          <w:szCs w:val="24"/>
        </w:rPr>
        <w:t>)</w:t>
      </w:r>
      <w:r w:rsidR="00214C7E" w:rsidRPr="00A02975">
        <w:rPr>
          <w:sz w:val="24"/>
          <w:szCs w:val="24"/>
        </w:rPr>
        <w:t xml:space="preserve">. Snižování </w:t>
      </w:r>
      <w:r w:rsidRPr="00A02975">
        <w:rPr>
          <w:sz w:val="24"/>
          <w:szCs w:val="24"/>
        </w:rPr>
        <w:t>objemu</w:t>
      </w:r>
      <w:r w:rsidR="00214C7E" w:rsidRPr="00A02975">
        <w:rPr>
          <w:sz w:val="24"/>
          <w:szCs w:val="24"/>
        </w:rPr>
        <w:t xml:space="preserve"> poskytovaných základních služeb lze předpokládat i v následujících letech s ohledem na zákon č.</w:t>
      </w:r>
      <w:r w:rsidR="00274B9B">
        <w:rPr>
          <w:sz w:val="24"/>
          <w:szCs w:val="24"/>
        </w:rPr>
        <w:t> </w:t>
      </w:r>
      <w:r w:rsidR="00214C7E" w:rsidRPr="00A02975">
        <w:rPr>
          <w:sz w:val="24"/>
          <w:szCs w:val="24"/>
        </w:rPr>
        <w:t>261/2021</w:t>
      </w:r>
      <w:r w:rsidR="00274B9B">
        <w:rPr>
          <w:sz w:val="24"/>
          <w:szCs w:val="24"/>
        </w:rPr>
        <w:t> </w:t>
      </w:r>
      <w:r w:rsidR="00214C7E" w:rsidRPr="00A02975">
        <w:rPr>
          <w:sz w:val="24"/>
          <w:szCs w:val="24"/>
        </w:rPr>
        <w:t>Sb.</w:t>
      </w:r>
      <w:r w:rsidR="00214C7E" w:rsidRPr="00A02975">
        <w:rPr>
          <w:rStyle w:val="Znakapoznpodarou"/>
          <w:sz w:val="24"/>
          <w:szCs w:val="24"/>
        </w:rPr>
        <w:footnoteReference w:id="30"/>
      </w:r>
      <w:r w:rsidR="00214C7E" w:rsidRPr="00A02975">
        <w:rPr>
          <w:sz w:val="24"/>
          <w:szCs w:val="24"/>
        </w:rPr>
        <w:t xml:space="preserve">, který automaticky zakládá všem právnickým osobám a fyzickým podnikajícím osobám datové schránky. Stejně tak </w:t>
      </w:r>
      <w:r w:rsidR="00377F68" w:rsidRPr="00A02975">
        <w:rPr>
          <w:sz w:val="24"/>
          <w:szCs w:val="24"/>
        </w:rPr>
        <w:t xml:space="preserve">si budou moci zřídit </w:t>
      </w:r>
      <w:r w:rsidR="00214C7E" w:rsidRPr="00A02975">
        <w:rPr>
          <w:sz w:val="24"/>
          <w:szCs w:val="24"/>
        </w:rPr>
        <w:t xml:space="preserve">datovou schránku fyzické nepodnikající osoby, které od roku 2023 využijí pro komunikaci se státem některou z forem elektronické komunikace – </w:t>
      </w:r>
      <w:proofErr w:type="spellStart"/>
      <w:r w:rsidR="00214C7E" w:rsidRPr="00A02975">
        <w:rPr>
          <w:sz w:val="24"/>
          <w:szCs w:val="24"/>
        </w:rPr>
        <w:t>eObčanku</w:t>
      </w:r>
      <w:proofErr w:type="spellEnd"/>
      <w:r w:rsidR="00214C7E" w:rsidRPr="00A02975">
        <w:rPr>
          <w:sz w:val="24"/>
          <w:szCs w:val="24"/>
        </w:rPr>
        <w:t xml:space="preserve">, </w:t>
      </w:r>
      <w:r w:rsidR="008B3246">
        <w:rPr>
          <w:sz w:val="24"/>
          <w:szCs w:val="24"/>
        </w:rPr>
        <w:t>b</w:t>
      </w:r>
      <w:r w:rsidR="00214C7E" w:rsidRPr="00A02975">
        <w:rPr>
          <w:sz w:val="24"/>
          <w:szCs w:val="24"/>
        </w:rPr>
        <w:t>ankovní identitu apod. Jedná se cca o</w:t>
      </w:r>
      <w:r w:rsidR="00274B9B">
        <w:rPr>
          <w:sz w:val="24"/>
          <w:szCs w:val="24"/>
        </w:rPr>
        <w:t> </w:t>
      </w:r>
      <w:r w:rsidR="00214C7E" w:rsidRPr="00A02975">
        <w:rPr>
          <w:sz w:val="24"/>
          <w:szCs w:val="24"/>
        </w:rPr>
        <w:t>3</w:t>
      </w:r>
      <w:r w:rsidR="00274B9B">
        <w:rPr>
          <w:sz w:val="24"/>
          <w:szCs w:val="24"/>
        </w:rPr>
        <w:t> </w:t>
      </w:r>
      <w:r w:rsidR="00214C7E" w:rsidRPr="00A02975">
        <w:rPr>
          <w:sz w:val="24"/>
          <w:szCs w:val="24"/>
        </w:rPr>
        <w:t>miliony datových schránek</w:t>
      </w:r>
      <w:r w:rsidR="00214C7E" w:rsidRPr="00A02975">
        <w:rPr>
          <w:rStyle w:val="Znakapoznpodarou"/>
          <w:sz w:val="24"/>
          <w:szCs w:val="24"/>
        </w:rPr>
        <w:footnoteReference w:id="31"/>
      </w:r>
      <w:r w:rsidR="00214C7E" w:rsidRPr="00A02975">
        <w:rPr>
          <w:sz w:val="24"/>
          <w:szCs w:val="24"/>
        </w:rPr>
        <w:t>, s jejichž majiteli bude komunikovat stát elektronicky u všech typů doručování</w:t>
      </w:r>
      <w:r w:rsidR="008B3246">
        <w:rPr>
          <w:sz w:val="24"/>
          <w:szCs w:val="24"/>
        </w:rPr>
        <w:t>,</w:t>
      </w:r>
      <w:r w:rsidR="00214C7E" w:rsidRPr="00A02975">
        <w:rPr>
          <w:sz w:val="24"/>
          <w:szCs w:val="24"/>
        </w:rPr>
        <w:t xml:space="preserve"> a nebude tak nadále využívat základní poštovní služby.</w:t>
      </w:r>
      <w:r w:rsidR="004A0AAB" w:rsidRPr="00A02975">
        <w:rPr>
          <w:sz w:val="24"/>
          <w:szCs w:val="24"/>
        </w:rPr>
        <w:t xml:space="preserve"> </w:t>
      </w:r>
      <w:r w:rsidR="00214C7E" w:rsidRPr="00A02975">
        <w:rPr>
          <w:sz w:val="24"/>
          <w:szCs w:val="24"/>
        </w:rPr>
        <w:t xml:space="preserve">Čisté náklady mají převážně fixní charakter, což při poklesu počtu poskytovaných služeb vede k nárůstu jejich jednotkových nákladů. </w:t>
      </w:r>
      <w:r w:rsidR="00214C7E" w:rsidRPr="00A02975">
        <w:rPr>
          <w:b/>
          <w:sz w:val="24"/>
          <w:szCs w:val="24"/>
        </w:rPr>
        <w:t>Zatímco v</w:t>
      </w:r>
      <w:r w:rsidR="00214C7E" w:rsidRPr="00A02975">
        <w:rPr>
          <w:b/>
          <w:sz w:val="24"/>
          <w:szCs w:val="24"/>
          <w:lang w:eastAsia="cs-CZ"/>
        </w:rPr>
        <w:t xml:space="preserve"> roce 2013 byl průměrný jednotkový náklad 2 Kč za poskytnutou službu, v roce 2020 průměrný jednotkový náklad </w:t>
      </w:r>
      <w:r w:rsidR="00186AA5" w:rsidRPr="00A02975">
        <w:rPr>
          <w:b/>
          <w:sz w:val="24"/>
          <w:szCs w:val="24"/>
          <w:lang w:eastAsia="cs-CZ"/>
        </w:rPr>
        <w:t>vzrostl</w:t>
      </w:r>
      <w:r w:rsidR="00214C7E" w:rsidRPr="00A02975">
        <w:rPr>
          <w:b/>
          <w:sz w:val="24"/>
          <w:szCs w:val="24"/>
          <w:lang w:eastAsia="cs-CZ"/>
        </w:rPr>
        <w:t xml:space="preserve"> na 7,4 Kč za poskytnutou službu. </w:t>
      </w:r>
    </w:p>
    <w:p w14:paraId="27E8F9E4" w14:textId="3C93ED39" w:rsidR="00CC63FD" w:rsidRPr="00A02975" w:rsidRDefault="00CC63FD" w:rsidP="00274B9B">
      <w:pPr>
        <w:keepNext/>
        <w:autoSpaceDE w:val="0"/>
        <w:autoSpaceDN w:val="0"/>
        <w:adjustRightInd w:val="0"/>
        <w:spacing w:after="40" w:line="240" w:lineRule="auto"/>
        <w:ind w:left="993" w:hanging="993"/>
        <w:jc w:val="both"/>
        <w:rPr>
          <w:rFonts w:cstheme="minorHAnsi"/>
          <w:b/>
          <w:sz w:val="24"/>
          <w:szCs w:val="24"/>
        </w:rPr>
      </w:pPr>
      <w:r w:rsidRPr="00A02975">
        <w:rPr>
          <w:rFonts w:cstheme="minorHAnsi"/>
          <w:b/>
          <w:sz w:val="24"/>
          <w:szCs w:val="24"/>
        </w:rPr>
        <w:lastRenderedPageBreak/>
        <w:t xml:space="preserve">Graf č. 1: </w:t>
      </w:r>
      <w:r w:rsidR="00274B9B">
        <w:rPr>
          <w:rFonts w:cstheme="minorHAnsi"/>
          <w:b/>
          <w:sz w:val="24"/>
          <w:szCs w:val="24"/>
        </w:rPr>
        <w:tab/>
      </w:r>
      <w:r w:rsidRPr="00A02975">
        <w:rPr>
          <w:rFonts w:cstheme="minorHAnsi"/>
          <w:b/>
          <w:sz w:val="24"/>
          <w:szCs w:val="24"/>
        </w:rPr>
        <w:t xml:space="preserve">Vývoj </w:t>
      </w:r>
      <w:r w:rsidR="00A625B1" w:rsidRPr="00A02975">
        <w:rPr>
          <w:rFonts w:cstheme="minorHAnsi"/>
          <w:b/>
          <w:sz w:val="24"/>
          <w:szCs w:val="24"/>
        </w:rPr>
        <w:t>objemu</w:t>
      </w:r>
      <w:r w:rsidRPr="00A02975">
        <w:rPr>
          <w:rFonts w:cstheme="minorHAnsi"/>
          <w:b/>
          <w:sz w:val="24"/>
          <w:szCs w:val="24"/>
        </w:rPr>
        <w:t xml:space="preserve"> poskytovaných základních služeb a výše čistých nákladů na jejich poskytování, včetně kompenzace čistých nákladů ze státního rozpočtu v období 2013 až 2020</w:t>
      </w:r>
    </w:p>
    <w:p w14:paraId="105D2046" w14:textId="01851F20" w:rsidR="00CC63FD" w:rsidRDefault="00416CC0" w:rsidP="00CC63FD">
      <w:pPr>
        <w:spacing w:after="0"/>
        <w:rPr>
          <w:sz w:val="24"/>
        </w:rPr>
      </w:pPr>
      <w:r>
        <w:rPr>
          <w:noProof/>
          <w:sz w:val="24"/>
        </w:rPr>
        <w:drawing>
          <wp:inline distT="0" distB="0" distL="0" distR="0" wp14:anchorId="6B07BB6E" wp14:editId="0C9C0005">
            <wp:extent cx="5760720" cy="322199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_29-11-uprava.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60720" cy="3221990"/>
                    </a:xfrm>
                    <a:prstGeom prst="rect">
                      <a:avLst/>
                    </a:prstGeom>
                  </pic:spPr>
                </pic:pic>
              </a:graphicData>
            </a:graphic>
          </wp:inline>
        </w:drawing>
      </w:r>
    </w:p>
    <w:p w14:paraId="5FABD6AC" w14:textId="74786E09" w:rsidR="00CC63FD" w:rsidRPr="00F244C9" w:rsidRDefault="00BB42F9" w:rsidP="00BB42F9">
      <w:pPr>
        <w:autoSpaceDE w:val="0"/>
        <w:autoSpaceDN w:val="0"/>
        <w:adjustRightInd w:val="0"/>
        <w:spacing w:after="0"/>
        <w:ind w:left="567" w:hanging="567"/>
        <w:jc w:val="both"/>
        <w:rPr>
          <w:rFonts w:ascii="Calibri" w:hAnsi="Calibri" w:cstheme="minorHAnsi"/>
          <w:sz w:val="20"/>
        </w:rPr>
      </w:pPr>
      <w:r>
        <w:rPr>
          <w:rFonts w:ascii="Calibri" w:hAnsi="Calibri" w:cstheme="minorHAnsi"/>
          <w:b/>
          <w:sz w:val="20"/>
        </w:rPr>
        <w:t>Z</w:t>
      </w:r>
      <w:r w:rsidR="00CC63FD" w:rsidRPr="00144716">
        <w:rPr>
          <w:rFonts w:ascii="Calibri" w:hAnsi="Calibri" w:cstheme="minorHAnsi"/>
          <w:b/>
          <w:sz w:val="20"/>
        </w:rPr>
        <w:t>droj:</w:t>
      </w:r>
      <w:r w:rsidR="00CC63FD" w:rsidRPr="00F244C9">
        <w:rPr>
          <w:rFonts w:ascii="Calibri" w:hAnsi="Calibri" w:cstheme="minorHAnsi"/>
          <w:sz w:val="20"/>
        </w:rPr>
        <w:t xml:space="preserve"> </w:t>
      </w:r>
      <w:r>
        <w:rPr>
          <w:rFonts w:ascii="Calibri" w:hAnsi="Calibri" w:cstheme="minorHAnsi"/>
          <w:sz w:val="20"/>
        </w:rPr>
        <w:t>v</w:t>
      </w:r>
      <w:r w:rsidR="00CC63FD" w:rsidRPr="00F244C9">
        <w:rPr>
          <w:rFonts w:ascii="Calibri" w:hAnsi="Calibri" w:cstheme="minorHAnsi"/>
          <w:sz w:val="20"/>
        </w:rPr>
        <w:t xml:space="preserve">ýroční zprávy ČTÚ z let 2013 </w:t>
      </w:r>
      <w:r w:rsidR="00CC63FD">
        <w:rPr>
          <w:rFonts w:ascii="Calibri" w:hAnsi="Calibri" w:cstheme="minorHAnsi"/>
          <w:sz w:val="20"/>
        </w:rPr>
        <w:t>až</w:t>
      </w:r>
      <w:r w:rsidR="00CC63FD" w:rsidRPr="00F244C9">
        <w:rPr>
          <w:rFonts w:ascii="Calibri" w:hAnsi="Calibri" w:cstheme="minorHAnsi"/>
          <w:sz w:val="20"/>
        </w:rPr>
        <w:t xml:space="preserve"> 2020, žádosti Č</w:t>
      </w:r>
      <w:r w:rsidR="00CC63FD">
        <w:rPr>
          <w:rFonts w:ascii="Calibri" w:hAnsi="Calibri" w:cstheme="minorHAnsi"/>
          <w:sz w:val="20"/>
        </w:rPr>
        <w:t>eské pošty</w:t>
      </w:r>
      <w:r w:rsidR="00CC63FD" w:rsidRPr="00F244C9">
        <w:rPr>
          <w:rFonts w:ascii="Calibri" w:hAnsi="Calibri" w:cstheme="minorHAnsi"/>
          <w:sz w:val="20"/>
        </w:rPr>
        <w:t xml:space="preserve"> o </w:t>
      </w:r>
      <w:r w:rsidR="00CC63FD">
        <w:rPr>
          <w:rFonts w:ascii="Calibri" w:hAnsi="Calibri" w:cstheme="minorHAnsi"/>
          <w:sz w:val="20"/>
        </w:rPr>
        <w:t>úhradu čistých nákladů z let 2018 až 2020</w:t>
      </w:r>
      <w:r w:rsidR="00144716">
        <w:rPr>
          <w:rFonts w:ascii="Calibri" w:hAnsi="Calibri" w:cstheme="minorHAnsi"/>
          <w:sz w:val="20"/>
        </w:rPr>
        <w:t>.</w:t>
      </w:r>
    </w:p>
    <w:p w14:paraId="1F275ED6" w14:textId="61AEF734" w:rsidR="004A0AAB" w:rsidRDefault="00096989" w:rsidP="00274B9B">
      <w:pPr>
        <w:keepNext/>
        <w:spacing w:before="240" w:after="120" w:line="264" w:lineRule="auto"/>
        <w:rPr>
          <w:b/>
          <w:sz w:val="24"/>
          <w:lang w:eastAsia="cs-CZ"/>
        </w:rPr>
      </w:pPr>
      <w:r w:rsidRPr="005C609A">
        <w:rPr>
          <w:b/>
          <w:sz w:val="24"/>
          <w:lang w:eastAsia="cs-CZ"/>
        </w:rPr>
        <w:t>Úsporu nákladů a vyšší zájem o poštovní licenci může přinést změna nařízení vlády</w:t>
      </w:r>
      <w:r w:rsidR="007A1B39">
        <w:rPr>
          <w:b/>
          <w:sz w:val="24"/>
          <w:lang w:eastAsia="cs-CZ"/>
        </w:rPr>
        <w:t>.</w:t>
      </w:r>
    </w:p>
    <w:p w14:paraId="0C521757" w14:textId="1E8532DC" w:rsidR="00214C7E" w:rsidRPr="00DB77BC" w:rsidRDefault="00214C7E" w:rsidP="00274B9B">
      <w:pPr>
        <w:spacing w:after="120" w:line="264" w:lineRule="auto"/>
        <w:jc w:val="both"/>
        <w:rPr>
          <w:sz w:val="24"/>
        </w:rPr>
      </w:pPr>
      <w:r w:rsidRPr="00DB77BC">
        <w:rPr>
          <w:sz w:val="24"/>
        </w:rPr>
        <w:t xml:space="preserve">Ze struktury čistých nákladů </w:t>
      </w:r>
      <w:r w:rsidR="001716FE">
        <w:rPr>
          <w:sz w:val="24"/>
        </w:rPr>
        <w:t xml:space="preserve">podle žádostí České pošty o jejich úhradu vyplývá, že nejvyšší podíl činily náklady na pobočkovou a doručovací síť. Náklady na doručovací síť poklesly v roce 2020, kdy Česká pošta upravila doručování u vybraných listovních zásilek na </w:t>
      </w:r>
      <w:r w:rsidRPr="00DB77BC">
        <w:rPr>
          <w:sz w:val="24"/>
        </w:rPr>
        <w:t xml:space="preserve">dvourychlostní </w:t>
      </w:r>
      <w:r w:rsidRPr="00E93DFE">
        <w:rPr>
          <w:sz w:val="24"/>
        </w:rPr>
        <w:t xml:space="preserve">systém </w:t>
      </w:r>
      <w:r w:rsidR="00A5159C" w:rsidRPr="00E93DFE">
        <w:rPr>
          <w:sz w:val="24"/>
        </w:rPr>
        <w:t>jejich doručování</w:t>
      </w:r>
      <w:r w:rsidRPr="00E93DFE">
        <w:rPr>
          <w:sz w:val="24"/>
        </w:rPr>
        <w:t xml:space="preserve"> (dle volby zákazníka v prioritním</w:t>
      </w:r>
      <w:r w:rsidRPr="00E93DFE">
        <w:rPr>
          <w:rStyle w:val="Znakapoznpodarou"/>
        </w:rPr>
        <w:footnoteReference w:id="32"/>
      </w:r>
      <w:r w:rsidRPr="00E93DFE">
        <w:rPr>
          <w:sz w:val="24"/>
        </w:rPr>
        <w:t xml:space="preserve"> a</w:t>
      </w:r>
      <w:r w:rsidR="001716FE" w:rsidRPr="00E93DFE">
        <w:rPr>
          <w:sz w:val="24"/>
        </w:rPr>
        <w:t xml:space="preserve"> v</w:t>
      </w:r>
      <w:r w:rsidRPr="00E93DFE">
        <w:rPr>
          <w:sz w:val="24"/>
        </w:rPr>
        <w:t xml:space="preserve"> ekonomickém režimu</w:t>
      </w:r>
      <w:r w:rsidRPr="00E93DFE">
        <w:rPr>
          <w:rStyle w:val="Znakapoznpodarou"/>
        </w:rPr>
        <w:footnoteReference w:id="33"/>
      </w:r>
      <w:r w:rsidRPr="00E93DFE">
        <w:rPr>
          <w:sz w:val="24"/>
        </w:rPr>
        <w:t xml:space="preserve">). </w:t>
      </w:r>
      <w:r w:rsidR="001716FE" w:rsidRPr="00E93DFE">
        <w:rPr>
          <w:sz w:val="24"/>
        </w:rPr>
        <w:t>Přetrváv</w:t>
      </w:r>
      <w:r w:rsidR="007A1B39">
        <w:rPr>
          <w:sz w:val="24"/>
        </w:rPr>
        <w:t>al</w:t>
      </w:r>
      <w:r w:rsidR="001716FE" w:rsidRPr="00E93DFE">
        <w:rPr>
          <w:sz w:val="24"/>
        </w:rPr>
        <w:t xml:space="preserve"> ale vysoký podíl nákladů na pobočkovou síť, který se zvýšil z 50 %, resp. 51 %</w:t>
      </w:r>
      <w:r w:rsidR="00BB42F9">
        <w:rPr>
          <w:sz w:val="24"/>
        </w:rPr>
        <w:t>,</w:t>
      </w:r>
      <w:r w:rsidR="001716FE" w:rsidRPr="00E93DFE">
        <w:rPr>
          <w:sz w:val="24"/>
        </w:rPr>
        <w:t xml:space="preserve"> v letech 2018 a 2019 na 75 % v roce 2020 (tabulka č. </w:t>
      </w:r>
      <w:r w:rsidR="0086053B">
        <w:rPr>
          <w:sz w:val="24"/>
        </w:rPr>
        <w:t>3</w:t>
      </w:r>
      <w:r w:rsidR="001716FE" w:rsidRPr="00E93DFE">
        <w:rPr>
          <w:sz w:val="24"/>
        </w:rPr>
        <w:t>)</w:t>
      </w:r>
      <w:r w:rsidR="00A5159C" w:rsidRPr="00E93DFE">
        <w:rPr>
          <w:sz w:val="24"/>
        </w:rPr>
        <w:t xml:space="preserve">. </w:t>
      </w:r>
      <w:r w:rsidRPr="00E93DFE">
        <w:rPr>
          <w:sz w:val="24"/>
        </w:rPr>
        <w:t xml:space="preserve">V letech 2018 </w:t>
      </w:r>
      <w:r w:rsidR="00E77FB6">
        <w:rPr>
          <w:sz w:val="24"/>
        </w:rPr>
        <w:t>až</w:t>
      </w:r>
      <w:r w:rsidRPr="00E93DFE">
        <w:rPr>
          <w:sz w:val="24"/>
        </w:rPr>
        <w:t xml:space="preserve"> 2020 dosahovaly čisté náklady </w:t>
      </w:r>
      <w:r w:rsidRPr="00DB77BC">
        <w:rPr>
          <w:sz w:val="24"/>
        </w:rPr>
        <w:t>na pobočkovou síť cca 1</w:t>
      </w:r>
      <w:r w:rsidR="00094684">
        <w:rPr>
          <w:sz w:val="24"/>
        </w:rPr>
        <w:t>,5</w:t>
      </w:r>
      <w:r w:rsidRPr="00DB77BC">
        <w:rPr>
          <w:sz w:val="24"/>
        </w:rPr>
        <w:t xml:space="preserve"> ml</w:t>
      </w:r>
      <w:r w:rsidR="00094684">
        <w:rPr>
          <w:sz w:val="24"/>
        </w:rPr>
        <w:t>d</w:t>
      </w:r>
      <w:r w:rsidRPr="00DB77BC">
        <w:rPr>
          <w:sz w:val="24"/>
        </w:rPr>
        <w:t>. Kč ročně. V důsledk</w:t>
      </w:r>
      <w:r w:rsidR="00BB42F9">
        <w:rPr>
          <w:sz w:val="24"/>
        </w:rPr>
        <w:t>u</w:t>
      </w:r>
      <w:r w:rsidRPr="00DB77BC">
        <w:rPr>
          <w:sz w:val="24"/>
        </w:rPr>
        <w:t xml:space="preserve"> rychle rostoucích cen energií lze očekávat jejich růst</w:t>
      </w:r>
      <w:r w:rsidR="001716FE">
        <w:rPr>
          <w:sz w:val="24"/>
        </w:rPr>
        <w:t xml:space="preserve"> i v dalším období</w:t>
      </w:r>
      <w:r w:rsidRPr="00DB77BC">
        <w:rPr>
          <w:sz w:val="24"/>
        </w:rPr>
        <w:t>.</w:t>
      </w:r>
    </w:p>
    <w:p w14:paraId="3884712B" w14:textId="76FCED72" w:rsidR="00214C7E" w:rsidRPr="00274B9B" w:rsidRDefault="00214C7E" w:rsidP="00274B9B">
      <w:pPr>
        <w:spacing w:after="40" w:line="240" w:lineRule="auto"/>
        <w:jc w:val="both"/>
        <w:rPr>
          <w:rFonts w:ascii="Calibri" w:hAnsi="Calibri" w:cstheme="minorHAnsi"/>
          <w:b/>
          <w:sz w:val="24"/>
          <w:szCs w:val="20"/>
        </w:rPr>
      </w:pPr>
      <w:r w:rsidRPr="00274B9B">
        <w:rPr>
          <w:rFonts w:ascii="Calibri" w:hAnsi="Calibri" w:cstheme="minorHAnsi"/>
          <w:b/>
          <w:sz w:val="24"/>
          <w:szCs w:val="20"/>
        </w:rPr>
        <w:t xml:space="preserve">Tabulka č. </w:t>
      </w:r>
      <w:r w:rsidR="0086053B" w:rsidRPr="00274B9B">
        <w:rPr>
          <w:rFonts w:ascii="Calibri" w:hAnsi="Calibri" w:cstheme="minorHAnsi"/>
          <w:b/>
          <w:sz w:val="24"/>
          <w:szCs w:val="20"/>
        </w:rPr>
        <w:t>3</w:t>
      </w:r>
      <w:r w:rsidRPr="00274B9B">
        <w:rPr>
          <w:rFonts w:ascii="Calibri" w:hAnsi="Calibri" w:cstheme="minorHAnsi"/>
          <w:b/>
          <w:sz w:val="24"/>
          <w:szCs w:val="20"/>
        </w:rPr>
        <w:t>: Struktura čistých nákladů v letech 2018 až 2020</w:t>
      </w:r>
    </w:p>
    <w:tbl>
      <w:tblPr>
        <w:tblW w:w="9072" w:type="dxa"/>
        <w:jc w:val="center"/>
        <w:tblCellMar>
          <w:left w:w="70" w:type="dxa"/>
          <w:right w:w="70" w:type="dxa"/>
        </w:tblCellMar>
        <w:tblLook w:val="04A0" w:firstRow="1" w:lastRow="0" w:firstColumn="1" w:lastColumn="0" w:noHBand="0" w:noVBand="1"/>
      </w:tblPr>
      <w:tblGrid>
        <w:gridCol w:w="3828"/>
        <w:gridCol w:w="1701"/>
        <w:gridCol w:w="1842"/>
        <w:gridCol w:w="1701"/>
      </w:tblGrid>
      <w:tr w:rsidR="00214C7E" w:rsidRPr="00274B9B" w14:paraId="1098564A" w14:textId="77777777" w:rsidTr="00274B9B">
        <w:trPr>
          <w:trHeight w:val="255"/>
          <w:jc w:val="center"/>
        </w:trPr>
        <w:tc>
          <w:tcPr>
            <w:tcW w:w="3828" w:type="dxa"/>
            <w:tcBorders>
              <w:top w:val="single" w:sz="4" w:space="0" w:color="auto"/>
              <w:left w:val="single" w:sz="4" w:space="0" w:color="auto"/>
              <w:bottom w:val="single" w:sz="4" w:space="0" w:color="auto"/>
              <w:right w:val="single" w:sz="4" w:space="0" w:color="auto"/>
            </w:tcBorders>
            <w:shd w:val="clear" w:color="auto" w:fill="E5F1FF"/>
            <w:noWrap/>
            <w:vAlign w:val="center"/>
          </w:tcPr>
          <w:p w14:paraId="4BF656E3" w14:textId="77777777" w:rsidR="00214C7E" w:rsidRPr="00274B9B" w:rsidRDefault="00214C7E" w:rsidP="00186AA5">
            <w:pPr>
              <w:spacing w:after="0"/>
              <w:rPr>
                <w:rFonts w:ascii="Calibri" w:hAnsi="Calibri" w:cs="Calibri"/>
                <w:b/>
                <w:sz w:val="20"/>
                <w:szCs w:val="20"/>
              </w:rPr>
            </w:pPr>
            <w:r w:rsidRPr="00274B9B">
              <w:rPr>
                <w:rFonts w:ascii="Calibri" w:hAnsi="Calibri" w:cs="Calibri"/>
                <w:b/>
                <w:sz w:val="20"/>
                <w:szCs w:val="20"/>
              </w:rPr>
              <w:t> </w:t>
            </w:r>
          </w:p>
        </w:tc>
        <w:tc>
          <w:tcPr>
            <w:tcW w:w="1701" w:type="dxa"/>
            <w:tcBorders>
              <w:top w:val="single" w:sz="4" w:space="0" w:color="auto"/>
              <w:left w:val="nil"/>
              <w:bottom w:val="single" w:sz="4" w:space="0" w:color="auto"/>
              <w:right w:val="single" w:sz="4" w:space="0" w:color="auto"/>
            </w:tcBorders>
            <w:shd w:val="clear" w:color="auto" w:fill="E5F1FF"/>
            <w:vAlign w:val="center"/>
          </w:tcPr>
          <w:p w14:paraId="44701B41" w14:textId="77777777" w:rsidR="00214C7E" w:rsidRPr="00274B9B" w:rsidRDefault="00214C7E" w:rsidP="00186AA5">
            <w:pPr>
              <w:spacing w:after="0"/>
              <w:jc w:val="center"/>
              <w:rPr>
                <w:rFonts w:ascii="Calibri" w:hAnsi="Calibri" w:cs="Calibri"/>
                <w:b/>
                <w:sz w:val="20"/>
                <w:szCs w:val="20"/>
              </w:rPr>
            </w:pPr>
            <w:r w:rsidRPr="00274B9B">
              <w:rPr>
                <w:rFonts w:ascii="Calibri" w:hAnsi="Calibri" w:cs="Calibri"/>
                <w:b/>
                <w:sz w:val="20"/>
                <w:szCs w:val="20"/>
              </w:rPr>
              <w:t>2018</w:t>
            </w:r>
          </w:p>
        </w:tc>
        <w:tc>
          <w:tcPr>
            <w:tcW w:w="1842" w:type="dxa"/>
            <w:tcBorders>
              <w:top w:val="single" w:sz="4" w:space="0" w:color="auto"/>
              <w:left w:val="single" w:sz="4" w:space="0" w:color="auto"/>
              <w:bottom w:val="single" w:sz="4" w:space="0" w:color="auto"/>
              <w:right w:val="single" w:sz="4" w:space="0" w:color="auto"/>
            </w:tcBorders>
            <w:shd w:val="clear" w:color="auto" w:fill="E5F1FF"/>
            <w:vAlign w:val="center"/>
          </w:tcPr>
          <w:p w14:paraId="1BD26FD2" w14:textId="77777777" w:rsidR="00214C7E" w:rsidRPr="00274B9B" w:rsidRDefault="00214C7E" w:rsidP="00186AA5">
            <w:pPr>
              <w:spacing w:after="0"/>
              <w:jc w:val="center"/>
              <w:rPr>
                <w:rFonts w:ascii="Calibri" w:hAnsi="Calibri" w:cs="Calibri"/>
                <w:b/>
                <w:sz w:val="20"/>
                <w:szCs w:val="20"/>
              </w:rPr>
            </w:pPr>
            <w:r w:rsidRPr="00274B9B">
              <w:rPr>
                <w:rFonts w:ascii="Calibri" w:hAnsi="Calibri" w:cs="Calibri"/>
                <w:b/>
                <w:sz w:val="20"/>
                <w:szCs w:val="20"/>
              </w:rPr>
              <w:t>2019</w:t>
            </w:r>
          </w:p>
        </w:tc>
        <w:tc>
          <w:tcPr>
            <w:tcW w:w="1701" w:type="dxa"/>
            <w:tcBorders>
              <w:top w:val="single" w:sz="4" w:space="0" w:color="auto"/>
              <w:left w:val="single" w:sz="4" w:space="0" w:color="auto"/>
              <w:bottom w:val="single" w:sz="4" w:space="0" w:color="auto"/>
              <w:right w:val="single" w:sz="4" w:space="0" w:color="auto"/>
            </w:tcBorders>
            <w:shd w:val="clear" w:color="auto" w:fill="E5F1FF"/>
            <w:vAlign w:val="center"/>
          </w:tcPr>
          <w:p w14:paraId="731891A5" w14:textId="77777777" w:rsidR="00214C7E" w:rsidRPr="00274B9B" w:rsidRDefault="00214C7E" w:rsidP="00186AA5">
            <w:pPr>
              <w:spacing w:after="0"/>
              <w:jc w:val="center"/>
              <w:rPr>
                <w:rFonts w:ascii="Calibri" w:hAnsi="Calibri" w:cs="Calibri"/>
                <w:b/>
                <w:sz w:val="20"/>
                <w:szCs w:val="20"/>
              </w:rPr>
            </w:pPr>
            <w:r w:rsidRPr="00274B9B">
              <w:rPr>
                <w:rFonts w:ascii="Calibri" w:hAnsi="Calibri" w:cs="Calibri"/>
                <w:b/>
                <w:sz w:val="20"/>
                <w:szCs w:val="20"/>
              </w:rPr>
              <w:t>2020</w:t>
            </w:r>
          </w:p>
        </w:tc>
      </w:tr>
      <w:tr w:rsidR="00214C7E" w:rsidRPr="00274B9B" w14:paraId="11B97F0D" w14:textId="77777777" w:rsidTr="00274B9B">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F33055D" w14:textId="602E3236" w:rsidR="00214C7E" w:rsidRPr="00274B9B" w:rsidRDefault="00BB42F9" w:rsidP="00186AA5">
            <w:pPr>
              <w:spacing w:after="0"/>
              <w:rPr>
                <w:rFonts w:ascii="Calibri" w:hAnsi="Calibri" w:cs="Calibri"/>
                <w:sz w:val="20"/>
                <w:szCs w:val="20"/>
              </w:rPr>
            </w:pPr>
            <w:r>
              <w:rPr>
                <w:rFonts w:ascii="Calibri" w:hAnsi="Calibri" w:cs="Calibri"/>
                <w:sz w:val="20"/>
                <w:szCs w:val="20"/>
              </w:rPr>
              <w:t>Č</w:t>
            </w:r>
            <w:r w:rsidR="00214C7E" w:rsidRPr="00274B9B">
              <w:rPr>
                <w:rFonts w:ascii="Calibri" w:hAnsi="Calibri" w:cs="Calibri"/>
                <w:sz w:val="20"/>
                <w:szCs w:val="20"/>
              </w:rPr>
              <w:t xml:space="preserve">isté náklady na pobočkovou síť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618845"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50 %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B57D7B"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51 %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9BBD4A"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75 %</w:t>
            </w:r>
          </w:p>
        </w:tc>
      </w:tr>
      <w:tr w:rsidR="00214C7E" w:rsidRPr="00274B9B" w14:paraId="599C16A8" w14:textId="77777777" w:rsidTr="00274B9B">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144BCDEC" w14:textId="67492EEF" w:rsidR="00214C7E" w:rsidRPr="00274B9B" w:rsidRDefault="00BB42F9" w:rsidP="00186AA5">
            <w:pPr>
              <w:spacing w:after="0"/>
              <w:rPr>
                <w:rFonts w:ascii="Calibri" w:hAnsi="Calibri" w:cs="Calibri"/>
                <w:sz w:val="20"/>
                <w:szCs w:val="20"/>
              </w:rPr>
            </w:pPr>
            <w:r>
              <w:rPr>
                <w:rFonts w:ascii="Calibri" w:hAnsi="Calibri" w:cs="Calibri"/>
                <w:sz w:val="20"/>
                <w:szCs w:val="20"/>
              </w:rPr>
              <w:t>Č</w:t>
            </w:r>
            <w:r w:rsidR="00214C7E" w:rsidRPr="00274B9B">
              <w:rPr>
                <w:rFonts w:ascii="Calibri" w:hAnsi="Calibri" w:cs="Calibri"/>
                <w:sz w:val="20"/>
                <w:szCs w:val="20"/>
              </w:rPr>
              <w:t>isté náklady na doručovací síť</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27930D"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43 %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413C07"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44 %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A8BE5E"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16 %</w:t>
            </w:r>
          </w:p>
        </w:tc>
      </w:tr>
      <w:tr w:rsidR="00214C7E" w:rsidRPr="00274B9B" w14:paraId="1F2546CF" w14:textId="77777777" w:rsidTr="00274B9B">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541E0445" w14:textId="7D9A878C" w:rsidR="00214C7E" w:rsidRPr="00274B9B" w:rsidRDefault="00BB42F9" w:rsidP="00186AA5">
            <w:pPr>
              <w:spacing w:after="0"/>
              <w:rPr>
                <w:rFonts w:ascii="Calibri" w:hAnsi="Calibri" w:cs="Calibri"/>
                <w:sz w:val="20"/>
                <w:szCs w:val="20"/>
              </w:rPr>
            </w:pPr>
            <w:r>
              <w:rPr>
                <w:rFonts w:ascii="Calibri" w:hAnsi="Calibri" w:cs="Calibri"/>
                <w:sz w:val="20"/>
                <w:szCs w:val="20"/>
              </w:rPr>
              <w:t>Č</w:t>
            </w:r>
            <w:r w:rsidR="00214C7E" w:rsidRPr="00274B9B">
              <w:rPr>
                <w:rFonts w:ascii="Calibri" w:hAnsi="Calibri" w:cs="Calibri"/>
                <w:sz w:val="20"/>
                <w:szCs w:val="20"/>
              </w:rPr>
              <w:t>isté náklady na podpůrné procesy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96B1B8"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1 %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2CB3D7"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1 %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FC0A55"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1 %</w:t>
            </w:r>
          </w:p>
        </w:tc>
      </w:tr>
      <w:tr w:rsidR="00214C7E" w:rsidRPr="00274B9B" w14:paraId="66E823A6" w14:textId="77777777" w:rsidTr="00274B9B">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41A2433" w14:textId="2C4F0850" w:rsidR="00214C7E" w:rsidRPr="00274B9B" w:rsidRDefault="00BB42F9" w:rsidP="00186AA5">
            <w:pPr>
              <w:spacing w:after="0"/>
              <w:rPr>
                <w:rFonts w:ascii="Calibri" w:hAnsi="Calibri" w:cs="Calibri"/>
                <w:sz w:val="20"/>
                <w:szCs w:val="20"/>
              </w:rPr>
            </w:pPr>
            <w:r>
              <w:rPr>
                <w:rFonts w:ascii="Calibri" w:hAnsi="Calibri" w:cs="Calibri"/>
                <w:sz w:val="20"/>
                <w:szCs w:val="20"/>
              </w:rPr>
              <w:t>N</w:t>
            </w:r>
            <w:r w:rsidR="00214C7E" w:rsidRPr="00274B9B">
              <w:rPr>
                <w:rFonts w:ascii="Calibri" w:hAnsi="Calibri" w:cs="Calibri"/>
                <w:sz w:val="20"/>
                <w:szCs w:val="20"/>
              </w:rPr>
              <w:t>ehmotné a tržní výhody*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EBB0CA"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3 %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E9FD63"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3 %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AAAE29"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5 %</w:t>
            </w:r>
          </w:p>
        </w:tc>
      </w:tr>
      <w:tr w:rsidR="00214C7E" w:rsidRPr="00274B9B" w14:paraId="3009AA46" w14:textId="77777777" w:rsidTr="00274B9B">
        <w:trPr>
          <w:trHeight w:val="255"/>
          <w:jc w:val="center"/>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2AC7F74" w14:textId="6EFEA1AD" w:rsidR="00214C7E" w:rsidRPr="00274B9B" w:rsidRDefault="00BB42F9" w:rsidP="00186AA5">
            <w:pPr>
              <w:spacing w:after="0"/>
              <w:rPr>
                <w:rFonts w:ascii="Calibri" w:hAnsi="Calibri" w:cs="Calibri"/>
                <w:sz w:val="20"/>
                <w:szCs w:val="20"/>
              </w:rPr>
            </w:pPr>
            <w:r>
              <w:rPr>
                <w:rFonts w:ascii="Calibri" w:hAnsi="Calibri" w:cs="Calibri"/>
                <w:sz w:val="20"/>
                <w:szCs w:val="20"/>
              </w:rPr>
              <w:t>N</w:t>
            </w:r>
            <w:r w:rsidR="00214C7E" w:rsidRPr="00274B9B">
              <w:rPr>
                <w:rFonts w:ascii="Calibri" w:hAnsi="Calibri" w:cs="Calibri"/>
                <w:sz w:val="20"/>
                <w:szCs w:val="20"/>
              </w:rPr>
              <w:t>áklady kapitálu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A27169"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2 %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8E5B51E"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2 %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620FEC" w14:textId="77777777" w:rsidR="00214C7E" w:rsidRPr="00274B9B" w:rsidRDefault="00214C7E" w:rsidP="00274B9B">
            <w:pPr>
              <w:spacing w:after="0"/>
              <w:ind w:right="497"/>
              <w:jc w:val="right"/>
              <w:rPr>
                <w:rFonts w:ascii="Calibri" w:hAnsi="Calibri" w:cs="Calibri"/>
                <w:sz w:val="20"/>
                <w:szCs w:val="20"/>
              </w:rPr>
            </w:pPr>
            <w:r w:rsidRPr="00274B9B">
              <w:rPr>
                <w:rFonts w:ascii="Calibri" w:hAnsi="Calibri" w:cs="Calibri"/>
                <w:sz w:val="20"/>
                <w:szCs w:val="20"/>
              </w:rPr>
              <w:t>3 %</w:t>
            </w:r>
          </w:p>
        </w:tc>
      </w:tr>
    </w:tbl>
    <w:p w14:paraId="7DD61B97" w14:textId="00DCA9E4" w:rsidR="00214C7E" w:rsidRPr="00BB10BB" w:rsidRDefault="008253EC" w:rsidP="00274B9B">
      <w:pPr>
        <w:pStyle w:val="M-nadpisrovn11"/>
        <w:spacing w:before="40"/>
        <w:ind w:left="284" w:hanging="284"/>
        <w:rPr>
          <w:b w:val="0"/>
          <w:sz w:val="20"/>
          <w:szCs w:val="20"/>
          <w:u w:val="none"/>
        </w:rPr>
      </w:pPr>
      <w:r>
        <w:rPr>
          <w:sz w:val="20"/>
          <w:szCs w:val="20"/>
          <w:u w:val="none"/>
        </w:rPr>
        <w:t>Z</w:t>
      </w:r>
      <w:r w:rsidR="00214C7E" w:rsidRPr="00144716">
        <w:rPr>
          <w:sz w:val="20"/>
          <w:szCs w:val="20"/>
          <w:u w:val="none"/>
        </w:rPr>
        <w:t>droj:</w:t>
      </w:r>
      <w:r w:rsidR="00214C7E" w:rsidRPr="00BB10BB">
        <w:rPr>
          <w:b w:val="0"/>
          <w:sz w:val="20"/>
          <w:szCs w:val="20"/>
          <w:u w:val="none"/>
        </w:rPr>
        <w:t xml:space="preserve"> </w:t>
      </w:r>
      <w:r>
        <w:rPr>
          <w:b w:val="0"/>
          <w:sz w:val="20"/>
          <w:szCs w:val="20"/>
          <w:u w:val="none"/>
        </w:rPr>
        <w:t>i</w:t>
      </w:r>
      <w:r w:rsidR="00214C7E" w:rsidRPr="00BB10BB">
        <w:rPr>
          <w:b w:val="0"/>
          <w:sz w:val="20"/>
          <w:szCs w:val="20"/>
          <w:u w:val="none"/>
        </w:rPr>
        <w:t>nterní doklady ČTÚ za roky 2018, 2019 a 2020 k průběhu ověřování výše čistých nákladů.</w:t>
      </w:r>
    </w:p>
    <w:p w14:paraId="19ED59BB" w14:textId="58490E7B" w:rsidR="00214C7E" w:rsidRPr="00BB10BB" w:rsidRDefault="00214C7E" w:rsidP="007A1B39">
      <w:pPr>
        <w:pStyle w:val="M-nadpisrovn11"/>
        <w:ind w:left="142" w:hanging="142"/>
        <w:rPr>
          <w:b w:val="0"/>
          <w:sz w:val="20"/>
          <w:szCs w:val="20"/>
          <w:u w:val="none"/>
        </w:rPr>
      </w:pPr>
      <w:r w:rsidRPr="00BB10BB">
        <w:rPr>
          <w:b w:val="0"/>
          <w:sz w:val="20"/>
          <w:szCs w:val="20"/>
          <w:u w:val="none"/>
        </w:rPr>
        <w:t>*</w:t>
      </w:r>
      <w:r w:rsidR="00850EE5">
        <w:rPr>
          <w:b w:val="0"/>
          <w:sz w:val="20"/>
          <w:szCs w:val="20"/>
          <w:u w:val="none"/>
        </w:rPr>
        <w:tab/>
      </w:r>
      <w:r w:rsidRPr="00BB10BB">
        <w:rPr>
          <w:b w:val="0"/>
          <w:sz w:val="20"/>
          <w:szCs w:val="20"/>
          <w:u w:val="none"/>
        </w:rPr>
        <w:t>Nehmotnými a tržními výhodami v souvislosti s držením poštovní licence jsou</w:t>
      </w:r>
      <w:r w:rsidR="00DF0D5E">
        <w:rPr>
          <w:b w:val="0"/>
          <w:sz w:val="20"/>
          <w:szCs w:val="20"/>
          <w:u w:val="none"/>
        </w:rPr>
        <w:t xml:space="preserve"> např.</w:t>
      </w:r>
      <w:r w:rsidRPr="00BB10BB">
        <w:rPr>
          <w:b w:val="0"/>
          <w:sz w:val="20"/>
          <w:szCs w:val="20"/>
          <w:u w:val="none"/>
        </w:rPr>
        <w:t xml:space="preserve">: </w:t>
      </w:r>
      <w:r w:rsidR="0034037D">
        <w:rPr>
          <w:b w:val="0"/>
          <w:sz w:val="20"/>
          <w:szCs w:val="20"/>
          <w:u w:val="none"/>
        </w:rPr>
        <w:t xml:space="preserve">právo uvádět do oběhu poštovní známky a ceniny, osvobození základních poštovních služeb od daně z přidané hodnoty. </w:t>
      </w:r>
      <w:r w:rsidRPr="00BB10BB">
        <w:rPr>
          <w:b w:val="0"/>
          <w:sz w:val="20"/>
          <w:szCs w:val="20"/>
          <w:u w:val="none"/>
        </w:rPr>
        <w:t>Nehmotn</w:t>
      </w:r>
      <w:r>
        <w:rPr>
          <w:b w:val="0"/>
          <w:sz w:val="20"/>
          <w:szCs w:val="20"/>
          <w:u w:val="none"/>
        </w:rPr>
        <w:t>é</w:t>
      </w:r>
      <w:r w:rsidRPr="00BB10BB">
        <w:rPr>
          <w:b w:val="0"/>
          <w:sz w:val="20"/>
          <w:szCs w:val="20"/>
          <w:u w:val="none"/>
        </w:rPr>
        <w:t xml:space="preserve"> a</w:t>
      </w:r>
      <w:r w:rsidR="00144716">
        <w:rPr>
          <w:b w:val="0"/>
          <w:sz w:val="20"/>
          <w:szCs w:val="20"/>
          <w:u w:val="none"/>
        </w:rPr>
        <w:t> </w:t>
      </w:r>
      <w:r w:rsidRPr="00BB10BB">
        <w:rPr>
          <w:b w:val="0"/>
          <w:sz w:val="20"/>
          <w:szCs w:val="20"/>
          <w:u w:val="none"/>
        </w:rPr>
        <w:t>tržní výhod</w:t>
      </w:r>
      <w:r>
        <w:rPr>
          <w:b w:val="0"/>
          <w:sz w:val="20"/>
          <w:szCs w:val="20"/>
          <w:u w:val="none"/>
        </w:rPr>
        <w:t>y snižují výši čistých nákladů.</w:t>
      </w:r>
    </w:p>
    <w:p w14:paraId="0539381C" w14:textId="2C6E3F09" w:rsidR="00214C7E" w:rsidRPr="00BB77CB" w:rsidRDefault="008253EC" w:rsidP="00214C7E">
      <w:pPr>
        <w:spacing w:after="0"/>
        <w:rPr>
          <w:sz w:val="20"/>
        </w:rPr>
      </w:pPr>
      <w:r>
        <w:rPr>
          <w:b/>
          <w:sz w:val="20"/>
        </w:rPr>
        <w:t>P</w:t>
      </w:r>
      <w:r w:rsidR="00214C7E" w:rsidRPr="00144716">
        <w:rPr>
          <w:b/>
          <w:sz w:val="20"/>
        </w:rPr>
        <w:t>ozn.:</w:t>
      </w:r>
      <w:r w:rsidR="00214C7E">
        <w:rPr>
          <w:sz w:val="20"/>
        </w:rPr>
        <w:t xml:space="preserve"> </w:t>
      </w:r>
      <w:r w:rsidR="00214C7E" w:rsidRPr="00BB77CB">
        <w:rPr>
          <w:sz w:val="20"/>
        </w:rPr>
        <w:t>Z důvodu zaokrouhlení na celá čísla nemusí</w:t>
      </w:r>
      <w:r w:rsidR="00FB6B16">
        <w:rPr>
          <w:sz w:val="20"/>
        </w:rPr>
        <w:t xml:space="preserve"> být</w:t>
      </w:r>
      <w:r w:rsidR="00214C7E" w:rsidRPr="00BB77CB">
        <w:rPr>
          <w:sz w:val="20"/>
        </w:rPr>
        <w:t xml:space="preserve"> součet v tabulce za jednotlivé roky 100</w:t>
      </w:r>
      <w:r w:rsidR="00FB6B16">
        <w:rPr>
          <w:sz w:val="20"/>
        </w:rPr>
        <w:t xml:space="preserve"> </w:t>
      </w:r>
      <w:r w:rsidR="00214C7E" w:rsidRPr="00BB77CB">
        <w:rPr>
          <w:sz w:val="20"/>
        </w:rPr>
        <w:t>%</w:t>
      </w:r>
      <w:r w:rsidR="00FB6B16">
        <w:rPr>
          <w:sz w:val="20"/>
        </w:rPr>
        <w:t>.</w:t>
      </w:r>
    </w:p>
    <w:p w14:paraId="10B47030" w14:textId="08F03AA0" w:rsidR="00214C7E" w:rsidRPr="00A0104E" w:rsidRDefault="001716FE" w:rsidP="00A0104E">
      <w:pPr>
        <w:spacing w:before="120" w:after="120" w:line="264" w:lineRule="auto"/>
        <w:jc w:val="both"/>
        <w:rPr>
          <w:rFonts w:ascii="Calibri" w:hAnsi="Calibri" w:cs="Calibri"/>
          <w:sz w:val="24"/>
          <w:szCs w:val="24"/>
        </w:rPr>
      </w:pPr>
      <w:r w:rsidRPr="00A0104E">
        <w:rPr>
          <w:rFonts w:ascii="Calibri" w:hAnsi="Calibri" w:cs="Calibri"/>
          <w:sz w:val="24"/>
          <w:szCs w:val="24"/>
        </w:rPr>
        <w:lastRenderedPageBreak/>
        <w:t>Výše nákladů na pobočkovou síť vychází v současné době z platné právní úpravy (nařízení vlády č. 178/2015 Sb.)</w:t>
      </w:r>
      <w:r w:rsidR="00E77FB6" w:rsidRPr="00A0104E">
        <w:rPr>
          <w:rFonts w:ascii="Calibri" w:hAnsi="Calibri" w:cs="Calibri"/>
          <w:sz w:val="24"/>
          <w:szCs w:val="24"/>
        </w:rPr>
        <w:t>,</w:t>
      </w:r>
      <w:r w:rsidRPr="00A0104E">
        <w:rPr>
          <w:rFonts w:ascii="Calibri" w:hAnsi="Calibri" w:cs="Calibri"/>
          <w:sz w:val="24"/>
          <w:szCs w:val="24"/>
        </w:rPr>
        <w:t xml:space="preserve"> </w:t>
      </w:r>
      <w:r w:rsidR="00E93DFE" w:rsidRPr="00A0104E">
        <w:rPr>
          <w:rFonts w:ascii="Calibri" w:hAnsi="Calibri" w:cs="Calibri"/>
          <w:sz w:val="24"/>
          <w:szCs w:val="24"/>
        </w:rPr>
        <w:t xml:space="preserve">která stanoví povinnost </w:t>
      </w:r>
      <w:r w:rsidRPr="00A0104E">
        <w:rPr>
          <w:rFonts w:ascii="Calibri" w:hAnsi="Calibri" w:cs="Calibri"/>
          <w:sz w:val="24"/>
          <w:szCs w:val="24"/>
        </w:rPr>
        <w:t xml:space="preserve">poskytovat základní poštovní služby prostřednictvím nejméně 3 200 provozoven. </w:t>
      </w:r>
      <w:r w:rsidR="00E9568F" w:rsidRPr="00A0104E">
        <w:rPr>
          <w:rFonts w:ascii="Calibri" w:hAnsi="Calibri" w:cs="Calibri"/>
          <w:sz w:val="24"/>
          <w:szCs w:val="24"/>
        </w:rPr>
        <w:t>P</w:t>
      </w:r>
      <w:r w:rsidR="00214C7E" w:rsidRPr="00A0104E">
        <w:rPr>
          <w:rFonts w:ascii="Calibri" w:hAnsi="Calibri" w:cs="Calibri"/>
          <w:sz w:val="24"/>
          <w:szCs w:val="24"/>
        </w:rPr>
        <w:t xml:space="preserve">ožadavky na dostupnost a hustotu provozoven </w:t>
      </w:r>
      <w:r w:rsidRPr="00A0104E">
        <w:rPr>
          <w:rFonts w:ascii="Calibri" w:hAnsi="Calibri" w:cs="Calibri"/>
          <w:sz w:val="24"/>
          <w:szCs w:val="24"/>
        </w:rPr>
        <w:t xml:space="preserve">jsou popsány v § 14 vyhlášky č. 464/2012 Sb., a to především ve vazbě na velikost a občanskou vybavenost obce a vzdálenost k provozovně. </w:t>
      </w:r>
      <w:r w:rsidR="00214C7E" w:rsidRPr="00A0104E">
        <w:rPr>
          <w:rFonts w:ascii="Calibri" w:hAnsi="Calibri" w:cs="Calibri"/>
          <w:sz w:val="24"/>
          <w:szCs w:val="24"/>
        </w:rPr>
        <w:t xml:space="preserve">Na základě aplikace těchto požadavků ČTÚ v roce 2015 vypočetl, že ke splnění podmínek daných vyhláškou </w:t>
      </w:r>
      <w:r w:rsidR="008253EC">
        <w:rPr>
          <w:rFonts w:ascii="Calibri" w:hAnsi="Calibri" w:cs="Calibri"/>
          <w:sz w:val="24"/>
          <w:szCs w:val="24"/>
        </w:rPr>
        <w:t xml:space="preserve">by </w:t>
      </w:r>
      <w:r w:rsidR="00214C7E" w:rsidRPr="00A0104E">
        <w:rPr>
          <w:rFonts w:ascii="Calibri" w:hAnsi="Calibri" w:cs="Calibri"/>
          <w:sz w:val="24"/>
          <w:szCs w:val="24"/>
        </w:rPr>
        <w:t xml:space="preserve">bylo dostatečných 2 112 </w:t>
      </w:r>
      <w:r w:rsidRPr="00A0104E">
        <w:rPr>
          <w:rFonts w:ascii="Calibri" w:hAnsi="Calibri" w:cs="Calibri"/>
          <w:sz w:val="24"/>
          <w:szCs w:val="24"/>
        </w:rPr>
        <w:t>provozoven, a tudíž doporučil vládě ČR stanovit jejich minimální počet na 2 100.</w:t>
      </w:r>
      <w:r w:rsidR="005D471D" w:rsidRPr="00A0104E">
        <w:rPr>
          <w:rFonts w:ascii="Calibri" w:hAnsi="Calibri" w:cs="Calibri"/>
          <w:sz w:val="24"/>
          <w:szCs w:val="24"/>
        </w:rPr>
        <w:t xml:space="preserve"> </w:t>
      </w:r>
      <w:r w:rsidR="00214C7E" w:rsidRPr="00A0104E">
        <w:rPr>
          <w:rFonts w:ascii="Calibri" w:hAnsi="Calibri" w:cs="Calibri"/>
          <w:sz w:val="24"/>
          <w:szCs w:val="24"/>
        </w:rPr>
        <w:t xml:space="preserve">Nařízení vlády č. 178/2015 Sb. </w:t>
      </w:r>
      <w:r w:rsidRPr="00A0104E">
        <w:rPr>
          <w:rFonts w:ascii="Calibri" w:hAnsi="Calibri" w:cs="Calibri"/>
          <w:sz w:val="24"/>
          <w:szCs w:val="24"/>
        </w:rPr>
        <w:t>stanovilo ale</w:t>
      </w:r>
      <w:r w:rsidR="00214C7E" w:rsidRPr="00A0104E">
        <w:rPr>
          <w:rFonts w:ascii="Calibri" w:hAnsi="Calibri" w:cs="Calibri"/>
          <w:sz w:val="24"/>
          <w:szCs w:val="24"/>
        </w:rPr>
        <w:t xml:space="preserve"> minimální počet provozoven </w:t>
      </w:r>
      <w:r w:rsidRPr="00A0104E">
        <w:rPr>
          <w:rFonts w:ascii="Calibri" w:hAnsi="Calibri" w:cs="Calibri"/>
          <w:sz w:val="24"/>
          <w:szCs w:val="24"/>
        </w:rPr>
        <w:t>ve výši 3 200, což odpovídalo tehdejšímu počtu provozoven České pošty (3 217).</w:t>
      </w:r>
      <w:r w:rsidR="005D471D" w:rsidRPr="00A0104E">
        <w:rPr>
          <w:rFonts w:ascii="Calibri" w:hAnsi="Calibri" w:cs="Calibri"/>
          <w:sz w:val="24"/>
          <w:szCs w:val="24"/>
        </w:rPr>
        <w:t xml:space="preserve"> </w:t>
      </w:r>
      <w:r w:rsidR="00214C7E" w:rsidRPr="00A0104E">
        <w:rPr>
          <w:rFonts w:ascii="Calibri" w:hAnsi="Calibri" w:cs="Calibri"/>
          <w:sz w:val="24"/>
          <w:szCs w:val="24"/>
        </w:rPr>
        <w:t>Ve srovnání s ostatními státy v Evropě m</w:t>
      </w:r>
      <w:r w:rsidR="007A1B39" w:rsidRPr="00A0104E">
        <w:rPr>
          <w:rFonts w:ascii="Calibri" w:hAnsi="Calibri" w:cs="Calibri"/>
          <w:sz w:val="24"/>
          <w:szCs w:val="24"/>
        </w:rPr>
        <w:t>ěla</w:t>
      </w:r>
      <w:r w:rsidR="00214C7E" w:rsidRPr="00A0104E">
        <w:rPr>
          <w:rFonts w:ascii="Calibri" w:hAnsi="Calibri" w:cs="Calibri"/>
          <w:sz w:val="24"/>
          <w:szCs w:val="24"/>
        </w:rPr>
        <w:t xml:space="preserve"> ČR </w:t>
      </w:r>
      <w:r w:rsidR="007A1B39" w:rsidRPr="00A0104E">
        <w:rPr>
          <w:rFonts w:ascii="Calibri" w:hAnsi="Calibri" w:cs="Calibri"/>
          <w:sz w:val="24"/>
          <w:szCs w:val="24"/>
        </w:rPr>
        <w:t xml:space="preserve">v roce 2020 </w:t>
      </w:r>
      <w:r w:rsidR="00214C7E" w:rsidRPr="00A0104E">
        <w:rPr>
          <w:rFonts w:ascii="Calibri" w:hAnsi="Calibri" w:cs="Calibri"/>
          <w:sz w:val="24"/>
          <w:szCs w:val="24"/>
        </w:rPr>
        <w:t>jednu z nejhustších sítí provozoven pro poskytování základních služeb</w:t>
      </w:r>
      <w:r w:rsidR="00214C7E" w:rsidRPr="00A0104E">
        <w:rPr>
          <w:rStyle w:val="Znakapoznpodarou"/>
          <w:rFonts w:ascii="Calibri" w:hAnsi="Calibri" w:cs="Calibri"/>
          <w:sz w:val="24"/>
          <w:szCs w:val="24"/>
        </w:rPr>
        <w:footnoteReference w:id="34"/>
      </w:r>
      <w:r w:rsidR="00214C7E" w:rsidRPr="00A0104E">
        <w:rPr>
          <w:rFonts w:ascii="Calibri" w:hAnsi="Calibri" w:cs="Calibri"/>
          <w:sz w:val="24"/>
          <w:szCs w:val="24"/>
        </w:rPr>
        <w:t>. Z přezkumu provedeném ČTÚ v roce 2021 vyplynulo, že žádný z provozovatelů poštovních služeb</w:t>
      </w:r>
      <w:r w:rsidR="005D471D" w:rsidRPr="00A0104E">
        <w:rPr>
          <w:rFonts w:ascii="Calibri" w:hAnsi="Calibri" w:cs="Calibri"/>
          <w:sz w:val="24"/>
          <w:szCs w:val="24"/>
        </w:rPr>
        <w:t xml:space="preserve"> v ČR</w:t>
      </w:r>
      <w:r w:rsidR="00214C7E" w:rsidRPr="00A0104E">
        <w:rPr>
          <w:rFonts w:ascii="Calibri" w:hAnsi="Calibri" w:cs="Calibri"/>
          <w:sz w:val="24"/>
          <w:szCs w:val="24"/>
        </w:rPr>
        <w:t xml:space="preserve"> s výjimkou České pošty nesplňoval </w:t>
      </w:r>
      <w:r w:rsidR="00E9568F" w:rsidRPr="00A0104E">
        <w:rPr>
          <w:rFonts w:ascii="Calibri" w:hAnsi="Calibri" w:cs="Calibri"/>
          <w:sz w:val="24"/>
          <w:szCs w:val="24"/>
        </w:rPr>
        <w:t>vyhláškou stanovené</w:t>
      </w:r>
      <w:r w:rsidR="00214C7E" w:rsidRPr="00A0104E">
        <w:rPr>
          <w:rFonts w:ascii="Calibri" w:hAnsi="Calibri" w:cs="Calibri"/>
          <w:sz w:val="24"/>
          <w:szCs w:val="24"/>
        </w:rPr>
        <w:t xml:space="preserve"> požadavky na dostupnost a hustotu provozoven. </w:t>
      </w:r>
      <w:r w:rsidR="00214C7E" w:rsidRPr="00A0104E">
        <w:rPr>
          <w:rFonts w:ascii="Calibri" w:hAnsi="Calibri" w:cs="Calibri"/>
          <w:b/>
          <w:sz w:val="24"/>
          <w:szCs w:val="24"/>
        </w:rPr>
        <w:t>Snížením počtu provozoven pro poskytování základních služeb na úroveň požadavků vyhlášky by bylo možné dosáhnout významné úspory čistých nákladů. Zároveň by tento krok mohl zvýšit zájem ostatních provozovatelů poštovních služeb o</w:t>
      </w:r>
      <w:r w:rsidR="003E6E7F" w:rsidRPr="00A0104E">
        <w:rPr>
          <w:rFonts w:ascii="Calibri" w:hAnsi="Calibri" w:cs="Calibri"/>
          <w:b/>
          <w:sz w:val="24"/>
          <w:szCs w:val="24"/>
        </w:rPr>
        <w:t> </w:t>
      </w:r>
      <w:r w:rsidR="00214C7E" w:rsidRPr="00A0104E">
        <w:rPr>
          <w:rFonts w:ascii="Calibri" w:hAnsi="Calibri" w:cs="Calibri"/>
          <w:b/>
          <w:sz w:val="24"/>
          <w:szCs w:val="24"/>
        </w:rPr>
        <w:t>poskytování těchto služeb pro stát a účastnit se výběrového řízení na držitele poštovní licence</w:t>
      </w:r>
      <w:r w:rsidR="00214C7E" w:rsidRPr="00A0104E">
        <w:rPr>
          <w:rFonts w:ascii="Calibri" w:hAnsi="Calibri" w:cs="Calibri"/>
          <w:sz w:val="24"/>
          <w:szCs w:val="24"/>
        </w:rPr>
        <w:t>.</w:t>
      </w:r>
    </w:p>
    <w:p w14:paraId="21FD9C02" w14:textId="11753315" w:rsidR="00214C7E" w:rsidRPr="00A0104E" w:rsidRDefault="00A0104E" w:rsidP="00A0104E">
      <w:pPr>
        <w:keepNext/>
        <w:spacing w:before="240" w:after="120" w:line="264" w:lineRule="auto"/>
        <w:jc w:val="both"/>
        <w:rPr>
          <w:rFonts w:ascii="Calibri" w:hAnsi="Calibri" w:cs="Calibri"/>
          <w:b/>
          <w:sz w:val="24"/>
          <w:szCs w:val="24"/>
        </w:rPr>
      </w:pPr>
      <w:r>
        <w:rPr>
          <w:rFonts w:ascii="Calibri" w:hAnsi="Calibri" w:cs="Calibri"/>
          <w:b/>
          <w:sz w:val="24"/>
          <w:szCs w:val="24"/>
        </w:rPr>
        <w:t xml:space="preserve">4. </w:t>
      </w:r>
      <w:r w:rsidR="00214C7E" w:rsidRPr="00A0104E">
        <w:rPr>
          <w:rFonts w:ascii="Calibri" w:hAnsi="Calibri" w:cs="Calibri"/>
          <w:b/>
          <w:sz w:val="24"/>
          <w:szCs w:val="24"/>
        </w:rPr>
        <w:t>Univerzální služba v elektronických komunikacích</w:t>
      </w:r>
    </w:p>
    <w:p w14:paraId="2CAC0777" w14:textId="1EEBB098" w:rsidR="00214C7E" w:rsidRPr="00A0104E" w:rsidRDefault="005D471D" w:rsidP="00A0104E">
      <w:pPr>
        <w:spacing w:before="120" w:after="120" w:line="264" w:lineRule="auto"/>
        <w:jc w:val="both"/>
        <w:rPr>
          <w:rFonts w:ascii="Calibri" w:hAnsi="Calibri" w:cs="Calibri"/>
          <w:sz w:val="24"/>
          <w:szCs w:val="24"/>
        </w:rPr>
      </w:pPr>
      <w:r w:rsidRPr="00A0104E">
        <w:rPr>
          <w:rFonts w:ascii="Calibri" w:hAnsi="Calibri" w:cs="Calibri"/>
          <w:sz w:val="24"/>
          <w:szCs w:val="24"/>
        </w:rPr>
        <w:t>Univerzální služba je stanovena zákonem o elektronických komunikacích</w:t>
      </w:r>
      <w:r w:rsidR="00214C7E" w:rsidRPr="00A0104E">
        <w:rPr>
          <w:rFonts w:ascii="Calibri" w:hAnsi="Calibri" w:cs="Calibri"/>
          <w:sz w:val="24"/>
          <w:szCs w:val="24"/>
        </w:rPr>
        <w:t>. Jedná se o soubor dílčích služeb, které mají být dostupné všem koncovým uživatelům na celém území ČR v požadované kvalitě za dostupnou cenu. ČTÚ má tyto dílčí služby sledovat, přezkoumávat a</w:t>
      </w:r>
      <w:r w:rsidR="003E6E7F" w:rsidRPr="00A0104E">
        <w:rPr>
          <w:rFonts w:ascii="Calibri" w:hAnsi="Calibri" w:cs="Calibri"/>
          <w:sz w:val="24"/>
          <w:szCs w:val="24"/>
        </w:rPr>
        <w:t> </w:t>
      </w:r>
      <w:r w:rsidR="00214C7E" w:rsidRPr="00A0104E">
        <w:rPr>
          <w:rFonts w:ascii="Calibri" w:hAnsi="Calibri" w:cs="Calibri"/>
          <w:sz w:val="24"/>
          <w:szCs w:val="24"/>
        </w:rPr>
        <w:t xml:space="preserve">v případě, že některé z dílčích služeb nejsou poskytovány v dostatečné kvalitě za přijatelné ceny komerčně, může rozhodnout o uložení povinnosti poskytovat takovou dílčí službu univerzální služby za stanovenou cenu. V případě uložení povinnosti poskytovat některou dílčí službu univerzální služby pak náleží jejímu poskytovateli podle zákona kompenzace čistých nákladů, případně úhrada ztráty z poskytování této služby. </w:t>
      </w:r>
    </w:p>
    <w:p w14:paraId="4D637921" w14:textId="1F8FEC4D" w:rsidR="00214C7E" w:rsidRPr="00A0104E" w:rsidRDefault="00214C7E" w:rsidP="00A0104E">
      <w:pPr>
        <w:spacing w:after="0" w:line="264" w:lineRule="auto"/>
        <w:jc w:val="both"/>
        <w:rPr>
          <w:rFonts w:ascii="Calibri" w:hAnsi="Calibri" w:cs="Calibri"/>
          <w:sz w:val="24"/>
          <w:szCs w:val="24"/>
        </w:rPr>
      </w:pPr>
      <w:r w:rsidRPr="00A0104E">
        <w:rPr>
          <w:rFonts w:ascii="Calibri" w:hAnsi="Calibri" w:cs="Calibri"/>
          <w:sz w:val="24"/>
          <w:szCs w:val="24"/>
        </w:rPr>
        <w:t>V letech 2018</w:t>
      </w:r>
      <w:r w:rsidR="00E26889" w:rsidRPr="00A0104E">
        <w:rPr>
          <w:rFonts w:ascii="Calibri" w:hAnsi="Calibri" w:cs="Calibri"/>
          <w:sz w:val="24"/>
          <w:szCs w:val="24"/>
        </w:rPr>
        <w:t xml:space="preserve"> až </w:t>
      </w:r>
      <w:r w:rsidRPr="00A0104E">
        <w:rPr>
          <w:rFonts w:ascii="Calibri" w:hAnsi="Calibri" w:cs="Calibri"/>
          <w:sz w:val="24"/>
          <w:szCs w:val="24"/>
        </w:rPr>
        <w:t xml:space="preserve">2022 ČTÚ uložil povinnost poskytovat celkem tři dílčí služby univerzální služby: </w:t>
      </w:r>
    </w:p>
    <w:p w14:paraId="7C2AC086" w14:textId="1FEA2EBC" w:rsidR="00214C7E" w:rsidRPr="00A0104E" w:rsidRDefault="00214C7E" w:rsidP="00A0104E">
      <w:pPr>
        <w:pStyle w:val="Odstavecseseznamem"/>
        <w:numPr>
          <w:ilvl w:val="0"/>
          <w:numId w:val="26"/>
        </w:numPr>
        <w:spacing w:after="0" w:line="264" w:lineRule="auto"/>
        <w:contextualSpacing w:val="0"/>
        <w:jc w:val="both"/>
        <w:rPr>
          <w:rFonts w:ascii="Calibri" w:hAnsi="Calibri" w:cs="Calibri"/>
          <w:sz w:val="24"/>
          <w:szCs w:val="24"/>
        </w:rPr>
      </w:pPr>
      <w:r w:rsidRPr="00A0104E">
        <w:rPr>
          <w:rFonts w:ascii="Calibri" w:hAnsi="Calibri" w:cs="Calibri"/>
          <w:sz w:val="24"/>
          <w:szCs w:val="24"/>
        </w:rPr>
        <w:t>přístup zdravotně postižených osob k veřejně dostupné telefonní službě</w:t>
      </w:r>
      <w:r w:rsidR="00F80937" w:rsidRPr="00A0104E">
        <w:rPr>
          <w:rFonts w:ascii="Calibri" w:hAnsi="Calibri" w:cs="Calibri"/>
          <w:sz w:val="24"/>
          <w:szCs w:val="24"/>
        </w:rPr>
        <w:t xml:space="preserve"> – speciální koncová zařízení</w:t>
      </w:r>
      <w:r w:rsidRPr="00A0104E">
        <w:rPr>
          <w:rFonts w:ascii="Calibri" w:hAnsi="Calibri" w:cs="Calibri"/>
          <w:sz w:val="24"/>
          <w:szCs w:val="24"/>
        </w:rPr>
        <w:t>;</w:t>
      </w:r>
    </w:p>
    <w:p w14:paraId="0F28D735" w14:textId="77777777" w:rsidR="00214C7E" w:rsidRPr="00A0104E" w:rsidRDefault="00214C7E" w:rsidP="00A0104E">
      <w:pPr>
        <w:pStyle w:val="Odstavecseseznamem"/>
        <w:numPr>
          <w:ilvl w:val="0"/>
          <w:numId w:val="26"/>
        </w:numPr>
        <w:spacing w:after="0" w:line="264" w:lineRule="auto"/>
        <w:contextualSpacing w:val="0"/>
        <w:jc w:val="both"/>
        <w:rPr>
          <w:rFonts w:ascii="Calibri" w:hAnsi="Calibri" w:cs="Calibri"/>
          <w:sz w:val="24"/>
          <w:szCs w:val="24"/>
        </w:rPr>
      </w:pPr>
      <w:r w:rsidRPr="00A0104E">
        <w:rPr>
          <w:rFonts w:ascii="Calibri" w:hAnsi="Calibri" w:cs="Calibri"/>
          <w:sz w:val="24"/>
          <w:szCs w:val="24"/>
        </w:rPr>
        <w:t xml:space="preserve">zvláštní ceny nebo cenové plány pro osoby se zvláštními sociálními potřebami; </w:t>
      </w:r>
    </w:p>
    <w:p w14:paraId="2CD4CFEA" w14:textId="77777777" w:rsidR="00214C7E" w:rsidRPr="00A0104E" w:rsidRDefault="00214C7E" w:rsidP="00A0104E">
      <w:pPr>
        <w:pStyle w:val="Odstavecseseznamem"/>
        <w:numPr>
          <w:ilvl w:val="0"/>
          <w:numId w:val="26"/>
        </w:numPr>
        <w:spacing w:before="120" w:after="120" w:line="264" w:lineRule="auto"/>
        <w:jc w:val="both"/>
        <w:rPr>
          <w:rFonts w:ascii="Calibri" w:hAnsi="Calibri" w:cs="Calibri"/>
          <w:sz w:val="24"/>
          <w:szCs w:val="24"/>
        </w:rPr>
      </w:pPr>
      <w:r w:rsidRPr="00A0104E">
        <w:rPr>
          <w:rFonts w:ascii="Calibri" w:hAnsi="Calibri" w:cs="Calibri"/>
          <w:sz w:val="24"/>
          <w:szCs w:val="24"/>
        </w:rPr>
        <w:t>veřejné telefonní automaty.</w:t>
      </w:r>
    </w:p>
    <w:p w14:paraId="47C1AAF0" w14:textId="21BA674E" w:rsidR="00214C7E" w:rsidRPr="00A0104E" w:rsidRDefault="00214C7E" w:rsidP="00A0104E">
      <w:pPr>
        <w:spacing w:before="120" w:after="120" w:line="264" w:lineRule="auto"/>
        <w:jc w:val="both"/>
        <w:rPr>
          <w:rFonts w:ascii="Calibri" w:hAnsi="Calibri" w:cs="Calibri"/>
          <w:sz w:val="24"/>
          <w:szCs w:val="24"/>
        </w:rPr>
      </w:pPr>
      <w:r w:rsidRPr="00A0104E">
        <w:rPr>
          <w:rFonts w:ascii="Calibri" w:hAnsi="Calibri" w:cs="Calibri"/>
          <w:sz w:val="24"/>
          <w:szCs w:val="24"/>
        </w:rPr>
        <w:t xml:space="preserve">Ve všech třech případech vybral ČTÚ poskytovatele prostřednictvím výběrového řízení, účastníkem byl vždy jeden uchazeč, který podmínky splnil a ČTÚ této společnosti uložil </w:t>
      </w:r>
      <w:r w:rsidR="008E1B07" w:rsidRPr="00A0104E">
        <w:rPr>
          <w:rFonts w:ascii="Calibri" w:hAnsi="Calibri" w:cs="Calibri"/>
          <w:sz w:val="24"/>
          <w:szCs w:val="24"/>
        </w:rPr>
        <w:t xml:space="preserve">povinnost </w:t>
      </w:r>
      <w:r w:rsidRPr="00A0104E">
        <w:rPr>
          <w:rFonts w:ascii="Calibri" w:hAnsi="Calibri" w:cs="Calibri"/>
          <w:sz w:val="24"/>
          <w:szCs w:val="24"/>
        </w:rPr>
        <w:t>poskytovat tyto služby.</w:t>
      </w:r>
      <w:r w:rsidR="005D471D" w:rsidRPr="00A0104E">
        <w:rPr>
          <w:rFonts w:ascii="Calibri" w:hAnsi="Calibri" w:cs="Calibri"/>
          <w:sz w:val="24"/>
          <w:szCs w:val="24"/>
        </w:rPr>
        <w:t xml:space="preserve"> </w:t>
      </w:r>
      <w:r w:rsidRPr="00A0104E">
        <w:rPr>
          <w:rFonts w:ascii="Calibri" w:hAnsi="Calibri" w:cs="Calibri"/>
          <w:sz w:val="24"/>
          <w:szCs w:val="24"/>
        </w:rPr>
        <w:t xml:space="preserve">Za kalendářní roky 2017 </w:t>
      </w:r>
      <w:r w:rsidR="00E26889" w:rsidRPr="00A0104E">
        <w:rPr>
          <w:rFonts w:ascii="Calibri" w:hAnsi="Calibri" w:cs="Calibri"/>
          <w:sz w:val="24"/>
          <w:szCs w:val="24"/>
        </w:rPr>
        <w:t>až</w:t>
      </w:r>
      <w:r w:rsidRPr="00A0104E">
        <w:rPr>
          <w:rFonts w:ascii="Calibri" w:hAnsi="Calibri" w:cs="Calibri"/>
          <w:sz w:val="24"/>
          <w:szCs w:val="24"/>
        </w:rPr>
        <w:t xml:space="preserve"> 2020 uhradil ČTÚ čisté náklady a ztrátu z poskytování dílčích služeb univerzální služby jejímu poskytovateli ve výši </w:t>
      </w:r>
      <w:r w:rsidRPr="00A0104E">
        <w:rPr>
          <w:rFonts w:ascii="Calibri" w:hAnsi="Calibri" w:cs="Calibri"/>
          <w:sz w:val="24"/>
          <w:szCs w:val="24"/>
        </w:rPr>
        <w:lastRenderedPageBreak/>
        <w:t>396,6</w:t>
      </w:r>
      <w:r w:rsidR="00A0104E">
        <w:rPr>
          <w:rFonts w:ascii="Calibri" w:hAnsi="Calibri" w:cs="Calibri"/>
          <w:sz w:val="24"/>
          <w:szCs w:val="24"/>
        </w:rPr>
        <w:t> </w:t>
      </w:r>
      <w:r w:rsidRPr="00A0104E">
        <w:rPr>
          <w:rFonts w:ascii="Calibri" w:hAnsi="Calibri" w:cs="Calibri"/>
          <w:sz w:val="24"/>
          <w:szCs w:val="24"/>
        </w:rPr>
        <w:t>mil.</w:t>
      </w:r>
      <w:r w:rsidR="00A0104E">
        <w:rPr>
          <w:rFonts w:ascii="Calibri" w:hAnsi="Calibri" w:cs="Calibri"/>
          <w:sz w:val="24"/>
          <w:szCs w:val="24"/>
        </w:rPr>
        <w:t> </w:t>
      </w:r>
      <w:r w:rsidRPr="00A0104E">
        <w:rPr>
          <w:rFonts w:ascii="Calibri" w:hAnsi="Calibri" w:cs="Calibri"/>
          <w:sz w:val="24"/>
          <w:szCs w:val="24"/>
        </w:rPr>
        <w:t>Kč. Při kontrole úhrad NK</w:t>
      </w:r>
      <w:r w:rsidR="00FB6B16" w:rsidRPr="00A0104E">
        <w:rPr>
          <w:rFonts w:ascii="Calibri" w:hAnsi="Calibri" w:cs="Calibri"/>
          <w:sz w:val="24"/>
          <w:szCs w:val="24"/>
        </w:rPr>
        <w:t>Ú</w:t>
      </w:r>
      <w:r w:rsidRPr="00A0104E">
        <w:rPr>
          <w:rFonts w:ascii="Calibri" w:hAnsi="Calibri" w:cs="Calibri"/>
          <w:sz w:val="24"/>
          <w:szCs w:val="24"/>
        </w:rPr>
        <w:t xml:space="preserve"> nezjistil nehospodárné nebo neúčelné nakládání s peněžními prostředky.</w:t>
      </w:r>
    </w:p>
    <w:p w14:paraId="7653182D" w14:textId="6B936784" w:rsidR="005D471D" w:rsidRPr="00A0104E" w:rsidRDefault="005D471D" w:rsidP="00A0104E">
      <w:pPr>
        <w:keepNext/>
        <w:spacing w:before="120" w:after="120" w:line="264" w:lineRule="auto"/>
        <w:jc w:val="both"/>
        <w:rPr>
          <w:rFonts w:ascii="Calibri" w:hAnsi="Calibri" w:cs="Calibri"/>
          <w:b/>
          <w:sz w:val="24"/>
          <w:szCs w:val="24"/>
        </w:rPr>
      </w:pPr>
      <w:r w:rsidRPr="00A0104E">
        <w:rPr>
          <w:rFonts w:ascii="Calibri" w:hAnsi="Calibri" w:cs="Calibri"/>
          <w:b/>
          <w:sz w:val="24"/>
          <w:szCs w:val="24"/>
        </w:rPr>
        <w:t xml:space="preserve">Kontrolu oprávněnosti slev pro osoby se zvláštními sociálními potřebami by ČTÚ </w:t>
      </w:r>
      <w:r w:rsidR="00735745" w:rsidRPr="00A0104E">
        <w:rPr>
          <w:rFonts w:ascii="Calibri" w:hAnsi="Calibri" w:cs="Calibri"/>
          <w:b/>
          <w:sz w:val="24"/>
          <w:szCs w:val="24"/>
        </w:rPr>
        <w:t>zefektivnil</w:t>
      </w:r>
      <w:r w:rsidR="008F4A8A">
        <w:rPr>
          <w:rFonts w:ascii="Calibri" w:hAnsi="Calibri" w:cs="Calibri"/>
          <w:b/>
          <w:sz w:val="24"/>
          <w:szCs w:val="24"/>
        </w:rPr>
        <w:t>, pokud by měl</w:t>
      </w:r>
      <w:r w:rsidRPr="00A0104E">
        <w:rPr>
          <w:rFonts w:ascii="Calibri" w:hAnsi="Calibri" w:cs="Calibri"/>
          <w:b/>
          <w:sz w:val="24"/>
          <w:szCs w:val="24"/>
        </w:rPr>
        <w:t xml:space="preserve"> přístup do informačního systému</w:t>
      </w:r>
      <w:r w:rsidR="00497F89" w:rsidRPr="00A0104E">
        <w:rPr>
          <w:rFonts w:ascii="Calibri" w:hAnsi="Calibri" w:cs="Calibri"/>
          <w:b/>
          <w:sz w:val="24"/>
          <w:szCs w:val="24"/>
        </w:rPr>
        <w:t xml:space="preserve"> státu</w:t>
      </w:r>
      <w:r w:rsidRPr="00A0104E">
        <w:rPr>
          <w:rFonts w:ascii="Calibri" w:hAnsi="Calibri" w:cs="Calibri"/>
          <w:b/>
          <w:sz w:val="24"/>
          <w:szCs w:val="24"/>
        </w:rPr>
        <w:t>, kterým v době kontroly nedisponoval</w:t>
      </w:r>
      <w:r w:rsidR="007A1B39" w:rsidRPr="00A0104E">
        <w:rPr>
          <w:rFonts w:ascii="Calibri" w:hAnsi="Calibri" w:cs="Calibri"/>
          <w:b/>
          <w:sz w:val="24"/>
          <w:szCs w:val="24"/>
        </w:rPr>
        <w:t>.</w:t>
      </w:r>
    </w:p>
    <w:p w14:paraId="0CC94D0C" w14:textId="2F246E4F" w:rsidR="00214C7E" w:rsidRPr="00A0104E" w:rsidRDefault="00214C7E" w:rsidP="00A0104E">
      <w:pPr>
        <w:spacing w:before="120" w:after="120" w:line="264" w:lineRule="auto"/>
        <w:jc w:val="both"/>
        <w:rPr>
          <w:rFonts w:ascii="Calibri" w:hAnsi="Calibri" w:cs="Calibri"/>
          <w:sz w:val="24"/>
          <w:szCs w:val="24"/>
        </w:rPr>
      </w:pPr>
      <w:r w:rsidRPr="00A0104E">
        <w:rPr>
          <w:rFonts w:ascii="Calibri" w:hAnsi="Calibri" w:cs="Calibri"/>
          <w:sz w:val="24"/>
          <w:szCs w:val="24"/>
        </w:rPr>
        <w:t xml:space="preserve">Zvláštní ceny nebo cenové plány pro osoby se zvláštními sociálními potřebami jsou dílčí službou, která </w:t>
      </w:r>
      <w:r w:rsidR="008E1B07" w:rsidRPr="00A0104E">
        <w:rPr>
          <w:rFonts w:ascii="Calibri" w:hAnsi="Calibri" w:cs="Calibri"/>
          <w:sz w:val="24"/>
          <w:szCs w:val="24"/>
        </w:rPr>
        <w:t>těmto osobám</w:t>
      </w:r>
      <w:r w:rsidRPr="00A0104E">
        <w:rPr>
          <w:rStyle w:val="Znakapoznpodarou"/>
          <w:rFonts w:ascii="Calibri" w:hAnsi="Calibri" w:cs="Calibri"/>
          <w:sz w:val="24"/>
          <w:szCs w:val="24"/>
        </w:rPr>
        <w:footnoteReference w:id="35"/>
      </w:r>
      <w:r w:rsidRPr="00A0104E">
        <w:rPr>
          <w:rFonts w:ascii="Calibri" w:hAnsi="Calibri" w:cs="Calibri"/>
          <w:sz w:val="24"/>
          <w:szCs w:val="24"/>
        </w:rPr>
        <w:t xml:space="preserve"> umožňuje získat slevu 200 Kč</w:t>
      </w:r>
      <w:r w:rsidRPr="00A0104E">
        <w:rPr>
          <w:rStyle w:val="Znakapoznpodarou"/>
          <w:rFonts w:ascii="Calibri" w:hAnsi="Calibri" w:cs="Calibri"/>
          <w:sz w:val="24"/>
          <w:szCs w:val="24"/>
        </w:rPr>
        <w:footnoteReference w:id="36"/>
      </w:r>
      <w:r w:rsidRPr="00A0104E">
        <w:rPr>
          <w:rFonts w:ascii="Calibri" w:hAnsi="Calibri" w:cs="Calibri"/>
          <w:sz w:val="24"/>
          <w:szCs w:val="24"/>
        </w:rPr>
        <w:t xml:space="preserve"> ze standardních cenových plánů poskytovatelů veřejně dostupné telefonní služby. Poskytovatel této dílčí služby má nárok na úhradu slevy ze státního rozpočtu prostřednictvím ČTÚ, který splnění podmínek pro úhradu kompenzace kontroluje. Využívání této služby mělo v období let 2017 </w:t>
      </w:r>
      <w:r w:rsidR="00E26889" w:rsidRPr="00A0104E">
        <w:rPr>
          <w:rFonts w:ascii="Calibri" w:hAnsi="Calibri" w:cs="Calibri"/>
          <w:sz w:val="24"/>
          <w:szCs w:val="24"/>
        </w:rPr>
        <w:t>až</w:t>
      </w:r>
      <w:r w:rsidRPr="00A0104E">
        <w:rPr>
          <w:rFonts w:ascii="Calibri" w:hAnsi="Calibri" w:cs="Calibri"/>
          <w:sz w:val="24"/>
          <w:szCs w:val="24"/>
        </w:rPr>
        <w:t xml:space="preserve"> 2020 klesající tendenci, v roce 2017 této služby využívalo 33 068 osob, v roce 2020 pak 28 428 osob. Okruh osob s nárokem na slevu byl dne 1. ledna 2022</w:t>
      </w:r>
      <w:r w:rsidRPr="00A0104E">
        <w:rPr>
          <w:rStyle w:val="Znakapoznpodarou"/>
          <w:rFonts w:ascii="Calibri" w:hAnsi="Calibri" w:cs="Calibri"/>
          <w:sz w:val="24"/>
          <w:szCs w:val="24"/>
        </w:rPr>
        <w:footnoteReference w:id="37"/>
      </w:r>
      <w:r w:rsidRPr="00A0104E">
        <w:rPr>
          <w:rFonts w:ascii="Calibri" w:hAnsi="Calibri" w:cs="Calibri"/>
          <w:sz w:val="24"/>
          <w:szCs w:val="24"/>
        </w:rPr>
        <w:t xml:space="preserve"> výrazně rozšířen o osoby s nízkými příjmy</w:t>
      </w:r>
      <w:r w:rsidRPr="00A0104E">
        <w:rPr>
          <w:rStyle w:val="Znakapoznpodarou"/>
          <w:rFonts w:ascii="Calibri" w:hAnsi="Calibri" w:cs="Calibri"/>
          <w:sz w:val="24"/>
          <w:szCs w:val="24"/>
        </w:rPr>
        <w:footnoteReference w:id="38"/>
      </w:r>
      <w:r w:rsidRPr="00A0104E">
        <w:rPr>
          <w:rFonts w:ascii="Calibri" w:hAnsi="Calibri" w:cs="Calibri"/>
          <w:sz w:val="24"/>
          <w:szCs w:val="24"/>
        </w:rPr>
        <w:t>. ČTÚ nárok na poskytnutí slevy kontrol</w:t>
      </w:r>
      <w:r w:rsidR="00497F89" w:rsidRPr="00A0104E">
        <w:rPr>
          <w:rFonts w:ascii="Calibri" w:hAnsi="Calibri" w:cs="Calibri"/>
          <w:sz w:val="24"/>
          <w:szCs w:val="24"/>
        </w:rPr>
        <w:t>oval</w:t>
      </w:r>
      <w:r w:rsidRPr="00A0104E">
        <w:rPr>
          <w:rFonts w:ascii="Calibri" w:hAnsi="Calibri" w:cs="Calibri"/>
          <w:sz w:val="24"/>
          <w:szCs w:val="24"/>
        </w:rPr>
        <w:t xml:space="preserve"> na vzorku o velikosti 4 %, který každoročně obměň</w:t>
      </w:r>
      <w:r w:rsidR="00497F89" w:rsidRPr="00A0104E">
        <w:rPr>
          <w:rFonts w:ascii="Calibri" w:hAnsi="Calibri" w:cs="Calibri"/>
          <w:sz w:val="24"/>
          <w:szCs w:val="24"/>
        </w:rPr>
        <w:t>oval</w:t>
      </w:r>
      <w:r w:rsidRPr="00A0104E">
        <w:rPr>
          <w:rFonts w:ascii="Calibri" w:hAnsi="Calibri" w:cs="Calibri"/>
          <w:sz w:val="24"/>
          <w:szCs w:val="24"/>
        </w:rPr>
        <w:t>. Při kontrole ČTÚ vycház</w:t>
      </w:r>
      <w:r w:rsidR="00497F89" w:rsidRPr="00A0104E">
        <w:rPr>
          <w:rFonts w:ascii="Calibri" w:hAnsi="Calibri" w:cs="Calibri"/>
          <w:sz w:val="24"/>
          <w:szCs w:val="24"/>
        </w:rPr>
        <w:t>el</w:t>
      </w:r>
      <w:r w:rsidRPr="00A0104E">
        <w:rPr>
          <w:rFonts w:ascii="Calibri" w:hAnsi="Calibri" w:cs="Calibri"/>
          <w:sz w:val="24"/>
          <w:szCs w:val="24"/>
        </w:rPr>
        <w:t xml:space="preserve"> z prvotních </w:t>
      </w:r>
      <w:r w:rsidR="00475A02" w:rsidRPr="00A0104E">
        <w:rPr>
          <w:rFonts w:ascii="Calibri" w:hAnsi="Calibri" w:cs="Calibri"/>
          <w:sz w:val="24"/>
          <w:szCs w:val="24"/>
        </w:rPr>
        <w:t xml:space="preserve">písemných </w:t>
      </w:r>
      <w:r w:rsidRPr="00A0104E">
        <w:rPr>
          <w:rFonts w:ascii="Calibri" w:hAnsi="Calibri" w:cs="Calibri"/>
          <w:sz w:val="24"/>
          <w:szCs w:val="24"/>
        </w:rPr>
        <w:t>dokladů poskytnutých od poskytovatele této dílčí služby. Údaje o osobách, které mohou mít nárok na tuto slevu, jsou obsaženy v </w:t>
      </w:r>
      <w:r w:rsidRPr="00C61E99">
        <w:rPr>
          <w:rFonts w:ascii="Calibri" w:hAnsi="Calibri" w:cs="Calibri"/>
          <w:i/>
          <w:sz w:val="24"/>
          <w:szCs w:val="24"/>
        </w:rPr>
        <w:t>Jednotném informačním systému práce a sociálních věcí</w:t>
      </w:r>
      <w:r w:rsidRPr="00A0104E">
        <w:rPr>
          <w:rFonts w:ascii="Calibri" w:hAnsi="Calibri" w:cs="Calibri"/>
          <w:sz w:val="24"/>
          <w:szCs w:val="24"/>
        </w:rPr>
        <w:t>, ČTÚ však</w:t>
      </w:r>
      <w:r w:rsidR="00CE6E4B" w:rsidRPr="00A0104E">
        <w:rPr>
          <w:rFonts w:ascii="Calibri" w:hAnsi="Calibri" w:cs="Calibri"/>
          <w:sz w:val="24"/>
          <w:szCs w:val="24"/>
        </w:rPr>
        <w:t xml:space="preserve"> nemá ze zákona umožněn</w:t>
      </w:r>
      <w:r w:rsidRPr="00A0104E">
        <w:rPr>
          <w:rFonts w:ascii="Calibri" w:hAnsi="Calibri" w:cs="Calibri"/>
          <w:sz w:val="24"/>
          <w:szCs w:val="24"/>
        </w:rPr>
        <w:t xml:space="preserve"> přístup do tohoto systému. Lze předpokládat, že zvýšením počtu osob, kterým bude poskytována sleva, dojde k výraznému zatížení ČTÚ z hlediska kontroly. </w:t>
      </w:r>
      <w:r w:rsidR="008E1B07" w:rsidRPr="00A0104E">
        <w:rPr>
          <w:rFonts w:ascii="Calibri" w:hAnsi="Calibri" w:cs="Calibri"/>
          <w:sz w:val="24"/>
          <w:szCs w:val="24"/>
        </w:rPr>
        <w:t>Zajištění</w:t>
      </w:r>
      <w:r w:rsidRPr="00A0104E">
        <w:rPr>
          <w:rFonts w:ascii="Calibri" w:hAnsi="Calibri" w:cs="Calibri"/>
          <w:sz w:val="24"/>
          <w:szCs w:val="24"/>
        </w:rPr>
        <w:t xml:space="preserve"> přístupu do příslušného informačního systému státu by umožnilo ČTÚ vykonávat tuto kontrolu efektivnějším způsobem, než je kontrola </w:t>
      </w:r>
      <w:r w:rsidR="00475A02" w:rsidRPr="00A0104E">
        <w:rPr>
          <w:rFonts w:ascii="Calibri" w:hAnsi="Calibri" w:cs="Calibri"/>
          <w:sz w:val="24"/>
          <w:szCs w:val="24"/>
        </w:rPr>
        <w:t xml:space="preserve">písemných </w:t>
      </w:r>
      <w:r w:rsidRPr="00A0104E">
        <w:rPr>
          <w:rFonts w:ascii="Calibri" w:hAnsi="Calibri" w:cs="Calibri"/>
          <w:sz w:val="24"/>
          <w:szCs w:val="24"/>
        </w:rPr>
        <w:t>dokladů jednotlivých osob.</w:t>
      </w:r>
    </w:p>
    <w:p w14:paraId="12296AFA" w14:textId="107AC9F1" w:rsidR="003132E2" w:rsidRPr="003132E2" w:rsidRDefault="003132E2" w:rsidP="009270C7">
      <w:pPr>
        <w:keepNext/>
        <w:spacing w:before="480" w:after="120" w:line="264" w:lineRule="auto"/>
        <w:rPr>
          <w:b/>
          <w:sz w:val="24"/>
        </w:rPr>
      </w:pPr>
      <w:r w:rsidRPr="003132E2">
        <w:rPr>
          <w:b/>
          <w:sz w:val="24"/>
        </w:rPr>
        <w:t>Seznam zkratek</w:t>
      </w:r>
    </w:p>
    <w:p w14:paraId="5D58EE7E" w14:textId="155AD6B4" w:rsidR="003132E2" w:rsidRDefault="003132E2" w:rsidP="009270C7">
      <w:pPr>
        <w:keepNext/>
        <w:tabs>
          <w:tab w:val="left" w:pos="2552"/>
        </w:tabs>
        <w:spacing w:after="60" w:line="264" w:lineRule="auto"/>
        <w:ind w:left="2552" w:hanging="2552"/>
        <w:rPr>
          <w:sz w:val="24"/>
        </w:rPr>
      </w:pPr>
      <w:r>
        <w:rPr>
          <w:sz w:val="24"/>
        </w:rPr>
        <w:t>5G</w:t>
      </w:r>
      <w:r>
        <w:rPr>
          <w:sz w:val="24"/>
        </w:rPr>
        <w:tab/>
        <w:t>telekomunikační standard mobilní sítě páté generace</w:t>
      </w:r>
    </w:p>
    <w:p w14:paraId="37C23523" w14:textId="6531AF14" w:rsidR="003132E2" w:rsidRDefault="003132E2" w:rsidP="009270C7">
      <w:pPr>
        <w:keepNext/>
        <w:tabs>
          <w:tab w:val="left" w:pos="2552"/>
        </w:tabs>
        <w:spacing w:after="60" w:line="264" w:lineRule="auto"/>
        <w:ind w:left="2552" w:hanging="2552"/>
        <w:rPr>
          <w:sz w:val="24"/>
        </w:rPr>
      </w:pPr>
      <w:r>
        <w:rPr>
          <w:sz w:val="24"/>
        </w:rPr>
        <w:t>aukce kmitočtů</w:t>
      </w:r>
      <w:r>
        <w:rPr>
          <w:sz w:val="24"/>
        </w:rPr>
        <w:tab/>
        <w:t>výběrové řízení za účelem udělení práv k využívání rádiových kmitočtů pro zajištění sítí elektronických komunikací v kmitočtových pásmech 700 MHz a 3400</w:t>
      </w:r>
      <w:r w:rsidR="00BE0D8C">
        <w:rPr>
          <w:sz w:val="24"/>
        </w:rPr>
        <w:t>–</w:t>
      </w:r>
      <w:r>
        <w:rPr>
          <w:sz w:val="24"/>
        </w:rPr>
        <w:t>3600 MHz</w:t>
      </w:r>
    </w:p>
    <w:p w14:paraId="307D3FA1" w14:textId="25D8BF45" w:rsidR="003132E2" w:rsidRDefault="003132E2" w:rsidP="009270C7">
      <w:pPr>
        <w:keepNext/>
        <w:tabs>
          <w:tab w:val="left" w:pos="2552"/>
        </w:tabs>
        <w:spacing w:after="60" w:line="264" w:lineRule="auto"/>
        <w:ind w:left="2552" w:hanging="2552"/>
        <w:rPr>
          <w:sz w:val="24"/>
        </w:rPr>
      </w:pPr>
      <w:r>
        <w:rPr>
          <w:sz w:val="24"/>
        </w:rPr>
        <w:t>Česká pošta</w:t>
      </w:r>
      <w:r>
        <w:rPr>
          <w:sz w:val="24"/>
        </w:rPr>
        <w:tab/>
        <w:t xml:space="preserve">Česká pošta, </w:t>
      </w:r>
      <w:proofErr w:type="spellStart"/>
      <w:r>
        <w:rPr>
          <w:sz w:val="24"/>
        </w:rPr>
        <w:t>s.p</w:t>
      </w:r>
      <w:proofErr w:type="spellEnd"/>
      <w:r>
        <w:rPr>
          <w:sz w:val="24"/>
        </w:rPr>
        <w:t>.</w:t>
      </w:r>
    </w:p>
    <w:p w14:paraId="4FFEDB01" w14:textId="7AFB4C7E" w:rsidR="003132E2" w:rsidRDefault="003132E2" w:rsidP="009270C7">
      <w:pPr>
        <w:keepNext/>
        <w:tabs>
          <w:tab w:val="left" w:pos="2552"/>
        </w:tabs>
        <w:spacing w:after="60" w:line="264" w:lineRule="auto"/>
        <w:ind w:left="2552" w:hanging="2552"/>
        <w:rPr>
          <w:sz w:val="24"/>
        </w:rPr>
      </w:pPr>
      <w:r>
        <w:rPr>
          <w:sz w:val="24"/>
        </w:rPr>
        <w:t>ČTÚ</w:t>
      </w:r>
      <w:r>
        <w:rPr>
          <w:sz w:val="24"/>
        </w:rPr>
        <w:tab/>
        <w:t>Český telekomunikační úřad</w:t>
      </w:r>
    </w:p>
    <w:p w14:paraId="7F249531" w14:textId="7927F35D" w:rsidR="003132E2" w:rsidRDefault="003132E2" w:rsidP="009270C7">
      <w:pPr>
        <w:keepNext/>
        <w:tabs>
          <w:tab w:val="left" w:pos="2552"/>
        </w:tabs>
        <w:spacing w:after="60" w:line="264" w:lineRule="auto"/>
        <w:ind w:left="2552" w:hanging="2552"/>
        <w:rPr>
          <w:sz w:val="24"/>
        </w:rPr>
      </w:pPr>
      <w:r>
        <w:rPr>
          <w:sz w:val="24"/>
        </w:rPr>
        <w:t>EU</w:t>
      </w:r>
      <w:r>
        <w:rPr>
          <w:sz w:val="24"/>
        </w:rPr>
        <w:tab/>
        <w:t>Evropská unie</w:t>
      </w:r>
    </w:p>
    <w:p w14:paraId="790F781A" w14:textId="04F98D97" w:rsidR="003132E2" w:rsidRDefault="003132E2" w:rsidP="009270C7">
      <w:pPr>
        <w:keepNext/>
        <w:tabs>
          <w:tab w:val="left" w:pos="2552"/>
        </w:tabs>
        <w:spacing w:after="60" w:line="264" w:lineRule="auto"/>
        <w:ind w:left="2552" w:hanging="2552"/>
        <w:rPr>
          <w:sz w:val="24"/>
        </w:rPr>
      </w:pPr>
      <w:r>
        <w:rPr>
          <w:sz w:val="24"/>
        </w:rPr>
        <w:t>NKÚ</w:t>
      </w:r>
      <w:r>
        <w:rPr>
          <w:sz w:val="24"/>
        </w:rPr>
        <w:tab/>
        <w:t>Nejvyšší kontrolní úřad</w:t>
      </w:r>
    </w:p>
    <w:p w14:paraId="075960A1" w14:textId="033D4169" w:rsidR="008E1B07" w:rsidRDefault="008E1B07" w:rsidP="009270C7">
      <w:pPr>
        <w:keepNext/>
        <w:tabs>
          <w:tab w:val="left" w:pos="2552"/>
        </w:tabs>
        <w:spacing w:after="60" w:line="264" w:lineRule="auto"/>
        <w:ind w:left="2552" w:hanging="2552"/>
        <w:rPr>
          <w:sz w:val="24"/>
        </w:rPr>
      </w:pPr>
      <w:r>
        <w:rPr>
          <w:sz w:val="24"/>
        </w:rPr>
        <w:t>SR</w:t>
      </w:r>
      <w:r>
        <w:rPr>
          <w:sz w:val="24"/>
        </w:rPr>
        <w:tab/>
        <w:t>státní rozpočet</w:t>
      </w:r>
    </w:p>
    <w:p w14:paraId="28710068" w14:textId="1B4A00CF" w:rsidR="003132E2" w:rsidRPr="00214C7E" w:rsidRDefault="003132E2" w:rsidP="009270C7">
      <w:pPr>
        <w:tabs>
          <w:tab w:val="left" w:pos="2552"/>
        </w:tabs>
        <w:spacing w:after="60" w:line="264" w:lineRule="auto"/>
        <w:ind w:left="2552" w:hanging="2552"/>
        <w:rPr>
          <w:sz w:val="24"/>
          <w:lang w:eastAsia="cs-CZ"/>
        </w:rPr>
      </w:pPr>
      <w:r>
        <w:rPr>
          <w:sz w:val="24"/>
        </w:rPr>
        <w:t>základní služby</w:t>
      </w:r>
      <w:r>
        <w:rPr>
          <w:sz w:val="24"/>
        </w:rPr>
        <w:tab/>
        <w:t>základní poštovní služby vymezené zákonem č. 29/2000 Sb.</w:t>
      </w:r>
    </w:p>
    <w:sectPr w:rsidR="003132E2" w:rsidRPr="00214C7E" w:rsidSect="00C830F9">
      <w:pgSz w:w="11906" w:h="16838"/>
      <w:pgMar w:top="1418"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30D1C" w14:textId="77777777" w:rsidR="00727419" w:rsidRDefault="00727419" w:rsidP="001E1138">
      <w:pPr>
        <w:spacing w:after="0" w:line="240" w:lineRule="auto"/>
      </w:pPr>
      <w:r>
        <w:separator/>
      </w:r>
    </w:p>
  </w:endnote>
  <w:endnote w:type="continuationSeparator" w:id="0">
    <w:p w14:paraId="4410AC44" w14:textId="77777777" w:rsidR="00727419" w:rsidRDefault="00727419" w:rsidP="001E1138">
      <w:pPr>
        <w:spacing w:after="0" w:line="240" w:lineRule="auto"/>
      </w:pPr>
      <w:r>
        <w:continuationSeparator/>
      </w:r>
    </w:p>
  </w:endnote>
  <w:endnote w:type="continuationNotice" w:id="1">
    <w:p w14:paraId="7037E960" w14:textId="77777777" w:rsidR="00727419" w:rsidRDefault="00727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348657"/>
      <w:docPartObj>
        <w:docPartGallery w:val="Page Numbers (Bottom of Page)"/>
        <w:docPartUnique/>
      </w:docPartObj>
    </w:sdtPr>
    <w:sdtEndPr/>
    <w:sdtContent>
      <w:p w14:paraId="0B8A45B7" w14:textId="57373D15" w:rsidR="00DB6622" w:rsidRDefault="00DB6622" w:rsidP="0012538D">
        <w:pPr>
          <w:pStyle w:val="Zpat"/>
          <w:jc w:val="center"/>
        </w:pPr>
        <w:r w:rsidRPr="00464D52">
          <w:rPr>
            <w:sz w:val="24"/>
            <w:szCs w:val="24"/>
          </w:rPr>
          <w:fldChar w:fldCharType="begin"/>
        </w:r>
        <w:r w:rsidRPr="00464D52">
          <w:rPr>
            <w:sz w:val="24"/>
            <w:szCs w:val="24"/>
          </w:rPr>
          <w:instrText>PAGE   \* MERGEFORMAT</w:instrText>
        </w:r>
        <w:r w:rsidRPr="00464D52">
          <w:rPr>
            <w:sz w:val="24"/>
            <w:szCs w:val="24"/>
          </w:rPr>
          <w:fldChar w:fldCharType="separate"/>
        </w:r>
        <w:r>
          <w:rPr>
            <w:noProof/>
            <w:sz w:val="24"/>
            <w:szCs w:val="24"/>
          </w:rPr>
          <w:t>16</w:t>
        </w:r>
        <w:r w:rsidRPr="00464D52">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8201" w14:textId="0D8E9EBB" w:rsidR="00DB6622" w:rsidRDefault="00DB6622" w:rsidP="003D6A4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160A" w14:textId="77777777" w:rsidR="00727419" w:rsidRDefault="00727419" w:rsidP="001E1138">
      <w:pPr>
        <w:spacing w:after="0" w:line="240" w:lineRule="auto"/>
      </w:pPr>
      <w:r>
        <w:separator/>
      </w:r>
    </w:p>
  </w:footnote>
  <w:footnote w:type="continuationSeparator" w:id="0">
    <w:p w14:paraId="70C7CABF" w14:textId="77777777" w:rsidR="00727419" w:rsidRDefault="00727419" w:rsidP="001E1138">
      <w:pPr>
        <w:spacing w:after="0" w:line="240" w:lineRule="auto"/>
      </w:pPr>
      <w:r>
        <w:continuationSeparator/>
      </w:r>
    </w:p>
  </w:footnote>
  <w:footnote w:type="continuationNotice" w:id="1">
    <w:p w14:paraId="6882DF1F" w14:textId="77777777" w:rsidR="00727419" w:rsidRDefault="00727419">
      <w:pPr>
        <w:spacing w:after="0" w:line="240" w:lineRule="auto"/>
      </w:pPr>
    </w:p>
  </w:footnote>
  <w:footnote w:id="2">
    <w:p w14:paraId="2699BA12" w14:textId="7DF69DBE" w:rsidR="00DB6622" w:rsidRDefault="00DB6622" w:rsidP="004758E3">
      <w:pPr>
        <w:pStyle w:val="Textpoznpodarou"/>
        <w:ind w:left="284" w:hanging="284"/>
      </w:pPr>
      <w:r>
        <w:rPr>
          <w:rStyle w:val="Znakapoznpodarou"/>
        </w:rPr>
        <w:footnoteRef/>
      </w:r>
      <w:r>
        <w:t xml:space="preserve"> </w:t>
      </w:r>
      <w:r>
        <w:tab/>
        <w:t>Dílčí služby univerzální služby jsou definované v § 38 zákona č. 127/2005 Sb., o elektronických komunikacích a změně některých souvisejících zákonů (zákon o elektronických komunikacích).</w:t>
      </w:r>
    </w:p>
  </w:footnote>
  <w:footnote w:id="3">
    <w:p w14:paraId="6916A2DF" w14:textId="4F9C72D9" w:rsidR="00DB6622" w:rsidRDefault="00DB6622" w:rsidP="004758E3">
      <w:pPr>
        <w:pStyle w:val="Textpoznpodarou"/>
        <w:ind w:left="284" w:hanging="284"/>
        <w:jc w:val="both"/>
      </w:pPr>
      <w:r>
        <w:rPr>
          <w:rStyle w:val="Znakapoznpodarou"/>
        </w:rPr>
        <w:footnoteRef/>
      </w:r>
      <w:r>
        <w:t xml:space="preserve"> </w:t>
      </w:r>
      <w:r>
        <w:tab/>
        <w:t xml:space="preserve">ČTÚ stanovuje v souladu s ustanovením § 52 zákona č. 127/2005 Sb. opatřením obecné povahy relevantní trhy v oboru elektronických komunikací </w:t>
      </w:r>
      <w:r w:rsidRPr="0016240B">
        <w:t>včetně kritérií pro hodnocení významné tržní síly</w:t>
      </w:r>
      <w:r>
        <w:t>. Opatřením</w:t>
      </w:r>
      <w:r w:rsidRPr="0016240B">
        <w:t xml:space="preserve"> </w:t>
      </w:r>
      <w:r w:rsidR="00551598">
        <w:t>č</w:t>
      </w:r>
      <w:r w:rsidRPr="0016240B">
        <w:t>j.</w:t>
      </w:r>
      <w:r>
        <w:t> </w:t>
      </w:r>
      <w:r w:rsidRPr="0016240B">
        <w:t>ČTÚ-10 089/2021-611 ČTÚ mimo jiné stanovil relevantní trh č. 3 – velkoobchodní trh přístupu k mobilním službám</w:t>
      </w:r>
      <w:r>
        <w:t>.</w:t>
      </w:r>
    </w:p>
  </w:footnote>
  <w:footnote w:id="4">
    <w:p w14:paraId="3C732548" w14:textId="58335972" w:rsidR="00DB6622" w:rsidRDefault="00DB6622" w:rsidP="004758E3">
      <w:pPr>
        <w:pStyle w:val="Textpoznpodarou"/>
        <w:ind w:left="284" w:hanging="284"/>
        <w:jc w:val="both"/>
      </w:pPr>
      <w:r>
        <w:rPr>
          <w:rStyle w:val="Znakapoznpodarou"/>
        </w:rPr>
        <w:footnoteRef/>
      </w:r>
      <w:r>
        <w:t xml:space="preserve"> </w:t>
      </w:r>
      <w:r>
        <w:tab/>
        <w:t>Ustanovení § 2 odst. 3, § 6 odst. 1 až 3, § 18 odst. 1 a 2 zákona č. 134/2016 Sb., o zadávání veřejných zakázek.</w:t>
      </w:r>
    </w:p>
  </w:footnote>
  <w:footnote w:id="5">
    <w:p w14:paraId="12F11F4D" w14:textId="5D7F33BC" w:rsidR="00DB6622" w:rsidRDefault="00DB6622" w:rsidP="004758E3">
      <w:pPr>
        <w:pStyle w:val="Textpoznpodarou"/>
        <w:ind w:left="284" w:hanging="284"/>
        <w:jc w:val="both"/>
      </w:pPr>
      <w:r>
        <w:rPr>
          <w:rStyle w:val="Znakapoznpodarou"/>
        </w:rPr>
        <w:footnoteRef/>
      </w:r>
      <w:r>
        <w:t xml:space="preserve"> </w:t>
      </w:r>
      <w:r>
        <w:tab/>
        <w:t>N</w:t>
      </w:r>
      <w:r w:rsidRPr="00BF0705">
        <w:rPr>
          <w:rFonts w:cstheme="minorHAnsi"/>
        </w:rPr>
        <w:t>ařízení vlády č. 178/2015 Sb., o stanovení minimálního počtu provozoven pro poskytování základních služeb.</w:t>
      </w:r>
    </w:p>
  </w:footnote>
  <w:footnote w:id="6">
    <w:p w14:paraId="636032A6" w14:textId="73F0A915" w:rsidR="00DB6622" w:rsidRDefault="00DB6622" w:rsidP="004758E3">
      <w:pPr>
        <w:pStyle w:val="Textpoznpodarou"/>
        <w:ind w:left="284" w:hanging="284"/>
        <w:jc w:val="both"/>
      </w:pPr>
      <w:r>
        <w:rPr>
          <w:rStyle w:val="Znakapoznpodarou"/>
        </w:rPr>
        <w:footnoteRef/>
      </w:r>
      <w:r>
        <w:t xml:space="preserve"> </w:t>
      </w:r>
      <w:r>
        <w:tab/>
        <w:t xml:space="preserve">Vyhláška č. 464/2012 Sb., o </w:t>
      </w:r>
      <w:r w:rsidRPr="005A1984">
        <w:t>stanovení specifikace jednotlivých základních služeb a základních kvalitativních požadavků na jejich poskytování</w:t>
      </w:r>
      <w:r>
        <w:t>.</w:t>
      </w:r>
    </w:p>
  </w:footnote>
  <w:footnote w:id="7">
    <w:p w14:paraId="66263480" w14:textId="661FFA5A" w:rsidR="00DB6622" w:rsidRPr="00BF12BD" w:rsidRDefault="00DB6622" w:rsidP="00BF12BD">
      <w:pPr>
        <w:pStyle w:val="Textpoznpodarou"/>
        <w:ind w:left="284" w:hanging="284"/>
        <w:jc w:val="both"/>
        <w:rPr>
          <w:color w:val="000000" w:themeColor="text1"/>
        </w:rPr>
      </w:pPr>
      <w:r w:rsidRPr="00BF12BD">
        <w:rPr>
          <w:rStyle w:val="Znakapoznpodarou"/>
          <w:color w:val="000000" w:themeColor="text1"/>
        </w:rPr>
        <w:footnoteRef/>
      </w:r>
      <w:r w:rsidRPr="00BF12BD">
        <w:rPr>
          <w:color w:val="000000" w:themeColor="text1"/>
        </w:rPr>
        <w:t xml:space="preserve"> </w:t>
      </w:r>
      <w:r>
        <w:rPr>
          <w:color w:val="000000" w:themeColor="text1"/>
        </w:rPr>
        <w:tab/>
      </w:r>
      <w:r w:rsidRPr="00BF12BD">
        <w:rPr>
          <w:color w:val="000000" w:themeColor="text1"/>
        </w:rPr>
        <w:t>Zákon č. 95/2005 Sb., kterým se mění zákon č. 29/2000 Sb., o poštovních službách a o změně některých zákonů (zákon o poštovních službách), ve znění pozdějších předpisů, a některé další zákony.</w:t>
      </w:r>
    </w:p>
  </w:footnote>
  <w:footnote w:id="8">
    <w:p w14:paraId="62B8F69A" w14:textId="73D42EE7" w:rsidR="00DB6622" w:rsidRPr="00BF12BD" w:rsidRDefault="00DB6622" w:rsidP="00BF12BD">
      <w:pPr>
        <w:pStyle w:val="Textpoznpodarou"/>
        <w:ind w:left="284" w:hanging="284"/>
        <w:jc w:val="both"/>
        <w:rPr>
          <w:color w:val="000000" w:themeColor="text1"/>
        </w:rPr>
      </w:pPr>
      <w:r w:rsidRPr="00BF12BD">
        <w:rPr>
          <w:rStyle w:val="Znakapoznpodarou"/>
          <w:color w:val="000000" w:themeColor="text1"/>
        </w:rPr>
        <w:footnoteRef/>
      </w:r>
      <w:r w:rsidRPr="00BF12BD">
        <w:rPr>
          <w:color w:val="000000" w:themeColor="text1"/>
        </w:rPr>
        <w:t xml:space="preserve"> </w:t>
      </w:r>
      <w:r>
        <w:rPr>
          <w:color w:val="000000" w:themeColor="text1"/>
        </w:rPr>
        <w:tab/>
      </w:r>
      <w:r w:rsidRPr="00BF12BD">
        <w:rPr>
          <w:color w:val="000000" w:themeColor="text1"/>
        </w:rPr>
        <w:t>Zákon České národní rady č. 2/1969 Sb., o zřízení ministerstev a jiných ústředních orgánů státní správy České republiky.</w:t>
      </w:r>
    </w:p>
  </w:footnote>
  <w:footnote w:id="9">
    <w:p w14:paraId="5A16B887" w14:textId="2E183673" w:rsidR="00DB6622" w:rsidRPr="00BF12BD" w:rsidRDefault="00DB6622" w:rsidP="00BF12BD">
      <w:pPr>
        <w:pStyle w:val="Textpoznpodarou"/>
        <w:ind w:left="284" w:hanging="284"/>
        <w:jc w:val="both"/>
        <w:rPr>
          <w:color w:val="000000" w:themeColor="text1"/>
        </w:rPr>
      </w:pPr>
      <w:r w:rsidRPr="00BF12BD">
        <w:rPr>
          <w:rStyle w:val="Znakapoznpodarou"/>
          <w:color w:val="000000" w:themeColor="text1"/>
        </w:rPr>
        <w:footnoteRef/>
      </w:r>
      <w:r w:rsidRPr="00BF12BD">
        <w:rPr>
          <w:color w:val="000000" w:themeColor="text1"/>
        </w:rPr>
        <w:t xml:space="preserve"> </w:t>
      </w:r>
      <w:r>
        <w:rPr>
          <w:color w:val="000000" w:themeColor="text1"/>
        </w:rPr>
        <w:tab/>
      </w:r>
      <w:r w:rsidRPr="00BF12BD">
        <w:rPr>
          <w:color w:val="000000" w:themeColor="text1"/>
        </w:rPr>
        <w:t>Zákon č. 29/2000 Sb., o poštovních službách a o změně některých zákonů (zákon o poštovních službách).</w:t>
      </w:r>
    </w:p>
  </w:footnote>
  <w:footnote w:id="10">
    <w:p w14:paraId="34B1EDC8" w14:textId="004B4CD8" w:rsidR="00DB6622" w:rsidRDefault="00DB6622" w:rsidP="000F07A4">
      <w:pPr>
        <w:pStyle w:val="Textpoznpodarou"/>
        <w:ind w:left="284" w:hanging="284"/>
        <w:jc w:val="both"/>
      </w:pPr>
      <w:r>
        <w:rPr>
          <w:rStyle w:val="Znakapoznpodarou"/>
        </w:rPr>
        <w:footnoteRef/>
      </w:r>
      <w:r>
        <w:t xml:space="preserve"> </w:t>
      </w:r>
      <w:r w:rsidR="00F555D4">
        <w:tab/>
      </w:r>
      <w:r>
        <w:t>S</w:t>
      </w:r>
      <w:r w:rsidRPr="004F5B7E">
        <w:t xml:space="preserve">lužba mezinárodních odpovědek, služba odpovědních zásilek v mezinárodním styku, služba dodání </w:t>
      </w:r>
      <w:proofErr w:type="spellStart"/>
      <w:r w:rsidRPr="004F5B7E">
        <w:t>tiskovinového</w:t>
      </w:r>
      <w:proofErr w:type="spellEnd"/>
      <w:r w:rsidRPr="004F5B7E">
        <w:t xml:space="preserve"> pytle, služba dodání doporučeného </w:t>
      </w:r>
      <w:proofErr w:type="spellStart"/>
      <w:r w:rsidRPr="004F5B7E">
        <w:t>tiskovinového</w:t>
      </w:r>
      <w:proofErr w:type="spellEnd"/>
      <w:r w:rsidRPr="004F5B7E">
        <w:t xml:space="preserve"> pytle</w:t>
      </w:r>
      <w:r>
        <w:t>.</w:t>
      </w:r>
    </w:p>
  </w:footnote>
  <w:footnote w:id="11">
    <w:p w14:paraId="0AE912C5" w14:textId="316CB4E9" w:rsidR="00DB6622" w:rsidRDefault="00DB6622" w:rsidP="001F25CA">
      <w:pPr>
        <w:pStyle w:val="Textpoznpodarou"/>
        <w:ind w:left="284" w:hanging="284"/>
        <w:jc w:val="both"/>
      </w:pPr>
      <w:r>
        <w:rPr>
          <w:rStyle w:val="Znakapoznpodarou"/>
        </w:rPr>
        <w:footnoteRef/>
      </w:r>
      <w:r>
        <w:t xml:space="preserve"> </w:t>
      </w:r>
      <w:r w:rsidR="001F25CA">
        <w:tab/>
      </w:r>
      <w:r>
        <w:t xml:space="preserve">Ustanovení </w:t>
      </w:r>
      <w:r w:rsidRPr="0016240B">
        <w:t>§ 52</w:t>
      </w:r>
      <w:r>
        <w:t xml:space="preserve"> zákona č. 127/2005 Sb.</w:t>
      </w:r>
    </w:p>
  </w:footnote>
  <w:footnote w:id="12">
    <w:p w14:paraId="2A81C8E3" w14:textId="4AF65CB7" w:rsidR="00DB6622" w:rsidRDefault="00DB6622" w:rsidP="002D7205">
      <w:pPr>
        <w:pStyle w:val="Textpoznpodarou"/>
        <w:ind w:left="284" w:hanging="284"/>
        <w:jc w:val="both"/>
      </w:pPr>
      <w:r>
        <w:rPr>
          <w:rStyle w:val="Znakapoznpodarou"/>
        </w:rPr>
        <w:footnoteRef/>
      </w:r>
      <w:r>
        <w:t xml:space="preserve"> </w:t>
      </w:r>
      <w:r>
        <w:tab/>
        <w:t xml:space="preserve">Ustanovení § 2 odst. 3 zákona č. 134/2016 Sb. </w:t>
      </w:r>
    </w:p>
  </w:footnote>
  <w:footnote w:id="13">
    <w:p w14:paraId="50048494" w14:textId="684FBDA2" w:rsidR="00DB6622" w:rsidRDefault="00DB6622" w:rsidP="002D7205">
      <w:pPr>
        <w:pStyle w:val="Textpoznpodarou"/>
        <w:ind w:left="284" w:hanging="284"/>
        <w:jc w:val="both"/>
      </w:pPr>
      <w:r>
        <w:rPr>
          <w:rStyle w:val="Znakapoznpodarou"/>
        </w:rPr>
        <w:footnoteRef/>
      </w:r>
      <w:r>
        <w:t xml:space="preserve"> </w:t>
      </w:r>
      <w:r>
        <w:tab/>
        <w:t xml:space="preserve">Ustanovení § 18 odst. 1 a 2 zákona č. 134/2016 Sb. </w:t>
      </w:r>
    </w:p>
  </w:footnote>
  <w:footnote w:id="14">
    <w:p w14:paraId="585F12FB" w14:textId="562AD1EF" w:rsidR="00DB6622" w:rsidRDefault="00DB6622" w:rsidP="002D7205">
      <w:pPr>
        <w:pStyle w:val="Textpoznpodarou"/>
        <w:ind w:left="284" w:hanging="284"/>
        <w:jc w:val="both"/>
      </w:pPr>
      <w:r>
        <w:rPr>
          <w:rStyle w:val="Znakapoznpodarou"/>
        </w:rPr>
        <w:footnoteRef/>
      </w:r>
      <w:r>
        <w:t xml:space="preserve"> </w:t>
      </w:r>
      <w:r>
        <w:tab/>
        <w:t xml:space="preserve">Ustanovení § 6 odst. 1 a 2 zákona č. 134/2016 Sb. </w:t>
      </w:r>
    </w:p>
  </w:footnote>
  <w:footnote w:id="15">
    <w:p w14:paraId="58ABB540" w14:textId="7A51803C" w:rsidR="00DB6622" w:rsidRDefault="00DB6622" w:rsidP="002D7205">
      <w:pPr>
        <w:pStyle w:val="Textpoznpodarou"/>
        <w:ind w:left="284" w:hanging="284"/>
        <w:jc w:val="both"/>
      </w:pPr>
      <w:r>
        <w:rPr>
          <w:rStyle w:val="Znakapoznpodarou"/>
        </w:rPr>
        <w:footnoteRef/>
      </w:r>
      <w:r>
        <w:t xml:space="preserve"> </w:t>
      </w:r>
      <w:r>
        <w:tab/>
        <w:t>Pásmo je vhodné pro celoplošné pokrytí.</w:t>
      </w:r>
    </w:p>
  </w:footnote>
  <w:footnote w:id="16">
    <w:p w14:paraId="4E55365C" w14:textId="23B166B3" w:rsidR="00DB6622" w:rsidRDefault="00DB6622" w:rsidP="002D7205">
      <w:pPr>
        <w:pStyle w:val="Textpoznpodarou"/>
        <w:ind w:left="284" w:hanging="284"/>
        <w:jc w:val="both"/>
      </w:pPr>
      <w:r>
        <w:rPr>
          <w:rStyle w:val="Znakapoznpodarou"/>
        </w:rPr>
        <w:footnoteRef/>
      </w:r>
      <w:r>
        <w:t xml:space="preserve"> </w:t>
      </w:r>
      <w:r>
        <w:tab/>
        <w:t>Pásmo je vhodné pro kapacitní pokrytí.</w:t>
      </w:r>
    </w:p>
  </w:footnote>
  <w:footnote w:id="17">
    <w:p w14:paraId="1C8A6FB4" w14:textId="7318403F" w:rsidR="00DB6622" w:rsidRDefault="00DB6622" w:rsidP="006C5AE3">
      <w:pPr>
        <w:pStyle w:val="Textpoznpodarou"/>
        <w:ind w:left="284" w:hanging="284"/>
        <w:jc w:val="both"/>
      </w:pPr>
      <w:r>
        <w:rPr>
          <w:rStyle w:val="Znakapoznpodarou"/>
        </w:rPr>
        <w:footnoteRef/>
      </w:r>
      <w:r>
        <w:t xml:space="preserve"> </w:t>
      </w:r>
      <w:r>
        <w:tab/>
      </w:r>
      <w:r w:rsidRPr="009351D6">
        <w:rPr>
          <w:rFonts w:cstheme="minorHAnsi"/>
        </w:rPr>
        <w:t>Usnesení vlády České republiky ze dne 27. ledna 2020 č. 84</w:t>
      </w:r>
      <w:r w:rsidR="00083BA5">
        <w:rPr>
          <w:rFonts w:cstheme="minorHAnsi"/>
        </w:rPr>
        <w:t>,</w:t>
      </w:r>
      <w:r w:rsidRPr="009351D6">
        <w:rPr>
          <w:rFonts w:cstheme="minorHAnsi"/>
        </w:rPr>
        <w:t xml:space="preserve"> </w:t>
      </w:r>
      <w:r w:rsidRPr="00C61E99">
        <w:rPr>
          <w:rFonts w:cstheme="minorHAnsi"/>
          <w:i/>
        </w:rPr>
        <w:t>k návrhu podmínek provedení výběrového řízení prostřednictvím aukce na udělení práv k využívání rádiových kmitočtů pro zajištění sítí elektronických komunikací v kmitočtových pásmech 700 MHz a 3400</w:t>
      </w:r>
      <w:r w:rsidR="00083BA5" w:rsidRPr="00C61E99">
        <w:rPr>
          <w:rFonts w:cstheme="minorHAnsi"/>
          <w:i/>
        </w:rPr>
        <w:t>–</w:t>
      </w:r>
      <w:r w:rsidRPr="00C61E99">
        <w:rPr>
          <w:rFonts w:cstheme="minorHAnsi"/>
          <w:i/>
        </w:rPr>
        <w:t>3600 MHz</w:t>
      </w:r>
      <w:r>
        <w:rPr>
          <w:rFonts w:cstheme="minorHAnsi"/>
        </w:rPr>
        <w:t>.</w:t>
      </w:r>
    </w:p>
  </w:footnote>
  <w:footnote w:id="18">
    <w:p w14:paraId="746B1DF6" w14:textId="39CFB6CB" w:rsidR="00DB6622" w:rsidRDefault="00DB6622" w:rsidP="00BF68CD">
      <w:pPr>
        <w:pStyle w:val="Textpoznpodarou"/>
        <w:ind w:left="284" w:hanging="284"/>
        <w:jc w:val="both"/>
      </w:pPr>
      <w:r>
        <w:rPr>
          <w:rStyle w:val="Znakapoznpodarou"/>
        </w:rPr>
        <w:footnoteRef/>
      </w:r>
      <w:r>
        <w:t xml:space="preserve"> </w:t>
      </w:r>
      <w:r>
        <w:tab/>
        <w:t xml:space="preserve">Součástí podmínek aukce byl také závazek </w:t>
      </w:r>
      <w:proofErr w:type="spellStart"/>
      <w:r w:rsidRPr="00656618">
        <w:t>refarmingu</w:t>
      </w:r>
      <w:proofErr w:type="spellEnd"/>
      <w:r>
        <w:t xml:space="preserve"> pro </w:t>
      </w:r>
      <w:r w:rsidRPr="00656618">
        <w:t>držitel</w:t>
      </w:r>
      <w:r>
        <w:t>e</w:t>
      </w:r>
      <w:r w:rsidRPr="00656618">
        <w:t xml:space="preserve"> přídělu v pásmu 3400</w:t>
      </w:r>
      <w:r w:rsidR="00A725C1">
        <w:t>–</w:t>
      </w:r>
      <w:r w:rsidRPr="00656618">
        <w:t>3600 MHz. Ti museli umožnit scelení nově přidělených kmitočtů s kmitočty, které drží v pásmu 3600</w:t>
      </w:r>
      <w:r w:rsidR="00A725C1">
        <w:t>–</w:t>
      </w:r>
      <w:r w:rsidRPr="00656618">
        <w:t>3800 MHz tak, aby celé kmitočtové pásmo 3400</w:t>
      </w:r>
      <w:r w:rsidR="00A725C1">
        <w:t>–</w:t>
      </w:r>
      <w:r w:rsidRPr="00656618">
        <w:t>3800 MHz bylo tvořeno spojitými bloky jednotlivých držitelů přídělů.</w:t>
      </w:r>
    </w:p>
  </w:footnote>
  <w:footnote w:id="19">
    <w:p w14:paraId="3396971C" w14:textId="7FDE2FC9" w:rsidR="00DB6622" w:rsidRDefault="00DB6622" w:rsidP="00BF68CD">
      <w:pPr>
        <w:pStyle w:val="Textpoznpodarou"/>
        <w:ind w:left="284" w:hanging="284"/>
        <w:jc w:val="both"/>
      </w:pPr>
      <w:r>
        <w:rPr>
          <w:rStyle w:val="Znakapoznpodarou"/>
        </w:rPr>
        <w:footnoteRef/>
      </w:r>
      <w:r>
        <w:t xml:space="preserve"> </w:t>
      </w:r>
      <w:r>
        <w:tab/>
        <w:t>Tato povinnost se vztahuje i na další kmitočty, které daný držitel přídělu získal v předchozích výběrových řízeních pro pásma 800 MHz, 1800 MHz a 2600MHz.</w:t>
      </w:r>
    </w:p>
  </w:footnote>
  <w:footnote w:id="20">
    <w:p w14:paraId="24C302F7" w14:textId="7E8FA371" w:rsidR="00DB6622" w:rsidRPr="00F4583E" w:rsidRDefault="00DB6622" w:rsidP="00F4583E">
      <w:pPr>
        <w:spacing w:after="0" w:line="240" w:lineRule="auto"/>
        <w:ind w:left="284" w:hanging="284"/>
        <w:rPr>
          <w:sz w:val="20"/>
          <w:szCs w:val="20"/>
        </w:rPr>
      </w:pPr>
      <w:r w:rsidRPr="004961E8">
        <w:rPr>
          <w:rStyle w:val="Znakapoznpodarou"/>
          <w:sz w:val="20"/>
          <w:szCs w:val="20"/>
        </w:rPr>
        <w:footnoteRef/>
      </w:r>
      <w:r w:rsidRPr="004961E8">
        <w:rPr>
          <w:sz w:val="20"/>
          <w:szCs w:val="20"/>
        </w:rPr>
        <w:t xml:space="preserve"> </w:t>
      </w:r>
      <w:r>
        <w:rPr>
          <w:sz w:val="20"/>
          <w:szCs w:val="20"/>
        </w:rPr>
        <w:tab/>
      </w:r>
      <w:r w:rsidRPr="004961E8">
        <w:rPr>
          <w:sz w:val="20"/>
          <w:szCs w:val="20"/>
        </w:rPr>
        <w:t>NK</w:t>
      </w:r>
      <w:r w:rsidR="008B3246">
        <w:rPr>
          <w:sz w:val="20"/>
          <w:szCs w:val="20"/>
        </w:rPr>
        <w:t>Ú</w:t>
      </w:r>
      <w:r w:rsidRPr="004961E8">
        <w:rPr>
          <w:sz w:val="20"/>
          <w:szCs w:val="20"/>
        </w:rPr>
        <w:t xml:space="preserve">: </w:t>
      </w:r>
      <w:r w:rsidRPr="00C61E99">
        <w:rPr>
          <w:i/>
          <w:sz w:val="20"/>
          <w:szCs w:val="20"/>
        </w:rPr>
        <w:t>Mezinárodní srovnání cen volání a mobilních dat</w:t>
      </w:r>
      <w:r w:rsidRPr="004961E8">
        <w:rPr>
          <w:sz w:val="20"/>
          <w:szCs w:val="20"/>
        </w:rPr>
        <w:t xml:space="preserve"> </w:t>
      </w:r>
      <w:r w:rsidRPr="004961E8">
        <w:rPr>
          <w:rFonts w:cstheme="minorHAnsi"/>
          <w:sz w:val="20"/>
          <w:szCs w:val="20"/>
        </w:rPr>
        <w:t>©2022.</w:t>
      </w:r>
      <w:r w:rsidRPr="004961E8">
        <w:rPr>
          <w:sz w:val="20"/>
          <w:szCs w:val="20"/>
        </w:rPr>
        <w:t xml:space="preserve"> Dat</w:t>
      </w:r>
      <w:r w:rsidRPr="00F4583E">
        <w:rPr>
          <w:sz w:val="20"/>
          <w:szCs w:val="20"/>
        </w:rPr>
        <w:t xml:space="preserve">ová příloha je dostupná z: </w:t>
      </w:r>
      <w:hyperlink r:id="rId1" w:history="1">
        <w:r w:rsidRPr="00F4583E">
          <w:rPr>
            <w:rStyle w:val="Hypertextovodkaz"/>
            <w:sz w:val="20"/>
            <w:szCs w:val="20"/>
          </w:rPr>
          <w:t>https://www.nku.cz/scripts/detail.php?id=12787</w:t>
        </w:r>
      </w:hyperlink>
      <w:r w:rsidR="00057CEC" w:rsidRPr="00F4583E">
        <w:rPr>
          <w:sz w:val="20"/>
          <w:szCs w:val="20"/>
        </w:rPr>
        <w:t>.</w:t>
      </w:r>
    </w:p>
  </w:footnote>
  <w:footnote w:id="21">
    <w:p w14:paraId="73CE5979" w14:textId="036FD3CA" w:rsidR="00DB6622" w:rsidRPr="004961E8" w:rsidRDefault="00DB6622" w:rsidP="00F4583E">
      <w:pPr>
        <w:pStyle w:val="Textpoznpodarou"/>
        <w:ind w:left="284" w:hanging="284"/>
      </w:pPr>
      <w:r w:rsidRPr="00F4583E">
        <w:rPr>
          <w:rStyle w:val="Znakapoznpodarou"/>
        </w:rPr>
        <w:footnoteRef/>
      </w:r>
      <w:r w:rsidRPr="00F4583E">
        <w:t xml:space="preserve"> </w:t>
      </w:r>
      <w:bookmarkStart w:id="5" w:name="_Hlk115954380"/>
      <w:r w:rsidRPr="00F4583E">
        <w:tab/>
      </w:r>
      <w:r w:rsidRPr="00C61E99">
        <w:rPr>
          <w:i/>
        </w:rPr>
        <w:t xml:space="preserve">Mobile and </w:t>
      </w:r>
      <w:proofErr w:type="spellStart"/>
      <w:r w:rsidRPr="00C61E99">
        <w:rPr>
          <w:i/>
        </w:rPr>
        <w:t>Fixed</w:t>
      </w:r>
      <w:proofErr w:type="spellEnd"/>
      <w:r w:rsidRPr="00C61E99">
        <w:rPr>
          <w:i/>
        </w:rPr>
        <w:t xml:space="preserve"> </w:t>
      </w:r>
      <w:proofErr w:type="spellStart"/>
      <w:r w:rsidRPr="00C61E99">
        <w:rPr>
          <w:i/>
        </w:rPr>
        <w:t>Broadband</w:t>
      </w:r>
      <w:proofErr w:type="spellEnd"/>
      <w:r w:rsidRPr="00C61E99">
        <w:rPr>
          <w:i/>
        </w:rPr>
        <w:t xml:space="preserve"> </w:t>
      </w:r>
      <w:proofErr w:type="spellStart"/>
      <w:r w:rsidRPr="00C61E99">
        <w:rPr>
          <w:i/>
        </w:rPr>
        <w:t>Prices</w:t>
      </w:r>
      <w:proofErr w:type="spellEnd"/>
      <w:r w:rsidRPr="00C61E99">
        <w:rPr>
          <w:i/>
        </w:rPr>
        <w:t xml:space="preserve"> in </w:t>
      </w:r>
      <w:proofErr w:type="spellStart"/>
      <w:r w:rsidRPr="00C61E99">
        <w:rPr>
          <w:i/>
        </w:rPr>
        <w:t>Europe</w:t>
      </w:r>
      <w:proofErr w:type="spellEnd"/>
      <w:r w:rsidRPr="00C61E99">
        <w:rPr>
          <w:i/>
        </w:rPr>
        <w:t xml:space="preserve"> in 2021 | </w:t>
      </w:r>
      <w:proofErr w:type="spellStart"/>
      <w:r w:rsidRPr="00C61E99">
        <w:rPr>
          <w:i/>
        </w:rPr>
        <w:t>Shaping</w:t>
      </w:r>
      <w:proofErr w:type="spellEnd"/>
      <w:r w:rsidRPr="00C61E99">
        <w:rPr>
          <w:i/>
        </w:rPr>
        <w:t xml:space="preserve"> </w:t>
      </w:r>
      <w:proofErr w:type="spellStart"/>
      <w:r w:rsidRPr="00C61E99">
        <w:rPr>
          <w:i/>
        </w:rPr>
        <w:t>Europe’s</w:t>
      </w:r>
      <w:proofErr w:type="spellEnd"/>
      <w:r w:rsidRPr="00C61E99">
        <w:rPr>
          <w:i/>
        </w:rPr>
        <w:t xml:space="preserve"> </w:t>
      </w:r>
      <w:proofErr w:type="spellStart"/>
      <w:r w:rsidRPr="00C61E99">
        <w:rPr>
          <w:i/>
        </w:rPr>
        <w:t>digital</w:t>
      </w:r>
      <w:proofErr w:type="spellEnd"/>
      <w:r w:rsidRPr="00C61E99">
        <w:rPr>
          <w:i/>
        </w:rPr>
        <w:t xml:space="preserve"> </w:t>
      </w:r>
      <w:proofErr w:type="spellStart"/>
      <w:r w:rsidRPr="00C61E99">
        <w:rPr>
          <w:i/>
        </w:rPr>
        <w:t>future</w:t>
      </w:r>
      <w:proofErr w:type="spellEnd"/>
      <w:r w:rsidRPr="00C61E99">
        <w:rPr>
          <w:i/>
        </w:rPr>
        <w:t xml:space="preserve"> (europa.eu)</w:t>
      </w:r>
      <w:bookmarkEnd w:id="5"/>
      <w:r w:rsidRPr="004961E8">
        <w:rPr>
          <w:rFonts w:cstheme="minorHAnsi"/>
          <w:i/>
        </w:rPr>
        <w:t xml:space="preserve">, </w:t>
      </w:r>
      <w:r w:rsidRPr="004961E8">
        <w:rPr>
          <w:rFonts w:cstheme="minorHAnsi"/>
        </w:rPr>
        <w:t>d</w:t>
      </w:r>
      <w:r w:rsidRPr="004961E8">
        <w:t xml:space="preserve">ostupné z </w:t>
      </w:r>
      <w:hyperlink r:id="rId2" w:history="1">
        <w:r w:rsidRPr="004961E8">
          <w:rPr>
            <w:rStyle w:val="Hypertextovodkaz"/>
          </w:rPr>
          <w:t>https://digital-strategy.ec.europa.eu/en/library/mobile-and-fixed-broadband-prices-europe-2021</w:t>
        </w:r>
      </w:hyperlink>
      <w:r w:rsidRPr="004961E8">
        <w:rPr>
          <w:rStyle w:val="Hypertextovodkaz"/>
          <w:color w:val="auto"/>
          <w:u w:val="none"/>
        </w:rPr>
        <w:t>. S</w:t>
      </w:r>
      <w:r w:rsidRPr="004961E8">
        <w:t>rovnání cen mobilních dat je od str. 111, popis situace v ČR je popsán v příloze na str. 174</w:t>
      </w:r>
      <w:r w:rsidR="00057CEC">
        <w:t>–</w:t>
      </w:r>
      <w:r w:rsidRPr="004961E8">
        <w:t>180.</w:t>
      </w:r>
    </w:p>
  </w:footnote>
  <w:footnote w:id="22">
    <w:p w14:paraId="70F18493" w14:textId="1DA871A1" w:rsidR="00DB6622" w:rsidRPr="004961E8" w:rsidRDefault="00DB6622" w:rsidP="004961E8">
      <w:pPr>
        <w:pStyle w:val="Textpoznpodarou"/>
        <w:ind w:left="284" w:hanging="284"/>
        <w:jc w:val="both"/>
      </w:pPr>
      <w:r w:rsidRPr="004961E8">
        <w:rPr>
          <w:rStyle w:val="Znakapoznpodarou"/>
        </w:rPr>
        <w:footnoteRef/>
      </w:r>
      <w:r w:rsidRPr="004961E8">
        <w:t xml:space="preserve"> </w:t>
      </w:r>
      <w:r>
        <w:tab/>
      </w:r>
      <w:r w:rsidRPr="004961E8">
        <w:t>Doporučení Komise (EU) 2020/2245 ze dne 18. prosince 2020</w:t>
      </w:r>
      <w:r w:rsidR="00057CEC">
        <w:t>,</w:t>
      </w:r>
      <w:r w:rsidRPr="004961E8">
        <w:t xml:space="preserve"> </w:t>
      </w:r>
      <w:r w:rsidRPr="00C61E99">
        <w:rPr>
          <w:i/>
        </w:rPr>
        <w:t>o relevantních trzích produktů a služeb v</w:t>
      </w:r>
      <w:r w:rsidR="00057CEC" w:rsidRPr="00C61E99">
        <w:rPr>
          <w:i/>
        </w:rPr>
        <w:t> </w:t>
      </w:r>
      <w:r w:rsidRPr="00C61E99">
        <w:rPr>
          <w:i/>
        </w:rPr>
        <w:t>odvětví elektronických komunikací, které připadají v úvahu pro regulaci ex ante podle směrnice Evropského parlamentu a Rady (EU) 2018/1972, kterou se stanoví evropský kodex pro elektronické komunikace</w:t>
      </w:r>
      <w:r w:rsidRPr="004961E8">
        <w:t>.</w:t>
      </w:r>
    </w:p>
  </w:footnote>
  <w:footnote w:id="23">
    <w:p w14:paraId="25E148A4" w14:textId="52098162" w:rsidR="00DB6622" w:rsidRPr="004961E8" w:rsidRDefault="00DB6622" w:rsidP="004961E8">
      <w:pPr>
        <w:pStyle w:val="Textpoznpodarou"/>
        <w:ind w:left="284" w:hanging="284"/>
        <w:jc w:val="both"/>
        <w:rPr>
          <w:rFonts w:cstheme="minorHAnsi"/>
        </w:rPr>
      </w:pPr>
      <w:r w:rsidRPr="004961E8">
        <w:rPr>
          <w:rStyle w:val="Znakapoznpodarou"/>
          <w:rFonts w:cstheme="minorHAnsi"/>
        </w:rPr>
        <w:footnoteRef/>
      </w:r>
      <w:r w:rsidRPr="004961E8">
        <w:rPr>
          <w:rFonts w:cstheme="minorHAnsi"/>
        </w:rPr>
        <w:t xml:space="preserve"> </w:t>
      </w:r>
      <w:r>
        <w:rPr>
          <w:rFonts w:cstheme="minorHAnsi"/>
        </w:rPr>
        <w:tab/>
      </w:r>
      <w:r w:rsidRPr="004961E8">
        <w:rPr>
          <w:rFonts w:cstheme="minorHAnsi"/>
        </w:rPr>
        <w:t>Směrnice Evropského parlamentu a Rady 97/67/ES ze dne 15. prosince 1997</w:t>
      </w:r>
      <w:r w:rsidR="003E4C56">
        <w:rPr>
          <w:rFonts w:cstheme="minorHAnsi"/>
        </w:rPr>
        <w:t>,</w:t>
      </w:r>
      <w:r w:rsidRPr="004961E8">
        <w:rPr>
          <w:rFonts w:cstheme="minorHAnsi"/>
        </w:rPr>
        <w:t xml:space="preserve"> </w:t>
      </w:r>
      <w:r w:rsidRPr="00C61E99">
        <w:rPr>
          <w:rFonts w:cstheme="minorHAnsi"/>
          <w:i/>
        </w:rPr>
        <w:t>o společných pravidlech pro rozvoj vnitřního trhu poštovních služeb Společenství a zvyšování kvality služby vč. jejich změn</w:t>
      </w:r>
      <w:r w:rsidRPr="004961E8">
        <w:rPr>
          <w:rFonts w:cstheme="minorHAnsi"/>
        </w:rPr>
        <w:t>.</w:t>
      </w:r>
    </w:p>
  </w:footnote>
  <w:footnote w:id="24">
    <w:p w14:paraId="4EAC732D" w14:textId="55E36520" w:rsidR="00DB6622" w:rsidRPr="004961E8" w:rsidRDefault="00DB6622" w:rsidP="004961E8">
      <w:pPr>
        <w:pStyle w:val="Textpoznpodarou"/>
        <w:ind w:left="284" w:hanging="284"/>
        <w:jc w:val="both"/>
      </w:pPr>
      <w:r w:rsidRPr="004961E8">
        <w:rPr>
          <w:rStyle w:val="Znakapoznpodarou"/>
        </w:rPr>
        <w:footnoteRef/>
      </w:r>
      <w:r w:rsidRPr="004961E8">
        <w:t xml:space="preserve"> </w:t>
      </w:r>
      <w:r>
        <w:tab/>
      </w:r>
      <w:r w:rsidRPr="004961E8">
        <w:t>Zákon č. 221/2012 Sb., kterým se mění zákon č. 29/2000 Sb., o poštovních službách a o změně některých zákonů (zákon o poštovních službách), ve znění pozdějších předpisů, a některé další zákony. Tento zákon liberalizoval poštovní trh a po uplynutí přechodného období podmiňuje udělení poštovní licence výběrem na základě výběrového řízení na držitele poštovní licence.</w:t>
      </w:r>
    </w:p>
  </w:footnote>
  <w:footnote w:id="25">
    <w:p w14:paraId="48CB56A5" w14:textId="73D00E12" w:rsidR="00DB6622" w:rsidRDefault="00DB6622" w:rsidP="004961E8">
      <w:pPr>
        <w:pStyle w:val="Textpoznpodarou"/>
        <w:ind w:left="284" w:hanging="284"/>
        <w:jc w:val="both"/>
      </w:pPr>
      <w:r>
        <w:rPr>
          <w:rStyle w:val="Znakapoznpodarou"/>
        </w:rPr>
        <w:footnoteRef/>
      </w:r>
      <w:r>
        <w:t xml:space="preserve"> </w:t>
      </w:r>
      <w:r>
        <w:tab/>
        <w:t xml:space="preserve">Ustanovení § 22 odst. 9 zákona č. 29/2000 Sb., </w:t>
      </w:r>
      <w:r w:rsidRPr="000E6886">
        <w:t>o poštovních službách a o změně některých zákonů (zákon o</w:t>
      </w:r>
      <w:r>
        <w:t> </w:t>
      </w:r>
      <w:r w:rsidRPr="000E6886">
        <w:t>poštovních službách)</w:t>
      </w:r>
      <w:r>
        <w:t>.</w:t>
      </w:r>
    </w:p>
  </w:footnote>
  <w:footnote w:id="26">
    <w:p w14:paraId="168E5C67" w14:textId="667A5070" w:rsidR="00DB6622" w:rsidRDefault="00DB6622" w:rsidP="00A02975">
      <w:pPr>
        <w:pStyle w:val="Textpoznpodarou"/>
        <w:ind w:left="284" w:hanging="284"/>
        <w:jc w:val="both"/>
      </w:pPr>
      <w:r>
        <w:rPr>
          <w:rStyle w:val="Znakapoznpodarou"/>
        </w:rPr>
        <w:footnoteRef/>
      </w:r>
      <w:r>
        <w:t xml:space="preserve"> </w:t>
      </w:r>
      <w:r>
        <w:tab/>
      </w:r>
      <w:r w:rsidRPr="00901700">
        <w:rPr>
          <w:rFonts w:cstheme="minorHAnsi"/>
        </w:rPr>
        <w:t>Zákon č. 319/2015 Sb., kterým se mění zákon č. 29/2000 Sb., o poštovních službách a o změně některých zákonů (zákon o poštovních službách), ve znění pozdějších předpisů, a zákon č. 77/1997 Sb., o státním podniku, ve znění pozdějších předpisů</w:t>
      </w:r>
      <w:r>
        <w:rPr>
          <w:rFonts w:cstheme="minorHAnsi"/>
        </w:rPr>
        <w:t>.</w:t>
      </w:r>
    </w:p>
  </w:footnote>
  <w:footnote w:id="27">
    <w:p w14:paraId="6E7BA8F7" w14:textId="0A9A360C" w:rsidR="00DB6622" w:rsidRDefault="00DB6622" w:rsidP="00A02975">
      <w:pPr>
        <w:pStyle w:val="Textpoznpodarou"/>
        <w:ind w:left="284" w:hanging="284"/>
        <w:jc w:val="both"/>
      </w:pPr>
      <w:r>
        <w:rPr>
          <w:rStyle w:val="Znakapoznpodarou"/>
        </w:rPr>
        <w:footnoteRef/>
      </w:r>
      <w:r>
        <w:t xml:space="preserve"> </w:t>
      </w:r>
      <w:r>
        <w:tab/>
      </w:r>
      <w:r w:rsidRPr="00D3346A">
        <w:rPr>
          <w:rFonts w:cstheme="minorHAnsi"/>
        </w:rPr>
        <w:t xml:space="preserve">Usnesení vlády České republiky ze dne </w:t>
      </w:r>
      <w:r>
        <w:rPr>
          <w:rFonts w:cstheme="minorHAnsi"/>
        </w:rPr>
        <w:t>2</w:t>
      </w:r>
      <w:r w:rsidRPr="00D3346A">
        <w:rPr>
          <w:rFonts w:cstheme="minorHAnsi"/>
        </w:rPr>
        <w:t xml:space="preserve">2. </w:t>
      </w:r>
      <w:r>
        <w:rPr>
          <w:rFonts w:cstheme="minorHAnsi"/>
        </w:rPr>
        <w:t>března 2017 č. 219</w:t>
      </w:r>
      <w:r w:rsidR="001F59CB">
        <w:rPr>
          <w:rFonts w:cstheme="minorHAnsi"/>
        </w:rPr>
        <w:t>,</w:t>
      </w:r>
      <w:r>
        <w:rPr>
          <w:rFonts w:cstheme="minorHAnsi"/>
        </w:rPr>
        <w:t xml:space="preserve"> </w:t>
      </w:r>
      <w:r w:rsidRPr="00C61E99">
        <w:rPr>
          <w:rFonts w:cstheme="minorHAnsi"/>
          <w:i/>
        </w:rPr>
        <w:t xml:space="preserve">k návrhu opatření k zamezení vzniku případných škod a minimalizace rizik souvisejících s nemožností aplikovat ustanovení zákona o poštovních službách v části financování čistých nákladů představujících nespravedlivou finanční zátěž prostřednictvím tzv. kompenzačního fondu v souvislosti s šetřením Evropské komise pro možnou nedovolenou veřejnou podporu vůči České poště, </w:t>
      </w:r>
      <w:proofErr w:type="spellStart"/>
      <w:r w:rsidRPr="00C61E99">
        <w:rPr>
          <w:rFonts w:cstheme="minorHAnsi"/>
          <w:i/>
        </w:rPr>
        <w:t>s.p</w:t>
      </w:r>
      <w:proofErr w:type="spellEnd"/>
      <w:r w:rsidRPr="00C61E99">
        <w:rPr>
          <w:rFonts w:cstheme="minorHAnsi"/>
          <w:i/>
        </w:rPr>
        <w:t>.</w:t>
      </w:r>
    </w:p>
  </w:footnote>
  <w:footnote w:id="28">
    <w:p w14:paraId="4FB28E92" w14:textId="522E66FE" w:rsidR="00DB6622" w:rsidRDefault="00DB6622" w:rsidP="00A02975">
      <w:pPr>
        <w:pStyle w:val="Textpoznpodarou"/>
        <w:ind w:left="284" w:hanging="284"/>
        <w:jc w:val="both"/>
      </w:pPr>
      <w:r>
        <w:rPr>
          <w:rStyle w:val="Znakapoznpodarou"/>
        </w:rPr>
        <w:footnoteRef/>
      </w:r>
      <w:r>
        <w:t xml:space="preserve"> </w:t>
      </w:r>
      <w:r>
        <w:tab/>
        <w:t xml:space="preserve">Zákon č. 202/2019 Sb., </w:t>
      </w:r>
      <w:r w:rsidRPr="0044564F">
        <w:t>kterým se mění zákon č. 29/2000 Sb., o poštovních službách a o změně některých zákonů (zákon o poštovních službách), ve znění pozdějších předpisů, a zákon č. 319/2015 Sb., kterým se mění zákon č. 29/2000 Sb., o poštovních službách a o změně některých zákonů (zákon o poštovních službách), ve znění pozdějších předpisů, a zákon č. 77/1997 Sb., o státním podniku, ve znění pozdějších předpisů</w:t>
      </w:r>
      <w:r>
        <w:t>.</w:t>
      </w:r>
    </w:p>
  </w:footnote>
  <w:footnote w:id="29">
    <w:p w14:paraId="5D178E81" w14:textId="6A049AE5" w:rsidR="00DB6622" w:rsidRDefault="00DB6622" w:rsidP="00274B9B">
      <w:pPr>
        <w:pStyle w:val="Textpoznpodarou"/>
        <w:ind w:left="284" w:hanging="284"/>
        <w:jc w:val="both"/>
      </w:pPr>
      <w:r>
        <w:rPr>
          <w:rStyle w:val="Znakapoznpodarou"/>
        </w:rPr>
        <w:footnoteRef/>
      </w:r>
      <w:r>
        <w:t> </w:t>
      </w:r>
      <w:r>
        <w:tab/>
        <w:t xml:space="preserve">Dle </w:t>
      </w:r>
      <w:r w:rsidR="008B3246">
        <w:t>m</w:t>
      </w:r>
      <w:r>
        <w:t xml:space="preserve">onitorovací zprávy ČTÚ ze dne 23. září 2022 provedl ČTÚ úhradu čistých nákladů představujících nespravedlivou finanční zátěž za období let 2018–2020 dne 31. srpna 2022 ve výši 4,5 mld. Kč. </w:t>
      </w:r>
    </w:p>
  </w:footnote>
  <w:footnote w:id="30">
    <w:p w14:paraId="40A648D9" w14:textId="5B7153B2" w:rsidR="00DB6622" w:rsidRDefault="00DB6622" w:rsidP="00274B9B">
      <w:pPr>
        <w:pStyle w:val="Textpoznpodarou"/>
        <w:ind w:left="284" w:hanging="284"/>
        <w:jc w:val="both"/>
      </w:pPr>
      <w:r>
        <w:rPr>
          <w:rStyle w:val="Znakapoznpodarou"/>
        </w:rPr>
        <w:footnoteRef/>
      </w:r>
      <w:r>
        <w:t xml:space="preserve"> </w:t>
      </w:r>
      <w:r>
        <w:tab/>
        <w:t xml:space="preserve">Zákon č. 261/2021 Sb., </w:t>
      </w:r>
      <w:r w:rsidRPr="00D01B95">
        <w:t>kterým se mění některé zákony v souvislosti s další elektronizací postupů orgánů veřejné moci</w:t>
      </w:r>
      <w:r>
        <w:t>.</w:t>
      </w:r>
    </w:p>
  </w:footnote>
  <w:footnote w:id="31">
    <w:p w14:paraId="46459642" w14:textId="4DB72532" w:rsidR="00DB6622" w:rsidRDefault="00DB6622" w:rsidP="00274B9B">
      <w:pPr>
        <w:pStyle w:val="Textpoznpodarou"/>
        <w:ind w:left="284" w:hanging="284"/>
        <w:jc w:val="both"/>
      </w:pPr>
      <w:r>
        <w:rPr>
          <w:rStyle w:val="Znakapoznpodarou"/>
        </w:rPr>
        <w:footnoteRef/>
      </w:r>
      <w:r>
        <w:t xml:space="preserve"> </w:t>
      </w:r>
      <w:r>
        <w:tab/>
        <w:t xml:space="preserve">Informace z konference </w:t>
      </w:r>
      <w:proofErr w:type="spellStart"/>
      <w:r>
        <w:t>eGovernmentu</w:t>
      </w:r>
      <w:proofErr w:type="spellEnd"/>
      <w:r>
        <w:t xml:space="preserve"> v Mikulově ze dne 6. září 2022 od provozovatele datových schránek, dostupné na </w:t>
      </w:r>
      <w:hyperlink r:id="rId3" w:history="1">
        <w:r w:rsidRPr="003B08D3">
          <w:rPr>
            <w:rStyle w:val="Hypertextovodkaz"/>
          </w:rPr>
          <w:t>https://www.egovernment.cz/soubor/vitame-nove-uzivatele-datovych-schranek-ceska-posta/</w:t>
        </w:r>
      </w:hyperlink>
      <w:r>
        <w:t>.</w:t>
      </w:r>
    </w:p>
  </w:footnote>
  <w:footnote w:id="32">
    <w:p w14:paraId="76A22B41" w14:textId="3257FB14" w:rsidR="00DB6622" w:rsidRDefault="00DB6622" w:rsidP="00274B9B">
      <w:pPr>
        <w:pStyle w:val="Textpoznpodarou"/>
        <w:ind w:left="284" w:hanging="284"/>
      </w:pPr>
      <w:r>
        <w:rPr>
          <w:rStyle w:val="Znakapoznpodarou"/>
        </w:rPr>
        <w:footnoteRef/>
      </w:r>
      <w:r>
        <w:t xml:space="preserve"> </w:t>
      </w:r>
      <w:r>
        <w:tab/>
      </w:r>
      <w:r w:rsidRPr="00CA06A4">
        <w:rPr>
          <w:rFonts w:cstheme="minorHAnsi"/>
        </w:rPr>
        <w:t>Doručení zpravidla následující pracovní den po podání zásilky (D+1).</w:t>
      </w:r>
    </w:p>
  </w:footnote>
  <w:footnote w:id="33">
    <w:p w14:paraId="46624F2E" w14:textId="7447FFC9" w:rsidR="00DB6622" w:rsidRDefault="00DB6622" w:rsidP="00274B9B">
      <w:pPr>
        <w:pStyle w:val="Textpoznpodarou"/>
        <w:ind w:left="284" w:hanging="284"/>
      </w:pPr>
      <w:r>
        <w:rPr>
          <w:rStyle w:val="Znakapoznpodarou"/>
        </w:rPr>
        <w:footnoteRef/>
      </w:r>
      <w:r>
        <w:t xml:space="preserve"> </w:t>
      </w:r>
      <w:r>
        <w:tab/>
      </w:r>
      <w:r w:rsidRPr="00CA06A4">
        <w:rPr>
          <w:rFonts w:cstheme="minorHAnsi"/>
        </w:rPr>
        <w:t xml:space="preserve">Doručení zpravidla druhý pracovní den po podání zásilky (D+2), </w:t>
      </w:r>
      <w:r>
        <w:rPr>
          <w:rFonts w:cstheme="minorHAnsi"/>
        </w:rPr>
        <w:t>Česká pošta</w:t>
      </w:r>
      <w:r w:rsidRPr="00CA06A4">
        <w:rPr>
          <w:rFonts w:cstheme="minorHAnsi"/>
        </w:rPr>
        <w:t xml:space="preserve"> poskytuje výhodnější cenu dodání.</w:t>
      </w:r>
    </w:p>
  </w:footnote>
  <w:footnote w:id="34">
    <w:p w14:paraId="44846736" w14:textId="674F564C" w:rsidR="00DB6622" w:rsidRDefault="00DB6622" w:rsidP="00A0104E">
      <w:pPr>
        <w:pStyle w:val="Textpoznpodarou"/>
        <w:ind w:left="284" w:hanging="284"/>
        <w:jc w:val="both"/>
      </w:pPr>
      <w:r>
        <w:rPr>
          <w:rStyle w:val="Znakapoznpodarou"/>
        </w:rPr>
        <w:footnoteRef/>
      </w:r>
      <w:r>
        <w:t xml:space="preserve"> </w:t>
      </w:r>
      <w:r>
        <w:tab/>
        <w:t xml:space="preserve">Evropská regulační skupina pro poštovní služby (ERGP): </w:t>
      </w:r>
      <w:r w:rsidRPr="00D11DDC">
        <w:t>ERGP REPORT ON CORE INDICATORS FOR MONITORING THE EUROPEAN POSTAL MARKET</w:t>
      </w:r>
      <w:r>
        <w:t xml:space="preserve">, </w:t>
      </w:r>
      <w:r w:rsidRPr="00D11DDC">
        <w:t>ERGP (21) 25</w:t>
      </w:r>
      <w:r w:rsidR="008253EC">
        <w:t>,</w:t>
      </w:r>
      <w:r w:rsidRPr="00D11DDC">
        <w:t xml:space="preserve"> Report on </w:t>
      </w:r>
      <w:proofErr w:type="spellStart"/>
      <w:r w:rsidRPr="00D11DDC">
        <w:t>Postal</w:t>
      </w:r>
      <w:proofErr w:type="spellEnd"/>
      <w:r w:rsidRPr="00D11DDC">
        <w:t xml:space="preserve"> </w:t>
      </w:r>
      <w:proofErr w:type="spellStart"/>
      <w:r w:rsidRPr="00D11DDC">
        <w:t>Core</w:t>
      </w:r>
      <w:proofErr w:type="spellEnd"/>
      <w:r w:rsidRPr="00D11DDC">
        <w:t xml:space="preserve"> </w:t>
      </w:r>
      <w:proofErr w:type="spellStart"/>
      <w:r w:rsidRPr="00D11DDC">
        <w:t>Indicators</w:t>
      </w:r>
      <w:proofErr w:type="spellEnd"/>
      <w:r>
        <w:t xml:space="preserve"> ze dne 28.</w:t>
      </w:r>
      <w:r w:rsidR="008253EC">
        <w:t> </w:t>
      </w:r>
      <w:r>
        <w:t xml:space="preserve">ledna 2022, dostupné z: </w:t>
      </w:r>
      <w:hyperlink r:id="rId4" w:history="1">
        <w:r>
          <w:rPr>
            <w:rStyle w:val="Hypertextovodkaz"/>
          </w:rPr>
          <w:t>https://ec.europa.eu/docsroom/documents/48634</w:t>
        </w:r>
      </w:hyperlink>
      <w:r w:rsidRPr="00094684">
        <w:rPr>
          <w:rStyle w:val="Hypertextovodkaz"/>
          <w:color w:val="auto"/>
          <w:u w:val="none"/>
        </w:rPr>
        <w:t>.</w:t>
      </w:r>
    </w:p>
  </w:footnote>
  <w:footnote w:id="35">
    <w:p w14:paraId="219D86D9" w14:textId="1E193031" w:rsidR="00DB6622" w:rsidRDefault="00DB6622" w:rsidP="00A0104E">
      <w:pPr>
        <w:pStyle w:val="Textpoznpodarou"/>
        <w:ind w:left="284" w:hanging="284"/>
        <w:jc w:val="both"/>
      </w:pPr>
      <w:r>
        <w:rPr>
          <w:rStyle w:val="Znakapoznpodarou"/>
        </w:rPr>
        <w:footnoteRef/>
      </w:r>
      <w:r>
        <w:t> </w:t>
      </w:r>
      <w:r>
        <w:tab/>
        <w:t>Ustanovení § 43 zákona č. 127/2005 Sb.</w:t>
      </w:r>
    </w:p>
  </w:footnote>
  <w:footnote w:id="36">
    <w:p w14:paraId="334B033B" w14:textId="6B75E164" w:rsidR="00DB6622" w:rsidRDefault="00DB6622" w:rsidP="00A0104E">
      <w:pPr>
        <w:pStyle w:val="Textpoznpodarou"/>
        <w:ind w:left="284" w:hanging="284"/>
        <w:jc w:val="both"/>
      </w:pPr>
      <w:r>
        <w:rPr>
          <w:rStyle w:val="Znakapoznpodarou"/>
        </w:rPr>
        <w:footnoteRef/>
      </w:r>
      <w:r>
        <w:t xml:space="preserve"> </w:t>
      </w:r>
      <w:r>
        <w:tab/>
        <w:t>Nařízení vlády č. 109/2008 Sb.</w:t>
      </w:r>
      <w:r w:rsidR="008253EC">
        <w:t>,</w:t>
      </w:r>
      <w:r>
        <w:t xml:space="preserve"> </w:t>
      </w:r>
      <w:r w:rsidRPr="00407449">
        <w:t>o podmínkách poskytování zvláštních cen veřejně dostupné telefonní služby</w:t>
      </w:r>
      <w:r w:rsidR="008253EC">
        <w:t>,</w:t>
      </w:r>
      <w:r>
        <w:t xml:space="preserve"> a nařízení vlády č. 500/2021 Sb.</w:t>
      </w:r>
      <w:r w:rsidR="008253EC">
        <w:t>,</w:t>
      </w:r>
      <w:r>
        <w:t xml:space="preserve"> </w:t>
      </w:r>
      <w:r w:rsidRPr="00407449">
        <w:t>o podmínkách poskytování zvláštních cen hlasové komunikační služby a</w:t>
      </w:r>
      <w:r>
        <w:t> </w:t>
      </w:r>
      <w:r w:rsidRPr="00407449">
        <w:t>služby přístupu k internetu osobám se zvláštními sociálními potřebami</w:t>
      </w:r>
      <w:r>
        <w:t>.</w:t>
      </w:r>
    </w:p>
  </w:footnote>
  <w:footnote w:id="37">
    <w:p w14:paraId="5FC7C473" w14:textId="24549A23" w:rsidR="00DB6622" w:rsidRDefault="00DB6622" w:rsidP="00A0104E">
      <w:pPr>
        <w:pStyle w:val="Textpoznpodarou"/>
        <w:ind w:left="284" w:hanging="284"/>
        <w:jc w:val="both"/>
      </w:pPr>
      <w:r>
        <w:rPr>
          <w:rStyle w:val="Znakapoznpodarou"/>
        </w:rPr>
        <w:footnoteRef/>
      </w:r>
      <w:r>
        <w:t> </w:t>
      </w:r>
      <w:r>
        <w:tab/>
        <w:t>Zákon č. 374/2021 Sb., kterým se mění zákon č. 127/2005 Sb.</w:t>
      </w:r>
      <w:r w:rsidR="008253EC">
        <w:t>,</w:t>
      </w:r>
      <w:r>
        <w:t xml:space="preserve"> o elektronických komunikacích a změně některých souvisejících zákonů (zákon o elektronických komunikacích), ve znění pozdějších předpisů, a některé další zákony.</w:t>
      </w:r>
    </w:p>
  </w:footnote>
  <w:footnote w:id="38">
    <w:p w14:paraId="0DC85DB3" w14:textId="07463243" w:rsidR="00DB6622" w:rsidRDefault="00DB6622" w:rsidP="00A0104E">
      <w:pPr>
        <w:pStyle w:val="Textpoznpodarou"/>
        <w:ind w:left="284" w:hanging="284"/>
        <w:jc w:val="both"/>
      </w:pPr>
      <w:r>
        <w:rPr>
          <w:rStyle w:val="Znakapoznpodarou"/>
        </w:rPr>
        <w:footnoteRef/>
      </w:r>
      <w:r>
        <w:t xml:space="preserve"> </w:t>
      </w:r>
      <w:r>
        <w:tab/>
        <w:t>Ustanovení § 38 odst. 4 písm. a) a b) zákona č. 127/2005 Sb.</w:t>
      </w:r>
      <w:r w:rsidRPr="00407449">
        <w:t xml:space="preserve"> </w:t>
      </w:r>
      <w:r>
        <w:t>ve znění účinném od 1. ledna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3553" w14:textId="77777777" w:rsidR="009C3758" w:rsidRDefault="009C37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1BC7"/>
    <w:multiLevelType w:val="hybridMultilevel"/>
    <w:tmpl w:val="4E0808EE"/>
    <w:lvl w:ilvl="0" w:tplc="04050011">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73956BC"/>
    <w:multiLevelType w:val="hybridMultilevel"/>
    <w:tmpl w:val="86B8C9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A67C89"/>
    <w:multiLevelType w:val="hybridMultilevel"/>
    <w:tmpl w:val="F2485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1760C3"/>
    <w:multiLevelType w:val="hybridMultilevel"/>
    <w:tmpl w:val="2312DFD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DF73A7"/>
    <w:multiLevelType w:val="hybridMultilevel"/>
    <w:tmpl w:val="2888645A"/>
    <w:lvl w:ilvl="0" w:tplc="3078FBC8">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C1C18FC"/>
    <w:multiLevelType w:val="hybridMultilevel"/>
    <w:tmpl w:val="46AE1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3A2435"/>
    <w:multiLevelType w:val="hybridMultilevel"/>
    <w:tmpl w:val="8670EE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B14919"/>
    <w:multiLevelType w:val="hybridMultilevel"/>
    <w:tmpl w:val="2D3A97C0"/>
    <w:lvl w:ilvl="0" w:tplc="04050017">
      <w:start w:val="1"/>
      <w:numFmt w:val="lowerLetter"/>
      <w:lvlText w:val="%1)"/>
      <w:lvlJc w:val="left"/>
      <w:pPr>
        <w:ind w:left="405" w:hanging="360"/>
      </w:pPr>
      <w:rPr>
        <w:rFonts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8" w15:restartNumberingAfterBreak="0">
    <w:nsid w:val="25EF0D79"/>
    <w:multiLevelType w:val="hybridMultilevel"/>
    <w:tmpl w:val="E86C1ACE"/>
    <w:lvl w:ilvl="0" w:tplc="04050017">
      <w:start w:val="1"/>
      <w:numFmt w:val="lowerLetter"/>
      <w:lvlText w:val="%1)"/>
      <w:lvlJc w:val="left"/>
      <w:pPr>
        <w:ind w:left="360" w:hanging="360"/>
      </w:pPr>
      <w:rPr>
        <w:rFonts w:hint="default"/>
      </w:rPr>
    </w:lvl>
    <w:lvl w:ilvl="1" w:tplc="3078FBC8">
      <w:numFmt w:val="bullet"/>
      <w:lvlText w:val="-"/>
      <w:lvlJc w:val="left"/>
      <w:pPr>
        <w:ind w:left="1080" w:hanging="360"/>
      </w:pPr>
      <w:rPr>
        <w:rFonts w:ascii="Calibri" w:eastAsiaTheme="minorHAnsi" w:hAnsi="Calibri" w:cs="Calibri"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D3D2B3C"/>
    <w:multiLevelType w:val="hybridMultilevel"/>
    <w:tmpl w:val="7A988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807981"/>
    <w:multiLevelType w:val="hybridMultilevel"/>
    <w:tmpl w:val="C77A246C"/>
    <w:lvl w:ilvl="0" w:tplc="BB568A2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B135D2"/>
    <w:multiLevelType w:val="hybridMultilevel"/>
    <w:tmpl w:val="81A07246"/>
    <w:lvl w:ilvl="0" w:tplc="04050017">
      <w:start w:val="1"/>
      <w:numFmt w:val="lowerLetter"/>
      <w:lvlText w:val="%1)"/>
      <w:lvlJc w:val="left"/>
      <w:pPr>
        <w:ind w:left="420" w:hanging="360"/>
      </w:pPr>
      <w:rPr>
        <w:rFonts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34445FEC"/>
    <w:multiLevelType w:val="hybridMultilevel"/>
    <w:tmpl w:val="AED824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A026DE"/>
    <w:multiLevelType w:val="hybridMultilevel"/>
    <w:tmpl w:val="A1F012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86330A0"/>
    <w:multiLevelType w:val="hybridMultilevel"/>
    <w:tmpl w:val="559A6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4C3F94"/>
    <w:multiLevelType w:val="hybridMultilevel"/>
    <w:tmpl w:val="C9CA0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E32D0B"/>
    <w:multiLevelType w:val="hybridMultilevel"/>
    <w:tmpl w:val="71541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9C4906"/>
    <w:multiLevelType w:val="hybridMultilevel"/>
    <w:tmpl w:val="39B431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70C2E58"/>
    <w:multiLevelType w:val="hybridMultilevel"/>
    <w:tmpl w:val="6BA04622"/>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9" w15:restartNumberingAfterBreak="0">
    <w:nsid w:val="59B71CD6"/>
    <w:multiLevelType w:val="multilevel"/>
    <w:tmpl w:val="6B5039CA"/>
    <w:lvl w:ilvl="0">
      <w:start w:val="1"/>
      <w:numFmt w:val="upperRoman"/>
      <w:pStyle w:val="Nadpis1"/>
      <w:lvlText w:val="%1."/>
      <w:lvlJc w:val="right"/>
      <w:pPr>
        <w:ind w:left="360" w:hanging="360"/>
      </w:pPr>
      <w:rPr>
        <w:b/>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5B4A6F37"/>
    <w:multiLevelType w:val="hybridMultilevel"/>
    <w:tmpl w:val="B8308A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64AC71AC"/>
    <w:multiLevelType w:val="hybridMultilevel"/>
    <w:tmpl w:val="C58C33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D550D9"/>
    <w:multiLevelType w:val="hybridMultilevel"/>
    <w:tmpl w:val="B1AE0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2548B6"/>
    <w:multiLevelType w:val="hybridMultilevel"/>
    <w:tmpl w:val="58EA64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9151A7B"/>
    <w:multiLevelType w:val="multilevel"/>
    <w:tmpl w:val="6D526DFE"/>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0553EE"/>
    <w:multiLevelType w:val="hybridMultilevel"/>
    <w:tmpl w:val="3F60C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CF416F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410CD6"/>
    <w:multiLevelType w:val="hybridMultilevel"/>
    <w:tmpl w:val="750E2CA0"/>
    <w:lvl w:ilvl="0" w:tplc="2594F1A8">
      <w:start w:val="2"/>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5A1EA2"/>
    <w:multiLevelType w:val="hybridMultilevel"/>
    <w:tmpl w:val="B35E93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3C8004B"/>
    <w:multiLevelType w:val="hybridMultilevel"/>
    <w:tmpl w:val="0A0CC3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447EAE"/>
    <w:multiLevelType w:val="hybridMultilevel"/>
    <w:tmpl w:val="60F618BC"/>
    <w:lvl w:ilvl="0" w:tplc="7DAE0F74">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9"/>
  </w:num>
  <w:num w:numId="2">
    <w:abstractNumId w:val="28"/>
  </w:num>
  <w:num w:numId="3">
    <w:abstractNumId w:val="9"/>
  </w:num>
  <w:num w:numId="4">
    <w:abstractNumId w:val="26"/>
  </w:num>
  <w:num w:numId="5">
    <w:abstractNumId w:val="16"/>
  </w:num>
  <w:num w:numId="6">
    <w:abstractNumId w:val="2"/>
  </w:num>
  <w:num w:numId="7">
    <w:abstractNumId w:val="25"/>
  </w:num>
  <w:num w:numId="8">
    <w:abstractNumId w:val="13"/>
  </w:num>
  <w:num w:numId="9">
    <w:abstractNumId w:val="10"/>
  </w:num>
  <w:num w:numId="10">
    <w:abstractNumId w:val="12"/>
  </w:num>
  <w:num w:numId="11">
    <w:abstractNumId w:val="18"/>
  </w:num>
  <w:num w:numId="12">
    <w:abstractNumId w:val="6"/>
  </w:num>
  <w:num w:numId="13">
    <w:abstractNumId w:val="7"/>
  </w:num>
  <w:num w:numId="14">
    <w:abstractNumId w:val="15"/>
  </w:num>
  <w:num w:numId="15">
    <w:abstractNumId w:val="11"/>
  </w:num>
  <w:num w:numId="16">
    <w:abstractNumId w:val="14"/>
  </w:num>
  <w:num w:numId="17">
    <w:abstractNumId w:val="0"/>
  </w:num>
  <w:num w:numId="18">
    <w:abstractNumId w:val="1"/>
  </w:num>
  <w:num w:numId="19">
    <w:abstractNumId w:val="8"/>
  </w:num>
  <w:num w:numId="20">
    <w:abstractNumId w:val="4"/>
  </w:num>
  <w:num w:numId="21">
    <w:abstractNumId w:val="24"/>
  </w:num>
  <w:num w:numId="22">
    <w:abstractNumId w:val="3"/>
  </w:num>
  <w:num w:numId="23">
    <w:abstractNumId w:val="29"/>
  </w:num>
  <w:num w:numId="24">
    <w:abstractNumId w:val="20"/>
  </w:num>
  <w:num w:numId="25">
    <w:abstractNumId w:val="23"/>
  </w:num>
  <w:num w:numId="26">
    <w:abstractNumId w:val="17"/>
  </w:num>
  <w:num w:numId="27">
    <w:abstractNumId w:val="27"/>
  </w:num>
  <w:num w:numId="28">
    <w:abstractNumId w:val="30"/>
  </w:num>
  <w:num w:numId="29">
    <w:abstractNumId w:val="21"/>
  </w:num>
  <w:num w:numId="30">
    <w:abstractNumId w:val="22"/>
  </w:num>
  <w:num w:numId="3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oNotTrackMove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38"/>
    <w:rsid w:val="000022F1"/>
    <w:rsid w:val="00002A70"/>
    <w:rsid w:val="00005062"/>
    <w:rsid w:val="00005D7E"/>
    <w:rsid w:val="0000615B"/>
    <w:rsid w:val="00006832"/>
    <w:rsid w:val="00006A2B"/>
    <w:rsid w:val="00006AFC"/>
    <w:rsid w:val="0001003B"/>
    <w:rsid w:val="0001144E"/>
    <w:rsid w:val="000139F8"/>
    <w:rsid w:val="00014469"/>
    <w:rsid w:val="00015741"/>
    <w:rsid w:val="000168B0"/>
    <w:rsid w:val="00020851"/>
    <w:rsid w:val="00021208"/>
    <w:rsid w:val="0002373A"/>
    <w:rsid w:val="00023FA9"/>
    <w:rsid w:val="000257A5"/>
    <w:rsid w:val="00025B04"/>
    <w:rsid w:val="00026B85"/>
    <w:rsid w:val="0002756B"/>
    <w:rsid w:val="00027D3E"/>
    <w:rsid w:val="00027F7F"/>
    <w:rsid w:val="00030037"/>
    <w:rsid w:val="0003059E"/>
    <w:rsid w:val="00031492"/>
    <w:rsid w:val="00031A3F"/>
    <w:rsid w:val="000336A6"/>
    <w:rsid w:val="00034B78"/>
    <w:rsid w:val="0003520D"/>
    <w:rsid w:val="0003607D"/>
    <w:rsid w:val="00036397"/>
    <w:rsid w:val="00037886"/>
    <w:rsid w:val="000411EE"/>
    <w:rsid w:val="00041535"/>
    <w:rsid w:val="000419DF"/>
    <w:rsid w:val="00042809"/>
    <w:rsid w:val="00042CB2"/>
    <w:rsid w:val="00044C5D"/>
    <w:rsid w:val="000456F8"/>
    <w:rsid w:val="00045F16"/>
    <w:rsid w:val="00046183"/>
    <w:rsid w:val="00046774"/>
    <w:rsid w:val="00050085"/>
    <w:rsid w:val="00051375"/>
    <w:rsid w:val="0005140D"/>
    <w:rsid w:val="0005143D"/>
    <w:rsid w:val="000524AF"/>
    <w:rsid w:val="00053478"/>
    <w:rsid w:val="00055153"/>
    <w:rsid w:val="000553E2"/>
    <w:rsid w:val="00055C8B"/>
    <w:rsid w:val="00055E62"/>
    <w:rsid w:val="00056987"/>
    <w:rsid w:val="00056DEC"/>
    <w:rsid w:val="00056EAD"/>
    <w:rsid w:val="00057CEC"/>
    <w:rsid w:val="00057DC9"/>
    <w:rsid w:val="00061CD9"/>
    <w:rsid w:val="000623CD"/>
    <w:rsid w:val="00062E08"/>
    <w:rsid w:val="0006475B"/>
    <w:rsid w:val="00067131"/>
    <w:rsid w:val="000702D9"/>
    <w:rsid w:val="00071FB4"/>
    <w:rsid w:val="000721E9"/>
    <w:rsid w:val="0007261F"/>
    <w:rsid w:val="000730B6"/>
    <w:rsid w:val="00073230"/>
    <w:rsid w:val="00074E5F"/>
    <w:rsid w:val="000751A0"/>
    <w:rsid w:val="00077A2A"/>
    <w:rsid w:val="00077CDD"/>
    <w:rsid w:val="0008267D"/>
    <w:rsid w:val="00082D3A"/>
    <w:rsid w:val="00083BA5"/>
    <w:rsid w:val="0008535E"/>
    <w:rsid w:val="00085502"/>
    <w:rsid w:val="00085E9E"/>
    <w:rsid w:val="00086969"/>
    <w:rsid w:val="00086D8C"/>
    <w:rsid w:val="000878D4"/>
    <w:rsid w:val="00087C93"/>
    <w:rsid w:val="00090CA6"/>
    <w:rsid w:val="00092575"/>
    <w:rsid w:val="000926B1"/>
    <w:rsid w:val="00094684"/>
    <w:rsid w:val="00096456"/>
    <w:rsid w:val="00096989"/>
    <w:rsid w:val="000969F6"/>
    <w:rsid w:val="00096A0B"/>
    <w:rsid w:val="000978EE"/>
    <w:rsid w:val="000A11AE"/>
    <w:rsid w:val="000A29C2"/>
    <w:rsid w:val="000A5836"/>
    <w:rsid w:val="000A5D5E"/>
    <w:rsid w:val="000A6177"/>
    <w:rsid w:val="000B12C5"/>
    <w:rsid w:val="000B1645"/>
    <w:rsid w:val="000B168F"/>
    <w:rsid w:val="000B16F9"/>
    <w:rsid w:val="000B2C73"/>
    <w:rsid w:val="000B4A8E"/>
    <w:rsid w:val="000B5134"/>
    <w:rsid w:val="000B6920"/>
    <w:rsid w:val="000C15AE"/>
    <w:rsid w:val="000C3BE9"/>
    <w:rsid w:val="000C410B"/>
    <w:rsid w:val="000C5599"/>
    <w:rsid w:val="000D03A2"/>
    <w:rsid w:val="000D0DCD"/>
    <w:rsid w:val="000D2C38"/>
    <w:rsid w:val="000D3B0A"/>
    <w:rsid w:val="000D52C7"/>
    <w:rsid w:val="000D64A5"/>
    <w:rsid w:val="000D6AC8"/>
    <w:rsid w:val="000D70D3"/>
    <w:rsid w:val="000D7D5C"/>
    <w:rsid w:val="000E0415"/>
    <w:rsid w:val="000E0DF8"/>
    <w:rsid w:val="000E13AC"/>
    <w:rsid w:val="000E1B29"/>
    <w:rsid w:val="000E1B93"/>
    <w:rsid w:val="000E1BD6"/>
    <w:rsid w:val="000E1D9D"/>
    <w:rsid w:val="000E272E"/>
    <w:rsid w:val="000E2809"/>
    <w:rsid w:val="000E2CF9"/>
    <w:rsid w:val="000E4603"/>
    <w:rsid w:val="000E4634"/>
    <w:rsid w:val="000E611B"/>
    <w:rsid w:val="000E71BD"/>
    <w:rsid w:val="000F00DC"/>
    <w:rsid w:val="000F020B"/>
    <w:rsid w:val="000F07A4"/>
    <w:rsid w:val="000F0AB5"/>
    <w:rsid w:val="000F5952"/>
    <w:rsid w:val="0010032B"/>
    <w:rsid w:val="00100712"/>
    <w:rsid w:val="00100C02"/>
    <w:rsid w:val="00101FFB"/>
    <w:rsid w:val="00110253"/>
    <w:rsid w:val="00110C7E"/>
    <w:rsid w:val="00111622"/>
    <w:rsid w:val="0011167A"/>
    <w:rsid w:val="00112821"/>
    <w:rsid w:val="00113E3E"/>
    <w:rsid w:val="001165D1"/>
    <w:rsid w:val="00117912"/>
    <w:rsid w:val="00122AE5"/>
    <w:rsid w:val="00124251"/>
    <w:rsid w:val="0012434E"/>
    <w:rsid w:val="00124B61"/>
    <w:rsid w:val="001252D9"/>
    <w:rsid w:val="0012538D"/>
    <w:rsid w:val="00125CED"/>
    <w:rsid w:val="00127214"/>
    <w:rsid w:val="00127C33"/>
    <w:rsid w:val="00130242"/>
    <w:rsid w:val="001310E4"/>
    <w:rsid w:val="00131D28"/>
    <w:rsid w:val="0013397D"/>
    <w:rsid w:val="00135A82"/>
    <w:rsid w:val="00140825"/>
    <w:rsid w:val="00144716"/>
    <w:rsid w:val="00146177"/>
    <w:rsid w:val="0015065E"/>
    <w:rsid w:val="001508A4"/>
    <w:rsid w:val="00150BA6"/>
    <w:rsid w:val="00151B8F"/>
    <w:rsid w:val="001532FC"/>
    <w:rsid w:val="00153F36"/>
    <w:rsid w:val="001547C2"/>
    <w:rsid w:val="0015492D"/>
    <w:rsid w:val="00156C16"/>
    <w:rsid w:val="0016077E"/>
    <w:rsid w:val="0016200D"/>
    <w:rsid w:val="0016213B"/>
    <w:rsid w:val="00163129"/>
    <w:rsid w:val="00165C5D"/>
    <w:rsid w:val="00165FB9"/>
    <w:rsid w:val="00167623"/>
    <w:rsid w:val="00167C00"/>
    <w:rsid w:val="001716FE"/>
    <w:rsid w:val="00171F21"/>
    <w:rsid w:val="0017205D"/>
    <w:rsid w:val="001724FD"/>
    <w:rsid w:val="001738E2"/>
    <w:rsid w:val="00176040"/>
    <w:rsid w:val="00176309"/>
    <w:rsid w:val="00176E3C"/>
    <w:rsid w:val="00176EA4"/>
    <w:rsid w:val="00180F33"/>
    <w:rsid w:val="001815BE"/>
    <w:rsid w:val="00181980"/>
    <w:rsid w:val="00184094"/>
    <w:rsid w:val="00184678"/>
    <w:rsid w:val="001852CE"/>
    <w:rsid w:val="0018573B"/>
    <w:rsid w:val="0018599A"/>
    <w:rsid w:val="00186552"/>
    <w:rsid w:val="00186682"/>
    <w:rsid w:val="00186AA5"/>
    <w:rsid w:val="00186CA0"/>
    <w:rsid w:val="0019105A"/>
    <w:rsid w:val="00191170"/>
    <w:rsid w:val="00191D5C"/>
    <w:rsid w:val="0019294A"/>
    <w:rsid w:val="00193157"/>
    <w:rsid w:val="00193724"/>
    <w:rsid w:val="00194F3F"/>
    <w:rsid w:val="001952B2"/>
    <w:rsid w:val="00195981"/>
    <w:rsid w:val="00195E62"/>
    <w:rsid w:val="0019621A"/>
    <w:rsid w:val="001968AB"/>
    <w:rsid w:val="00196E1D"/>
    <w:rsid w:val="00196F61"/>
    <w:rsid w:val="001972CC"/>
    <w:rsid w:val="00197E88"/>
    <w:rsid w:val="001A0AD7"/>
    <w:rsid w:val="001A18FB"/>
    <w:rsid w:val="001A1E60"/>
    <w:rsid w:val="001A2010"/>
    <w:rsid w:val="001A36DC"/>
    <w:rsid w:val="001A3C81"/>
    <w:rsid w:val="001A6BA6"/>
    <w:rsid w:val="001A71EA"/>
    <w:rsid w:val="001B015D"/>
    <w:rsid w:val="001B1251"/>
    <w:rsid w:val="001B1E9B"/>
    <w:rsid w:val="001B1FD3"/>
    <w:rsid w:val="001B2BD8"/>
    <w:rsid w:val="001B30A9"/>
    <w:rsid w:val="001B36FB"/>
    <w:rsid w:val="001B3C0A"/>
    <w:rsid w:val="001C01FB"/>
    <w:rsid w:val="001C0C8F"/>
    <w:rsid w:val="001C2D95"/>
    <w:rsid w:val="001C32D3"/>
    <w:rsid w:val="001C4703"/>
    <w:rsid w:val="001C6023"/>
    <w:rsid w:val="001C6B47"/>
    <w:rsid w:val="001D0161"/>
    <w:rsid w:val="001D138D"/>
    <w:rsid w:val="001D1592"/>
    <w:rsid w:val="001D1BE1"/>
    <w:rsid w:val="001D3CA9"/>
    <w:rsid w:val="001D3D96"/>
    <w:rsid w:val="001D4E1E"/>
    <w:rsid w:val="001D5F68"/>
    <w:rsid w:val="001D7862"/>
    <w:rsid w:val="001E1138"/>
    <w:rsid w:val="001E172D"/>
    <w:rsid w:val="001E1D6C"/>
    <w:rsid w:val="001E41B5"/>
    <w:rsid w:val="001E4BA5"/>
    <w:rsid w:val="001E5371"/>
    <w:rsid w:val="001E5872"/>
    <w:rsid w:val="001E69F9"/>
    <w:rsid w:val="001F00F6"/>
    <w:rsid w:val="001F22B0"/>
    <w:rsid w:val="001F25CA"/>
    <w:rsid w:val="001F26FF"/>
    <w:rsid w:val="001F35DA"/>
    <w:rsid w:val="001F448D"/>
    <w:rsid w:val="001F59CB"/>
    <w:rsid w:val="001F5FFB"/>
    <w:rsid w:val="001F600B"/>
    <w:rsid w:val="001F6B71"/>
    <w:rsid w:val="001F74DD"/>
    <w:rsid w:val="002006A2"/>
    <w:rsid w:val="00201977"/>
    <w:rsid w:val="00202821"/>
    <w:rsid w:val="00205500"/>
    <w:rsid w:val="00205B6D"/>
    <w:rsid w:val="00206108"/>
    <w:rsid w:val="00206552"/>
    <w:rsid w:val="00206A15"/>
    <w:rsid w:val="00207BCC"/>
    <w:rsid w:val="00210A07"/>
    <w:rsid w:val="0021453B"/>
    <w:rsid w:val="00214C7E"/>
    <w:rsid w:val="00217124"/>
    <w:rsid w:val="002172FA"/>
    <w:rsid w:val="0022074E"/>
    <w:rsid w:val="00222B8B"/>
    <w:rsid w:val="0022300A"/>
    <w:rsid w:val="0022381E"/>
    <w:rsid w:val="00223915"/>
    <w:rsid w:val="00223E04"/>
    <w:rsid w:val="002255A2"/>
    <w:rsid w:val="0022589F"/>
    <w:rsid w:val="00225968"/>
    <w:rsid w:val="00226407"/>
    <w:rsid w:val="00226478"/>
    <w:rsid w:val="002273CF"/>
    <w:rsid w:val="00230A43"/>
    <w:rsid w:val="00234529"/>
    <w:rsid w:val="00235B42"/>
    <w:rsid w:val="00235E6F"/>
    <w:rsid w:val="0023715F"/>
    <w:rsid w:val="0023722C"/>
    <w:rsid w:val="00237D5F"/>
    <w:rsid w:val="00240B36"/>
    <w:rsid w:val="0024180B"/>
    <w:rsid w:val="002440B7"/>
    <w:rsid w:val="00244DE2"/>
    <w:rsid w:val="00247DF9"/>
    <w:rsid w:val="00250C65"/>
    <w:rsid w:val="002515BF"/>
    <w:rsid w:val="00252040"/>
    <w:rsid w:val="00252432"/>
    <w:rsid w:val="002528D0"/>
    <w:rsid w:val="00252C43"/>
    <w:rsid w:val="002538C1"/>
    <w:rsid w:val="00254621"/>
    <w:rsid w:val="002549E1"/>
    <w:rsid w:val="00257420"/>
    <w:rsid w:val="00257FE6"/>
    <w:rsid w:val="0026066F"/>
    <w:rsid w:val="00263D76"/>
    <w:rsid w:val="00266A03"/>
    <w:rsid w:val="00266A52"/>
    <w:rsid w:val="002711FC"/>
    <w:rsid w:val="00272340"/>
    <w:rsid w:val="00273DA3"/>
    <w:rsid w:val="00274546"/>
    <w:rsid w:val="00274B9B"/>
    <w:rsid w:val="00274FE6"/>
    <w:rsid w:val="0027584B"/>
    <w:rsid w:val="00275AF0"/>
    <w:rsid w:val="00275F75"/>
    <w:rsid w:val="0027615A"/>
    <w:rsid w:val="00277773"/>
    <w:rsid w:val="002809E5"/>
    <w:rsid w:val="00282CDB"/>
    <w:rsid w:val="00284901"/>
    <w:rsid w:val="00284FD3"/>
    <w:rsid w:val="00285D71"/>
    <w:rsid w:val="00291508"/>
    <w:rsid w:val="00291CEB"/>
    <w:rsid w:val="0029229F"/>
    <w:rsid w:val="0029269A"/>
    <w:rsid w:val="00294FAA"/>
    <w:rsid w:val="00295BDC"/>
    <w:rsid w:val="00296419"/>
    <w:rsid w:val="0029644E"/>
    <w:rsid w:val="0029647B"/>
    <w:rsid w:val="00297531"/>
    <w:rsid w:val="002A01D6"/>
    <w:rsid w:val="002A058A"/>
    <w:rsid w:val="002A2972"/>
    <w:rsid w:val="002A47AA"/>
    <w:rsid w:val="002A7A86"/>
    <w:rsid w:val="002B0A10"/>
    <w:rsid w:val="002B1FCC"/>
    <w:rsid w:val="002B2D97"/>
    <w:rsid w:val="002B3111"/>
    <w:rsid w:val="002B44BE"/>
    <w:rsid w:val="002C0BBB"/>
    <w:rsid w:val="002C11AC"/>
    <w:rsid w:val="002C2058"/>
    <w:rsid w:val="002C2597"/>
    <w:rsid w:val="002C2CFC"/>
    <w:rsid w:val="002C424A"/>
    <w:rsid w:val="002C61FF"/>
    <w:rsid w:val="002D06F5"/>
    <w:rsid w:val="002D17F6"/>
    <w:rsid w:val="002D357D"/>
    <w:rsid w:val="002D54D4"/>
    <w:rsid w:val="002D6110"/>
    <w:rsid w:val="002D7205"/>
    <w:rsid w:val="002E0AC1"/>
    <w:rsid w:val="002E0D93"/>
    <w:rsid w:val="002E0FD4"/>
    <w:rsid w:val="002E3F4C"/>
    <w:rsid w:val="002E4D3A"/>
    <w:rsid w:val="002E540A"/>
    <w:rsid w:val="002F0ED2"/>
    <w:rsid w:val="002F122F"/>
    <w:rsid w:val="002F15FC"/>
    <w:rsid w:val="002F3C9C"/>
    <w:rsid w:val="002F45DC"/>
    <w:rsid w:val="002F5483"/>
    <w:rsid w:val="002F5D11"/>
    <w:rsid w:val="002F7CE2"/>
    <w:rsid w:val="00302AC7"/>
    <w:rsid w:val="00302E0B"/>
    <w:rsid w:val="003040D0"/>
    <w:rsid w:val="00304732"/>
    <w:rsid w:val="00306261"/>
    <w:rsid w:val="00306294"/>
    <w:rsid w:val="00306658"/>
    <w:rsid w:val="00310FBE"/>
    <w:rsid w:val="00311021"/>
    <w:rsid w:val="0031254E"/>
    <w:rsid w:val="003132E2"/>
    <w:rsid w:val="003153CF"/>
    <w:rsid w:val="003174BE"/>
    <w:rsid w:val="00317FB3"/>
    <w:rsid w:val="00320ABC"/>
    <w:rsid w:val="00324034"/>
    <w:rsid w:val="0032588A"/>
    <w:rsid w:val="00325A05"/>
    <w:rsid w:val="003300A5"/>
    <w:rsid w:val="00331A67"/>
    <w:rsid w:val="00331BF4"/>
    <w:rsid w:val="00332DE4"/>
    <w:rsid w:val="003331BC"/>
    <w:rsid w:val="0033418E"/>
    <w:rsid w:val="00335798"/>
    <w:rsid w:val="0034037D"/>
    <w:rsid w:val="00340FEE"/>
    <w:rsid w:val="003428D4"/>
    <w:rsid w:val="00342E32"/>
    <w:rsid w:val="0034387B"/>
    <w:rsid w:val="00343C5A"/>
    <w:rsid w:val="003447EE"/>
    <w:rsid w:val="00346E5D"/>
    <w:rsid w:val="00347873"/>
    <w:rsid w:val="00347DEC"/>
    <w:rsid w:val="00350412"/>
    <w:rsid w:val="00350C5D"/>
    <w:rsid w:val="00351621"/>
    <w:rsid w:val="00351B81"/>
    <w:rsid w:val="003577CC"/>
    <w:rsid w:val="00362845"/>
    <w:rsid w:val="00363004"/>
    <w:rsid w:val="00363517"/>
    <w:rsid w:val="00363B5F"/>
    <w:rsid w:val="00364593"/>
    <w:rsid w:val="003649DB"/>
    <w:rsid w:val="00364F50"/>
    <w:rsid w:val="00365852"/>
    <w:rsid w:val="00370E8C"/>
    <w:rsid w:val="00371098"/>
    <w:rsid w:val="003716F2"/>
    <w:rsid w:val="00371EAD"/>
    <w:rsid w:val="00371EBF"/>
    <w:rsid w:val="003736A7"/>
    <w:rsid w:val="0037388A"/>
    <w:rsid w:val="00373900"/>
    <w:rsid w:val="0037463C"/>
    <w:rsid w:val="00375133"/>
    <w:rsid w:val="00375FC2"/>
    <w:rsid w:val="00375FD1"/>
    <w:rsid w:val="00377F68"/>
    <w:rsid w:val="00380851"/>
    <w:rsid w:val="00385141"/>
    <w:rsid w:val="003869EF"/>
    <w:rsid w:val="00387358"/>
    <w:rsid w:val="00387674"/>
    <w:rsid w:val="00390685"/>
    <w:rsid w:val="0039157B"/>
    <w:rsid w:val="00391960"/>
    <w:rsid w:val="00392184"/>
    <w:rsid w:val="0039470C"/>
    <w:rsid w:val="00397A0B"/>
    <w:rsid w:val="00397B16"/>
    <w:rsid w:val="003A0BB2"/>
    <w:rsid w:val="003A0F33"/>
    <w:rsid w:val="003A224D"/>
    <w:rsid w:val="003A241D"/>
    <w:rsid w:val="003A2EC6"/>
    <w:rsid w:val="003A3528"/>
    <w:rsid w:val="003A38BA"/>
    <w:rsid w:val="003A4C7C"/>
    <w:rsid w:val="003B0084"/>
    <w:rsid w:val="003B157A"/>
    <w:rsid w:val="003B1F1D"/>
    <w:rsid w:val="003B22F5"/>
    <w:rsid w:val="003B35C6"/>
    <w:rsid w:val="003B3DEC"/>
    <w:rsid w:val="003B5ED1"/>
    <w:rsid w:val="003B651A"/>
    <w:rsid w:val="003B66E4"/>
    <w:rsid w:val="003B6EE0"/>
    <w:rsid w:val="003B75D3"/>
    <w:rsid w:val="003B7610"/>
    <w:rsid w:val="003B7B2D"/>
    <w:rsid w:val="003C20A4"/>
    <w:rsid w:val="003C38ED"/>
    <w:rsid w:val="003C42C5"/>
    <w:rsid w:val="003C46BB"/>
    <w:rsid w:val="003C622E"/>
    <w:rsid w:val="003D0C44"/>
    <w:rsid w:val="003D19FD"/>
    <w:rsid w:val="003D1EAB"/>
    <w:rsid w:val="003D44D6"/>
    <w:rsid w:val="003D549C"/>
    <w:rsid w:val="003D6048"/>
    <w:rsid w:val="003D6A4F"/>
    <w:rsid w:val="003D7A7A"/>
    <w:rsid w:val="003D7EE6"/>
    <w:rsid w:val="003E0AA1"/>
    <w:rsid w:val="003E0DF0"/>
    <w:rsid w:val="003E13E7"/>
    <w:rsid w:val="003E2A50"/>
    <w:rsid w:val="003E3B78"/>
    <w:rsid w:val="003E4C56"/>
    <w:rsid w:val="003E6E7F"/>
    <w:rsid w:val="003E7AE2"/>
    <w:rsid w:val="003F0504"/>
    <w:rsid w:val="003F08BE"/>
    <w:rsid w:val="003F0F28"/>
    <w:rsid w:val="003F42B4"/>
    <w:rsid w:val="003F442B"/>
    <w:rsid w:val="003F4CFC"/>
    <w:rsid w:val="003F6B7A"/>
    <w:rsid w:val="003F6E09"/>
    <w:rsid w:val="004015E0"/>
    <w:rsid w:val="00401E0F"/>
    <w:rsid w:val="00403209"/>
    <w:rsid w:val="00403FBB"/>
    <w:rsid w:val="00404713"/>
    <w:rsid w:val="00404AEE"/>
    <w:rsid w:val="00405EE0"/>
    <w:rsid w:val="00406B01"/>
    <w:rsid w:val="00407449"/>
    <w:rsid w:val="00411E70"/>
    <w:rsid w:val="00412A0B"/>
    <w:rsid w:val="00413957"/>
    <w:rsid w:val="004140D0"/>
    <w:rsid w:val="00415558"/>
    <w:rsid w:val="00416CC0"/>
    <w:rsid w:val="00420588"/>
    <w:rsid w:val="004220E6"/>
    <w:rsid w:val="00422963"/>
    <w:rsid w:val="00422AA0"/>
    <w:rsid w:val="00425BF6"/>
    <w:rsid w:val="00426196"/>
    <w:rsid w:val="00430A06"/>
    <w:rsid w:val="00430FF5"/>
    <w:rsid w:val="00433825"/>
    <w:rsid w:val="00436077"/>
    <w:rsid w:val="00437C16"/>
    <w:rsid w:val="00440955"/>
    <w:rsid w:val="0044129D"/>
    <w:rsid w:val="00441734"/>
    <w:rsid w:val="004423C0"/>
    <w:rsid w:val="00442D0A"/>
    <w:rsid w:val="0044396D"/>
    <w:rsid w:val="00443B09"/>
    <w:rsid w:val="00445527"/>
    <w:rsid w:val="004458A4"/>
    <w:rsid w:val="0044604C"/>
    <w:rsid w:val="00446349"/>
    <w:rsid w:val="00447767"/>
    <w:rsid w:val="004479BD"/>
    <w:rsid w:val="004524F7"/>
    <w:rsid w:val="00453DF7"/>
    <w:rsid w:val="00453F86"/>
    <w:rsid w:val="004555F2"/>
    <w:rsid w:val="00455903"/>
    <w:rsid w:val="004561DB"/>
    <w:rsid w:val="00457936"/>
    <w:rsid w:val="00457F41"/>
    <w:rsid w:val="004615E8"/>
    <w:rsid w:val="0046234B"/>
    <w:rsid w:val="00462CEE"/>
    <w:rsid w:val="004638B6"/>
    <w:rsid w:val="00463E73"/>
    <w:rsid w:val="0046433E"/>
    <w:rsid w:val="004647BE"/>
    <w:rsid w:val="00464D52"/>
    <w:rsid w:val="00465829"/>
    <w:rsid w:val="00466169"/>
    <w:rsid w:val="004661AE"/>
    <w:rsid w:val="00466618"/>
    <w:rsid w:val="00467D19"/>
    <w:rsid w:val="00471E13"/>
    <w:rsid w:val="00474985"/>
    <w:rsid w:val="00474AF0"/>
    <w:rsid w:val="004758E3"/>
    <w:rsid w:val="00475A02"/>
    <w:rsid w:val="00476403"/>
    <w:rsid w:val="00477647"/>
    <w:rsid w:val="00477A20"/>
    <w:rsid w:val="00480C5F"/>
    <w:rsid w:val="00481940"/>
    <w:rsid w:val="00484AED"/>
    <w:rsid w:val="00484CCB"/>
    <w:rsid w:val="004851C2"/>
    <w:rsid w:val="00487692"/>
    <w:rsid w:val="00487E87"/>
    <w:rsid w:val="00490AB8"/>
    <w:rsid w:val="0049382C"/>
    <w:rsid w:val="00495138"/>
    <w:rsid w:val="00495611"/>
    <w:rsid w:val="00495B98"/>
    <w:rsid w:val="00495ED7"/>
    <w:rsid w:val="004961E8"/>
    <w:rsid w:val="004968D4"/>
    <w:rsid w:val="00497844"/>
    <w:rsid w:val="00497F89"/>
    <w:rsid w:val="00497F91"/>
    <w:rsid w:val="004A0AAB"/>
    <w:rsid w:val="004A2F5B"/>
    <w:rsid w:val="004A3A6C"/>
    <w:rsid w:val="004A3C62"/>
    <w:rsid w:val="004A3D65"/>
    <w:rsid w:val="004A645E"/>
    <w:rsid w:val="004A64CA"/>
    <w:rsid w:val="004A7EBB"/>
    <w:rsid w:val="004B10CE"/>
    <w:rsid w:val="004B11DA"/>
    <w:rsid w:val="004B1B1D"/>
    <w:rsid w:val="004B3374"/>
    <w:rsid w:val="004B3F47"/>
    <w:rsid w:val="004B500D"/>
    <w:rsid w:val="004B5EEB"/>
    <w:rsid w:val="004B70D5"/>
    <w:rsid w:val="004C0904"/>
    <w:rsid w:val="004C5024"/>
    <w:rsid w:val="004C57C9"/>
    <w:rsid w:val="004C6333"/>
    <w:rsid w:val="004C655B"/>
    <w:rsid w:val="004C6D94"/>
    <w:rsid w:val="004C75BB"/>
    <w:rsid w:val="004D1806"/>
    <w:rsid w:val="004D2C89"/>
    <w:rsid w:val="004D3645"/>
    <w:rsid w:val="004D75A3"/>
    <w:rsid w:val="004E07EF"/>
    <w:rsid w:val="004E470D"/>
    <w:rsid w:val="004E60A1"/>
    <w:rsid w:val="004E69A9"/>
    <w:rsid w:val="004E6FCA"/>
    <w:rsid w:val="004E7818"/>
    <w:rsid w:val="004F0482"/>
    <w:rsid w:val="004F1042"/>
    <w:rsid w:val="004F115B"/>
    <w:rsid w:val="004F1581"/>
    <w:rsid w:val="004F17C3"/>
    <w:rsid w:val="004F1FFD"/>
    <w:rsid w:val="004F3015"/>
    <w:rsid w:val="004F424D"/>
    <w:rsid w:val="004F4D30"/>
    <w:rsid w:val="004F5CCA"/>
    <w:rsid w:val="004F600F"/>
    <w:rsid w:val="004F6B3B"/>
    <w:rsid w:val="004F77B9"/>
    <w:rsid w:val="00500015"/>
    <w:rsid w:val="005012E1"/>
    <w:rsid w:val="005028C8"/>
    <w:rsid w:val="0050294A"/>
    <w:rsid w:val="00502D6E"/>
    <w:rsid w:val="0050328F"/>
    <w:rsid w:val="00504272"/>
    <w:rsid w:val="00504DD4"/>
    <w:rsid w:val="00504E17"/>
    <w:rsid w:val="00506071"/>
    <w:rsid w:val="00506F26"/>
    <w:rsid w:val="00507A97"/>
    <w:rsid w:val="00507DC1"/>
    <w:rsid w:val="00510110"/>
    <w:rsid w:val="00512340"/>
    <w:rsid w:val="005123CB"/>
    <w:rsid w:val="00512DB5"/>
    <w:rsid w:val="0051442A"/>
    <w:rsid w:val="00515A63"/>
    <w:rsid w:val="00515C3A"/>
    <w:rsid w:val="005165E9"/>
    <w:rsid w:val="00516CC7"/>
    <w:rsid w:val="00520AF4"/>
    <w:rsid w:val="00520DB1"/>
    <w:rsid w:val="005226C0"/>
    <w:rsid w:val="00526466"/>
    <w:rsid w:val="0052798E"/>
    <w:rsid w:val="005302B3"/>
    <w:rsid w:val="00530F5D"/>
    <w:rsid w:val="00531884"/>
    <w:rsid w:val="00531D02"/>
    <w:rsid w:val="00531F38"/>
    <w:rsid w:val="00532556"/>
    <w:rsid w:val="00533D81"/>
    <w:rsid w:val="00534576"/>
    <w:rsid w:val="00534AE6"/>
    <w:rsid w:val="00536CCD"/>
    <w:rsid w:val="005371C8"/>
    <w:rsid w:val="0054171B"/>
    <w:rsid w:val="00541EF4"/>
    <w:rsid w:val="0054268E"/>
    <w:rsid w:val="00542759"/>
    <w:rsid w:val="00545201"/>
    <w:rsid w:val="005463FB"/>
    <w:rsid w:val="00546FAB"/>
    <w:rsid w:val="0054752F"/>
    <w:rsid w:val="00551598"/>
    <w:rsid w:val="00552253"/>
    <w:rsid w:val="00552A31"/>
    <w:rsid w:val="005530EB"/>
    <w:rsid w:val="00553CF9"/>
    <w:rsid w:val="005552F0"/>
    <w:rsid w:val="00555595"/>
    <w:rsid w:val="00556036"/>
    <w:rsid w:val="005560C8"/>
    <w:rsid w:val="0055721C"/>
    <w:rsid w:val="00560D04"/>
    <w:rsid w:val="005624FC"/>
    <w:rsid w:val="0056262A"/>
    <w:rsid w:val="0056343A"/>
    <w:rsid w:val="00564582"/>
    <w:rsid w:val="00564FD1"/>
    <w:rsid w:val="0056644D"/>
    <w:rsid w:val="00567452"/>
    <w:rsid w:val="00570230"/>
    <w:rsid w:val="00570A24"/>
    <w:rsid w:val="00571842"/>
    <w:rsid w:val="00572D60"/>
    <w:rsid w:val="0057316D"/>
    <w:rsid w:val="005731A1"/>
    <w:rsid w:val="00573C9F"/>
    <w:rsid w:val="0057455C"/>
    <w:rsid w:val="005747C2"/>
    <w:rsid w:val="00574F45"/>
    <w:rsid w:val="00575982"/>
    <w:rsid w:val="00576987"/>
    <w:rsid w:val="005803D9"/>
    <w:rsid w:val="005806A1"/>
    <w:rsid w:val="00580752"/>
    <w:rsid w:val="005811B5"/>
    <w:rsid w:val="00583AEE"/>
    <w:rsid w:val="00583F64"/>
    <w:rsid w:val="00585C87"/>
    <w:rsid w:val="00586754"/>
    <w:rsid w:val="0058730B"/>
    <w:rsid w:val="00587AD7"/>
    <w:rsid w:val="00590425"/>
    <w:rsid w:val="00590456"/>
    <w:rsid w:val="00590C5B"/>
    <w:rsid w:val="00591C27"/>
    <w:rsid w:val="00591E7F"/>
    <w:rsid w:val="00592108"/>
    <w:rsid w:val="00592562"/>
    <w:rsid w:val="0059319E"/>
    <w:rsid w:val="00593C52"/>
    <w:rsid w:val="00595EEE"/>
    <w:rsid w:val="00596C95"/>
    <w:rsid w:val="00597EAA"/>
    <w:rsid w:val="005A1984"/>
    <w:rsid w:val="005A1B0A"/>
    <w:rsid w:val="005A26B6"/>
    <w:rsid w:val="005A26BC"/>
    <w:rsid w:val="005A26EC"/>
    <w:rsid w:val="005A6259"/>
    <w:rsid w:val="005A7791"/>
    <w:rsid w:val="005B064C"/>
    <w:rsid w:val="005B0FCE"/>
    <w:rsid w:val="005B1875"/>
    <w:rsid w:val="005B251A"/>
    <w:rsid w:val="005B3531"/>
    <w:rsid w:val="005B3F13"/>
    <w:rsid w:val="005B4D7F"/>
    <w:rsid w:val="005B4D86"/>
    <w:rsid w:val="005B70B6"/>
    <w:rsid w:val="005B7BE0"/>
    <w:rsid w:val="005C0652"/>
    <w:rsid w:val="005C08D1"/>
    <w:rsid w:val="005C17D2"/>
    <w:rsid w:val="005C1E52"/>
    <w:rsid w:val="005C4D50"/>
    <w:rsid w:val="005C4E17"/>
    <w:rsid w:val="005C5A87"/>
    <w:rsid w:val="005C609A"/>
    <w:rsid w:val="005C6C5D"/>
    <w:rsid w:val="005C6E73"/>
    <w:rsid w:val="005C7A47"/>
    <w:rsid w:val="005D05D7"/>
    <w:rsid w:val="005D0DC8"/>
    <w:rsid w:val="005D12B3"/>
    <w:rsid w:val="005D24D2"/>
    <w:rsid w:val="005D31CC"/>
    <w:rsid w:val="005D34BA"/>
    <w:rsid w:val="005D369C"/>
    <w:rsid w:val="005D3AA8"/>
    <w:rsid w:val="005D42F0"/>
    <w:rsid w:val="005D44A0"/>
    <w:rsid w:val="005D471D"/>
    <w:rsid w:val="005D646D"/>
    <w:rsid w:val="005E1F18"/>
    <w:rsid w:val="005E2B45"/>
    <w:rsid w:val="005E5ABF"/>
    <w:rsid w:val="005E69BC"/>
    <w:rsid w:val="005E6EF9"/>
    <w:rsid w:val="005E7CDF"/>
    <w:rsid w:val="005E7E83"/>
    <w:rsid w:val="005F16FE"/>
    <w:rsid w:val="005F1F0A"/>
    <w:rsid w:val="005F376F"/>
    <w:rsid w:val="005F4260"/>
    <w:rsid w:val="005F45A0"/>
    <w:rsid w:val="005F4C5F"/>
    <w:rsid w:val="005F5517"/>
    <w:rsid w:val="005F6247"/>
    <w:rsid w:val="005F7836"/>
    <w:rsid w:val="00601052"/>
    <w:rsid w:val="0060293F"/>
    <w:rsid w:val="00602CF8"/>
    <w:rsid w:val="00602F6A"/>
    <w:rsid w:val="00604193"/>
    <w:rsid w:val="0060425F"/>
    <w:rsid w:val="0060434A"/>
    <w:rsid w:val="0060706C"/>
    <w:rsid w:val="00607C06"/>
    <w:rsid w:val="00607CCB"/>
    <w:rsid w:val="00610419"/>
    <w:rsid w:val="0061141B"/>
    <w:rsid w:val="006116EC"/>
    <w:rsid w:val="00611B64"/>
    <w:rsid w:val="00613CBD"/>
    <w:rsid w:val="006144B7"/>
    <w:rsid w:val="00614C70"/>
    <w:rsid w:val="00614E6B"/>
    <w:rsid w:val="006151DC"/>
    <w:rsid w:val="006165FB"/>
    <w:rsid w:val="00621D4C"/>
    <w:rsid w:val="006235AA"/>
    <w:rsid w:val="00624215"/>
    <w:rsid w:val="00625ADD"/>
    <w:rsid w:val="00625AF2"/>
    <w:rsid w:val="00625F1A"/>
    <w:rsid w:val="00626081"/>
    <w:rsid w:val="006267DF"/>
    <w:rsid w:val="00627321"/>
    <w:rsid w:val="006328F4"/>
    <w:rsid w:val="0064074D"/>
    <w:rsid w:val="00642749"/>
    <w:rsid w:val="00643D00"/>
    <w:rsid w:val="00644C5D"/>
    <w:rsid w:val="006454B8"/>
    <w:rsid w:val="006455BF"/>
    <w:rsid w:val="00646196"/>
    <w:rsid w:val="00646D85"/>
    <w:rsid w:val="006471E1"/>
    <w:rsid w:val="006479B7"/>
    <w:rsid w:val="0065020F"/>
    <w:rsid w:val="006505D2"/>
    <w:rsid w:val="00650CD2"/>
    <w:rsid w:val="006538AA"/>
    <w:rsid w:val="0065424E"/>
    <w:rsid w:val="006544EA"/>
    <w:rsid w:val="006546A1"/>
    <w:rsid w:val="0065483A"/>
    <w:rsid w:val="0065536D"/>
    <w:rsid w:val="00656649"/>
    <w:rsid w:val="006574AB"/>
    <w:rsid w:val="00661304"/>
    <w:rsid w:val="00661AAD"/>
    <w:rsid w:val="00663250"/>
    <w:rsid w:val="00664151"/>
    <w:rsid w:val="0066454C"/>
    <w:rsid w:val="00665ABD"/>
    <w:rsid w:val="00666C23"/>
    <w:rsid w:val="00667EE3"/>
    <w:rsid w:val="0067063E"/>
    <w:rsid w:val="00672127"/>
    <w:rsid w:val="0067286F"/>
    <w:rsid w:val="00673446"/>
    <w:rsid w:val="0067505C"/>
    <w:rsid w:val="00675626"/>
    <w:rsid w:val="00675884"/>
    <w:rsid w:val="00675FBF"/>
    <w:rsid w:val="006764DB"/>
    <w:rsid w:val="006765C9"/>
    <w:rsid w:val="00676793"/>
    <w:rsid w:val="0067691D"/>
    <w:rsid w:val="00676F21"/>
    <w:rsid w:val="006778AD"/>
    <w:rsid w:val="00680D66"/>
    <w:rsid w:val="00681131"/>
    <w:rsid w:val="00681344"/>
    <w:rsid w:val="00681BCD"/>
    <w:rsid w:val="00682BC7"/>
    <w:rsid w:val="00684406"/>
    <w:rsid w:val="00685F80"/>
    <w:rsid w:val="00691384"/>
    <w:rsid w:val="006930ED"/>
    <w:rsid w:val="006937F3"/>
    <w:rsid w:val="00693BF0"/>
    <w:rsid w:val="00693C66"/>
    <w:rsid w:val="0069435C"/>
    <w:rsid w:val="00694411"/>
    <w:rsid w:val="00696BCD"/>
    <w:rsid w:val="00696EE1"/>
    <w:rsid w:val="006979CF"/>
    <w:rsid w:val="006A08D2"/>
    <w:rsid w:val="006A0AB6"/>
    <w:rsid w:val="006A173E"/>
    <w:rsid w:val="006A1D3E"/>
    <w:rsid w:val="006A431B"/>
    <w:rsid w:val="006A4839"/>
    <w:rsid w:val="006A5D24"/>
    <w:rsid w:val="006A6986"/>
    <w:rsid w:val="006B0B71"/>
    <w:rsid w:val="006B1CB3"/>
    <w:rsid w:val="006B2A11"/>
    <w:rsid w:val="006B4045"/>
    <w:rsid w:val="006B536E"/>
    <w:rsid w:val="006B5CF7"/>
    <w:rsid w:val="006B7272"/>
    <w:rsid w:val="006B7F03"/>
    <w:rsid w:val="006C01FC"/>
    <w:rsid w:val="006C04EF"/>
    <w:rsid w:val="006C2552"/>
    <w:rsid w:val="006C36AA"/>
    <w:rsid w:val="006C380A"/>
    <w:rsid w:val="006C4039"/>
    <w:rsid w:val="006C44BA"/>
    <w:rsid w:val="006C4D80"/>
    <w:rsid w:val="006C5AE3"/>
    <w:rsid w:val="006C5F62"/>
    <w:rsid w:val="006C63A2"/>
    <w:rsid w:val="006D1CB2"/>
    <w:rsid w:val="006D2172"/>
    <w:rsid w:val="006D2582"/>
    <w:rsid w:val="006D4633"/>
    <w:rsid w:val="006D5242"/>
    <w:rsid w:val="006D78D4"/>
    <w:rsid w:val="006D7C2C"/>
    <w:rsid w:val="006E0E96"/>
    <w:rsid w:val="006E1D46"/>
    <w:rsid w:val="006E2573"/>
    <w:rsid w:val="006E2D2A"/>
    <w:rsid w:val="006E4EE9"/>
    <w:rsid w:val="006E5854"/>
    <w:rsid w:val="006E59A2"/>
    <w:rsid w:val="006E7044"/>
    <w:rsid w:val="006E749B"/>
    <w:rsid w:val="006F0B5D"/>
    <w:rsid w:val="006F0B8D"/>
    <w:rsid w:val="006F1758"/>
    <w:rsid w:val="006F2403"/>
    <w:rsid w:val="006F2BF2"/>
    <w:rsid w:val="006F3FB3"/>
    <w:rsid w:val="006F513D"/>
    <w:rsid w:val="006F5AD3"/>
    <w:rsid w:val="006F6DAF"/>
    <w:rsid w:val="0070036E"/>
    <w:rsid w:val="00700B02"/>
    <w:rsid w:val="00703920"/>
    <w:rsid w:val="00705388"/>
    <w:rsid w:val="00705744"/>
    <w:rsid w:val="0070699B"/>
    <w:rsid w:val="00707BFA"/>
    <w:rsid w:val="00711005"/>
    <w:rsid w:val="0071175B"/>
    <w:rsid w:val="007119CB"/>
    <w:rsid w:val="007121FE"/>
    <w:rsid w:val="007131B9"/>
    <w:rsid w:val="00715634"/>
    <w:rsid w:val="007156FB"/>
    <w:rsid w:val="00723D75"/>
    <w:rsid w:val="00724843"/>
    <w:rsid w:val="0072650C"/>
    <w:rsid w:val="00727259"/>
    <w:rsid w:val="00727419"/>
    <w:rsid w:val="0073047D"/>
    <w:rsid w:val="00730C93"/>
    <w:rsid w:val="00733D12"/>
    <w:rsid w:val="007350FD"/>
    <w:rsid w:val="0073543A"/>
    <w:rsid w:val="00735745"/>
    <w:rsid w:val="00736D50"/>
    <w:rsid w:val="00737510"/>
    <w:rsid w:val="00737529"/>
    <w:rsid w:val="00740D7D"/>
    <w:rsid w:val="0074110D"/>
    <w:rsid w:val="00741E27"/>
    <w:rsid w:val="00741FC0"/>
    <w:rsid w:val="00742AFC"/>
    <w:rsid w:val="00743D6C"/>
    <w:rsid w:val="00744376"/>
    <w:rsid w:val="0074454F"/>
    <w:rsid w:val="00744F6A"/>
    <w:rsid w:val="007462C7"/>
    <w:rsid w:val="00747D2B"/>
    <w:rsid w:val="00750293"/>
    <w:rsid w:val="007505FB"/>
    <w:rsid w:val="007509AA"/>
    <w:rsid w:val="00751CEC"/>
    <w:rsid w:val="00753D47"/>
    <w:rsid w:val="007543CE"/>
    <w:rsid w:val="00755C96"/>
    <w:rsid w:val="007566C5"/>
    <w:rsid w:val="007573D4"/>
    <w:rsid w:val="00757607"/>
    <w:rsid w:val="00757EEB"/>
    <w:rsid w:val="00761C15"/>
    <w:rsid w:val="00763018"/>
    <w:rsid w:val="007630EA"/>
    <w:rsid w:val="00767D13"/>
    <w:rsid w:val="00770097"/>
    <w:rsid w:val="00770162"/>
    <w:rsid w:val="007731A0"/>
    <w:rsid w:val="00773EB1"/>
    <w:rsid w:val="007750FD"/>
    <w:rsid w:val="0077552D"/>
    <w:rsid w:val="0077553B"/>
    <w:rsid w:val="00775CD2"/>
    <w:rsid w:val="00776C34"/>
    <w:rsid w:val="00776F3F"/>
    <w:rsid w:val="0077771C"/>
    <w:rsid w:val="00777AF7"/>
    <w:rsid w:val="00777FEA"/>
    <w:rsid w:val="0078189C"/>
    <w:rsid w:val="00781F03"/>
    <w:rsid w:val="007823EA"/>
    <w:rsid w:val="00782746"/>
    <w:rsid w:val="00783DBE"/>
    <w:rsid w:val="00785A9D"/>
    <w:rsid w:val="00785B22"/>
    <w:rsid w:val="0078697B"/>
    <w:rsid w:val="00786F62"/>
    <w:rsid w:val="0078771F"/>
    <w:rsid w:val="00787788"/>
    <w:rsid w:val="00787963"/>
    <w:rsid w:val="00791606"/>
    <w:rsid w:val="007918B3"/>
    <w:rsid w:val="007919DA"/>
    <w:rsid w:val="00791C12"/>
    <w:rsid w:val="00792F9F"/>
    <w:rsid w:val="00792FAC"/>
    <w:rsid w:val="0079458E"/>
    <w:rsid w:val="00794F47"/>
    <w:rsid w:val="00795298"/>
    <w:rsid w:val="007A0D45"/>
    <w:rsid w:val="007A0F1D"/>
    <w:rsid w:val="007A1B39"/>
    <w:rsid w:val="007A3332"/>
    <w:rsid w:val="007A3F93"/>
    <w:rsid w:val="007A6146"/>
    <w:rsid w:val="007A7317"/>
    <w:rsid w:val="007B0133"/>
    <w:rsid w:val="007B04D0"/>
    <w:rsid w:val="007B3246"/>
    <w:rsid w:val="007B406C"/>
    <w:rsid w:val="007C0878"/>
    <w:rsid w:val="007C1463"/>
    <w:rsid w:val="007C442B"/>
    <w:rsid w:val="007C4E6B"/>
    <w:rsid w:val="007C714F"/>
    <w:rsid w:val="007C754B"/>
    <w:rsid w:val="007C7911"/>
    <w:rsid w:val="007D0372"/>
    <w:rsid w:val="007D1D55"/>
    <w:rsid w:val="007D2C14"/>
    <w:rsid w:val="007D3809"/>
    <w:rsid w:val="007D58CF"/>
    <w:rsid w:val="007D704E"/>
    <w:rsid w:val="007D7A7B"/>
    <w:rsid w:val="007E0C76"/>
    <w:rsid w:val="007E4F6A"/>
    <w:rsid w:val="007E5194"/>
    <w:rsid w:val="007E519C"/>
    <w:rsid w:val="007E5F94"/>
    <w:rsid w:val="007E72DC"/>
    <w:rsid w:val="007F0AEB"/>
    <w:rsid w:val="007F2194"/>
    <w:rsid w:val="007F7A36"/>
    <w:rsid w:val="00800095"/>
    <w:rsid w:val="00800C5D"/>
    <w:rsid w:val="00800DC4"/>
    <w:rsid w:val="008015E3"/>
    <w:rsid w:val="0080281F"/>
    <w:rsid w:val="00803F57"/>
    <w:rsid w:val="00806BEF"/>
    <w:rsid w:val="00810205"/>
    <w:rsid w:val="00810804"/>
    <w:rsid w:val="00811BE3"/>
    <w:rsid w:val="00812DB7"/>
    <w:rsid w:val="008133A1"/>
    <w:rsid w:val="00814422"/>
    <w:rsid w:val="00815893"/>
    <w:rsid w:val="00816BA0"/>
    <w:rsid w:val="0082101D"/>
    <w:rsid w:val="00821FCD"/>
    <w:rsid w:val="00822718"/>
    <w:rsid w:val="0082315D"/>
    <w:rsid w:val="008235C2"/>
    <w:rsid w:val="00824719"/>
    <w:rsid w:val="008253E1"/>
    <w:rsid w:val="008253EC"/>
    <w:rsid w:val="00825DD7"/>
    <w:rsid w:val="00825FFA"/>
    <w:rsid w:val="00826C68"/>
    <w:rsid w:val="00827773"/>
    <w:rsid w:val="008278DD"/>
    <w:rsid w:val="00827FBE"/>
    <w:rsid w:val="008303B8"/>
    <w:rsid w:val="00832041"/>
    <w:rsid w:val="00832FEF"/>
    <w:rsid w:val="0083303D"/>
    <w:rsid w:val="00833575"/>
    <w:rsid w:val="00833EB5"/>
    <w:rsid w:val="00834420"/>
    <w:rsid w:val="008355C7"/>
    <w:rsid w:val="008359A7"/>
    <w:rsid w:val="0084015A"/>
    <w:rsid w:val="0084095B"/>
    <w:rsid w:val="00840B0E"/>
    <w:rsid w:val="00840D27"/>
    <w:rsid w:val="00841566"/>
    <w:rsid w:val="00841F4F"/>
    <w:rsid w:val="008427F0"/>
    <w:rsid w:val="0084378C"/>
    <w:rsid w:val="00843864"/>
    <w:rsid w:val="00844EBC"/>
    <w:rsid w:val="008451B1"/>
    <w:rsid w:val="00846FC2"/>
    <w:rsid w:val="00850EE5"/>
    <w:rsid w:val="0085109B"/>
    <w:rsid w:val="0085315C"/>
    <w:rsid w:val="008560A5"/>
    <w:rsid w:val="00856424"/>
    <w:rsid w:val="00857703"/>
    <w:rsid w:val="0086053B"/>
    <w:rsid w:val="00860B85"/>
    <w:rsid w:val="00861B12"/>
    <w:rsid w:val="008626B3"/>
    <w:rsid w:val="008629AD"/>
    <w:rsid w:val="008638FC"/>
    <w:rsid w:val="00863C5E"/>
    <w:rsid w:val="00864604"/>
    <w:rsid w:val="00866146"/>
    <w:rsid w:val="00866D1A"/>
    <w:rsid w:val="0087079A"/>
    <w:rsid w:val="0087098E"/>
    <w:rsid w:val="00871242"/>
    <w:rsid w:val="00871641"/>
    <w:rsid w:val="00871AB6"/>
    <w:rsid w:val="00871C11"/>
    <w:rsid w:val="00872C9A"/>
    <w:rsid w:val="00872E04"/>
    <w:rsid w:val="008744C8"/>
    <w:rsid w:val="00874C24"/>
    <w:rsid w:val="00875C42"/>
    <w:rsid w:val="00876CAD"/>
    <w:rsid w:val="00877924"/>
    <w:rsid w:val="00877EAB"/>
    <w:rsid w:val="00880947"/>
    <w:rsid w:val="0088229D"/>
    <w:rsid w:val="00882EB1"/>
    <w:rsid w:val="0088353E"/>
    <w:rsid w:val="00886681"/>
    <w:rsid w:val="00890392"/>
    <w:rsid w:val="00890683"/>
    <w:rsid w:val="00890B1C"/>
    <w:rsid w:val="00891550"/>
    <w:rsid w:val="00892D9D"/>
    <w:rsid w:val="0089393F"/>
    <w:rsid w:val="00894296"/>
    <w:rsid w:val="008968D5"/>
    <w:rsid w:val="008A0B77"/>
    <w:rsid w:val="008A0E0D"/>
    <w:rsid w:val="008A1F80"/>
    <w:rsid w:val="008A2A6D"/>
    <w:rsid w:val="008A48D0"/>
    <w:rsid w:val="008A6303"/>
    <w:rsid w:val="008A71DE"/>
    <w:rsid w:val="008B22A3"/>
    <w:rsid w:val="008B3246"/>
    <w:rsid w:val="008B44FC"/>
    <w:rsid w:val="008B45A5"/>
    <w:rsid w:val="008B52D8"/>
    <w:rsid w:val="008C04E2"/>
    <w:rsid w:val="008C1978"/>
    <w:rsid w:val="008C22C5"/>
    <w:rsid w:val="008C26C2"/>
    <w:rsid w:val="008C2899"/>
    <w:rsid w:val="008C33F4"/>
    <w:rsid w:val="008C43F3"/>
    <w:rsid w:val="008C604E"/>
    <w:rsid w:val="008C7574"/>
    <w:rsid w:val="008D11F1"/>
    <w:rsid w:val="008D2043"/>
    <w:rsid w:val="008D20E4"/>
    <w:rsid w:val="008D35BF"/>
    <w:rsid w:val="008D4B5A"/>
    <w:rsid w:val="008D4C09"/>
    <w:rsid w:val="008D56E0"/>
    <w:rsid w:val="008D633F"/>
    <w:rsid w:val="008D7113"/>
    <w:rsid w:val="008D77C5"/>
    <w:rsid w:val="008E03D1"/>
    <w:rsid w:val="008E05F7"/>
    <w:rsid w:val="008E1239"/>
    <w:rsid w:val="008E1B07"/>
    <w:rsid w:val="008E2469"/>
    <w:rsid w:val="008E41B0"/>
    <w:rsid w:val="008E4380"/>
    <w:rsid w:val="008E4A40"/>
    <w:rsid w:val="008E4C96"/>
    <w:rsid w:val="008E59FF"/>
    <w:rsid w:val="008E5A18"/>
    <w:rsid w:val="008E6616"/>
    <w:rsid w:val="008F03EC"/>
    <w:rsid w:val="008F13A2"/>
    <w:rsid w:val="008F241F"/>
    <w:rsid w:val="008F2573"/>
    <w:rsid w:val="008F437F"/>
    <w:rsid w:val="008F4A8A"/>
    <w:rsid w:val="008F6922"/>
    <w:rsid w:val="008F715D"/>
    <w:rsid w:val="008F7428"/>
    <w:rsid w:val="00901325"/>
    <w:rsid w:val="00901772"/>
    <w:rsid w:val="009026E6"/>
    <w:rsid w:val="00902AF4"/>
    <w:rsid w:val="009043FF"/>
    <w:rsid w:val="00904CD4"/>
    <w:rsid w:val="009074DE"/>
    <w:rsid w:val="0090793E"/>
    <w:rsid w:val="00911D4E"/>
    <w:rsid w:val="0091278E"/>
    <w:rsid w:val="00912999"/>
    <w:rsid w:val="00914A71"/>
    <w:rsid w:val="009170EB"/>
    <w:rsid w:val="00917904"/>
    <w:rsid w:val="00917D74"/>
    <w:rsid w:val="00920B94"/>
    <w:rsid w:val="00920F83"/>
    <w:rsid w:val="00921999"/>
    <w:rsid w:val="009253A6"/>
    <w:rsid w:val="009270C7"/>
    <w:rsid w:val="009312B8"/>
    <w:rsid w:val="00932342"/>
    <w:rsid w:val="0093608B"/>
    <w:rsid w:val="00940648"/>
    <w:rsid w:val="0094143A"/>
    <w:rsid w:val="00941526"/>
    <w:rsid w:val="0094252E"/>
    <w:rsid w:val="009429FF"/>
    <w:rsid w:val="009448CD"/>
    <w:rsid w:val="00944C20"/>
    <w:rsid w:val="009455F6"/>
    <w:rsid w:val="00946D33"/>
    <w:rsid w:val="009475F5"/>
    <w:rsid w:val="009476E3"/>
    <w:rsid w:val="00951F7E"/>
    <w:rsid w:val="00952B41"/>
    <w:rsid w:val="00955315"/>
    <w:rsid w:val="00955C74"/>
    <w:rsid w:val="0095675A"/>
    <w:rsid w:val="00957C3E"/>
    <w:rsid w:val="009602AA"/>
    <w:rsid w:val="0096075A"/>
    <w:rsid w:val="00961603"/>
    <w:rsid w:val="00962A09"/>
    <w:rsid w:val="00962DAD"/>
    <w:rsid w:val="0096304B"/>
    <w:rsid w:val="00964244"/>
    <w:rsid w:val="009643D6"/>
    <w:rsid w:val="009650C8"/>
    <w:rsid w:val="00965DB2"/>
    <w:rsid w:val="00966076"/>
    <w:rsid w:val="00966082"/>
    <w:rsid w:val="00970893"/>
    <w:rsid w:val="00971407"/>
    <w:rsid w:val="00971D5C"/>
    <w:rsid w:val="00971ED2"/>
    <w:rsid w:val="00972727"/>
    <w:rsid w:val="00973B0A"/>
    <w:rsid w:val="00974AFA"/>
    <w:rsid w:val="00975109"/>
    <w:rsid w:val="009767D1"/>
    <w:rsid w:val="00980407"/>
    <w:rsid w:val="00980475"/>
    <w:rsid w:val="0098288C"/>
    <w:rsid w:val="00984AB9"/>
    <w:rsid w:val="009854FB"/>
    <w:rsid w:val="009869E0"/>
    <w:rsid w:val="009873FC"/>
    <w:rsid w:val="0098781D"/>
    <w:rsid w:val="0099041C"/>
    <w:rsid w:val="009913CF"/>
    <w:rsid w:val="00991E5E"/>
    <w:rsid w:val="00993331"/>
    <w:rsid w:val="00993655"/>
    <w:rsid w:val="009941B4"/>
    <w:rsid w:val="009952E4"/>
    <w:rsid w:val="009958CB"/>
    <w:rsid w:val="00995E52"/>
    <w:rsid w:val="00996B4A"/>
    <w:rsid w:val="00997239"/>
    <w:rsid w:val="00997971"/>
    <w:rsid w:val="009A0492"/>
    <w:rsid w:val="009A0B19"/>
    <w:rsid w:val="009A1133"/>
    <w:rsid w:val="009A52DA"/>
    <w:rsid w:val="009A65F6"/>
    <w:rsid w:val="009A71A9"/>
    <w:rsid w:val="009B19C7"/>
    <w:rsid w:val="009B3215"/>
    <w:rsid w:val="009B3C3E"/>
    <w:rsid w:val="009B3DA1"/>
    <w:rsid w:val="009B4251"/>
    <w:rsid w:val="009B4560"/>
    <w:rsid w:val="009B564D"/>
    <w:rsid w:val="009B7364"/>
    <w:rsid w:val="009B7A4E"/>
    <w:rsid w:val="009C3758"/>
    <w:rsid w:val="009C4136"/>
    <w:rsid w:val="009C5732"/>
    <w:rsid w:val="009C583C"/>
    <w:rsid w:val="009C61E3"/>
    <w:rsid w:val="009C762B"/>
    <w:rsid w:val="009D005F"/>
    <w:rsid w:val="009D0909"/>
    <w:rsid w:val="009D1B17"/>
    <w:rsid w:val="009D2566"/>
    <w:rsid w:val="009D3C27"/>
    <w:rsid w:val="009D3C4A"/>
    <w:rsid w:val="009D47D1"/>
    <w:rsid w:val="009D5422"/>
    <w:rsid w:val="009D61AA"/>
    <w:rsid w:val="009D681D"/>
    <w:rsid w:val="009E08A3"/>
    <w:rsid w:val="009E2124"/>
    <w:rsid w:val="009E2A6D"/>
    <w:rsid w:val="009E30BE"/>
    <w:rsid w:val="009E3105"/>
    <w:rsid w:val="009E51F6"/>
    <w:rsid w:val="009E5808"/>
    <w:rsid w:val="009E6265"/>
    <w:rsid w:val="009E6B8F"/>
    <w:rsid w:val="009E7020"/>
    <w:rsid w:val="009F219A"/>
    <w:rsid w:val="009F7219"/>
    <w:rsid w:val="009F770E"/>
    <w:rsid w:val="00A0081E"/>
    <w:rsid w:val="00A00CCF"/>
    <w:rsid w:val="00A0104E"/>
    <w:rsid w:val="00A0199F"/>
    <w:rsid w:val="00A01CF1"/>
    <w:rsid w:val="00A02121"/>
    <w:rsid w:val="00A022F4"/>
    <w:rsid w:val="00A02975"/>
    <w:rsid w:val="00A0419A"/>
    <w:rsid w:val="00A050DE"/>
    <w:rsid w:val="00A0561E"/>
    <w:rsid w:val="00A063D5"/>
    <w:rsid w:val="00A06575"/>
    <w:rsid w:val="00A065F6"/>
    <w:rsid w:val="00A06F95"/>
    <w:rsid w:val="00A075A6"/>
    <w:rsid w:val="00A07785"/>
    <w:rsid w:val="00A103E6"/>
    <w:rsid w:val="00A10D60"/>
    <w:rsid w:val="00A10FF7"/>
    <w:rsid w:val="00A130AF"/>
    <w:rsid w:val="00A15034"/>
    <w:rsid w:val="00A150A0"/>
    <w:rsid w:val="00A15DCF"/>
    <w:rsid w:val="00A16829"/>
    <w:rsid w:val="00A17949"/>
    <w:rsid w:val="00A20998"/>
    <w:rsid w:val="00A20DEB"/>
    <w:rsid w:val="00A2108A"/>
    <w:rsid w:val="00A217B5"/>
    <w:rsid w:val="00A22AB9"/>
    <w:rsid w:val="00A22EB6"/>
    <w:rsid w:val="00A23180"/>
    <w:rsid w:val="00A24436"/>
    <w:rsid w:val="00A245F6"/>
    <w:rsid w:val="00A24AAD"/>
    <w:rsid w:val="00A2514F"/>
    <w:rsid w:val="00A255D0"/>
    <w:rsid w:val="00A26F57"/>
    <w:rsid w:val="00A33201"/>
    <w:rsid w:val="00A3374E"/>
    <w:rsid w:val="00A3422A"/>
    <w:rsid w:val="00A348C0"/>
    <w:rsid w:val="00A36B0B"/>
    <w:rsid w:val="00A40431"/>
    <w:rsid w:val="00A43FF5"/>
    <w:rsid w:val="00A44E62"/>
    <w:rsid w:val="00A4513D"/>
    <w:rsid w:val="00A461A7"/>
    <w:rsid w:val="00A47397"/>
    <w:rsid w:val="00A4764D"/>
    <w:rsid w:val="00A50B94"/>
    <w:rsid w:val="00A50FA4"/>
    <w:rsid w:val="00A5159C"/>
    <w:rsid w:val="00A5183F"/>
    <w:rsid w:val="00A5290F"/>
    <w:rsid w:val="00A52D82"/>
    <w:rsid w:val="00A538F9"/>
    <w:rsid w:val="00A543B0"/>
    <w:rsid w:val="00A55153"/>
    <w:rsid w:val="00A55271"/>
    <w:rsid w:val="00A55D91"/>
    <w:rsid w:val="00A565AD"/>
    <w:rsid w:val="00A6090F"/>
    <w:rsid w:val="00A60C28"/>
    <w:rsid w:val="00A613E8"/>
    <w:rsid w:val="00A62529"/>
    <w:rsid w:val="00A625B1"/>
    <w:rsid w:val="00A62762"/>
    <w:rsid w:val="00A62C6B"/>
    <w:rsid w:val="00A630A8"/>
    <w:rsid w:val="00A65D4D"/>
    <w:rsid w:val="00A7161D"/>
    <w:rsid w:val="00A717F8"/>
    <w:rsid w:val="00A725C1"/>
    <w:rsid w:val="00A72A4E"/>
    <w:rsid w:val="00A7320A"/>
    <w:rsid w:val="00A7339F"/>
    <w:rsid w:val="00A7351A"/>
    <w:rsid w:val="00A75E87"/>
    <w:rsid w:val="00A76D9B"/>
    <w:rsid w:val="00A772A2"/>
    <w:rsid w:val="00A80441"/>
    <w:rsid w:val="00A80A2E"/>
    <w:rsid w:val="00A8112A"/>
    <w:rsid w:val="00A813DD"/>
    <w:rsid w:val="00A83A9E"/>
    <w:rsid w:val="00A85E96"/>
    <w:rsid w:val="00A86A67"/>
    <w:rsid w:val="00A90623"/>
    <w:rsid w:val="00A90A91"/>
    <w:rsid w:val="00A91283"/>
    <w:rsid w:val="00A913AB"/>
    <w:rsid w:val="00A91779"/>
    <w:rsid w:val="00A922D4"/>
    <w:rsid w:val="00A929CA"/>
    <w:rsid w:val="00A92F70"/>
    <w:rsid w:val="00A93089"/>
    <w:rsid w:val="00A947E4"/>
    <w:rsid w:val="00A94AC5"/>
    <w:rsid w:val="00A94CC9"/>
    <w:rsid w:val="00A95AE6"/>
    <w:rsid w:val="00A95CCC"/>
    <w:rsid w:val="00A9748F"/>
    <w:rsid w:val="00AA23B3"/>
    <w:rsid w:val="00AA3566"/>
    <w:rsid w:val="00AA38C2"/>
    <w:rsid w:val="00AA3B40"/>
    <w:rsid w:val="00AA3C83"/>
    <w:rsid w:val="00AA3E2E"/>
    <w:rsid w:val="00AA497D"/>
    <w:rsid w:val="00AA6B85"/>
    <w:rsid w:val="00AA70C4"/>
    <w:rsid w:val="00AA79C1"/>
    <w:rsid w:val="00AB2751"/>
    <w:rsid w:val="00AB2780"/>
    <w:rsid w:val="00AB32EC"/>
    <w:rsid w:val="00AB3E68"/>
    <w:rsid w:val="00AB451F"/>
    <w:rsid w:val="00AB62CA"/>
    <w:rsid w:val="00AB712C"/>
    <w:rsid w:val="00AB7E61"/>
    <w:rsid w:val="00AC1F7C"/>
    <w:rsid w:val="00AC22E8"/>
    <w:rsid w:val="00AC26A8"/>
    <w:rsid w:val="00AC48F7"/>
    <w:rsid w:val="00AC536B"/>
    <w:rsid w:val="00AC6678"/>
    <w:rsid w:val="00AC6975"/>
    <w:rsid w:val="00AD08C4"/>
    <w:rsid w:val="00AD1495"/>
    <w:rsid w:val="00AD3451"/>
    <w:rsid w:val="00AD3FFC"/>
    <w:rsid w:val="00AD612B"/>
    <w:rsid w:val="00AE1E01"/>
    <w:rsid w:val="00AE39BE"/>
    <w:rsid w:val="00AE3D12"/>
    <w:rsid w:val="00AE3DE0"/>
    <w:rsid w:val="00AE43D6"/>
    <w:rsid w:val="00AE53D1"/>
    <w:rsid w:val="00AE75EE"/>
    <w:rsid w:val="00AF1153"/>
    <w:rsid w:val="00AF1F0F"/>
    <w:rsid w:val="00AF1F4C"/>
    <w:rsid w:val="00AF277B"/>
    <w:rsid w:val="00AF2F91"/>
    <w:rsid w:val="00AF320A"/>
    <w:rsid w:val="00AF363A"/>
    <w:rsid w:val="00AF4A9C"/>
    <w:rsid w:val="00B009CA"/>
    <w:rsid w:val="00B06D50"/>
    <w:rsid w:val="00B06D64"/>
    <w:rsid w:val="00B070EA"/>
    <w:rsid w:val="00B07498"/>
    <w:rsid w:val="00B1101E"/>
    <w:rsid w:val="00B11FB3"/>
    <w:rsid w:val="00B13418"/>
    <w:rsid w:val="00B14A1D"/>
    <w:rsid w:val="00B16548"/>
    <w:rsid w:val="00B1728F"/>
    <w:rsid w:val="00B1757F"/>
    <w:rsid w:val="00B175F2"/>
    <w:rsid w:val="00B20E2C"/>
    <w:rsid w:val="00B217EE"/>
    <w:rsid w:val="00B23AF6"/>
    <w:rsid w:val="00B246D6"/>
    <w:rsid w:val="00B25812"/>
    <w:rsid w:val="00B25CEA"/>
    <w:rsid w:val="00B274C9"/>
    <w:rsid w:val="00B27DD4"/>
    <w:rsid w:val="00B3025F"/>
    <w:rsid w:val="00B302EC"/>
    <w:rsid w:val="00B30957"/>
    <w:rsid w:val="00B30D21"/>
    <w:rsid w:val="00B32C0E"/>
    <w:rsid w:val="00B32ED5"/>
    <w:rsid w:val="00B33488"/>
    <w:rsid w:val="00B344AB"/>
    <w:rsid w:val="00B358A6"/>
    <w:rsid w:val="00B36152"/>
    <w:rsid w:val="00B37975"/>
    <w:rsid w:val="00B412B0"/>
    <w:rsid w:val="00B41630"/>
    <w:rsid w:val="00B45581"/>
    <w:rsid w:val="00B46194"/>
    <w:rsid w:val="00B46FE6"/>
    <w:rsid w:val="00B50B22"/>
    <w:rsid w:val="00B511D2"/>
    <w:rsid w:val="00B51C78"/>
    <w:rsid w:val="00B52779"/>
    <w:rsid w:val="00B52864"/>
    <w:rsid w:val="00B540B6"/>
    <w:rsid w:val="00B54870"/>
    <w:rsid w:val="00B57426"/>
    <w:rsid w:val="00B57549"/>
    <w:rsid w:val="00B57625"/>
    <w:rsid w:val="00B57CDD"/>
    <w:rsid w:val="00B57DFB"/>
    <w:rsid w:val="00B6006A"/>
    <w:rsid w:val="00B618D8"/>
    <w:rsid w:val="00B61D96"/>
    <w:rsid w:val="00B64125"/>
    <w:rsid w:val="00B64750"/>
    <w:rsid w:val="00B65753"/>
    <w:rsid w:val="00B65CE7"/>
    <w:rsid w:val="00B70002"/>
    <w:rsid w:val="00B700A7"/>
    <w:rsid w:val="00B73715"/>
    <w:rsid w:val="00B74419"/>
    <w:rsid w:val="00B74EBF"/>
    <w:rsid w:val="00B77234"/>
    <w:rsid w:val="00B77279"/>
    <w:rsid w:val="00B8001A"/>
    <w:rsid w:val="00B800FC"/>
    <w:rsid w:val="00B80ADF"/>
    <w:rsid w:val="00B82C1E"/>
    <w:rsid w:val="00B843C7"/>
    <w:rsid w:val="00B85A74"/>
    <w:rsid w:val="00B903E3"/>
    <w:rsid w:val="00B92B55"/>
    <w:rsid w:val="00B9348C"/>
    <w:rsid w:val="00B93FBA"/>
    <w:rsid w:val="00B940E2"/>
    <w:rsid w:val="00B949D5"/>
    <w:rsid w:val="00B958A1"/>
    <w:rsid w:val="00B967B4"/>
    <w:rsid w:val="00B978BA"/>
    <w:rsid w:val="00B97B4C"/>
    <w:rsid w:val="00B97BF5"/>
    <w:rsid w:val="00BA0096"/>
    <w:rsid w:val="00BA0800"/>
    <w:rsid w:val="00BA1701"/>
    <w:rsid w:val="00BA21E4"/>
    <w:rsid w:val="00BA28B1"/>
    <w:rsid w:val="00BA5042"/>
    <w:rsid w:val="00BA54C0"/>
    <w:rsid w:val="00BA5A5C"/>
    <w:rsid w:val="00BA5C50"/>
    <w:rsid w:val="00BA7423"/>
    <w:rsid w:val="00BB03C0"/>
    <w:rsid w:val="00BB04E0"/>
    <w:rsid w:val="00BB1471"/>
    <w:rsid w:val="00BB3AA6"/>
    <w:rsid w:val="00BB3AD0"/>
    <w:rsid w:val="00BB3DD7"/>
    <w:rsid w:val="00BB42F9"/>
    <w:rsid w:val="00BB4345"/>
    <w:rsid w:val="00BB530D"/>
    <w:rsid w:val="00BB5AF9"/>
    <w:rsid w:val="00BB5B00"/>
    <w:rsid w:val="00BC0A41"/>
    <w:rsid w:val="00BC16D6"/>
    <w:rsid w:val="00BC186C"/>
    <w:rsid w:val="00BC1DD3"/>
    <w:rsid w:val="00BC28EA"/>
    <w:rsid w:val="00BC2C05"/>
    <w:rsid w:val="00BC4616"/>
    <w:rsid w:val="00BD1636"/>
    <w:rsid w:val="00BD296F"/>
    <w:rsid w:val="00BD3365"/>
    <w:rsid w:val="00BD4252"/>
    <w:rsid w:val="00BD45B5"/>
    <w:rsid w:val="00BD4E84"/>
    <w:rsid w:val="00BD578B"/>
    <w:rsid w:val="00BD605F"/>
    <w:rsid w:val="00BD6417"/>
    <w:rsid w:val="00BD6566"/>
    <w:rsid w:val="00BE048B"/>
    <w:rsid w:val="00BE0C00"/>
    <w:rsid w:val="00BE0D8C"/>
    <w:rsid w:val="00BE1224"/>
    <w:rsid w:val="00BE204E"/>
    <w:rsid w:val="00BE3361"/>
    <w:rsid w:val="00BE4944"/>
    <w:rsid w:val="00BE6A6D"/>
    <w:rsid w:val="00BF04B4"/>
    <w:rsid w:val="00BF0B74"/>
    <w:rsid w:val="00BF0B76"/>
    <w:rsid w:val="00BF0EC6"/>
    <w:rsid w:val="00BF12BD"/>
    <w:rsid w:val="00BF16DF"/>
    <w:rsid w:val="00BF24F1"/>
    <w:rsid w:val="00BF4896"/>
    <w:rsid w:val="00BF68CD"/>
    <w:rsid w:val="00BF6BE7"/>
    <w:rsid w:val="00C0004E"/>
    <w:rsid w:val="00C00E05"/>
    <w:rsid w:val="00C03413"/>
    <w:rsid w:val="00C03D0D"/>
    <w:rsid w:val="00C077C4"/>
    <w:rsid w:val="00C07851"/>
    <w:rsid w:val="00C10250"/>
    <w:rsid w:val="00C13AAA"/>
    <w:rsid w:val="00C1408F"/>
    <w:rsid w:val="00C141C7"/>
    <w:rsid w:val="00C14910"/>
    <w:rsid w:val="00C15B95"/>
    <w:rsid w:val="00C16396"/>
    <w:rsid w:val="00C165F8"/>
    <w:rsid w:val="00C16ADB"/>
    <w:rsid w:val="00C17033"/>
    <w:rsid w:val="00C20060"/>
    <w:rsid w:val="00C210A4"/>
    <w:rsid w:val="00C211F2"/>
    <w:rsid w:val="00C216B8"/>
    <w:rsid w:val="00C21FD4"/>
    <w:rsid w:val="00C22E01"/>
    <w:rsid w:val="00C22EC5"/>
    <w:rsid w:val="00C2300D"/>
    <w:rsid w:val="00C24CA3"/>
    <w:rsid w:val="00C267DC"/>
    <w:rsid w:val="00C30DD9"/>
    <w:rsid w:val="00C31E2A"/>
    <w:rsid w:val="00C3228B"/>
    <w:rsid w:val="00C322C3"/>
    <w:rsid w:val="00C33C6C"/>
    <w:rsid w:val="00C3585B"/>
    <w:rsid w:val="00C3612D"/>
    <w:rsid w:val="00C367E5"/>
    <w:rsid w:val="00C3684E"/>
    <w:rsid w:val="00C36B76"/>
    <w:rsid w:val="00C371E6"/>
    <w:rsid w:val="00C37964"/>
    <w:rsid w:val="00C40224"/>
    <w:rsid w:val="00C407B6"/>
    <w:rsid w:val="00C40C28"/>
    <w:rsid w:val="00C41401"/>
    <w:rsid w:val="00C4327E"/>
    <w:rsid w:val="00C45503"/>
    <w:rsid w:val="00C4725E"/>
    <w:rsid w:val="00C50574"/>
    <w:rsid w:val="00C5104B"/>
    <w:rsid w:val="00C526C5"/>
    <w:rsid w:val="00C53EEB"/>
    <w:rsid w:val="00C54754"/>
    <w:rsid w:val="00C55347"/>
    <w:rsid w:val="00C55C2B"/>
    <w:rsid w:val="00C564A3"/>
    <w:rsid w:val="00C568C5"/>
    <w:rsid w:val="00C56D20"/>
    <w:rsid w:val="00C57297"/>
    <w:rsid w:val="00C60992"/>
    <w:rsid w:val="00C60E1A"/>
    <w:rsid w:val="00C612FB"/>
    <w:rsid w:val="00C61E99"/>
    <w:rsid w:val="00C628C2"/>
    <w:rsid w:val="00C62D99"/>
    <w:rsid w:val="00C66AF3"/>
    <w:rsid w:val="00C70EFD"/>
    <w:rsid w:val="00C718C5"/>
    <w:rsid w:val="00C7253A"/>
    <w:rsid w:val="00C73EE3"/>
    <w:rsid w:val="00C74AC9"/>
    <w:rsid w:val="00C76258"/>
    <w:rsid w:val="00C7704C"/>
    <w:rsid w:val="00C77981"/>
    <w:rsid w:val="00C81FD2"/>
    <w:rsid w:val="00C8238C"/>
    <w:rsid w:val="00C826BA"/>
    <w:rsid w:val="00C830F9"/>
    <w:rsid w:val="00C91F98"/>
    <w:rsid w:val="00C92787"/>
    <w:rsid w:val="00C92B20"/>
    <w:rsid w:val="00C948BA"/>
    <w:rsid w:val="00C94A14"/>
    <w:rsid w:val="00C94C47"/>
    <w:rsid w:val="00C955D9"/>
    <w:rsid w:val="00C95DD5"/>
    <w:rsid w:val="00C95EE7"/>
    <w:rsid w:val="00CA07D2"/>
    <w:rsid w:val="00CA36A8"/>
    <w:rsid w:val="00CA37C6"/>
    <w:rsid w:val="00CA3FBD"/>
    <w:rsid w:val="00CA4242"/>
    <w:rsid w:val="00CA64D7"/>
    <w:rsid w:val="00CA71CF"/>
    <w:rsid w:val="00CA7992"/>
    <w:rsid w:val="00CA7DE2"/>
    <w:rsid w:val="00CB106A"/>
    <w:rsid w:val="00CB1B3F"/>
    <w:rsid w:val="00CB274C"/>
    <w:rsid w:val="00CB2BBA"/>
    <w:rsid w:val="00CB3AD3"/>
    <w:rsid w:val="00CB3B8B"/>
    <w:rsid w:val="00CB3F6F"/>
    <w:rsid w:val="00CB4280"/>
    <w:rsid w:val="00CB4E40"/>
    <w:rsid w:val="00CB5608"/>
    <w:rsid w:val="00CB6858"/>
    <w:rsid w:val="00CC09F4"/>
    <w:rsid w:val="00CC15DF"/>
    <w:rsid w:val="00CC1A0A"/>
    <w:rsid w:val="00CC1B71"/>
    <w:rsid w:val="00CC28D1"/>
    <w:rsid w:val="00CC2A47"/>
    <w:rsid w:val="00CC3488"/>
    <w:rsid w:val="00CC5D38"/>
    <w:rsid w:val="00CC63FD"/>
    <w:rsid w:val="00CC6AC6"/>
    <w:rsid w:val="00CC6D5C"/>
    <w:rsid w:val="00CD0907"/>
    <w:rsid w:val="00CD3055"/>
    <w:rsid w:val="00CD41A5"/>
    <w:rsid w:val="00CD4AFB"/>
    <w:rsid w:val="00CD59F6"/>
    <w:rsid w:val="00CD629F"/>
    <w:rsid w:val="00CD68B9"/>
    <w:rsid w:val="00CD71A1"/>
    <w:rsid w:val="00CE0ADB"/>
    <w:rsid w:val="00CE1487"/>
    <w:rsid w:val="00CE3146"/>
    <w:rsid w:val="00CE447E"/>
    <w:rsid w:val="00CE51AA"/>
    <w:rsid w:val="00CE6E4B"/>
    <w:rsid w:val="00CE70D2"/>
    <w:rsid w:val="00CE7BE8"/>
    <w:rsid w:val="00CF0163"/>
    <w:rsid w:val="00CF02FC"/>
    <w:rsid w:val="00CF3CFF"/>
    <w:rsid w:val="00CF505B"/>
    <w:rsid w:val="00D00183"/>
    <w:rsid w:val="00D00A4F"/>
    <w:rsid w:val="00D00AAD"/>
    <w:rsid w:val="00D036CC"/>
    <w:rsid w:val="00D03EC2"/>
    <w:rsid w:val="00D04B65"/>
    <w:rsid w:val="00D05298"/>
    <w:rsid w:val="00D0577F"/>
    <w:rsid w:val="00D06EF1"/>
    <w:rsid w:val="00D073D1"/>
    <w:rsid w:val="00D07B83"/>
    <w:rsid w:val="00D07E40"/>
    <w:rsid w:val="00D07E4C"/>
    <w:rsid w:val="00D12761"/>
    <w:rsid w:val="00D13AF0"/>
    <w:rsid w:val="00D14BBC"/>
    <w:rsid w:val="00D14FE5"/>
    <w:rsid w:val="00D15A34"/>
    <w:rsid w:val="00D17CC0"/>
    <w:rsid w:val="00D202B3"/>
    <w:rsid w:val="00D209FC"/>
    <w:rsid w:val="00D20A56"/>
    <w:rsid w:val="00D21CD1"/>
    <w:rsid w:val="00D22DB7"/>
    <w:rsid w:val="00D234D0"/>
    <w:rsid w:val="00D23A3C"/>
    <w:rsid w:val="00D255CD"/>
    <w:rsid w:val="00D2670C"/>
    <w:rsid w:val="00D26921"/>
    <w:rsid w:val="00D26ACF"/>
    <w:rsid w:val="00D27AEC"/>
    <w:rsid w:val="00D31796"/>
    <w:rsid w:val="00D317B4"/>
    <w:rsid w:val="00D343B5"/>
    <w:rsid w:val="00D35038"/>
    <w:rsid w:val="00D367EF"/>
    <w:rsid w:val="00D36EDB"/>
    <w:rsid w:val="00D41FC9"/>
    <w:rsid w:val="00D42040"/>
    <w:rsid w:val="00D44E92"/>
    <w:rsid w:val="00D4553C"/>
    <w:rsid w:val="00D460A0"/>
    <w:rsid w:val="00D47294"/>
    <w:rsid w:val="00D50940"/>
    <w:rsid w:val="00D51726"/>
    <w:rsid w:val="00D522EE"/>
    <w:rsid w:val="00D54BFC"/>
    <w:rsid w:val="00D55DC3"/>
    <w:rsid w:val="00D55EB6"/>
    <w:rsid w:val="00D6152F"/>
    <w:rsid w:val="00D63D1A"/>
    <w:rsid w:val="00D63D7F"/>
    <w:rsid w:val="00D64CB3"/>
    <w:rsid w:val="00D64F39"/>
    <w:rsid w:val="00D65D7D"/>
    <w:rsid w:val="00D67792"/>
    <w:rsid w:val="00D7478B"/>
    <w:rsid w:val="00D7630D"/>
    <w:rsid w:val="00D815B1"/>
    <w:rsid w:val="00D81D16"/>
    <w:rsid w:val="00D83845"/>
    <w:rsid w:val="00D847BF"/>
    <w:rsid w:val="00D8597F"/>
    <w:rsid w:val="00D85D64"/>
    <w:rsid w:val="00D870ED"/>
    <w:rsid w:val="00D87C3B"/>
    <w:rsid w:val="00D929AD"/>
    <w:rsid w:val="00D9312D"/>
    <w:rsid w:val="00D93660"/>
    <w:rsid w:val="00D948B3"/>
    <w:rsid w:val="00D964FD"/>
    <w:rsid w:val="00D973DD"/>
    <w:rsid w:val="00D97D77"/>
    <w:rsid w:val="00DA000A"/>
    <w:rsid w:val="00DA2E00"/>
    <w:rsid w:val="00DA321E"/>
    <w:rsid w:val="00DA3677"/>
    <w:rsid w:val="00DA463D"/>
    <w:rsid w:val="00DA4F50"/>
    <w:rsid w:val="00DA52CE"/>
    <w:rsid w:val="00DA69A3"/>
    <w:rsid w:val="00DA71A2"/>
    <w:rsid w:val="00DB0FEB"/>
    <w:rsid w:val="00DB28DE"/>
    <w:rsid w:val="00DB2ADF"/>
    <w:rsid w:val="00DB37ED"/>
    <w:rsid w:val="00DB3E36"/>
    <w:rsid w:val="00DB40C3"/>
    <w:rsid w:val="00DB43B4"/>
    <w:rsid w:val="00DB6622"/>
    <w:rsid w:val="00DB6646"/>
    <w:rsid w:val="00DC1F8D"/>
    <w:rsid w:val="00DC34AB"/>
    <w:rsid w:val="00DC719D"/>
    <w:rsid w:val="00DD262D"/>
    <w:rsid w:val="00DD28FD"/>
    <w:rsid w:val="00DD6075"/>
    <w:rsid w:val="00DD6E95"/>
    <w:rsid w:val="00DD7AF9"/>
    <w:rsid w:val="00DE34C4"/>
    <w:rsid w:val="00DE43BD"/>
    <w:rsid w:val="00DE47C7"/>
    <w:rsid w:val="00DE642F"/>
    <w:rsid w:val="00DF0CD2"/>
    <w:rsid w:val="00DF0D5E"/>
    <w:rsid w:val="00DF1768"/>
    <w:rsid w:val="00DF202C"/>
    <w:rsid w:val="00DF3B29"/>
    <w:rsid w:val="00DF3F32"/>
    <w:rsid w:val="00DF4B9A"/>
    <w:rsid w:val="00DF5B89"/>
    <w:rsid w:val="00E008BB"/>
    <w:rsid w:val="00E01278"/>
    <w:rsid w:val="00E02DC1"/>
    <w:rsid w:val="00E054D2"/>
    <w:rsid w:val="00E05826"/>
    <w:rsid w:val="00E06096"/>
    <w:rsid w:val="00E07515"/>
    <w:rsid w:val="00E07642"/>
    <w:rsid w:val="00E07C36"/>
    <w:rsid w:val="00E10314"/>
    <w:rsid w:val="00E10C82"/>
    <w:rsid w:val="00E11B65"/>
    <w:rsid w:val="00E13341"/>
    <w:rsid w:val="00E15A2B"/>
    <w:rsid w:val="00E162FF"/>
    <w:rsid w:val="00E16B38"/>
    <w:rsid w:val="00E20B6E"/>
    <w:rsid w:val="00E21697"/>
    <w:rsid w:val="00E21FE2"/>
    <w:rsid w:val="00E22CA7"/>
    <w:rsid w:val="00E23ECA"/>
    <w:rsid w:val="00E252FC"/>
    <w:rsid w:val="00E25E62"/>
    <w:rsid w:val="00E25EDC"/>
    <w:rsid w:val="00E2638D"/>
    <w:rsid w:val="00E26889"/>
    <w:rsid w:val="00E26BAF"/>
    <w:rsid w:val="00E275A6"/>
    <w:rsid w:val="00E3119F"/>
    <w:rsid w:val="00E32221"/>
    <w:rsid w:val="00E32B99"/>
    <w:rsid w:val="00E32D5E"/>
    <w:rsid w:val="00E33331"/>
    <w:rsid w:val="00E33D79"/>
    <w:rsid w:val="00E346B1"/>
    <w:rsid w:val="00E36594"/>
    <w:rsid w:val="00E367AA"/>
    <w:rsid w:val="00E40C7D"/>
    <w:rsid w:val="00E415CC"/>
    <w:rsid w:val="00E429C9"/>
    <w:rsid w:val="00E44711"/>
    <w:rsid w:val="00E4796D"/>
    <w:rsid w:val="00E50E15"/>
    <w:rsid w:val="00E51982"/>
    <w:rsid w:val="00E51B3B"/>
    <w:rsid w:val="00E53AFA"/>
    <w:rsid w:val="00E54B15"/>
    <w:rsid w:val="00E55374"/>
    <w:rsid w:val="00E56B78"/>
    <w:rsid w:val="00E57AEC"/>
    <w:rsid w:val="00E60A3B"/>
    <w:rsid w:val="00E60BB0"/>
    <w:rsid w:val="00E6307E"/>
    <w:rsid w:val="00E6326C"/>
    <w:rsid w:val="00E63CC1"/>
    <w:rsid w:val="00E64AC7"/>
    <w:rsid w:val="00E673EA"/>
    <w:rsid w:val="00E709E2"/>
    <w:rsid w:val="00E70C58"/>
    <w:rsid w:val="00E7139B"/>
    <w:rsid w:val="00E71F2B"/>
    <w:rsid w:val="00E72CFE"/>
    <w:rsid w:val="00E72F4F"/>
    <w:rsid w:val="00E72F8E"/>
    <w:rsid w:val="00E730E2"/>
    <w:rsid w:val="00E73AF1"/>
    <w:rsid w:val="00E73C64"/>
    <w:rsid w:val="00E745AE"/>
    <w:rsid w:val="00E746A6"/>
    <w:rsid w:val="00E74E7F"/>
    <w:rsid w:val="00E768C5"/>
    <w:rsid w:val="00E77FB6"/>
    <w:rsid w:val="00E81028"/>
    <w:rsid w:val="00E83D70"/>
    <w:rsid w:val="00E83F16"/>
    <w:rsid w:val="00E86053"/>
    <w:rsid w:val="00E8738B"/>
    <w:rsid w:val="00E929A2"/>
    <w:rsid w:val="00E93DFE"/>
    <w:rsid w:val="00E9568F"/>
    <w:rsid w:val="00E95F59"/>
    <w:rsid w:val="00E960E5"/>
    <w:rsid w:val="00E96D10"/>
    <w:rsid w:val="00E97882"/>
    <w:rsid w:val="00E97BAA"/>
    <w:rsid w:val="00E97E03"/>
    <w:rsid w:val="00E97F52"/>
    <w:rsid w:val="00EA0035"/>
    <w:rsid w:val="00EA0331"/>
    <w:rsid w:val="00EA25C2"/>
    <w:rsid w:val="00EA38C4"/>
    <w:rsid w:val="00EA47AD"/>
    <w:rsid w:val="00EA48FA"/>
    <w:rsid w:val="00EA7EB6"/>
    <w:rsid w:val="00EB06B3"/>
    <w:rsid w:val="00EB24E6"/>
    <w:rsid w:val="00EB25C1"/>
    <w:rsid w:val="00EB34F0"/>
    <w:rsid w:val="00EB53AB"/>
    <w:rsid w:val="00EC07A0"/>
    <w:rsid w:val="00EC276C"/>
    <w:rsid w:val="00EC2C74"/>
    <w:rsid w:val="00EC36CA"/>
    <w:rsid w:val="00EC5C29"/>
    <w:rsid w:val="00ED0121"/>
    <w:rsid w:val="00ED1F50"/>
    <w:rsid w:val="00ED2809"/>
    <w:rsid w:val="00ED33A7"/>
    <w:rsid w:val="00ED5BDA"/>
    <w:rsid w:val="00ED66B9"/>
    <w:rsid w:val="00ED73A2"/>
    <w:rsid w:val="00ED7B52"/>
    <w:rsid w:val="00EE29EA"/>
    <w:rsid w:val="00EE348F"/>
    <w:rsid w:val="00EF06DA"/>
    <w:rsid w:val="00EF24A1"/>
    <w:rsid w:val="00EF3003"/>
    <w:rsid w:val="00EF306D"/>
    <w:rsid w:val="00EF3852"/>
    <w:rsid w:val="00EF4289"/>
    <w:rsid w:val="00EF68DA"/>
    <w:rsid w:val="00EF6EF3"/>
    <w:rsid w:val="00EF70B7"/>
    <w:rsid w:val="00EF7998"/>
    <w:rsid w:val="00F00B1E"/>
    <w:rsid w:val="00F0182A"/>
    <w:rsid w:val="00F01975"/>
    <w:rsid w:val="00F03732"/>
    <w:rsid w:val="00F03E44"/>
    <w:rsid w:val="00F040C2"/>
    <w:rsid w:val="00F04409"/>
    <w:rsid w:val="00F04A28"/>
    <w:rsid w:val="00F04B34"/>
    <w:rsid w:val="00F04EFF"/>
    <w:rsid w:val="00F073DA"/>
    <w:rsid w:val="00F10E43"/>
    <w:rsid w:val="00F12074"/>
    <w:rsid w:val="00F124D6"/>
    <w:rsid w:val="00F124F8"/>
    <w:rsid w:val="00F12B11"/>
    <w:rsid w:val="00F1461A"/>
    <w:rsid w:val="00F15527"/>
    <w:rsid w:val="00F16330"/>
    <w:rsid w:val="00F17AC0"/>
    <w:rsid w:val="00F20D4F"/>
    <w:rsid w:val="00F22624"/>
    <w:rsid w:val="00F22C5B"/>
    <w:rsid w:val="00F2331A"/>
    <w:rsid w:val="00F23837"/>
    <w:rsid w:val="00F2540B"/>
    <w:rsid w:val="00F27787"/>
    <w:rsid w:val="00F31633"/>
    <w:rsid w:val="00F32383"/>
    <w:rsid w:val="00F33A2E"/>
    <w:rsid w:val="00F33BBD"/>
    <w:rsid w:val="00F34580"/>
    <w:rsid w:val="00F35619"/>
    <w:rsid w:val="00F35B6F"/>
    <w:rsid w:val="00F35D9F"/>
    <w:rsid w:val="00F37B27"/>
    <w:rsid w:val="00F4065E"/>
    <w:rsid w:val="00F41A98"/>
    <w:rsid w:val="00F42079"/>
    <w:rsid w:val="00F429DC"/>
    <w:rsid w:val="00F42BB6"/>
    <w:rsid w:val="00F43558"/>
    <w:rsid w:val="00F43850"/>
    <w:rsid w:val="00F4583E"/>
    <w:rsid w:val="00F46E3E"/>
    <w:rsid w:val="00F47536"/>
    <w:rsid w:val="00F50814"/>
    <w:rsid w:val="00F50A2C"/>
    <w:rsid w:val="00F50D39"/>
    <w:rsid w:val="00F51AF6"/>
    <w:rsid w:val="00F54AD9"/>
    <w:rsid w:val="00F55586"/>
    <w:rsid w:val="00F555D4"/>
    <w:rsid w:val="00F556FD"/>
    <w:rsid w:val="00F566A8"/>
    <w:rsid w:val="00F576EC"/>
    <w:rsid w:val="00F57F71"/>
    <w:rsid w:val="00F610EE"/>
    <w:rsid w:val="00F6183D"/>
    <w:rsid w:val="00F62134"/>
    <w:rsid w:val="00F6248A"/>
    <w:rsid w:val="00F62662"/>
    <w:rsid w:val="00F642AC"/>
    <w:rsid w:val="00F64B61"/>
    <w:rsid w:val="00F6701A"/>
    <w:rsid w:val="00F67A33"/>
    <w:rsid w:val="00F7080A"/>
    <w:rsid w:val="00F709EC"/>
    <w:rsid w:val="00F70EFE"/>
    <w:rsid w:val="00F73BFB"/>
    <w:rsid w:val="00F74AEE"/>
    <w:rsid w:val="00F7558B"/>
    <w:rsid w:val="00F75AEA"/>
    <w:rsid w:val="00F80937"/>
    <w:rsid w:val="00F81033"/>
    <w:rsid w:val="00F82401"/>
    <w:rsid w:val="00F83482"/>
    <w:rsid w:val="00F838EB"/>
    <w:rsid w:val="00F8463E"/>
    <w:rsid w:val="00F857A3"/>
    <w:rsid w:val="00F85B09"/>
    <w:rsid w:val="00F85E7A"/>
    <w:rsid w:val="00F866B0"/>
    <w:rsid w:val="00F90F9C"/>
    <w:rsid w:val="00F911A6"/>
    <w:rsid w:val="00F915F6"/>
    <w:rsid w:val="00F95186"/>
    <w:rsid w:val="00F96128"/>
    <w:rsid w:val="00F96E94"/>
    <w:rsid w:val="00FA2A9A"/>
    <w:rsid w:val="00FA49F6"/>
    <w:rsid w:val="00FA562A"/>
    <w:rsid w:val="00FA595C"/>
    <w:rsid w:val="00FA60D6"/>
    <w:rsid w:val="00FA6F1C"/>
    <w:rsid w:val="00FA7793"/>
    <w:rsid w:val="00FB02D4"/>
    <w:rsid w:val="00FB0363"/>
    <w:rsid w:val="00FB09C7"/>
    <w:rsid w:val="00FB17C3"/>
    <w:rsid w:val="00FB1E59"/>
    <w:rsid w:val="00FB22C8"/>
    <w:rsid w:val="00FB2781"/>
    <w:rsid w:val="00FB5873"/>
    <w:rsid w:val="00FB5A3A"/>
    <w:rsid w:val="00FB5EC5"/>
    <w:rsid w:val="00FB5F33"/>
    <w:rsid w:val="00FB660F"/>
    <w:rsid w:val="00FB6B16"/>
    <w:rsid w:val="00FB6B45"/>
    <w:rsid w:val="00FC1442"/>
    <w:rsid w:val="00FC2630"/>
    <w:rsid w:val="00FC31F7"/>
    <w:rsid w:val="00FC376D"/>
    <w:rsid w:val="00FC46DE"/>
    <w:rsid w:val="00FC4CB6"/>
    <w:rsid w:val="00FC57F1"/>
    <w:rsid w:val="00FC5FEC"/>
    <w:rsid w:val="00FC60C2"/>
    <w:rsid w:val="00FC700A"/>
    <w:rsid w:val="00FC7764"/>
    <w:rsid w:val="00FD0F40"/>
    <w:rsid w:val="00FD5DB3"/>
    <w:rsid w:val="00FD7930"/>
    <w:rsid w:val="00FE0177"/>
    <w:rsid w:val="00FE0DC5"/>
    <w:rsid w:val="00FE2010"/>
    <w:rsid w:val="00FE2D87"/>
    <w:rsid w:val="00FE3101"/>
    <w:rsid w:val="00FE3D2C"/>
    <w:rsid w:val="00FE6695"/>
    <w:rsid w:val="00FE7DDE"/>
    <w:rsid w:val="00FF0146"/>
    <w:rsid w:val="00FF064E"/>
    <w:rsid w:val="00FF08B0"/>
    <w:rsid w:val="00FF2867"/>
    <w:rsid w:val="00FF2B04"/>
    <w:rsid w:val="00FF2CEF"/>
    <w:rsid w:val="00FF4B4A"/>
    <w:rsid w:val="00FF4C63"/>
    <w:rsid w:val="00FF7934"/>
    <w:rsid w:val="00FF7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8A42DF"/>
  <w15:chartTrackingRefBased/>
  <w15:docId w15:val="{F74EB260-9D4F-499A-9457-E41F0367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1138"/>
  </w:style>
  <w:style w:type="paragraph" w:styleId="Nadpis1">
    <w:name w:val="heading 1"/>
    <w:basedOn w:val="Normln"/>
    <w:next w:val="Normln"/>
    <w:link w:val="Nadpis1Char"/>
    <w:uiPriority w:val="9"/>
    <w:qFormat/>
    <w:rsid w:val="001E1138"/>
    <w:pPr>
      <w:keepNext/>
      <w:numPr>
        <w:numId w:val="1"/>
      </w:numPr>
      <w:overflowPunct w:val="0"/>
      <w:autoSpaceDE w:val="0"/>
      <w:autoSpaceDN w:val="0"/>
      <w:adjustRightInd w:val="0"/>
      <w:spacing w:before="480" w:after="120" w:line="240" w:lineRule="auto"/>
      <w:jc w:val="center"/>
      <w:textAlignment w:val="baseline"/>
      <w:outlineLvl w:val="0"/>
    </w:pPr>
    <w:rPr>
      <w:rFonts w:eastAsia="Times New Roman" w:cstheme="minorHAnsi"/>
      <w:b/>
      <w:color w:val="000000"/>
      <w:sz w:val="24"/>
      <w:szCs w:val="20"/>
      <w:lang w:eastAsia="cs-CZ"/>
    </w:rPr>
  </w:style>
  <w:style w:type="paragraph" w:styleId="Nadpis3">
    <w:name w:val="heading 3"/>
    <w:basedOn w:val="Normln"/>
    <w:next w:val="Normln"/>
    <w:link w:val="Nadpis3Char"/>
    <w:uiPriority w:val="9"/>
    <w:unhideWhenUsed/>
    <w:qFormat/>
    <w:rsid w:val="001E1138"/>
    <w:pPr>
      <w:keepNext/>
      <w:keepLines/>
      <w:numPr>
        <w:ilvl w:val="2"/>
        <w:numId w:val="1"/>
      </w:numPr>
      <w:spacing w:before="40" w:after="120" w:line="240" w:lineRule="auto"/>
      <w:jc w:val="both"/>
      <w:outlineLvl w:val="2"/>
    </w:pPr>
    <w:rPr>
      <w:rFonts w:eastAsiaTheme="majorEastAsia" w:cstheme="majorBidi"/>
      <w:bCs/>
      <w:color w:val="000000"/>
      <w:sz w:val="24"/>
      <w:szCs w:val="24"/>
      <w:u w:val="single"/>
    </w:rPr>
  </w:style>
  <w:style w:type="paragraph" w:styleId="Nadpis4">
    <w:name w:val="heading 4"/>
    <w:basedOn w:val="Normln"/>
    <w:next w:val="Normln"/>
    <w:link w:val="Nadpis4Char"/>
    <w:uiPriority w:val="9"/>
    <w:unhideWhenUsed/>
    <w:qFormat/>
    <w:rsid w:val="001E1138"/>
    <w:pPr>
      <w:keepNext/>
      <w:keepLines/>
      <w:numPr>
        <w:ilvl w:val="3"/>
        <w:numId w:val="1"/>
      </w:numPr>
      <w:spacing w:before="40" w:after="0" w:line="240" w:lineRule="auto"/>
      <w:outlineLvl w:val="3"/>
    </w:pPr>
    <w:rPr>
      <w:rFonts w:asciiTheme="majorHAnsi" w:eastAsiaTheme="majorEastAsia" w:hAnsiTheme="majorHAnsi" w:cstheme="majorBidi"/>
      <w:i/>
      <w:iCs/>
      <w:color w:val="000000" w:themeColor="text1"/>
      <w:sz w:val="24"/>
      <w:szCs w:val="24"/>
    </w:rPr>
  </w:style>
  <w:style w:type="paragraph" w:styleId="Nadpis5">
    <w:name w:val="heading 5"/>
    <w:basedOn w:val="Normln"/>
    <w:next w:val="Normln"/>
    <w:link w:val="Nadpis5Char"/>
    <w:uiPriority w:val="9"/>
    <w:semiHidden/>
    <w:unhideWhenUsed/>
    <w:qFormat/>
    <w:rsid w:val="001E1138"/>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Nadpis6">
    <w:name w:val="heading 6"/>
    <w:basedOn w:val="Normln"/>
    <w:next w:val="Normln"/>
    <w:link w:val="Nadpis6Char"/>
    <w:uiPriority w:val="9"/>
    <w:semiHidden/>
    <w:unhideWhenUsed/>
    <w:qFormat/>
    <w:rsid w:val="001E1138"/>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Nadpis7">
    <w:name w:val="heading 7"/>
    <w:basedOn w:val="Normln"/>
    <w:next w:val="Normln"/>
    <w:link w:val="Nadpis7Char"/>
    <w:uiPriority w:val="9"/>
    <w:semiHidden/>
    <w:unhideWhenUsed/>
    <w:qFormat/>
    <w:rsid w:val="001E1138"/>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Nadpis8">
    <w:name w:val="heading 8"/>
    <w:basedOn w:val="Normln"/>
    <w:next w:val="Normln"/>
    <w:link w:val="Nadpis8Char"/>
    <w:uiPriority w:val="9"/>
    <w:semiHidden/>
    <w:unhideWhenUsed/>
    <w:qFormat/>
    <w:rsid w:val="001E1138"/>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E1138"/>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1138"/>
    <w:rPr>
      <w:rFonts w:eastAsia="Times New Roman" w:cstheme="minorHAnsi"/>
      <w:b/>
      <w:color w:val="000000"/>
      <w:sz w:val="24"/>
      <w:szCs w:val="20"/>
      <w:lang w:eastAsia="cs-CZ"/>
    </w:rPr>
  </w:style>
  <w:style w:type="character" w:customStyle="1" w:styleId="Nadpis3Char">
    <w:name w:val="Nadpis 3 Char"/>
    <w:basedOn w:val="Standardnpsmoodstavce"/>
    <w:link w:val="Nadpis3"/>
    <w:uiPriority w:val="9"/>
    <w:rsid w:val="001E1138"/>
    <w:rPr>
      <w:rFonts w:eastAsiaTheme="majorEastAsia" w:cstheme="majorBidi"/>
      <w:bCs/>
      <w:color w:val="000000"/>
      <w:sz w:val="24"/>
      <w:szCs w:val="24"/>
      <w:u w:val="single"/>
    </w:rPr>
  </w:style>
  <w:style w:type="character" w:customStyle="1" w:styleId="Nadpis4Char">
    <w:name w:val="Nadpis 4 Char"/>
    <w:basedOn w:val="Standardnpsmoodstavce"/>
    <w:link w:val="Nadpis4"/>
    <w:uiPriority w:val="9"/>
    <w:rsid w:val="001E1138"/>
    <w:rPr>
      <w:rFonts w:asciiTheme="majorHAnsi" w:eastAsiaTheme="majorEastAsia" w:hAnsiTheme="majorHAnsi" w:cstheme="majorBidi"/>
      <w:i/>
      <w:iCs/>
      <w:color w:val="000000" w:themeColor="text1"/>
      <w:sz w:val="24"/>
      <w:szCs w:val="24"/>
    </w:rPr>
  </w:style>
  <w:style w:type="character" w:customStyle="1" w:styleId="Nadpis5Char">
    <w:name w:val="Nadpis 5 Char"/>
    <w:basedOn w:val="Standardnpsmoodstavce"/>
    <w:link w:val="Nadpis5"/>
    <w:uiPriority w:val="9"/>
    <w:semiHidden/>
    <w:rsid w:val="001E1138"/>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1E1138"/>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1E1138"/>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1E113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E1138"/>
    <w:rPr>
      <w:rFonts w:asciiTheme="majorHAnsi" w:eastAsiaTheme="majorEastAsia" w:hAnsiTheme="majorHAnsi" w:cstheme="majorBidi"/>
      <w:i/>
      <w:iCs/>
      <w:color w:val="272727" w:themeColor="text1" w:themeTint="D8"/>
      <w:sz w:val="21"/>
      <w:szCs w:val="21"/>
    </w:rPr>
  </w:style>
  <w:style w:type="paragraph" w:styleId="Textpoznpodarou">
    <w:name w:val="footnote text"/>
    <w:aliases w:val="Schriftart: 9 pt,Schriftart: 10 pt,Schriftart: 8 pt,Char,Char Char Char Char,fn,pozn. pod čarou,Podrozdział,Podrozdzia3,Boston 10,Font: Geneva 9,Fußnotentextf,Geneva 9,Text poznámky pod čiarou 007,f,Text pozn. pod čarou1,o,Char1,ft"/>
    <w:basedOn w:val="Normln"/>
    <w:link w:val="TextpoznpodarouChar"/>
    <w:uiPriority w:val="99"/>
    <w:unhideWhenUsed/>
    <w:qFormat/>
    <w:rsid w:val="001E1138"/>
    <w:pPr>
      <w:spacing w:after="0" w:line="240" w:lineRule="auto"/>
    </w:pPr>
    <w:rPr>
      <w:sz w:val="20"/>
      <w:szCs w:val="20"/>
    </w:rPr>
  </w:style>
  <w:style w:type="character" w:customStyle="1" w:styleId="TextpoznpodarouChar">
    <w:name w:val="Text pozn. pod čarou Char"/>
    <w:aliases w:val="Schriftart: 9 pt Char,Schriftart: 10 pt Char,Schriftart: 8 pt Char,Char Char,Char Char Char Char Char,fn Char,pozn. pod čarou Char,Podrozdział Char,Podrozdzia3 Char,Boston 10 Char,Font: Geneva 9 Char,Fußnotentextf Char,f Char"/>
    <w:basedOn w:val="Standardnpsmoodstavce"/>
    <w:link w:val="Textpoznpodarou"/>
    <w:uiPriority w:val="99"/>
    <w:rsid w:val="001E1138"/>
    <w:rPr>
      <w:sz w:val="20"/>
      <w:szCs w:val="20"/>
    </w:rPr>
  </w:style>
  <w:style w:type="character" w:styleId="Znakapoznpodarou">
    <w:name w:val="footnote reference"/>
    <w:aliases w:val="Footnote,Footnote call,PGI Fußnote Ziffer + Times New Roman,12 b.,Zúžené o ...,PGI Fußnote Ziffer,BVI fnr,Footnote symbol,Footnote Reference Number,Footnote Reference Superscript,Appel note de bas de p,Appel note de bas de page,fr"/>
    <w:basedOn w:val="Standardnpsmoodstavce"/>
    <w:uiPriority w:val="99"/>
    <w:unhideWhenUsed/>
    <w:rsid w:val="001E1138"/>
    <w:rPr>
      <w:vertAlign w:val="superscript"/>
    </w:rPr>
  </w:style>
  <w:style w:type="paragraph" w:styleId="Odstavecseseznamem">
    <w:name w:val="List Paragraph"/>
    <w:aliases w:val="Odstavec_muj,odrážky,List Paragraph_0,List Paragraph_0_0,Nadpis pro KZ,Odstavec se seznamem1,Odstavec se seznamem2,List Paragraph,Odstavec_muj1,Odstavec_muj2,Nad,Odstavec_muj3,Nad1,List Paragraph1,Odstavec_muj4,Nad2,List Paragraph2"/>
    <w:basedOn w:val="Normln"/>
    <w:link w:val="OdstavecseseznamemChar"/>
    <w:uiPriority w:val="34"/>
    <w:qFormat/>
    <w:rsid w:val="001E1138"/>
    <w:pPr>
      <w:ind w:left="720"/>
      <w:contextualSpacing/>
    </w:pPr>
  </w:style>
  <w:style w:type="character" w:customStyle="1" w:styleId="OdstavecseseznamemChar">
    <w:name w:val="Odstavec se seznamem Char"/>
    <w:aliases w:val="Odstavec_muj Char,odrážky Char,List Paragraph_0 Char,List Paragraph_0_0 Char,Nadpis pro KZ Char,Odstavec se seznamem1 Char,Odstavec se seznamem2 Char,List Paragraph Char,Odstavec_muj1 Char,Odstavec_muj2 Char,Nad Char,Nad1 Char"/>
    <w:basedOn w:val="Standardnpsmoodstavce"/>
    <w:link w:val="Odstavecseseznamem"/>
    <w:uiPriority w:val="34"/>
    <w:qFormat/>
    <w:rsid w:val="001E1138"/>
  </w:style>
  <w:style w:type="paragraph" w:customStyle="1" w:styleId="KPnormln">
    <w:name w:val="KP normální"/>
    <w:basedOn w:val="Normln"/>
    <w:link w:val="KPnormlnChar"/>
    <w:qFormat/>
    <w:rsid w:val="001E1138"/>
    <w:pPr>
      <w:spacing w:before="120" w:after="120" w:line="240" w:lineRule="auto"/>
      <w:ind w:firstLine="720"/>
      <w:jc w:val="both"/>
    </w:pPr>
    <w:rPr>
      <w:rFonts w:eastAsia="Times New Roman" w:cstheme="minorHAnsi"/>
      <w:color w:val="000000"/>
      <w:sz w:val="24"/>
    </w:rPr>
  </w:style>
  <w:style w:type="character" w:customStyle="1" w:styleId="KPnormlnChar">
    <w:name w:val="KP normální Char"/>
    <w:basedOn w:val="Standardnpsmoodstavce"/>
    <w:link w:val="KPnormln"/>
    <w:rsid w:val="001E1138"/>
    <w:rPr>
      <w:rFonts w:eastAsia="Times New Roman" w:cstheme="minorHAnsi"/>
      <w:color w:val="000000"/>
      <w:sz w:val="24"/>
    </w:rPr>
  </w:style>
  <w:style w:type="paragraph" w:styleId="Textvysvtlivek">
    <w:name w:val="endnote text"/>
    <w:basedOn w:val="Normln"/>
    <w:link w:val="TextvysvtlivekChar"/>
    <w:uiPriority w:val="99"/>
    <w:semiHidden/>
    <w:unhideWhenUsed/>
    <w:rsid w:val="001E113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E1138"/>
    <w:rPr>
      <w:sz w:val="20"/>
      <w:szCs w:val="20"/>
    </w:rPr>
  </w:style>
  <w:style w:type="character" w:styleId="Odkaznavysvtlivky">
    <w:name w:val="endnote reference"/>
    <w:basedOn w:val="Standardnpsmoodstavce"/>
    <w:uiPriority w:val="99"/>
    <w:semiHidden/>
    <w:unhideWhenUsed/>
    <w:rsid w:val="001E1138"/>
    <w:rPr>
      <w:vertAlign w:val="superscript"/>
    </w:rPr>
  </w:style>
  <w:style w:type="paragraph" w:styleId="Nzev">
    <w:name w:val="Title"/>
    <w:basedOn w:val="Normln"/>
    <w:link w:val="NzevChar"/>
    <w:qFormat/>
    <w:rsid w:val="008E6616"/>
    <w:pPr>
      <w:spacing w:after="0" w:line="240" w:lineRule="auto"/>
      <w:jc w:val="center"/>
    </w:pPr>
    <w:rPr>
      <w:rFonts w:ascii="Arial" w:eastAsia="Times New Roman" w:hAnsi="Arial" w:cs="Times New Roman"/>
      <w:b/>
      <w:szCs w:val="20"/>
      <w:lang w:eastAsia="cs-CZ"/>
    </w:rPr>
  </w:style>
  <w:style w:type="character" w:customStyle="1" w:styleId="NzevChar">
    <w:name w:val="Název Char"/>
    <w:basedOn w:val="Standardnpsmoodstavce"/>
    <w:link w:val="Nzev"/>
    <w:rsid w:val="008E6616"/>
    <w:rPr>
      <w:rFonts w:ascii="Arial" w:eastAsia="Times New Roman" w:hAnsi="Arial" w:cs="Times New Roman"/>
      <w:b/>
      <w:szCs w:val="20"/>
      <w:lang w:eastAsia="cs-CZ"/>
    </w:rPr>
  </w:style>
  <w:style w:type="paragraph" w:customStyle="1" w:styleId="NormlnKZ">
    <w:name w:val="Normální KZ"/>
    <w:basedOn w:val="Normln"/>
    <w:rsid w:val="008E6616"/>
    <w:pPr>
      <w:spacing w:after="120" w:line="240" w:lineRule="auto"/>
      <w:ind w:firstLine="425"/>
      <w:jc w:val="both"/>
    </w:pPr>
    <w:rPr>
      <w:rFonts w:ascii="Arial" w:eastAsia="Times New Roman" w:hAnsi="Arial" w:cs="Times New Roman"/>
      <w:szCs w:val="24"/>
      <w:lang w:eastAsia="cs-CZ"/>
    </w:rPr>
  </w:style>
  <w:style w:type="table" w:styleId="Mkatabulky">
    <w:name w:val="Table Grid"/>
    <w:basedOn w:val="Normlntabulka"/>
    <w:uiPriority w:val="39"/>
    <w:rsid w:val="007D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normlntext">
    <w:name w:val="KP-normální text"/>
    <w:basedOn w:val="Normln"/>
    <w:link w:val="KP-normlntextChar"/>
    <w:qFormat/>
    <w:rsid w:val="00650CD2"/>
    <w:pPr>
      <w:spacing w:after="120" w:line="240" w:lineRule="auto"/>
      <w:jc w:val="both"/>
    </w:pPr>
    <w:rPr>
      <w:rFonts w:ascii="Calibri" w:eastAsia="Times New Roman" w:hAnsi="Calibri" w:cs="Arial"/>
      <w:color w:val="000000"/>
      <w:sz w:val="24"/>
      <w:szCs w:val="24"/>
    </w:rPr>
  </w:style>
  <w:style w:type="character" w:customStyle="1" w:styleId="KP-normlntextChar">
    <w:name w:val="KP-normální text Char"/>
    <w:link w:val="KP-normlntext"/>
    <w:rsid w:val="00650CD2"/>
    <w:rPr>
      <w:rFonts w:ascii="Calibri" w:eastAsia="Times New Roman" w:hAnsi="Calibri" w:cs="Arial"/>
      <w:color w:val="000000"/>
      <w:sz w:val="24"/>
      <w:szCs w:val="24"/>
    </w:rPr>
  </w:style>
  <w:style w:type="paragraph" w:customStyle="1" w:styleId="Poznmkapodarou">
    <w:name w:val="Poznámka pod čarou"/>
    <w:basedOn w:val="Textpoznpodarou"/>
    <w:link w:val="PoznmkapodarouChar"/>
    <w:qFormat/>
    <w:rsid w:val="00650CD2"/>
    <w:pPr>
      <w:tabs>
        <w:tab w:val="left" w:pos="284"/>
      </w:tabs>
      <w:ind w:left="284" w:hanging="284"/>
      <w:jc w:val="both"/>
    </w:pPr>
    <w:rPr>
      <w:rFonts w:eastAsia="Times New Roman" w:cs="Times New Roman"/>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650CD2"/>
    <w:pPr>
      <w:spacing w:line="240" w:lineRule="exact"/>
    </w:pPr>
    <w:rPr>
      <w:rFonts w:ascii="Times New Roman Bold" w:eastAsia="Times New Roman" w:hAnsi="Times New Roman Bold" w:cs="Times New Roman"/>
      <w:szCs w:val="26"/>
      <w:lang w:val="sk-SK"/>
    </w:rPr>
  </w:style>
  <w:style w:type="paragraph" w:styleId="Textbubliny">
    <w:name w:val="Balloon Text"/>
    <w:basedOn w:val="Normln"/>
    <w:link w:val="TextbublinyChar"/>
    <w:uiPriority w:val="99"/>
    <w:semiHidden/>
    <w:unhideWhenUsed/>
    <w:rsid w:val="00222B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2B8B"/>
    <w:rPr>
      <w:rFonts w:ascii="Segoe UI" w:hAnsi="Segoe UI" w:cs="Segoe UI"/>
      <w:sz w:val="18"/>
      <w:szCs w:val="18"/>
    </w:rPr>
  </w:style>
  <w:style w:type="character" w:styleId="Odkaznakoment">
    <w:name w:val="annotation reference"/>
    <w:basedOn w:val="Standardnpsmoodstavce"/>
    <w:uiPriority w:val="99"/>
    <w:semiHidden/>
    <w:unhideWhenUsed/>
    <w:rsid w:val="00151B8F"/>
    <w:rPr>
      <w:sz w:val="16"/>
      <w:szCs w:val="16"/>
    </w:rPr>
  </w:style>
  <w:style w:type="paragraph" w:styleId="Textkomente">
    <w:name w:val="annotation text"/>
    <w:basedOn w:val="Normln"/>
    <w:link w:val="TextkomenteChar"/>
    <w:uiPriority w:val="99"/>
    <w:semiHidden/>
    <w:unhideWhenUsed/>
    <w:rsid w:val="00151B8F"/>
    <w:pPr>
      <w:spacing w:line="240" w:lineRule="auto"/>
    </w:pPr>
    <w:rPr>
      <w:sz w:val="20"/>
      <w:szCs w:val="20"/>
    </w:rPr>
  </w:style>
  <w:style w:type="character" w:customStyle="1" w:styleId="TextkomenteChar">
    <w:name w:val="Text komentáře Char"/>
    <w:basedOn w:val="Standardnpsmoodstavce"/>
    <w:link w:val="Textkomente"/>
    <w:uiPriority w:val="99"/>
    <w:semiHidden/>
    <w:rsid w:val="00151B8F"/>
    <w:rPr>
      <w:sz w:val="20"/>
      <w:szCs w:val="20"/>
    </w:rPr>
  </w:style>
  <w:style w:type="paragraph" w:styleId="Pedmtkomente">
    <w:name w:val="annotation subject"/>
    <w:basedOn w:val="Textkomente"/>
    <w:next w:val="Textkomente"/>
    <w:link w:val="PedmtkomenteChar"/>
    <w:uiPriority w:val="99"/>
    <w:semiHidden/>
    <w:unhideWhenUsed/>
    <w:rsid w:val="00151B8F"/>
    <w:rPr>
      <w:b/>
      <w:bCs/>
    </w:rPr>
  </w:style>
  <w:style w:type="character" w:customStyle="1" w:styleId="PedmtkomenteChar">
    <w:name w:val="Předmět komentáře Char"/>
    <w:basedOn w:val="TextkomenteChar"/>
    <w:link w:val="Pedmtkomente"/>
    <w:uiPriority w:val="99"/>
    <w:semiHidden/>
    <w:rsid w:val="00151B8F"/>
    <w:rPr>
      <w:b/>
      <w:bCs/>
      <w:sz w:val="20"/>
      <w:szCs w:val="20"/>
    </w:rPr>
  </w:style>
  <w:style w:type="paragraph" w:customStyle="1" w:styleId="Default">
    <w:name w:val="Default"/>
    <w:rsid w:val="00FD7930"/>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hlav">
    <w:name w:val="header"/>
    <w:basedOn w:val="Normln"/>
    <w:link w:val="ZhlavChar"/>
    <w:uiPriority w:val="99"/>
    <w:unhideWhenUsed/>
    <w:rsid w:val="003C20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20A4"/>
  </w:style>
  <w:style w:type="paragraph" w:styleId="Zpat">
    <w:name w:val="footer"/>
    <w:basedOn w:val="Normln"/>
    <w:link w:val="ZpatChar"/>
    <w:uiPriority w:val="99"/>
    <w:unhideWhenUsed/>
    <w:rsid w:val="003C20A4"/>
    <w:pPr>
      <w:tabs>
        <w:tab w:val="center" w:pos="4536"/>
        <w:tab w:val="right" w:pos="9072"/>
      </w:tabs>
      <w:spacing w:after="0" w:line="240" w:lineRule="auto"/>
    </w:pPr>
  </w:style>
  <w:style w:type="character" w:customStyle="1" w:styleId="ZpatChar">
    <w:name w:val="Zápatí Char"/>
    <w:basedOn w:val="Standardnpsmoodstavce"/>
    <w:link w:val="Zpat"/>
    <w:uiPriority w:val="99"/>
    <w:rsid w:val="003C20A4"/>
  </w:style>
  <w:style w:type="paragraph" w:styleId="Normlnweb">
    <w:name w:val="Normal (Web)"/>
    <w:basedOn w:val="Normln"/>
    <w:uiPriority w:val="99"/>
    <w:semiHidden/>
    <w:unhideWhenUsed/>
    <w:rsid w:val="008F715D"/>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2">
    <w:name w:val="Mřížka tabulky2"/>
    <w:basedOn w:val="Normlntabulka"/>
    <w:next w:val="Mkatabulky"/>
    <w:uiPriority w:val="39"/>
    <w:rsid w:val="000E0D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link w:val="TabulkaChar"/>
    <w:qFormat/>
    <w:rsid w:val="009D3C27"/>
    <w:pPr>
      <w:autoSpaceDE w:val="0"/>
      <w:autoSpaceDN w:val="0"/>
      <w:adjustRightInd w:val="0"/>
      <w:spacing w:before="60" w:after="60" w:line="240" w:lineRule="auto"/>
      <w:jc w:val="center"/>
    </w:pPr>
    <w:rPr>
      <w:rFonts w:ascii="Times New Roman" w:eastAsia="Times New Roman" w:hAnsi="Times New Roman" w:cs="Times New Roman"/>
      <w:lang w:eastAsia="cs-CZ"/>
    </w:rPr>
  </w:style>
  <w:style w:type="character" w:customStyle="1" w:styleId="TabulkaChar">
    <w:name w:val="Tabulka Char"/>
    <w:link w:val="Tabulka"/>
    <w:rsid w:val="009D3C27"/>
    <w:rPr>
      <w:rFonts w:ascii="Times New Roman" w:eastAsia="Times New Roman" w:hAnsi="Times New Roman" w:cs="Times New Roman"/>
      <w:lang w:eastAsia="cs-CZ"/>
    </w:rPr>
  </w:style>
  <w:style w:type="character" w:customStyle="1" w:styleId="PoznmkapodarouChar">
    <w:name w:val="Poznámka pod čarou Char"/>
    <w:link w:val="Poznmkapodarou"/>
    <w:rsid w:val="009D3C27"/>
    <w:rPr>
      <w:rFonts w:eastAsia="Times New Roman" w:cs="Times New Roman"/>
      <w:sz w:val="20"/>
      <w:szCs w:val="20"/>
    </w:rPr>
  </w:style>
  <w:style w:type="character" w:styleId="Hypertextovodkaz">
    <w:name w:val="Hyperlink"/>
    <w:basedOn w:val="Standardnpsmoodstavce"/>
    <w:uiPriority w:val="99"/>
    <w:rsid w:val="00DB28DE"/>
    <w:rPr>
      <w:color w:val="0000FF"/>
      <w:u w:val="single"/>
    </w:rPr>
  </w:style>
  <w:style w:type="table" w:customStyle="1" w:styleId="Mkatabulky21">
    <w:name w:val="Mřížka tabulky21"/>
    <w:basedOn w:val="Normlntabulka"/>
    <w:next w:val="Mkatabulky"/>
    <w:uiPriority w:val="39"/>
    <w:rsid w:val="00693B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693B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A20DEB"/>
    <w:rPr>
      <w:color w:val="000000"/>
      <w:sz w:val="60"/>
      <w:szCs w:val="60"/>
    </w:rPr>
  </w:style>
  <w:style w:type="character" w:customStyle="1" w:styleId="A1">
    <w:name w:val="A1"/>
    <w:uiPriority w:val="99"/>
    <w:rsid w:val="00291CEB"/>
    <w:rPr>
      <w:color w:val="000000"/>
      <w:sz w:val="28"/>
      <w:szCs w:val="28"/>
    </w:rPr>
  </w:style>
  <w:style w:type="character" w:customStyle="1" w:styleId="A5">
    <w:name w:val="A5"/>
    <w:uiPriority w:val="99"/>
    <w:rsid w:val="00291CEB"/>
    <w:rPr>
      <w:b/>
      <w:bCs/>
      <w:color w:val="000000"/>
      <w:sz w:val="40"/>
      <w:szCs w:val="40"/>
    </w:rPr>
  </w:style>
  <w:style w:type="paragraph" w:customStyle="1" w:styleId="Text">
    <w:name w:val="Text"/>
    <w:basedOn w:val="Normln"/>
    <w:link w:val="TextChar"/>
    <w:qFormat/>
    <w:rsid w:val="00291CEB"/>
    <w:pPr>
      <w:spacing w:before="120" w:after="0" w:line="240" w:lineRule="auto"/>
      <w:jc w:val="both"/>
    </w:pPr>
    <w:rPr>
      <w:rFonts w:cstheme="minorHAnsi"/>
      <w:sz w:val="24"/>
      <w:szCs w:val="24"/>
    </w:rPr>
  </w:style>
  <w:style w:type="character" w:customStyle="1" w:styleId="TextChar">
    <w:name w:val="Text Char"/>
    <w:basedOn w:val="Standardnpsmoodstavce"/>
    <w:link w:val="Text"/>
    <w:rsid w:val="00291CEB"/>
    <w:rPr>
      <w:rFonts w:cstheme="minorHAnsi"/>
      <w:sz w:val="24"/>
      <w:szCs w:val="24"/>
    </w:rPr>
  </w:style>
  <w:style w:type="paragraph" w:styleId="Revize">
    <w:name w:val="Revision"/>
    <w:hidden/>
    <w:uiPriority w:val="99"/>
    <w:semiHidden/>
    <w:rsid w:val="00787788"/>
    <w:pPr>
      <w:spacing w:after="0" w:line="240" w:lineRule="auto"/>
    </w:pPr>
  </w:style>
  <w:style w:type="paragraph" w:styleId="Bezmezer">
    <w:name w:val="No Spacing"/>
    <w:basedOn w:val="Normln"/>
    <w:uiPriority w:val="1"/>
    <w:qFormat/>
    <w:rsid w:val="004D75A3"/>
    <w:pPr>
      <w:spacing w:after="0" w:line="240" w:lineRule="auto"/>
    </w:pPr>
    <w:rPr>
      <w:rFonts w:ascii="Times New Roman" w:hAnsi="Times New Roman" w:cs="Times New Roman"/>
      <w:sz w:val="24"/>
      <w:szCs w:val="24"/>
    </w:rPr>
  </w:style>
  <w:style w:type="character" w:customStyle="1" w:styleId="Jin">
    <w:name w:val="Jiné_"/>
    <w:basedOn w:val="Standardnpsmoodstavce"/>
    <w:link w:val="Jin0"/>
    <w:rsid w:val="004D75A3"/>
    <w:rPr>
      <w:rFonts w:ascii="Calibri" w:eastAsia="Calibri" w:hAnsi="Calibri" w:cs="Calibri"/>
      <w:sz w:val="19"/>
      <w:szCs w:val="19"/>
      <w:shd w:val="clear" w:color="auto" w:fill="FFFFFF"/>
    </w:rPr>
  </w:style>
  <w:style w:type="character" w:customStyle="1" w:styleId="Titulektabulky">
    <w:name w:val="Titulek tabulky_"/>
    <w:basedOn w:val="Standardnpsmoodstavce"/>
    <w:link w:val="Titulektabulky0"/>
    <w:rsid w:val="004D75A3"/>
    <w:rPr>
      <w:rFonts w:ascii="Calibri" w:eastAsia="Calibri" w:hAnsi="Calibri" w:cs="Calibri"/>
      <w:b/>
      <w:bCs/>
      <w:shd w:val="clear" w:color="auto" w:fill="FFFFFF"/>
    </w:rPr>
  </w:style>
  <w:style w:type="paragraph" w:customStyle="1" w:styleId="Jin0">
    <w:name w:val="Jiné"/>
    <w:basedOn w:val="Normln"/>
    <w:link w:val="Jin"/>
    <w:rsid w:val="004D75A3"/>
    <w:pPr>
      <w:widowControl w:val="0"/>
      <w:shd w:val="clear" w:color="auto" w:fill="FFFFFF"/>
      <w:spacing w:after="0" w:line="240" w:lineRule="auto"/>
      <w:jc w:val="center"/>
    </w:pPr>
    <w:rPr>
      <w:rFonts w:ascii="Calibri" w:eastAsia="Calibri" w:hAnsi="Calibri" w:cs="Calibri"/>
      <w:sz w:val="19"/>
      <w:szCs w:val="19"/>
    </w:rPr>
  </w:style>
  <w:style w:type="paragraph" w:customStyle="1" w:styleId="Titulektabulky0">
    <w:name w:val="Titulek tabulky"/>
    <w:basedOn w:val="Normln"/>
    <w:link w:val="Titulektabulky"/>
    <w:rsid w:val="004D75A3"/>
    <w:pPr>
      <w:widowControl w:val="0"/>
      <w:shd w:val="clear" w:color="auto" w:fill="FFFFFF"/>
      <w:spacing w:after="0" w:line="298" w:lineRule="auto"/>
      <w:jc w:val="right"/>
    </w:pPr>
    <w:rPr>
      <w:rFonts w:ascii="Calibri" w:eastAsia="Calibri" w:hAnsi="Calibri" w:cs="Calibri"/>
      <w:b/>
      <w:bCs/>
    </w:rPr>
  </w:style>
  <w:style w:type="table" w:customStyle="1" w:styleId="Mkatabulky1">
    <w:name w:val="Mřížka tabulky1"/>
    <w:basedOn w:val="Normlntabulka"/>
    <w:next w:val="Mkatabulky"/>
    <w:uiPriority w:val="39"/>
    <w:rsid w:val="008629A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adpisrovn11">
    <w:name w:val="Mů - nadpis úrovně 1.1"/>
    <w:basedOn w:val="Normln"/>
    <w:link w:val="M-nadpisrovn11Char"/>
    <w:qFormat/>
    <w:rsid w:val="00214C7E"/>
    <w:pPr>
      <w:spacing w:after="0" w:line="240" w:lineRule="auto"/>
      <w:jc w:val="both"/>
    </w:pPr>
    <w:rPr>
      <w:rFonts w:cstheme="minorHAnsi"/>
      <w:b/>
      <w:sz w:val="24"/>
      <w:szCs w:val="24"/>
      <w:u w:val="single"/>
    </w:rPr>
  </w:style>
  <w:style w:type="character" w:customStyle="1" w:styleId="M-nadpisrovn11Char">
    <w:name w:val="Mů - nadpis úrovně 1.1 Char"/>
    <w:basedOn w:val="Standardnpsmoodstavce"/>
    <w:link w:val="M-nadpisrovn11"/>
    <w:rsid w:val="00214C7E"/>
    <w:rPr>
      <w:rFonts w:cstheme="minorHAnsi"/>
      <w:b/>
      <w:sz w:val="24"/>
      <w:szCs w:val="24"/>
      <w:u w:val="single"/>
    </w:rPr>
  </w:style>
  <w:style w:type="character" w:styleId="Sledovanodkaz">
    <w:name w:val="FollowedHyperlink"/>
    <w:basedOn w:val="Standardnpsmoodstavce"/>
    <w:uiPriority w:val="99"/>
    <w:semiHidden/>
    <w:unhideWhenUsed/>
    <w:rsid w:val="00E10314"/>
    <w:rPr>
      <w:color w:val="954F72" w:themeColor="followedHyperlink"/>
      <w:u w:val="single"/>
    </w:rPr>
  </w:style>
  <w:style w:type="character" w:styleId="Nevyeenzmnka">
    <w:name w:val="Unresolved Mention"/>
    <w:basedOn w:val="Standardnpsmoodstavce"/>
    <w:uiPriority w:val="99"/>
    <w:semiHidden/>
    <w:unhideWhenUsed/>
    <w:rsid w:val="00A85E96"/>
    <w:rPr>
      <w:color w:val="605E5C"/>
      <w:shd w:val="clear" w:color="auto" w:fill="E1DFDD"/>
    </w:rPr>
  </w:style>
  <w:style w:type="character" w:customStyle="1" w:styleId="Zkladntext">
    <w:name w:val="Základní text_"/>
    <w:basedOn w:val="Standardnpsmoodstavce"/>
    <w:link w:val="Zkladntext1"/>
    <w:rsid w:val="00034B78"/>
    <w:rPr>
      <w:rFonts w:ascii="Arial" w:eastAsia="Arial" w:hAnsi="Arial" w:cs="Arial"/>
      <w:sz w:val="28"/>
      <w:szCs w:val="28"/>
      <w:shd w:val="clear" w:color="auto" w:fill="FFFFFF"/>
    </w:rPr>
  </w:style>
  <w:style w:type="paragraph" w:customStyle="1" w:styleId="Zkladntext1">
    <w:name w:val="Základní text1"/>
    <w:basedOn w:val="Normln"/>
    <w:link w:val="Zkladntext"/>
    <w:rsid w:val="00034B78"/>
    <w:pPr>
      <w:widowControl w:val="0"/>
      <w:shd w:val="clear" w:color="auto" w:fill="FFFFFF"/>
      <w:spacing w:after="0" w:line="240" w:lineRule="auto"/>
      <w:jc w:val="center"/>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4374">
      <w:bodyDiv w:val="1"/>
      <w:marLeft w:val="0"/>
      <w:marRight w:val="0"/>
      <w:marTop w:val="0"/>
      <w:marBottom w:val="0"/>
      <w:divBdr>
        <w:top w:val="none" w:sz="0" w:space="0" w:color="auto"/>
        <w:left w:val="none" w:sz="0" w:space="0" w:color="auto"/>
        <w:bottom w:val="none" w:sz="0" w:space="0" w:color="auto"/>
        <w:right w:val="none" w:sz="0" w:space="0" w:color="auto"/>
      </w:divBdr>
    </w:div>
    <w:div w:id="213545451">
      <w:bodyDiv w:val="1"/>
      <w:marLeft w:val="0"/>
      <w:marRight w:val="0"/>
      <w:marTop w:val="0"/>
      <w:marBottom w:val="0"/>
      <w:divBdr>
        <w:top w:val="none" w:sz="0" w:space="0" w:color="auto"/>
        <w:left w:val="none" w:sz="0" w:space="0" w:color="auto"/>
        <w:bottom w:val="none" w:sz="0" w:space="0" w:color="auto"/>
        <w:right w:val="none" w:sz="0" w:space="0" w:color="auto"/>
      </w:divBdr>
    </w:div>
    <w:div w:id="392122435">
      <w:bodyDiv w:val="1"/>
      <w:marLeft w:val="0"/>
      <w:marRight w:val="0"/>
      <w:marTop w:val="0"/>
      <w:marBottom w:val="0"/>
      <w:divBdr>
        <w:top w:val="none" w:sz="0" w:space="0" w:color="auto"/>
        <w:left w:val="none" w:sz="0" w:space="0" w:color="auto"/>
        <w:bottom w:val="none" w:sz="0" w:space="0" w:color="auto"/>
        <w:right w:val="none" w:sz="0" w:space="0" w:color="auto"/>
      </w:divBdr>
    </w:div>
    <w:div w:id="528645629">
      <w:bodyDiv w:val="1"/>
      <w:marLeft w:val="0"/>
      <w:marRight w:val="0"/>
      <w:marTop w:val="0"/>
      <w:marBottom w:val="0"/>
      <w:divBdr>
        <w:top w:val="none" w:sz="0" w:space="0" w:color="auto"/>
        <w:left w:val="none" w:sz="0" w:space="0" w:color="auto"/>
        <w:bottom w:val="none" w:sz="0" w:space="0" w:color="auto"/>
        <w:right w:val="none" w:sz="0" w:space="0" w:color="auto"/>
      </w:divBdr>
    </w:div>
    <w:div w:id="616370973">
      <w:bodyDiv w:val="1"/>
      <w:marLeft w:val="0"/>
      <w:marRight w:val="0"/>
      <w:marTop w:val="0"/>
      <w:marBottom w:val="0"/>
      <w:divBdr>
        <w:top w:val="none" w:sz="0" w:space="0" w:color="auto"/>
        <w:left w:val="none" w:sz="0" w:space="0" w:color="auto"/>
        <w:bottom w:val="none" w:sz="0" w:space="0" w:color="auto"/>
        <w:right w:val="none" w:sz="0" w:space="0" w:color="auto"/>
      </w:divBdr>
    </w:div>
    <w:div w:id="644704418">
      <w:bodyDiv w:val="1"/>
      <w:marLeft w:val="0"/>
      <w:marRight w:val="0"/>
      <w:marTop w:val="0"/>
      <w:marBottom w:val="0"/>
      <w:divBdr>
        <w:top w:val="none" w:sz="0" w:space="0" w:color="auto"/>
        <w:left w:val="none" w:sz="0" w:space="0" w:color="auto"/>
        <w:bottom w:val="none" w:sz="0" w:space="0" w:color="auto"/>
        <w:right w:val="none" w:sz="0" w:space="0" w:color="auto"/>
      </w:divBdr>
    </w:div>
    <w:div w:id="678044236">
      <w:bodyDiv w:val="1"/>
      <w:marLeft w:val="0"/>
      <w:marRight w:val="0"/>
      <w:marTop w:val="0"/>
      <w:marBottom w:val="0"/>
      <w:divBdr>
        <w:top w:val="none" w:sz="0" w:space="0" w:color="auto"/>
        <w:left w:val="none" w:sz="0" w:space="0" w:color="auto"/>
        <w:bottom w:val="none" w:sz="0" w:space="0" w:color="auto"/>
        <w:right w:val="none" w:sz="0" w:space="0" w:color="auto"/>
      </w:divBdr>
    </w:div>
    <w:div w:id="721832075">
      <w:bodyDiv w:val="1"/>
      <w:marLeft w:val="0"/>
      <w:marRight w:val="0"/>
      <w:marTop w:val="0"/>
      <w:marBottom w:val="0"/>
      <w:divBdr>
        <w:top w:val="none" w:sz="0" w:space="0" w:color="auto"/>
        <w:left w:val="none" w:sz="0" w:space="0" w:color="auto"/>
        <w:bottom w:val="none" w:sz="0" w:space="0" w:color="auto"/>
        <w:right w:val="none" w:sz="0" w:space="0" w:color="auto"/>
      </w:divBdr>
    </w:div>
    <w:div w:id="874272894">
      <w:bodyDiv w:val="1"/>
      <w:marLeft w:val="0"/>
      <w:marRight w:val="0"/>
      <w:marTop w:val="0"/>
      <w:marBottom w:val="0"/>
      <w:divBdr>
        <w:top w:val="none" w:sz="0" w:space="0" w:color="auto"/>
        <w:left w:val="none" w:sz="0" w:space="0" w:color="auto"/>
        <w:bottom w:val="none" w:sz="0" w:space="0" w:color="auto"/>
        <w:right w:val="none" w:sz="0" w:space="0" w:color="auto"/>
      </w:divBdr>
    </w:div>
    <w:div w:id="893272159">
      <w:bodyDiv w:val="1"/>
      <w:marLeft w:val="0"/>
      <w:marRight w:val="0"/>
      <w:marTop w:val="0"/>
      <w:marBottom w:val="0"/>
      <w:divBdr>
        <w:top w:val="none" w:sz="0" w:space="0" w:color="auto"/>
        <w:left w:val="none" w:sz="0" w:space="0" w:color="auto"/>
        <w:bottom w:val="none" w:sz="0" w:space="0" w:color="auto"/>
        <w:right w:val="none" w:sz="0" w:space="0" w:color="auto"/>
      </w:divBdr>
    </w:div>
    <w:div w:id="970210539">
      <w:bodyDiv w:val="1"/>
      <w:marLeft w:val="0"/>
      <w:marRight w:val="0"/>
      <w:marTop w:val="0"/>
      <w:marBottom w:val="0"/>
      <w:divBdr>
        <w:top w:val="none" w:sz="0" w:space="0" w:color="auto"/>
        <w:left w:val="none" w:sz="0" w:space="0" w:color="auto"/>
        <w:bottom w:val="none" w:sz="0" w:space="0" w:color="auto"/>
        <w:right w:val="none" w:sz="0" w:space="0" w:color="auto"/>
      </w:divBdr>
      <w:divsChild>
        <w:div w:id="374164217">
          <w:marLeft w:val="0"/>
          <w:marRight w:val="0"/>
          <w:marTop w:val="0"/>
          <w:marBottom w:val="0"/>
          <w:divBdr>
            <w:top w:val="none" w:sz="0" w:space="0" w:color="auto"/>
            <w:left w:val="none" w:sz="0" w:space="0" w:color="auto"/>
            <w:bottom w:val="none" w:sz="0" w:space="0" w:color="auto"/>
            <w:right w:val="none" w:sz="0" w:space="0" w:color="auto"/>
          </w:divBdr>
        </w:div>
        <w:div w:id="1267344111">
          <w:marLeft w:val="0"/>
          <w:marRight w:val="0"/>
          <w:marTop w:val="0"/>
          <w:marBottom w:val="0"/>
          <w:divBdr>
            <w:top w:val="none" w:sz="0" w:space="0" w:color="auto"/>
            <w:left w:val="none" w:sz="0" w:space="0" w:color="auto"/>
            <w:bottom w:val="none" w:sz="0" w:space="0" w:color="auto"/>
            <w:right w:val="none" w:sz="0" w:space="0" w:color="auto"/>
          </w:divBdr>
        </w:div>
      </w:divsChild>
    </w:div>
    <w:div w:id="1243639715">
      <w:bodyDiv w:val="1"/>
      <w:marLeft w:val="0"/>
      <w:marRight w:val="0"/>
      <w:marTop w:val="0"/>
      <w:marBottom w:val="0"/>
      <w:divBdr>
        <w:top w:val="none" w:sz="0" w:space="0" w:color="auto"/>
        <w:left w:val="none" w:sz="0" w:space="0" w:color="auto"/>
        <w:bottom w:val="none" w:sz="0" w:space="0" w:color="auto"/>
        <w:right w:val="none" w:sz="0" w:space="0" w:color="auto"/>
      </w:divBdr>
    </w:div>
    <w:div w:id="1306663440">
      <w:bodyDiv w:val="1"/>
      <w:marLeft w:val="0"/>
      <w:marRight w:val="0"/>
      <w:marTop w:val="0"/>
      <w:marBottom w:val="0"/>
      <w:divBdr>
        <w:top w:val="none" w:sz="0" w:space="0" w:color="auto"/>
        <w:left w:val="none" w:sz="0" w:space="0" w:color="auto"/>
        <w:bottom w:val="none" w:sz="0" w:space="0" w:color="auto"/>
        <w:right w:val="none" w:sz="0" w:space="0" w:color="auto"/>
      </w:divBdr>
    </w:div>
    <w:div w:id="1325546480">
      <w:bodyDiv w:val="1"/>
      <w:marLeft w:val="0"/>
      <w:marRight w:val="0"/>
      <w:marTop w:val="0"/>
      <w:marBottom w:val="0"/>
      <w:divBdr>
        <w:top w:val="none" w:sz="0" w:space="0" w:color="auto"/>
        <w:left w:val="none" w:sz="0" w:space="0" w:color="auto"/>
        <w:bottom w:val="none" w:sz="0" w:space="0" w:color="auto"/>
        <w:right w:val="none" w:sz="0" w:space="0" w:color="auto"/>
      </w:divBdr>
    </w:div>
    <w:div w:id="1408921972">
      <w:bodyDiv w:val="1"/>
      <w:marLeft w:val="0"/>
      <w:marRight w:val="0"/>
      <w:marTop w:val="0"/>
      <w:marBottom w:val="0"/>
      <w:divBdr>
        <w:top w:val="none" w:sz="0" w:space="0" w:color="auto"/>
        <w:left w:val="none" w:sz="0" w:space="0" w:color="auto"/>
        <w:bottom w:val="none" w:sz="0" w:space="0" w:color="auto"/>
        <w:right w:val="none" w:sz="0" w:space="0" w:color="auto"/>
      </w:divBdr>
    </w:div>
    <w:div w:id="1515067523">
      <w:bodyDiv w:val="1"/>
      <w:marLeft w:val="0"/>
      <w:marRight w:val="0"/>
      <w:marTop w:val="0"/>
      <w:marBottom w:val="0"/>
      <w:divBdr>
        <w:top w:val="none" w:sz="0" w:space="0" w:color="auto"/>
        <w:left w:val="none" w:sz="0" w:space="0" w:color="auto"/>
        <w:bottom w:val="none" w:sz="0" w:space="0" w:color="auto"/>
        <w:right w:val="none" w:sz="0" w:space="0" w:color="auto"/>
      </w:divBdr>
    </w:div>
    <w:div w:id="1585525630">
      <w:bodyDiv w:val="1"/>
      <w:marLeft w:val="0"/>
      <w:marRight w:val="0"/>
      <w:marTop w:val="0"/>
      <w:marBottom w:val="0"/>
      <w:divBdr>
        <w:top w:val="none" w:sz="0" w:space="0" w:color="auto"/>
        <w:left w:val="none" w:sz="0" w:space="0" w:color="auto"/>
        <w:bottom w:val="none" w:sz="0" w:space="0" w:color="auto"/>
        <w:right w:val="none" w:sz="0" w:space="0" w:color="auto"/>
      </w:divBdr>
    </w:div>
    <w:div w:id="1600062520">
      <w:bodyDiv w:val="1"/>
      <w:marLeft w:val="0"/>
      <w:marRight w:val="0"/>
      <w:marTop w:val="0"/>
      <w:marBottom w:val="0"/>
      <w:divBdr>
        <w:top w:val="none" w:sz="0" w:space="0" w:color="auto"/>
        <w:left w:val="none" w:sz="0" w:space="0" w:color="auto"/>
        <w:bottom w:val="none" w:sz="0" w:space="0" w:color="auto"/>
        <w:right w:val="none" w:sz="0" w:space="0" w:color="auto"/>
      </w:divBdr>
    </w:div>
    <w:div w:id="1772701750">
      <w:bodyDiv w:val="1"/>
      <w:marLeft w:val="0"/>
      <w:marRight w:val="0"/>
      <w:marTop w:val="0"/>
      <w:marBottom w:val="0"/>
      <w:divBdr>
        <w:top w:val="none" w:sz="0" w:space="0" w:color="auto"/>
        <w:left w:val="none" w:sz="0" w:space="0" w:color="auto"/>
        <w:bottom w:val="none" w:sz="0" w:space="0" w:color="auto"/>
        <w:right w:val="none" w:sz="0" w:space="0" w:color="auto"/>
      </w:divBdr>
    </w:div>
    <w:div w:id="1787626174">
      <w:bodyDiv w:val="1"/>
      <w:marLeft w:val="0"/>
      <w:marRight w:val="0"/>
      <w:marTop w:val="0"/>
      <w:marBottom w:val="0"/>
      <w:divBdr>
        <w:top w:val="none" w:sz="0" w:space="0" w:color="auto"/>
        <w:left w:val="none" w:sz="0" w:space="0" w:color="auto"/>
        <w:bottom w:val="none" w:sz="0" w:space="0" w:color="auto"/>
        <w:right w:val="none" w:sz="0" w:space="0" w:color="auto"/>
      </w:divBdr>
    </w:div>
    <w:div w:id="193003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ku.cz/scripts/detail.php?id=12787" TargetMode="External"/><Relationship Id="rId26" Type="http://schemas.openxmlformats.org/officeDocument/2006/relationships/hyperlink" Target="https://ec.europa.eu/competition/publications/cpn/2011_3_6_en.pdf" TargetMode="External"/><Relationship Id="rId3" Type="http://schemas.openxmlformats.org/officeDocument/2006/relationships/customXml" Target="../customXml/item3.xml"/><Relationship Id="rId21" Type="http://schemas.openxmlformats.org/officeDocument/2006/relationships/hyperlink" Target="https://digital-strategy.ec.europa.eu/en/library/mobile-and-fixed-broadband-prices-europe-202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tif"/><Relationship Id="rId2" Type="http://schemas.openxmlformats.org/officeDocument/2006/relationships/customXml" Target="../customXml/item2.xml"/><Relationship Id="rId16" Type="http://schemas.openxmlformats.org/officeDocument/2006/relationships/hyperlink" Target="https://www.nku.cz/scripts/detail.php?id=12787" TargetMode="External"/><Relationship Id="rId20" Type="http://schemas.openxmlformats.org/officeDocument/2006/relationships/hyperlink" Target="https://www.nku.cz/scripts/detail.php?id=1278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ku.cz/scripts/detail.php?id=12787"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gital-strategy.ec.europa.eu/en/library/mobile-and-fixed-broadband-prices-europe-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competition/publications/cpn/2011_3_6_en.pdf" TargetMode="External"/><Relationship Id="rId27"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egovernment.cz/soubor/vitame-nove-uzivatele-datovych-schranek-ceska-posta/" TargetMode="External"/><Relationship Id="rId2" Type="http://schemas.openxmlformats.org/officeDocument/2006/relationships/hyperlink" Target="https://digital-strategy.ec.europa.eu/en/library/mobile-and-fixed-broadband-prices-europe-2021" TargetMode="External"/><Relationship Id="rId1" Type="http://schemas.openxmlformats.org/officeDocument/2006/relationships/hyperlink" Target="https://www.nku.cz/scripts/detail.php?id=12787" TargetMode="External"/><Relationship Id="rId4" Type="http://schemas.openxmlformats.org/officeDocument/2006/relationships/hyperlink" Target="https://ec.europa.eu/docsroom/documents/48634"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2DF46-9909-4FD3-9718-8E625152752C}">
  <ds:schemaRefs>
    <ds:schemaRef ds:uri="http://schemas.microsoft.com/sharepoint/v3/contenttype/forms"/>
  </ds:schemaRefs>
</ds:datastoreItem>
</file>

<file path=customXml/itemProps2.xml><?xml version="1.0" encoding="utf-8"?>
<ds:datastoreItem xmlns:ds="http://schemas.openxmlformats.org/officeDocument/2006/customXml" ds:itemID="{4720E46C-1E80-402A-A2A8-E663701728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3.xml><?xml version="1.0" encoding="utf-8"?>
<ds:datastoreItem xmlns:ds="http://schemas.openxmlformats.org/officeDocument/2006/customXml" ds:itemID="{67926003-3A99-40EC-BDC2-08B8608B4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DF160-E550-4E04-8719-A5375E5E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5986</Words>
  <Characters>35322</Characters>
  <Application>Microsoft Office Word</Application>
  <DocSecurity>4</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22/03 - Majetek a peněžní prostředky státu, se kterými je příslušný hospodařit Český telekomunikační úřad</dc:title>
  <dc:subject>Kontrolní závěr z kontrolní akce NKÚ č. 22/03 - Majetek a peněžní prostředky státu, se kterými je příslušný hospodařit Český telekomunikační úřad</dc:subject>
  <dc:creator>Nejvyšší kontrolní úřad</dc:creator>
  <cp:keywords>kontrolní závěr; ČTÚ; český telekomunikační úřad</cp:keywords>
  <dc:description/>
  <cp:lastModifiedBy>KOKRDA Daniel</cp:lastModifiedBy>
  <cp:revision>2</cp:revision>
  <cp:lastPrinted>2022-10-18T13:33:00Z</cp:lastPrinted>
  <dcterms:created xsi:type="dcterms:W3CDTF">2022-11-30T09:57:00Z</dcterms:created>
  <dcterms:modified xsi:type="dcterms:W3CDTF">2022-11-30T09:57:00Z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0x0101002F7A625AE9F5AB4A939F92BCAA7FEC02</vt:lpwstr>
  </property>
  <property fmtid="{D5CDD505-2E9C-101B-9397-08002B2CF9AE}" pid="3" name="_DocHome">
    <vt:i4>-1657478421</vt:i4>
  </property>
</Properties>
</file>