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2F09" w14:textId="77777777" w:rsidR="00F874E2" w:rsidRDefault="00F874E2" w:rsidP="00F874E2">
      <w:pPr>
        <w:jc w:val="center"/>
      </w:pPr>
      <w:r w:rsidRPr="00C3396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F952CEC" wp14:editId="18E94DF3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A73DC" w14:textId="77777777" w:rsidR="00F874E2" w:rsidRPr="00C3396A" w:rsidRDefault="00F874E2" w:rsidP="00F874E2">
      <w:pPr>
        <w:jc w:val="center"/>
      </w:pPr>
    </w:p>
    <w:p w14:paraId="4C8B7BB0" w14:textId="77777777" w:rsidR="00F874E2" w:rsidRPr="00C3396A" w:rsidRDefault="00F874E2" w:rsidP="00F874E2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C3396A">
        <w:rPr>
          <w:b/>
          <w:sz w:val="28"/>
          <w:szCs w:val="28"/>
        </w:rPr>
        <w:t>Kontrolní závěr z kontrolní akce</w:t>
      </w:r>
    </w:p>
    <w:p w14:paraId="1E14F4B1" w14:textId="77777777" w:rsidR="00F874E2" w:rsidRPr="008F74E8" w:rsidRDefault="00F874E2" w:rsidP="00F874E2">
      <w:pPr>
        <w:jc w:val="center"/>
      </w:pPr>
    </w:p>
    <w:p w14:paraId="24FBF767" w14:textId="77777777" w:rsidR="00F874E2" w:rsidRDefault="00F874E2" w:rsidP="00F8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Pr="00C3396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29</w:t>
      </w:r>
    </w:p>
    <w:p w14:paraId="714F00BC" w14:textId="77777777" w:rsidR="00F874E2" w:rsidRDefault="00F874E2" w:rsidP="00F874E2">
      <w:pPr>
        <w:jc w:val="center"/>
      </w:pPr>
    </w:p>
    <w:p w14:paraId="7EDC0FB9" w14:textId="77777777" w:rsidR="00F874E2" w:rsidRDefault="00F874E2" w:rsidP="00F874E2">
      <w:pPr>
        <w:jc w:val="center"/>
      </w:pPr>
      <w:r>
        <w:rPr>
          <w:b/>
          <w:sz w:val="28"/>
          <w:szCs w:val="28"/>
        </w:rPr>
        <w:t>Peněžní prostředky státního rozpočtu a Evropské unie určené na podporu rodinné politiky</w:t>
      </w:r>
    </w:p>
    <w:bookmarkEnd w:id="0"/>
    <w:p w14:paraId="5B542DE8" w14:textId="77777777" w:rsidR="00F874E2" w:rsidRDefault="00F874E2" w:rsidP="00F874E2">
      <w:pPr>
        <w:pStyle w:val="Text"/>
        <w:spacing w:after="120" w:line="264" w:lineRule="auto"/>
      </w:pPr>
    </w:p>
    <w:p w14:paraId="4772074E" w14:textId="103F0391" w:rsidR="00F874E2" w:rsidRPr="00321AB1" w:rsidRDefault="00F874E2" w:rsidP="00F874E2">
      <w:pPr>
        <w:pStyle w:val="Text"/>
        <w:spacing w:after="120" w:line="264" w:lineRule="auto"/>
      </w:pPr>
      <w:r w:rsidRPr="00321AB1">
        <w:t>Kontrolní akce byla zařazena do plánu kontrolní činnosti Nejvyš</w:t>
      </w:r>
      <w:r>
        <w:t>šího kontrolního úřadu (dále také</w:t>
      </w:r>
      <w:r w:rsidRPr="00321AB1">
        <w:t xml:space="preserve"> „NKÚ“) na rok 20</w:t>
      </w:r>
      <w:r>
        <w:t>21</w:t>
      </w:r>
      <w:r w:rsidRPr="00321AB1">
        <w:t xml:space="preserve"> pod číslem </w:t>
      </w:r>
      <w:r>
        <w:t>21</w:t>
      </w:r>
      <w:r w:rsidRPr="00321AB1">
        <w:t>/</w:t>
      </w:r>
      <w:r>
        <w:t>29</w:t>
      </w:r>
      <w:r w:rsidRPr="00321AB1">
        <w:t xml:space="preserve">. Kontrolní akci řídil a kontrolní závěr vypracoval člen NKÚ </w:t>
      </w:r>
      <w:r>
        <w:t>Ing. Jan Stárek</w:t>
      </w:r>
      <w:r w:rsidRPr="00321AB1">
        <w:t>.</w:t>
      </w:r>
      <w:r w:rsidR="00CF790F">
        <w:t xml:space="preserve"> </w:t>
      </w:r>
    </w:p>
    <w:p w14:paraId="7C8F15FF" w14:textId="05DA6D83" w:rsidR="00F874E2" w:rsidRDefault="00F874E2" w:rsidP="00F874E2">
      <w:pPr>
        <w:pStyle w:val="Text"/>
        <w:spacing w:before="240" w:after="120" w:line="264" w:lineRule="auto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</w:t>
      </w:r>
      <w:r>
        <w:t>t, zda peněžní prostředky státního rozpočtu a Evropské unie vynaložené na opatření v oblasti rodinné politiky přispěly k realizaci stanovených cílů a zda byly vynaloženy a čerpány v souladu s právními předpisy</w:t>
      </w:r>
      <w:r w:rsidRPr="009C5669">
        <w:t>.</w:t>
      </w:r>
      <w:r w:rsidR="00092A54">
        <w:t xml:space="preserve"> </w:t>
      </w:r>
    </w:p>
    <w:p w14:paraId="184BCF9A" w14:textId="77777777" w:rsidR="00F874E2" w:rsidRDefault="00F874E2" w:rsidP="00A86A60">
      <w:pPr>
        <w:pStyle w:val="Text"/>
        <w:spacing w:before="240" w:after="120" w:line="264" w:lineRule="auto"/>
      </w:pPr>
      <w:r w:rsidRPr="00321AB1">
        <w:t xml:space="preserve">Kontrola byla prováděna u kontrolovaných osob v období od </w:t>
      </w:r>
      <w:r>
        <w:rPr>
          <w:rFonts w:eastAsia="Times New Roman" w:cs="Calibri"/>
        </w:rPr>
        <w:t>listopadu 2021</w:t>
      </w:r>
      <w:r w:rsidRPr="001F340D">
        <w:rPr>
          <w:rFonts w:eastAsia="Times New Roman" w:cs="Calibri"/>
        </w:rPr>
        <w:t xml:space="preserve"> </w:t>
      </w:r>
      <w:r w:rsidRPr="002A77F8">
        <w:rPr>
          <w:rFonts w:eastAsia="Times New Roman" w:cs="Calibri"/>
        </w:rPr>
        <w:t xml:space="preserve">do </w:t>
      </w:r>
      <w:r>
        <w:rPr>
          <w:rFonts w:eastAsia="Times New Roman" w:cs="Calibri"/>
        </w:rPr>
        <w:t>června</w:t>
      </w:r>
      <w:r w:rsidRPr="002A77F8">
        <w:rPr>
          <w:rFonts w:eastAsia="Times New Roman" w:cs="Calibri"/>
        </w:rPr>
        <w:t xml:space="preserve"> 202</w:t>
      </w:r>
      <w:r>
        <w:rPr>
          <w:rFonts w:eastAsia="Times New Roman" w:cs="Calibri"/>
        </w:rPr>
        <w:t>2</w:t>
      </w:r>
      <w:r>
        <w:t>.</w:t>
      </w:r>
    </w:p>
    <w:p w14:paraId="2F67F314" w14:textId="77777777" w:rsidR="00F874E2" w:rsidRDefault="00F874E2" w:rsidP="00A86A60">
      <w:pPr>
        <w:pStyle w:val="Text"/>
        <w:spacing w:before="240" w:after="120" w:line="264" w:lineRule="auto"/>
      </w:pPr>
      <w:r w:rsidRPr="00321AB1">
        <w:t xml:space="preserve">Kontrolovaným obdobím byly roky </w:t>
      </w:r>
      <w:r>
        <w:t>2018</w:t>
      </w:r>
      <w:r w:rsidRPr="00321AB1">
        <w:t xml:space="preserve"> až </w:t>
      </w:r>
      <w:r>
        <w:t>2020</w:t>
      </w:r>
      <w:r w:rsidRPr="00321AB1">
        <w:t>, v případě věcných souvislostí i období předcházející a následující.</w:t>
      </w:r>
    </w:p>
    <w:p w14:paraId="3A9A378F" w14:textId="49522DBC" w:rsidR="00404BFB" w:rsidRDefault="00F874E2" w:rsidP="00A86A60">
      <w:pPr>
        <w:spacing w:before="240" w:after="0" w:line="264" w:lineRule="auto"/>
      </w:pPr>
      <w:r w:rsidRPr="007F5880">
        <w:rPr>
          <w:b/>
        </w:rPr>
        <w:t>Kontrolované osoby:</w:t>
      </w:r>
    </w:p>
    <w:p w14:paraId="41E51F95" w14:textId="22BCA888" w:rsidR="00FF7731" w:rsidRDefault="00F874E2" w:rsidP="00404BF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Ministerstvo práce a sociálních věcí (dále také „MPSV“)</w:t>
      </w:r>
      <w:r w:rsidR="00FF7731">
        <w:rPr>
          <w:rFonts w:cstheme="minorHAnsi"/>
          <w:color w:val="000000"/>
        </w:rPr>
        <w:t>;</w:t>
      </w:r>
      <w:r>
        <w:rPr>
          <w:rFonts w:cstheme="minorHAnsi"/>
          <w:color w:val="000000"/>
        </w:rPr>
        <w:t xml:space="preserve"> </w:t>
      </w:r>
    </w:p>
    <w:p w14:paraId="0DF95E64" w14:textId="77777777" w:rsidR="00FF7731" w:rsidRDefault="00FF7731" w:rsidP="00404BF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vybraní příjemci podpory: </w:t>
      </w:r>
    </w:p>
    <w:p w14:paraId="5953F708" w14:textId="7ED67944" w:rsidR="00FA44AD" w:rsidRDefault="00FA44AD" w:rsidP="00FA44AD">
      <w:r>
        <w:rPr>
          <w:rFonts w:cstheme="minorHAnsi"/>
          <w:color w:val="000000"/>
        </w:rPr>
        <w:t>Úřad práce České republiky, Praha (dále</w:t>
      </w:r>
      <w:r w:rsidR="00A86A6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také</w:t>
      </w:r>
      <w:r w:rsidR="00A86A6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„ÚP ČR“); </w:t>
      </w:r>
      <w:proofErr w:type="spellStart"/>
      <w:r>
        <w:rPr>
          <w:rFonts w:cstheme="minorHAnsi"/>
          <w:color w:val="000000"/>
        </w:rPr>
        <w:t>Aufori</w:t>
      </w:r>
      <w:proofErr w:type="spellEnd"/>
      <w:r>
        <w:rPr>
          <w:rFonts w:cstheme="minorHAnsi"/>
          <w:color w:val="000000"/>
        </w:rPr>
        <w:t xml:space="preserve">, o.p.s., Hradec Králové; Šance pro Tebe, </w:t>
      </w:r>
      <w:proofErr w:type="spellStart"/>
      <w:r>
        <w:rPr>
          <w:rFonts w:cstheme="minorHAnsi"/>
          <w:color w:val="000000"/>
        </w:rPr>
        <w:t>z.s</w:t>
      </w:r>
      <w:proofErr w:type="spellEnd"/>
      <w:r>
        <w:rPr>
          <w:rFonts w:cstheme="minorHAnsi"/>
          <w:color w:val="000000"/>
        </w:rPr>
        <w:t xml:space="preserve">., Chrudim; Statutární město Brno; Kraj Vysočina, Jihlava; Centrum Kašpar, z. s., Liberec; Dobrá rodina o.p.s., Praha; APERIO – Společnost pro zdravé rodičovství, </w:t>
      </w:r>
      <w:proofErr w:type="spellStart"/>
      <w:r>
        <w:rPr>
          <w:rFonts w:cstheme="minorHAnsi"/>
          <w:color w:val="000000"/>
        </w:rPr>
        <w:t>z.s</w:t>
      </w:r>
      <w:proofErr w:type="spellEnd"/>
      <w:r>
        <w:rPr>
          <w:rFonts w:cstheme="minorHAnsi"/>
          <w:color w:val="000000"/>
        </w:rPr>
        <w:t>., Praha.</w:t>
      </w:r>
    </w:p>
    <w:p w14:paraId="43E6C2B5" w14:textId="77777777" w:rsidR="00F874E2" w:rsidRPr="00D8596E" w:rsidRDefault="00F874E2" w:rsidP="00F874E2"/>
    <w:p w14:paraId="06C87E29" w14:textId="17D4FA0C" w:rsidR="00F874E2" w:rsidRPr="006054F8" w:rsidRDefault="00F874E2" w:rsidP="00F874E2">
      <w:r w:rsidRPr="006054F8">
        <w:rPr>
          <w:b/>
          <w:i/>
          <w:spacing w:val="40"/>
        </w:rPr>
        <w:t>Kolegium</w:t>
      </w:r>
      <w:r w:rsidRPr="006054F8">
        <w:rPr>
          <w:b/>
          <w:i/>
        </w:rPr>
        <w:t xml:space="preserve">   </w:t>
      </w:r>
      <w:r w:rsidRPr="006054F8">
        <w:rPr>
          <w:b/>
          <w:i/>
          <w:spacing w:val="40"/>
        </w:rPr>
        <w:t>NKÚ</w:t>
      </w:r>
      <w:r w:rsidRPr="006054F8">
        <w:rPr>
          <w:b/>
          <w:i/>
        </w:rPr>
        <w:t xml:space="preserve">   </w:t>
      </w:r>
      <w:r w:rsidRPr="006054F8">
        <w:t xml:space="preserve">na svém </w:t>
      </w:r>
      <w:r w:rsidR="00A76B56">
        <w:t xml:space="preserve">XIV. </w:t>
      </w:r>
      <w:r w:rsidRPr="006054F8">
        <w:t xml:space="preserve">jednání, které se konalo dne </w:t>
      </w:r>
      <w:r w:rsidR="00A76B56">
        <w:t xml:space="preserve">17. října </w:t>
      </w:r>
      <w:r w:rsidRPr="00424BFF">
        <w:t>202</w:t>
      </w:r>
      <w:r w:rsidR="00FF7731">
        <w:t>2</w:t>
      </w:r>
      <w:r w:rsidRPr="006054F8">
        <w:t>,</w:t>
      </w:r>
    </w:p>
    <w:p w14:paraId="549CADA8" w14:textId="5671DC8D" w:rsidR="00F874E2" w:rsidRPr="00D8596E" w:rsidRDefault="00F874E2" w:rsidP="00F874E2">
      <w:r w:rsidRPr="006054F8">
        <w:rPr>
          <w:b/>
          <w:i/>
          <w:spacing w:val="40"/>
        </w:rPr>
        <w:t>schválilo</w:t>
      </w:r>
      <w:r w:rsidRPr="006054F8">
        <w:rPr>
          <w:b/>
          <w:i/>
        </w:rPr>
        <w:t xml:space="preserve">   </w:t>
      </w:r>
      <w:r w:rsidRPr="006054F8">
        <w:t>usnesením č.</w:t>
      </w:r>
      <w:r>
        <w:t xml:space="preserve"> </w:t>
      </w:r>
      <w:r w:rsidR="000C0F8B">
        <w:t>13</w:t>
      </w:r>
      <w:r w:rsidR="00A76B56">
        <w:t>/XIV</w:t>
      </w:r>
      <w:r>
        <w:t>/202</w:t>
      </w:r>
      <w:r w:rsidR="00FF7731">
        <w:t>2</w:t>
      </w:r>
    </w:p>
    <w:p w14:paraId="19BED9CE" w14:textId="77777777" w:rsidR="009A19BE" w:rsidRDefault="00F874E2" w:rsidP="00F874E2">
      <w:r w:rsidRPr="007F5880">
        <w:rPr>
          <w:b/>
          <w:i/>
          <w:spacing w:val="40"/>
        </w:rPr>
        <w:t>kontrolní</w:t>
      </w:r>
      <w:r w:rsidRPr="007F5880">
        <w:rPr>
          <w:b/>
          <w:i/>
        </w:rPr>
        <w:t xml:space="preserve">   </w:t>
      </w:r>
      <w:r w:rsidRPr="007F5880">
        <w:rPr>
          <w:b/>
          <w:i/>
          <w:spacing w:val="40"/>
        </w:rPr>
        <w:t>závěr</w:t>
      </w:r>
      <w:r w:rsidRPr="00D8596E">
        <w:t xml:space="preserve">   v to</w:t>
      </w:r>
      <w:r>
        <w:t>mto znění:</w:t>
      </w:r>
    </w:p>
    <w:p w14:paraId="49B66A29" w14:textId="77777777" w:rsidR="00FF7731" w:rsidRDefault="00FF7731" w:rsidP="00F874E2"/>
    <w:p w14:paraId="761374D1" w14:textId="77777777" w:rsidR="00FF7731" w:rsidRDefault="00FF7731" w:rsidP="00F874E2"/>
    <w:p w14:paraId="63757288" w14:textId="77777777" w:rsidR="00FF7731" w:rsidRDefault="00FF7731" w:rsidP="00F874E2"/>
    <w:p w14:paraId="2BB7A7F2" w14:textId="006283F4" w:rsidR="00FF7731" w:rsidRPr="002863B0" w:rsidRDefault="002863B0" w:rsidP="002863B0">
      <w:pPr>
        <w:spacing w:after="240"/>
        <w:jc w:val="center"/>
        <w:rPr>
          <w:rFonts w:ascii="Calibri" w:hAnsi="Calibri" w:cs="Calibri"/>
          <w:b/>
          <w:sz w:val="28"/>
        </w:rPr>
      </w:pPr>
      <w:r w:rsidRPr="002863B0">
        <w:rPr>
          <w:rStyle w:val="A4"/>
          <w:rFonts w:ascii="Calibri" w:hAnsi="Calibri" w:cs="Calibri"/>
          <w:b/>
          <w:color w:val="0070C0"/>
          <w:sz w:val="32"/>
          <w:szCs w:val="36"/>
        </w:rPr>
        <w:lastRenderedPageBreak/>
        <w:t xml:space="preserve">Prostředky státního rozpočtu a Evropské unie </w:t>
      </w:r>
      <w:r w:rsidRPr="002863B0">
        <w:rPr>
          <w:rStyle w:val="A4"/>
          <w:rFonts w:ascii="Calibri" w:hAnsi="Calibri" w:cs="Calibri"/>
          <w:b/>
          <w:color w:val="0070C0"/>
          <w:sz w:val="32"/>
          <w:szCs w:val="36"/>
        </w:rPr>
        <w:br/>
        <w:t>určené na podporu rodinné politiky</w:t>
      </w:r>
    </w:p>
    <w:p w14:paraId="5F507757" w14:textId="17E4B6FD" w:rsidR="00445AFB" w:rsidRDefault="00445AFB" w:rsidP="00B73E5F">
      <w:pPr>
        <w:jc w:val="left"/>
        <w:rPr>
          <w:b/>
        </w:rPr>
      </w:pPr>
      <w:r>
        <w:rPr>
          <w:noProof/>
        </w:rPr>
        <w:drawing>
          <wp:inline distT="0" distB="0" distL="0" distR="0" wp14:anchorId="19045B0A" wp14:editId="459F7AAD">
            <wp:extent cx="5692140" cy="1667435"/>
            <wp:effectExtent l="0" t="38100" r="80010" b="6667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901AE9" wp14:editId="1ACD7B5E">
            <wp:extent cx="5707380" cy="1842247"/>
            <wp:effectExtent l="0" t="0" r="26670" b="2476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EB62147" w14:textId="77777777" w:rsidR="0019366C" w:rsidRDefault="0019366C" w:rsidP="00B73E5F">
      <w:pPr>
        <w:jc w:val="left"/>
        <w:rPr>
          <w:b/>
        </w:rPr>
      </w:pPr>
    </w:p>
    <w:p w14:paraId="3791A18C" w14:textId="4327EA02" w:rsidR="00506AAD" w:rsidRPr="00506AAD" w:rsidRDefault="006E333A" w:rsidP="00506AAD">
      <w:pPr>
        <w:spacing w:after="0"/>
        <w:jc w:val="left"/>
        <w:rPr>
          <w:b/>
          <w:sz w:val="12"/>
        </w:rPr>
      </w:pPr>
      <w:r>
        <w:rPr>
          <w:b/>
          <w:noProof/>
          <w:sz w:val="12"/>
        </w:rPr>
        <w:drawing>
          <wp:inline distT="0" distB="0" distL="0" distR="0" wp14:anchorId="6C478528" wp14:editId="3A72C1E9">
            <wp:extent cx="6009818" cy="3733273"/>
            <wp:effectExtent l="0" t="0" r="0" b="635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403" cy="3770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636CB" w14:textId="77777777" w:rsidR="0019366C" w:rsidRDefault="0019366C" w:rsidP="0050327A">
      <w:pPr>
        <w:spacing w:before="60" w:after="0"/>
        <w:rPr>
          <w:sz w:val="20"/>
          <w:szCs w:val="16"/>
          <w:vertAlign w:val="superscript"/>
        </w:rPr>
      </w:pPr>
    </w:p>
    <w:p w14:paraId="4D1542C8" w14:textId="095A96C0" w:rsidR="00C23355" w:rsidRPr="007C22B0" w:rsidRDefault="00C23355" w:rsidP="007C22B0">
      <w:pPr>
        <w:spacing w:before="60" w:after="0"/>
        <w:ind w:left="284" w:hanging="284"/>
        <w:rPr>
          <w:sz w:val="20"/>
          <w:szCs w:val="16"/>
        </w:rPr>
      </w:pPr>
      <w:r w:rsidRPr="007C22B0">
        <w:rPr>
          <w:sz w:val="20"/>
          <w:szCs w:val="16"/>
          <w:vertAlign w:val="superscript"/>
        </w:rPr>
        <w:t>1</w:t>
      </w:r>
      <w:r w:rsidRPr="007C22B0">
        <w:rPr>
          <w:sz w:val="20"/>
          <w:szCs w:val="16"/>
        </w:rPr>
        <w:t xml:space="preserve"> </w:t>
      </w:r>
      <w:r w:rsidR="007C22B0">
        <w:rPr>
          <w:sz w:val="20"/>
          <w:szCs w:val="16"/>
        </w:rPr>
        <w:tab/>
      </w:r>
      <w:r w:rsidRPr="007C22B0">
        <w:rPr>
          <w:sz w:val="20"/>
          <w:szCs w:val="16"/>
        </w:rPr>
        <w:t xml:space="preserve">Operační program </w:t>
      </w:r>
      <w:r w:rsidRPr="004C29F3">
        <w:rPr>
          <w:i/>
          <w:sz w:val="20"/>
          <w:szCs w:val="16"/>
        </w:rPr>
        <w:t>Zaměstnanost 2014</w:t>
      </w:r>
      <w:r w:rsidR="00DB6593" w:rsidRPr="004C29F3">
        <w:rPr>
          <w:i/>
          <w:sz w:val="20"/>
          <w:szCs w:val="16"/>
        </w:rPr>
        <w:t>–</w:t>
      </w:r>
      <w:r w:rsidRPr="004C29F3">
        <w:rPr>
          <w:i/>
          <w:sz w:val="20"/>
          <w:szCs w:val="16"/>
        </w:rPr>
        <w:t>2020</w:t>
      </w:r>
      <w:r w:rsidR="00DB6593" w:rsidRPr="007C22B0">
        <w:rPr>
          <w:sz w:val="20"/>
          <w:szCs w:val="16"/>
        </w:rPr>
        <w:t>.</w:t>
      </w:r>
    </w:p>
    <w:p w14:paraId="07A17646" w14:textId="77777777" w:rsidR="00721914" w:rsidRPr="009709A2" w:rsidRDefault="003B5DC8" w:rsidP="009709A2">
      <w:pPr>
        <w:pStyle w:val="Nadpis1"/>
        <w:spacing w:before="0"/>
        <w:rPr>
          <w:sz w:val="28"/>
        </w:rPr>
      </w:pPr>
      <w:r w:rsidRPr="009709A2">
        <w:rPr>
          <w:sz w:val="28"/>
        </w:rPr>
        <w:lastRenderedPageBreak/>
        <w:t xml:space="preserve">I. Shrnutí a vyhodnocení </w:t>
      </w:r>
    </w:p>
    <w:p w14:paraId="72A3AF82" w14:textId="3C73B06A" w:rsidR="00903AB2" w:rsidRPr="002D39F3" w:rsidRDefault="006842FB" w:rsidP="007051F0">
      <w:pPr>
        <w:spacing w:before="60" w:after="60"/>
        <w:rPr>
          <w:rFonts w:cstheme="minorHAnsi"/>
        </w:rPr>
      </w:pPr>
      <w:r>
        <w:rPr>
          <w:rFonts w:cstheme="minorHAnsi"/>
        </w:rPr>
        <w:t xml:space="preserve">NKÚ provedl kontrolu poskytování peněžních prostředků státního rozpočtu a Evropské unie </w:t>
      </w:r>
      <w:r w:rsidR="00D223EC">
        <w:rPr>
          <w:rFonts w:cstheme="minorHAnsi"/>
        </w:rPr>
        <w:t>určených</w:t>
      </w:r>
      <w:r>
        <w:rPr>
          <w:rFonts w:cstheme="minorHAnsi"/>
        </w:rPr>
        <w:t xml:space="preserve"> na opatření v oblasti rodinné politiky a prověř</w:t>
      </w:r>
      <w:r w:rsidR="006D62DA">
        <w:rPr>
          <w:rFonts w:cstheme="minorHAnsi"/>
        </w:rPr>
        <w:t>i</w:t>
      </w:r>
      <w:r>
        <w:rPr>
          <w:rFonts w:cstheme="minorHAnsi"/>
        </w:rPr>
        <w:t>l, zda tyto peněžní prostředky přispěly k realizaci stanovených cílů a zda byly vynaloženy a čerpány v souladu s právními předpisy.</w:t>
      </w:r>
      <w:r w:rsidR="00A522FC">
        <w:rPr>
          <w:rFonts w:cstheme="minorHAnsi"/>
        </w:rPr>
        <w:t xml:space="preserve"> </w:t>
      </w:r>
      <w:r w:rsidR="00840275">
        <w:rPr>
          <w:rFonts w:cstheme="minorHAnsi"/>
        </w:rPr>
        <w:t>Na</w:t>
      </w:r>
      <w:r w:rsidR="00FF07C3">
        <w:rPr>
          <w:rFonts w:cstheme="minorHAnsi"/>
        </w:rPr>
        <w:t xml:space="preserve"> </w:t>
      </w:r>
      <w:r w:rsidR="00840275">
        <w:rPr>
          <w:rFonts w:cstheme="minorHAnsi"/>
        </w:rPr>
        <w:t xml:space="preserve">podporu rodin </w:t>
      </w:r>
      <w:r w:rsidR="00A358B0">
        <w:rPr>
          <w:rFonts w:cstheme="minorHAnsi"/>
        </w:rPr>
        <w:t>byly z</w:t>
      </w:r>
      <w:r w:rsidR="00840275">
        <w:rPr>
          <w:rFonts w:cstheme="minorHAnsi"/>
        </w:rPr>
        <w:t xml:space="preserve"> </w:t>
      </w:r>
      <w:r w:rsidR="00FF07C3">
        <w:rPr>
          <w:rFonts w:cstheme="minorHAnsi"/>
        </w:rPr>
        <w:t>o</w:t>
      </w:r>
      <w:r w:rsidR="00840275">
        <w:rPr>
          <w:rFonts w:cstheme="minorHAnsi"/>
        </w:rPr>
        <w:t xml:space="preserve">peračního programu </w:t>
      </w:r>
      <w:r w:rsidR="00840275" w:rsidRPr="00561351">
        <w:rPr>
          <w:rFonts w:cstheme="minorHAnsi"/>
          <w:i/>
        </w:rPr>
        <w:t>Zaměstnanost 2014</w:t>
      </w:r>
      <w:r w:rsidR="00DB6593" w:rsidRPr="00561351">
        <w:rPr>
          <w:i/>
        </w:rPr>
        <w:t>–</w:t>
      </w:r>
      <w:r w:rsidR="00840275" w:rsidRPr="00561351">
        <w:rPr>
          <w:rFonts w:cstheme="minorHAnsi"/>
          <w:i/>
        </w:rPr>
        <w:t>2020</w:t>
      </w:r>
      <w:r w:rsidR="00840275">
        <w:rPr>
          <w:rFonts w:cstheme="minorHAnsi"/>
        </w:rPr>
        <w:t xml:space="preserve"> </w:t>
      </w:r>
      <w:r w:rsidR="0095773D">
        <w:rPr>
          <w:rFonts w:cstheme="minorHAnsi"/>
        </w:rPr>
        <w:t>(dále také „OPZ“)</w:t>
      </w:r>
      <w:r w:rsidR="0095773D" w:rsidRPr="00B02F0A">
        <w:rPr>
          <w:rFonts w:cstheme="minorHAnsi"/>
        </w:rPr>
        <w:t xml:space="preserve"> </w:t>
      </w:r>
      <w:r w:rsidR="00A358B0">
        <w:rPr>
          <w:rFonts w:cstheme="minorHAnsi"/>
        </w:rPr>
        <w:t xml:space="preserve">k 31. 12. 2021 </w:t>
      </w:r>
      <w:r w:rsidR="00840275">
        <w:rPr>
          <w:rFonts w:cstheme="minorHAnsi"/>
        </w:rPr>
        <w:t xml:space="preserve">vynaloženy peněžní prostředky ve výši 8,6 mld. Kč. V rámci </w:t>
      </w:r>
      <w:r w:rsidR="00725F1E">
        <w:rPr>
          <w:rFonts w:cstheme="minorHAnsi"/>
        </w:rPr>
        <w:t>n</w:t>
      </w:r>
      <w:r w:rsidR="00840275">
        <w:rPr>
          <w:rFonts w:cstheme="minorHAnsi"/>
        </w:rPr>
        <w:t xml:space="preserve">árodního dotačního titulu </w:t>
      </w:r>
      <w:r w:rsidR="00090C94">
        <w:rPr>
          <w:rFonts w:cstheme="minorHAnsi"/>
        </w:rPr>
        <w:t>(dále také „NDT“)</w:t>
      </w:r>
      <w:r w:rsidR="000524DA">
        <w:rPr>
          <w:rFonts w:cstheme="minorHAnsi"/>
        </w:rPr>
        <w:t xml:space="preserve"> </w:t>
      </w:r>
      <w:r w:rsidR="000524DA" w:rsidRPr="008F28EE">
        <w:rPr>
          <w:rFonts w:cstheme="minorHAnsi"/>
          <w:i/>
        </w:rPr>
        <w:t>Rodina</w:t>
      </w:r>
      <w:r w:rsidR="00090C94">
        <w:rPr>
          <w:rFonts w:cstheme="minorHAnsi"/>
        </w:rPr>
        <w:t xml:space="preserve"> </w:t>
      </w:r>
      <w:r w:rsidR="00840275">
        <w:rPr>
          <w:rFonts w:cstheme="minorHAnsi"/>
        </w:rPr>
        <w:t>byly na podporu rodin v letech 2018</w:t>
      </w:r>
      <w:r w:rsidR="002313D0">
        <w:t>–</w:t>
      </w:r>
      <w:r w:rsidR="00840275">
        <w:rPr>
          <w:rFonts w:cstheme="minorHAnsi"/>
        </w:rPr>
        <w:t xml:space="preserve">2020 vyplaceny peněžní prostředky ve výši </w:t>
      </w:r>
      <w:r w:rsidR="00840275" w:rsidRPr="006A6BAD">
        <w:rPr>
          <w:rFonts w:cstheme="minorHAnsi"/>
        </w:rPr>
        <w:t>0,3 mld. Kč</w:t>
      </w:r>
      <w:r w:rsidR="00AF3CC2">
        <w:rPr>
          <w:rFonts w:cstheme="minorHAnsi"/>
        </w:rPr>
        <w:t xml:space="preserve">. </w:t>
      </w:r>
      <w:r w:rsidR="00903AB2">
        <w:rPr>
          <w:rFonts w:cstheme="minorHAnsi"/>
        </w:rPr>
        <w:t xml:space="preserve">Kontrola byla provedena u </w:t>
      </w:r>
      <w:r w:rsidR="005D5A5C">
        <w:rPr>
          <w:rFonts w:cstheme="minorHAnsi"/>
        </w:rPr>
        <w:t>osmi</w:t>
      </w:r>
      <w:r w:rsidR="00903AB2">
        <w:rPr>
          <w:rFonts w:cstheme="minorHAnsi"/>
        </w:rPr>
        <w:t xml:space="preserve"> </w:t>
      </w:r>
      <w:r w:rsidR="00903AB2" w:rsidRPr="002D39F3">
        <w:rPr>
          <w:rFonts w:cstheme="minorHAnsi"/>
        </w:rPr>
        <w:t>příjemců podpory</w:t>
      </w:r>
      <w:r w:rsidR="00117453" w:rsidRPr="002D39F3">
        <w:rPr>
          <w:rFonts w:cstheme="minorHAnsi"/>
        </w:rPr>
        <w:t xml:space="preserve"> z OPZ</w:t>
      </w:r>
      <w:r w:rsidR="00903AB2" w:rsidRPr="002D39F3">
        <w:rPr>
          <w:rFonts w:cstheme="minorHAnsi"/>
        </w:rPr>
        <w:t xml:space="preserve">, u nichž byla prověřena realizace </w:t>
      </w:r>
      <w:r w:rsidR="005D5A5C">
        <w:rPr>
          <w:rFonts w:cstheme="minorHAnsi"/>
        </w:rPr>
        <w:t>deseti</w:t>
      </w:r>
      <w:r w:rsidR="00903AB2" w:rsidRPr="002D39F3">
        <w:rPr>
          <w:rFonts w:cstheme="minorHAnsi"/>
        </w:rPr>
        <w:t xml:space="preserve"> projektů</w:t>
      </w:r>
      <w:r w:rsidR="00326E2D">
        <w:rPr>
          <w:rFonts w:cstheme="minorHAnsi"/>
        </w:rPr>
        <w:t xml:space="preserve"> </w:t>
      </w:r>
      <w:r w:rsidR="00326E2D" w:rsidRPr="00F214F6">
        <w:rPr>
          <w:rFonts w:cstheme="minorHAnsi"/>
        </w:rPr>
        <w:t xml:space="preserve">(z toho </w:t>
      </w:r>
      <w:r w:rsidR="005D5A5C">
        <w:rPr>
          <w:rFonts w:cstheme="minorHAnsi"/>
        </w:rPr>
        <w:t>sedm</w:t>
      </w:r>
      <w:r w:rsidR="00326E2D" w:rsidRPr="00F214F6">
        <w:rPr>
          <w:rFonts w:cstheme="minorHAnsi"/>
        </w:rPr>
        <w:t xml:space="preserve"> projektů bylo ukončených)</w:t>
      </w:r>
      <w:r w:rsidR="00903AB2" w:rsidRPr="002D39F3">
        <w:rPr>
          <w:rFonts w:cstheme="minorHAnsi"/>
        </w:rPr>
        <w:t xml:space="preserve"> s proplacenými výdaji ve výši 216,7 mil. Kč</w:t>
      </w:r>
      <w:r w:rsidR="00165B72" w:rsidRPr="00F214F6">
        <w:t>.</w:t>
      </w:r>
    </w:p>
    <w:p w14:paraId="2A0A536F" w14:textId="3EB691C1" w:rsidR="00365F5F" w:rsidRPr="002D39F3" w:rsidRDefault="00AA29D4" w:rsidP="007051F0">
      <w:pPr>
        <w:spacing w:before="60" w:after="60"/>
        <w:rPr>
          <w:b/>
          <w:bCs/>
        </w:rPr>
      </w:pPr>
      <w:r w:rsidRPr="00AD1F02">
        <w:rPr>
          <w:b/>
          <w:bCs/>
        </w:rPr>
        <w:t>Peněžní prostředky</w:t>
      </w:r>
      <w:r w:rsidR="00FF07C3">
        <w:rPr>
          <w:b/>
          <w:bCs/>
        </w:rPr>
        <w:t xml:space="preserve"> </w:t>
      </w:r>
      <w:r w:rsidR="004752A7" w:rsidRPr="00AD1F02">
        <w:rPr>
          <w:b/>
          <w:bCs/>
        </w:rPr>
        <w:t xml:space="preserve">státního rozpočtu </w:t>
      </w:r>
      <w:r w:rsidR="004752A7">
        <w:rPr>
          <w:b/>
          <w:bCs/>
        </w:rPr>
        <w:t xml:space="preserve">a </w:t>
      </w:r>
      <w:r w:rsidR="0098252C" w:rsidRPr="00AD1F02">
        <w:rPr>
          <w:b/>
          <w:bCs/>
        </w:rPr>
        <w:t xml:space="preserve">Evropské unie </w:t>
      </w:r>
      <w:r w:rsidR="00873ABC" w:rsidRPr="00AD1F02">
        <w:rPr>
          <w:b/>
          <w:bCs/>
        </w:rPr>
        <w:t xml:space="preserve">v celkové výši 8,9 mld. Kč, které MPSV </w:t>
      </w:r>
      <w:r w:rsidRPr="00AD1F02">
        <w:rPr>
          <w:b/>
          <w:bCs/>
        </w:rPr>
        <w:t>vy</w:t>
      </w:r>
      <w:r w:rsidR="006D62DA" w:rsidRPr="00AD1F02">
        <w:rPr>
          <w:b/>
          <w:bCs/>
        </w:rPr>
        <w:t>nalož</w:t>
      </w:r>
      <w:r w:rsidR="00873ABC" w:rsidRPr="00AD1F02">
        <w:rPr>
          <w:b/>
          <w:bCs/>
        </w:rPr>
        <w:t>ilo</w:t>
      </w:r>
      <w:r w:rsidRPr="00AD1F02">
        <w:rPr>
          <w:b/>
          <w:bCs/>
        </w:rPr>
        <w:t xml:space="preserve"> na </w:t>
      </w:r>
      <w:r w:rsidR="0098252C" w:rsidRPr="00AD1F02">
        <w:rPr>
          <w:b/>
          <w:bCs/>
        </w:rPr>
        <w:t xml:space="preserve">podpořené </w:t>
      </w:r>
      <w:r w:rsidRPr="00AD1F02">
        <w:rPr>
          <w:b/>
          <w:bCs/>
        </w:rPr>
        <w:t>projekty</w:t>
      </w:r>
      <w:r w:rsidR="00873ABC" w:rsidRPr="00AD1F02">
        <w:rPr>
          <w:b/>
          <w:bCs/>
        </w:rPr>
        <w:t>,</w:t>
      </w:r>
      <w:r w:rsidRPr="002D39F3">
        <w:rPr>
          <w:b/>
          <w:bCs/>
        </w:rPr>
        <w:t xml:space="preserve"> přispěly k naplňování cílů</w:t>
      </w:r>
      <w:r w:rsidR="006D62DA" w:rsidRPr="002D39F3">
        <w:rPr>
          <w:b/>
          <w:bCs/>
        </w:rPr>
        <w:t xml:space="preserve"> stanovených v oblasti rodinné politiky</w:t>
      </w:r>
      <w:r w:rsidRPr="002D39F3">
        <w:rPr>
          <w:b/>
          <w:bCs/>
        </w:rPr>
        <w:t xml:space="preserve"> pouze částečně</w:t>
      </w:r>
      <w:r w:rsidR="00365F5F" w:rsidRPr="002D39F3">
        <w:rPr>
          <w:b/>
          <w:bCs/>
        </w:rPr>
        <w:t xml:space="preserve">. Kontrolou byla zjištěna porušení povinností stanovených </w:t>
      </w:r>
      <w:r w:rsidR="00365F5F" w:rsidRPr="00AD1F02">
        <w:rPr>
          <w:b/>
          <w:bCs/>
        </w:rPr>
        <w:t xml:space="preserve">zákonem </w:t>
      </w:r>
      <w:r w:rsidR="00DF1AF8" w:rsidRPr="00AD1F02">
        <w:rPr>
          <w:b/>
          <w:bCs/>
        </w:rPr>
        <w:t>č. 218/2000 Sb.</w:t>
      </w:r>
      <w:r w:rsidR="00DF1AF8" w:rsidRPr="00AD1F02">
        <w:rPr>
          <w:rStyle w:val="Znakapoznpodarou"/>
          <w:b/>
          <w:bCs/>
        </w:rPr>
        <w:footnoteReference w:id="2"/>
      </w:r>
      <w:r w:rsidR="00365F5F" w:rsidRPr="00AD1F02">
        <w:rPr>
          <w:b/>
          <w:bCs/>
        </w:rPr>
        <w:t xml:space="preserve"> a</w:t>
      </w:r>
      <w:r w:rsidR="0020089A" w:rsidRPr="00AD1F02">
        <w:rPr>
          <w:b/>
          <w:bCs/>
        </w:rPr>
        <w:t> </w:t>
      </w:r>
      <w:r w:rsidR="00365F5F" w:rsidRPr="00AD1F02">
        <w:rPr>
          <w:b/>
          <w:bCs/>
        </w:rPr>
        <w:t xml:space="preserve">zákonem </w:t>
      </w:r>
      <w:r w:rsidR="00DF1AF8" w:rsidRPr="00AD1F02">
        <w:rPr>
          <w:b/>
          <w:bCs/>
        </w:rPr>
        <w:t>č. 320/2001 Sb.</w:t>
      </w:r>
      <w:r w:rsidR="00DF1AF8" w:rsidRPr="00AD1F02">
        <w:rPr>
          <w:rStyle w:val="Znakapoznpodarou"/>
          <w:b/>
          <w:bCs/>
        </w:rPr>
        <w:footnoteReference w:id="3"/>
      </w:r>
      <w:r w:rsidR="00365F5F" w:rsidRPr="002D39F3">
        <w:rPr>
          <w:b/>
          <w:bCs/>
        </w:rPr>
        <w:t xml:space="preserve"> ze strany MPSV a vybraných příjemců podpory.</w:t>
      </w:r>
    </w:p>
    <w:p w14:paraId="59ECCA26" w14:textId="3D43944C" w:rsidR="00A41E53" w:rsidRPr="00FA44AD" w:rsidRDefault="00A41E53" w:rsidP="007051F0">
      <w:pPr>
        <w:spacing w:before="60" w:after="60"/>
        <w:rPr>
          <w:b/>
        </w:rPr>
      </w:pPr>
      <w:r w:rsidRPr="002D39F3">
        <w:rPr>
          <w:b/>
          <w:bCs/>
        </w:rPr>
        <w:t xml:space="preserve">Systém podpory rodinné politiky </w:t>
      </w:r>
      <w:r w:rsidR="006D62DA" w:rsidRPr="002D39F3">
        <w:rPr>
          <w:b/>
          <w:bCs/>
        </w:rPr>
        <w:t xml:space="preserve">byl </w:t>
      </w:r>
      <w:r w:rsidRPr="002D39F3">
        <w:rPr>
          <w:b/>
          <w:bCs/>
        </w:rPr>
        <w:t>v rámci OPZ nastaven takovým způsobem,</w:t>
      </w:r>
      <w:r>
        <w:rPr>
          <w:b/>
          <w:bCs/>
        </w:rPr>
        <w:t xml:space="preserve"> aby maximalizoval </w:t>
      </w:r>
      <w:r w:rsidR="006D62DA">
        <w:rPr>
          <w:b/>
          <w:bCs/>
        </w:rPr>
        <w:t>objem</w:t>
      </w:r>
      <w:r>
        <w:rPr>
          <w:b/>
          <w:bCs/>
        </w:rPr>
        <w:t xml:space="preserve"> čerpání peněžních prostředků ze strany příjemců</w:t>
      </w:r>
      <w:r w:rsidR="00E921C8">
        <w:rPr>
          <w:b/>
          <w:bCs/>
        </w:rPr>
        <w:t xml:space="preserve"> podpory</w:t>
      </w:r>
      <w:r>
        <w:rPr>
          <w:b/>
          <w:bCs/>
        </w:rPr>
        <w:t xml:space="preserve">. Dle zjištění NKÚ však MPSV současně </w:t>
      </w:r>
      <w:r w:rsidR="00CC76DD">
        <w:rPr>
          <w:b/>
          <w:bCs/>
        </w:rPr>
        <w:t>nemělo</w:t>
      </w:r>
      <w:r>
        <w:rPr>
          <w:b/>
          <w:bCs/>
        </w:rPr>
        <w:t xml:space="preserve"> přehled o reálných kvalitativních dopadech projektů zaměřených na podporu rodinné politiky. Stanovené závazné indikátory totiž sledují především počet účastníků projektů, nikoliv kvalitativní přínosy těchto projektů pro</w:t>
      </w:r>
      <w:r w:rsidR="00FF07C3">
        <w:rPr>
          <w:b/>
          <w:bCs/>
        </w:rPr>
        <w:t xml:space="preserve"> </w:t>
      </w:r>
      <w:r>
        <w:rPr>
          <w:b/>
          <w:bCs/>
        </w:rPr>
        <w:t xml:space="preserve">osoby z cílové skupiny. </w:t>
      </w:r>
      <w:r w:rsidR="007F30C9" w:rsidRPr="00837041">
        <w:rPr>
          <w:b/>
          <w:bCs/>
        </w:rPr>
        <w:t xml:space="preserve">NKÚ zjistil, že peněžní prostředky </w:t>
      </w:r>
      <w:r w:rsidR="00EC2379" w:rsidRPr="00837041">
        <w:rPr>
          <w:b/>
          <w:bCs/>
        </w:rPr>
        <w:t>státního rozpočtu</w:t>
      </w:r>
      <w:r w:rsidR="00EC2379">
        <w:rPr>
          <w:b/>
          <w:bCs/>
        </w:rPr>
        <w:t xml:space="preserve"> a</w:t>
      </w:r>
      <w:r w:rsidR="00EC2379" w:rsidRPr="00837041">
        <w:rPr>
          <w:b/>
          <w:bCs/>
        </w:rPr>
        <w:t xml:space="preserve"> </w:t>
      </w:r>
      <w:r w:rsidR="007F30C9" w:rsidRPr="00837041">
        <w:rPr>
          <w:b/>
          <w:bCs/>
        </w:rPr>
        <w:t>Evropské unie vynaložené na kontrolované projekty zaměřené na podporu rodinné politiky přispěly ke</w:t>
      </w:r>
      <w:r w:rsidR="00FF07C3">
        <w:rPr>
          <w:b/>
          <w:bCs/>
        </w:rPr>
        <w:t xml:space="preserve"> </w:t>
      </w:r>
      <w:r w:rsidR="007F30C9" w:rsidRPr="00837041">
        <w:rPr>
          <w:b/>
          <w:bCs/>
        </w:rPr>
        <w:t>zlepšení situace osob z cílových skupin v menší míře, než sami příjemci podpory předpokládali.</w:t>
      </w:r>
      <w:r w:rsidR="007F30C9">
        <w:rPr>
          <w:b/>
          <w:bCs/>
        </w:rPr>
        <w:t xml:space="preserve"> </w:t>
      </w:r>
      <w:r>
        <w:rPr>
          <w:b/>
          <w:bCs/>
        </w:rPr>
        <w:t>Dlouhodobé dopady ukončených kontrolovaných projektů jsou pouze dílčí, nebo nejsou prokazatelné. Peněžní prostředky, které měly vést u osob z cílové skupiny k tomu, aby po ukončení projektu získal</w:t>
      </w:r>
      <w:r w:rsidR="00326E2D">
        <w:rPr>
          <w:b/>
          <w:bCs/>
        </w:rPr>
        <w:t>y</w:t>
      </w:r>
      <w:r>
        <w:rPr>
          <w:b/>
          <w:bCs/>
        </w:rPr>
        <w:t xml:space="preserve"> kvalifikaci, nebyly u 54 % </w:t>
      </w:r>
      <w:r w:rsidR="008963C7">
        <w:rPr>
          <w:b/>
          <w:bCs/>
        </w:rPr>
        <w:t xml:space="preserve">ukončených </w:t>
      </w:r>
      <w:r>
        <w:rPr>
          <w:b/>
          <w:bCs/>
        </w:rPr>
        <w:t>projektů zaměřených na podporu rodinné politiky vynaloženy účelně</w:t>
      </w:r>
      <w:r w:rsidRPr="00F1604C">
        <w:rPr>
          <w:b/>
          <w:bCs/>
        </w:rPr>
        <w:t>.</w:t>
      </w:r>
      <w:r w:rsidR="00FF07C3">
        <w:rPr>
          <w:b/>
          <w:bCs/>
        </w:rPr>
        <w:t xml:space="preserve"> </w:t>
      </w:r>
      <w:r w:rsidRPr="00AD1F02">
        <w:rPr>
          <w:b/>
        </w:rPr>
        <w:t>NKÚ</w:t>
      </w:r>
      <w:r w:rsidR="006D62DA" w:rsidRPr="00AD1F02">
        <w:rPr>
          <w:b/>
        </w:rPr>
        <w:t xml:space="preserve"> dále</w:t>
      </w:r>
      <w:r w:rsidRPr="00AD1F02">
        <w:rPr>
          <w:b/>
        </w:rPr>
        <w:t xml:space="preserve"> zjistil, že</w:t>
      </w:r>
      <w:r w:rsidR="0041077B" w:rsidRPr="00AD1F02">
        <w:rPr>
          <w:b/>
        </w:rPr>
        <w:t xml:space="preserve"> </w:t>
      </w:r>
      <w:r w:rsidR="00D540B3" w:rsidRPr="00AD1F02">
        <w:rPr>
          <w:b/>
        </w:rPr>
        <w:t xml:space="preserve">MPSV u </w:t>
      </w:r>
      <w:r w:rsidR="002C49BD" w:rsidRPr="00AD1F02">
        <w:rPr>
          <w:b/>
        </w:rPr>
        <w:t>NDT</w:t>
      </w:r>
      <w:r w:rsidRPr="00AD1F02">
        <w:rPr>
          <w:b/>
        </w:rPr>
        <w:t xml:space="preserve"> </w:t>
      </w:r>
      <w:r w:rsidRPr="00561351">
        <w:rPr>
          <w:b/>
          <w:i/>
        </w:rPr>
        <w:t>Rodina</w:t>
      </w:r>
      <w:r w:rsidRPr="00AD1F02">
        <w:rPr>
          <w:b/>
        </w:rPr>
        <w:t xml:space="preserve"> nestanovilo konkrétní cíle a</w:t>
      </w:r>
      <w:r w:rsidR="000A7B19" w:rsidRPr="00AD1F02">
        <w:rPr>
          <w:b/>
        </w:rPr>
        <w:t> </w:t>
      </w:r>
      <w:r w:rsidRPr="00AD1F02">
        <w:rPr>
          <w:b/>
        </w:rPr>
        <w:t>indikátory, jejichž prostřednictvím by bylo možné sledovat a vyhodnocovat jeho přínosy</w:t>
      </w:r>
      <w:r w:rsidR="00A0658E" w:rsidRPr="00AD1F02">
        <w:rPr>
          <w:b/>
        </w:rPr>
        <w:t>, a tím nevytvořilo podmínky pro účelné vynakládání peněžních prostředků</w:t>
      </w:r>
      <w:r w:rsidR="00C50418" w:rsidRPr="00AD1F02">
        <w:rPr>
          <w:b/>
        </w:rPr>
        <w:t xml:space="preserve"> ze státního rozpočtu.</w:t>
      </w:r>
      <w:r w:rsidR="0041077B" w:rsidRPr="00C50418">
        <w:rPr>
          <w:b/>
        </w:rPr>
        <w:t xml:space="preserve"> </w:t>
      </w:r>
    </w:p>
    <w:p w14:paraId="43B13466" w14:textId="5F7ACE67" w:rsidR="00DE3A8B" w:rsidRPr="00FA44AD" w:rsidRDefault="00DE3A8B" w:rsidP="007051F0">
      <w:pPr>
        <w:spacing w:before="60" w:after="60"/>
        <w:rPr>
          <w:b/>
        </w:rPr>
      </w:pPr>
      <w:r w:rsidRPr="00561351">
        <w:rPr>
          <w:rFonts w:cstheme="minorHAnsi"/>
          <w:b/>
          <w:i/>
        </w:rPr>
        <w:t>Koncepce rodinné politiky</w:t>
      </w:r>
      <w:r w:rsidRPr="00FA44AD">
        <w:rPr>
          <w:rFonts w:cstheme="minorHAnsi"/>
          <w:b/>
        </w:rPr>
        <w:t xml:space="preserve"> z roku 2017</w:t>
      </w:r>
      <w:r w:rsidR="00B62745">
        <w:rPr>
          <w:rFonts w:cstheme="minorHAnsi"/>
          <w:b/>
        </w:rPr>
        <w:t xml:space="preserve"> dle zjištění NKÚ</w:t>
      </w:r>
      <w:r w:rsidRPr="00FA44AD">
        <w:rPr>
          <w:rFonts w:cstheme="minorHAnsi"/>
          <w:b/>
        </w:rPr>
        <w:t xml:space="preserve"> </w:t>
      </w:r>
      <w:r w:rsidR="009D1181" w:rsidRPr="00AD1F02">
        <w:rPr>
          <w:rFonts w:cstheme="minorHAnsi"/>
          <w:b/>
        </w:rPr>
        <w:t>neposkytuje dostatečnou oporu pro účelné vynakládání peněžních prostředků státního rozpočtu a E</w:t>
      </w:r>
      <w:r w:rsidR="00CA11C9">
        <w:rPr>
          <w:rFonts w:cstheme="minorHAnsi"/>
          <w:b/>
        </w:rPr>
        <w:t>vropské unie</w:t>
      </w:r>
      <w:r w:rsidR="009D1181" w:rsidRPr="00AD1F02">
        <w:rPr>
          <w:rFonts w:cstheme="minorHAnsi"/>
          <w:b/>
        </w:rPr>
        <w:t xml:space="preserve"> v oblasti podpory rodinné politiky. </w:t>
      </w:r>
    </w:p>
    <w:p w14:paraId="47557E4A" w14:textId="5A3065FD" w:rsidR="007A0870" w:rsidRPr="00FA44AD" w:rsidRDefault="00BB6020" w:rsidP="007051F0">
      <w:pPr>
        <w:pStyle w:val="Odstavecseseznamem"/>
        <w:spacing w:before="60" w:after="60" w:line="259" w:lineRule="auto"/>
        <w:ind w:left="0"/>
        <w:contextualSpacing w:val="0"/>
        <w:rPr>
          <w:rFonts w:asciiTheme="minorHAnsi" w:eastAsiaTheme="minorHAnsi" w:hAnsiTheme="minorHAnsi" w:cstheme="minorBidi"/>
          <w:szCs w:val="22"/>
        </w:rPr>
      </w:pPr>
      <w:r w:rsidRPr="00FA44AD">
        <w:rPr>
          <w:rFonts w:asciiTheme="minorHAnsi" w:eastAsiaTheme="minorHAnsi" w:hAnsiTheme="minorHAnsi" w:cstheme="minorBidi"/>
          <w:szCs w:val="22"/>
        </w:rPr>
        <w:t>Výše uvedené celkové vyhodnocení vyplývá z následujících zjištění:</w:t>
      </w:r>
    </w:p>
    <w:p w14:paraId="6841DEE4" w14:textId="2269C35D" w:rsidR="005902C5" w:rsidRPr="005902C5" w:rsidRDefault="005F0DDE" w:rsidP="005902C5">
      <w:pPr>
        <w:pStyle w:val="Odstavecseseznamem"/>
        <w:numPr>
          <w:ilvl w:val="0"/>
          <w:numId w:val="20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FA44AD">
        <w:rPr>
          <w:rFonts w:asciiTheme="minorHAnsi" w:hAnsiTheme="minorHAnsi" w:cstheme="minorHAnsi"/>
          <w:szCs w:val="20"/>
        </w:rPr>
        <w:t>MPSV nastavilo, sledovalo a vyhodnocovalo v rámci OP</w:t>
      </w:r>
      <w:r w:rsidR="00CC4805" w:rsidRPr="00FA44AD">
        <w:rPr>
          <w:rFonts w:asciiTheme="minorHAnsi" w:hAnsiTheme="minorHAnsi" w:cstheme="minorHAnsi"/>
          <w:szCs w:val="20"/>
        </w:rPr>
        <w:t>Z</w:t>
      </w:r>
      <w:r w:rsidRPr="00FA44AD">
        <w:rPr>
          <w:rFonts w:asciiTheme="minorHAnsi" w:hAnsiTheme="minorHAnsi" w:cstheme="minorHAnsi"/>
          <w:szCs w:val="20"/>
        </w:rPr>
        <w:t xml:space="preserve"> indikátory v souladu s nařízením EP a Rady (EU) č. 1304/</w:t>
      </w:r>
      <w:r w:rsidRPr="00AD1F02">
        <w:rPr>
          <w:rFonts w:asciiTheme="minorHAnsi" w:hAnsiTheme="minorHAnsi" w:cstheme="minorHAnsi"/>
          <w:szCs w:val="20"/>
        </w:rPr>
        <w:t>2013</w:t>
      </w:r>
      <w:r w:rsidR="00224A4F" w:rsidRPr="00AD1F02">
        <w:rPr>
          <w:rStyle w:val="Znakapoznpodarou"/>
          <w:rFonts w:asciiTheme="minorHAnsi" w:hAnsiTheme="minorHAnsi" w:cstheme="minorHAnsi"/>
          <w:szCs w:val="20"/>
        </w:rPr>
        <w:footnoteReference w:id="4"/>
      </w:r>
      <w:r w:rsidR="00CD2863" w:rsidRPr="00AD1F02">
        <w:rPr>
          <w:rFonts w:asciiTheme="minorHAnsi" w:hAnsiTheme="minorHAnsi" w:cstheme="minorHAnsi"/>
          <w:szCs w:val="20"/>
        </w:rPr>
        <w:t>,</w:t>
      </w:r>
      <w:r w:rsidR="00F02F1F" w:rsidRPr="00AD1F02">
        <w:rPr>
          <w:rFonts w:asciiTheme="minorHAnsi" w:hAnsiTheme="minorHAnsi" w:cstheme="minorHAnsi"/>
          <w:szCs w:val="20"/>
        </w:rPr>
        <w:t xml:space="preserve"> </w:t>
      </w:r>
      <w:r w:rsidRPr="00AD1F02">
        <w:rPr>
          <w:rFonts w:asciiTheme="minorHAnsi" w:hAnsiTheme="minorHAnsi" w:cstheme="minorHAnsi"/>
          <w:szCs w:val="20"/>
        </w:rPr>
        <w:t xml:space="preserve">nestanovilo </w:t>
      </w:r>
      <w:r w:rsidR="00CD2863" w:rsidRPr="00AD1F02">
        <w:rPr>
          <w:rFonts w:asciiTheme="minorHAnsi" w:hAnsiTheme="minorHAnsi" w:cstheme="minorHAnsi"/>
          <w:szCs w:val="20"/>
        </w:rPr>
        <w:t>však</w:t>
      </w:r>
      <w:r w:rsidR="00CD2863" w:rsidRPr="00FA44AD">
        <w:rPr>
          <w:rFonts w:asciiTheme="minorHAnsi" w:hAnsiTheme="minorHAnsi" w:cstheme="minorHAnsi"/>
          <w:szCs w:val="20"/>
        </w:rPr>
        <w:t xml:space="preserve"> </w:t>
      </w:r>
      <w:r w:rsidRPr="00FA44AD">
        <w:rPr>
          <w:rFonts w:asciiTheme="minorHAnsi" w:hAnsiTheme="minorHAnsi" w:cstheme="minorHAnsi"/>
          <w:szCs w:val="20"/>
        </w:rPr>
        <w:t>pro prioritní osu 2 konkrétní indikátory, které by umožnily sledovat a</w:t>
      </w:r>
      <w:r w:rsidR="007542DB" w:rsidRPr="00FA44AD">
        <w:rPr>
          <w:rFonts w:asciiTheme="minorHAnsi" w:hAnsiTheme="minorHAnsi" w:cstheme="minorHAnsi"/>
          <w:szCs w:val="20"/>
        </w:rPr>
        <w:t> </w:t>
      </w:r>
      <w:r w:rsidRPr="00FA44AD">
        <w:rPr>
          <w:rFonts w:asciiTheme="minorHAnsi" w:hAnsiTheme="minorHAnsi" w:cstheme="minorHAnsi"/>
          <w:szCs w:val="20"/>
        </w:rPr>
        <w:t>vyhodno</w:t>
      </w:r>
      <w:r w:rsidR="006D62DA" w:rsidRPr="00FA44AD">
        <w:rPr>
          <w:rFonts w:asciiTheme="minorHAnsi" w:hAnsiTheme="minorHAnsi" w:cstheme="minorHAnsi"/>
          <w:szCs w:val="20"/>
        </w:rPr>
        <w:t>covat</w:t>
      </w:r>
      <w:r w:rsidR="00CD2863">
        <w:rPr>
          <w:rFonts w:asciiTheme="minorHAnsi" w:hAnsiTheme="minorHAnsi" w:cstheme="minorHAnsi"/>
          <w:szCs w:val="20"/>
        </w:rPr>
        <w:t xml:space="preserve"> </w:t>
      </w:r>
      <w:r w:rsidR="006D62DA" w:rsidRPr="00FA44AD">
        <w:rPr>
          <w:rFonts w:asciiTheme="minorHAnsi" w:hAnsiTheme="minorHAnsi" w:cstheme="minorHAnsi"/>
          <w:szCs w:val="20"/>
        </w:rPr>
        <w:t>kvalitativní</w:t>
      </w:r>
      <w:r w:rsidRPr="00FA44AD">
        <w:rPr>
          <w:rFonts w:asciiTheme="minorHAnsi" w:hAnsiTheme="minorHAnsi" w:cstheme="minorHAnsi"/>
          <w:szCs w:val="20"/>
        </w:rPr>
        <w:t xml:space="preserve"> dopady </w:t>
      </w:r>
      <w:r w:rsidRPr="00CD2863">
        <w:rPr>
          <w:rFonts w:asciiTheme="minorHAnsi" w:hAnsiTheme="minorHAnsi" w:cstheme="minorHAnsi"/>
          <w:szCs w:val="20"/>
        </w:rPr>
        <w:t>projektů</w:t>
      </w:r>
      <w:r w:rsidRPr="00FA44AD">
        <w:rPr>
          <w:rFonts w:asciiTheme="minorHAnsi" w:hAnsiTheme="minorHAnsi" w:cstheme="minorHAnsi"/>
          <w:szCs w:val="20"/>
        </w:rPr>
        <w:t xml:space="preserve"> na osoby sociálně vyloučené či sociálním vyloučením ohrožené. </w:t>
      </w:r>
      <w:r w:rsidR="00125141" w:rsidRPr="00FA44AD">
        <w:rPr>
          <w:rFonts w:asciiTheme="minorHAnsi" w:hAnsiTheme="minorHAnsi" w:cstheme="minorHAnsi"/>
        </w:rPr>
        <w:t>MPSV</w:t>
      </w:r>
      <w:r w:rsidR="00125141" w:rsidRPr="000A7B19">
        <w:rPr>
          <w:rFonts w:asciiTheme="minorHAnsi" w:hAnsiTheme="minorHAnsi" w:cstheme="minorHAnsi"/>
        </w:rPr>
        <w:t xml:space="preserve"> současně nestanovilo příjemcům podpory povinnost sledování a vyhodnocování dopadů podpory projektů po ukončení jejich realizace</w:t>
      </w:r>
      <w:r w:rsidR="009D74B5" w:rsidRPr="000A7B19">
        <w:rPr>
          <w:rFonts w:asciiTheme="minorHAnsi" w:hAnsiTheme="minorHAnsi" w:cstheme="minorHAnsi"/>
        </w:rPr>
        <w:t xml:space="preserve">. Dlouhodobý dopad podpory na osoby z cílové skupiny </w:t>
      </w:r>
      <w:r w:rsidR="00AB450F">
        <w:rPr>
          <w:rFonts w:asciiTheme="minorHAnsi" w:hAnsiTheme="minorHAnsi" w:cstheme="minorHAnsi"/>
        </w:rPr>
        <w:t>tak</w:t>
      </w:r>
      <w:r w:rsidR="009D74B5" w:rsidRPr="000A7B19">
        <w:rPr>
          <w:rFonts w:asciiTheme="minorHAnsi" w:hAnsiTheme="minorHAnsi" w:cstheme="minorHAnsi"/>
        </w:rPr>
        <w:t xml:space="preserve"> není prokazateln</w:t>
      </w:r>
      <w:r w:rsidR="000925B3">
        <w:rPr>
          <w:rFonts w:asciiTheme="minorHAnsi" w:hAnsiTheme="minorHAnsi" w:cstheme="minorHAnsi"/>
        </w:rPr>
        <w:t>ý</w:t>
      </w:r>
      <w:r w:rsidR="000925B3" w:rsidRPr="00AD1F02">
        <w:rPr>
          <w:rFonts w:asciiTheme="minorHAnsi" w:hAnsiTheme="minorHAnsi" w:cstheme="minorHAnsi"/>
        </w:rPr>
        <w:t>, a</w:t>
      </w:r>
      <w:r w:rsidR="00891634">
        <w:rPr>
          <w:rFonts w:asciiTheme="minorHAnsi" w:hAnsiTheme="minorHAnsi" w:cstheme="minorHAnsi"/>
        </w:rPr>
        <w:t> </w:t>
      </w:r>
      <w:r w:rsidR="000925B3" w:rsidRPr="00AD1F02">
        <w:rPr>
          <w:rFonts w:asciiTheme="minorHAnsi" w:hAnsiTheme="minorHAnsi" w:cstheme="minorHAnsi"/>
        </w:rPr>
        <w:t>není proto zřejmé, zda peněžní prostředky z OPZ přisp</w:t>
      </w:r>
      <w:r w:rsidR="00B93BB3" w:rsidRPr="00AD1F02">
        <w:rPr>
          <w:rFonts w:asciiTheme="minorHAnsi" w:hAnsiTheme="minorHAnsi" w:cstheme="minorHAnsi"/>
        </w:rPr>
        <w:t xml:space="preserve">ěly v souladu s </w:t>
      </w:r>
      <w:r w:rsidR="00C5050B" w:rsidRPr="00AD1F02">
        <w:rPr>
          <w:rFonts w:asciiTheme="minorHAnsi" w:hAnsiTheme="minorHAnsi" w:cstheme="minorHAnsi"/>
        </w:rPr>
        <w:t>cíle</w:t>
      </w:r>
      <w:r w:rsidR="00B93BB3" w:rsidRPr="00AD1F02">
        <w:rPr>
          <w:rFonts w:asciiTheme="minorHAnsi" w:hAnsiTheme="minorHAnsi" w:cstheme="minorHAnsi"/>
        </w:rPr>
        <w:t>m z</w:t>
      </w:r>
      <w:r w:rsidR="00C5050B" w:rsidRPr="00AD1F02">
        <w:rPr>
          <w:rFonts w:asciiTheme="minorHAnsi" w:hAnsiTheme="minorHAnsi" w:cstheme="minorHAnsi"/>
        </w:rPr>
        <w:t xml:space="preserve"> </w:t>
      </w:r>
      <w:r w:rsidR="00C5050B" w:rsidRPr="00561351">
        <w:rPr>
          <w:rFonts w:asciiTheme="minorHAnsi" w:hAnsiTheme="minorHAnsi" w:cstheme="minorHAnsi"/>
          <w:i/>
        </w:rPr>
        <w:t xml:space="preserve">Národního </w:t>
      </w:r>
      <w:r w:rsidR="00C5050B" w:rsidRPr="00561351">
        <w:rPr>
          <w:rFonts w:asciiTheme="minorHAnsi" w:hAnsiTheme="minorHAnsi" w:cstheme="minorHAnsi"/>
          <w:i/>
        </w:rPr>
        <w:lastRenderedPageBreak/>
        <w:t>programu reforem</w:t>
      </w:r>
      <w:r w:rsidR="00B93BB3" w:rsidRPr="00AD1F02">
        <w:rPr>
          <w:rFonts w:asciiTheme="minorHAnsi" w:hAnsiTheme="minorHAnsi" w:cstheme="minorHAnsi"/>
        </w:rPr>
        <w:t xml:space="preserve"> (viz část II. </w:t>
      </w:r>
      <w:r w:rsidR="00F81677">
        <w:rPr>
          <w:rFonts w:asciiTheme="minorHAnsi" w:hAnsiTheme="minorHAnsi" w:cstheme="minorHAnsi"/>
        </w:rPr>
        <w:t xml:space="preserve">tohoto </w:t>
      </w:r>
      <w:r w:rsidR="00B93BB3" w:rsidRPr="00AD1F02">
        <w:rPr>
          <w:rFonts w:asciiTheme="minorHAnsi" w:hAnsiTheme="minorHAnsi" w:cstheme="minorHAnsi"/>
        </w:rPr>
        <w:t>kontrolního závěru) k zachování či snížení</w:t>
      </w:r>
      <w:r w:rsidR="000925B3" w:rsidRPr="00AD1F02">
        <w:rPr>
          <w:rFonts w:asciiTheme="minorHAnsi" w:hAnsiTheme="minorHAnsi" w:cstheme="minorHAnsi"/>
        </w:rPr>
        <w:t xml:space="preserve"> počtu osob </w:t>
      </w:r>
      <w:r w:rsidR="00C5050B" w:rsidRPr="00AD1F02">
        <w:rPr>
          <w:rFonts w:asciiTheme="minorHAnsi" w:hAnsiTheme="minorHAnsi" w:cstheme="minorHAnsi"/>
        </w:rPr>
        <w:t xml:space="preserve">ohrožených chudobou nebo </w:t>
      </w:r>
      <w:r w:rsidR="000925B3" w:rsidRPr="00AD1F02">
        <w:rPr>
          <w:rFonts w:asciiTheme="minorHAnsi" w:hAnsiTheme="minorHAnsi" w:cstheme="minorHAnsi"/>
        </w:rPr>
        <w:t>sociálním vyloučením</w:t>
      </w:r>
      <w:r w:rsidR="009D74B5" w:rsidRPr="00AD1F02">
        <w:rPr>
          <w:rFonts w:asciiTheme="minorHAnsi" w:hAnsiTheme="minorHAnsi" w:cstheme="minorHAnsi"/>
        </w:rPr>
        <w:t>.</w:t>
      </w:r>
      <w:r w:rsidR="009D74B5" w:rsidRPr="000A7B19">
        <w:rPr>
          <w:rFonts w:asciiTheme="minorHAnsi" w:hAnsiTheme="minorHAnsi" w:cstheme="minorHAnsi"/>
        </w:rPr>
        <w:t xml:space="preserve"> </w:t>
      </w:r>
      <w:r w:rsidR="00662417" w:rsidRPr="000A7B19">
        <w:rPr>
          <w:rFonts w:asciiTheme="minorHAnsi" w:hAnsiTheme="minorHAnsi" w:cstheme="minorHAnsi"/>
          <w:szCs w:val="20"/>
        </w:rPr>
        <w:t xml:space="preserve">NKÚ dále zjistil, že </w:t>
      </w:r>
      <w:r w:rsidR="005B63D8" w:rsidRPr="000A7B19">
        <w:rPr>
          <w:rFonts w:asciiTheme="minorHAnsi" w:hAnsiTheme="minorHAnsi" w:cstheme="minorHAnsi"/>
          <w:szCs w:val="20"/>
        </w:rPr>
        <w:t xml:space="preserve">indikátor 6 26 00 </w:t>
      </w:r>
      <w:r w:rsidR="005B63D8" w:rsidRPr="000A7B19">
        <w:rPr>
          <w:rFonts w:asciiTheme="minorHAnsi" w:hAnsiTheme="minorHAnsi" w:cstheme="minorHAnsi"/>
          <w:i/>
          <w:szCs w:val="20"/>
        </w:rPr>
        <w:t xml:space="preserve">Účastníci, kteří získali kvalifikaci po ukončení své účasti </w:t>
      </w:r>
      <w:r w:rsidR="005B63D8" w:rsidRPr="000A7B19">
        <w:rPr>
          <w:rFonts w:asciiTheme="minorHAnsi" w:hAnsiTheme="minorHAnsi" w:cstheme="minorHAnsi"/>
          <w:szCs w:val="20"/>
        </w:rPr>
        <w:t>nebyl</w:t>
      </w:r>
      <w:r w:rsidR="005B63D8" w:rsidRPr="000A7B19">
        <w:rPr>
          <w:rFonts w:asciiTheme="minorHAnsi" w:hAnsiTheme="minorHAnsi" w:cstheme="minorHAnsi"/>
          <w:i/>
          <w:szCs w:val="20"/>
        </w:rPr>
        <w:t xml:space="preserve"> </w:t>
      </w:r>
      <w:r w:rsidR="005B63D8" w:rsidRPr="000A7B19">
        <w:rPr>
          <w:rFonts w:asciiTheme="minorHAnsi" w:hAnsiTheme="minorHAnsi" w:cstheme="minorHAnsi"/>
          <w:szCs w:val="20"/>
        </w:rPr>
        <w:t>naplněn</w:t>
      </w:r>
      <w:r w:rsidR="005B63D8" w:rsidRPr="000A7B19">
        <w:rPr>
          <w:rFonts w:asciiTheme="minorHAnsi" w:hAnsiTheme="minorHAnsi" w:cstheme="minorHAnsi"/>
          <w:i/>
          <w:szCs w:val="20"/>
        </w:rPr>
        <w:t xml:space="preserve"> </w:t>
      </w:r>
      <w:r w:rsidR="0017529E" w:rsidRPr="000A7B19">
        <w:rPr>
          <w:rFonts w:asciiTheme="minorHAnsi" w:hAnsiTheme="minorHAnsi" w:cstheme="minorHAnsi"/>
          <w:szCs w:val="20"/>
        </w:rPr>
        <w:t>u 179 z </w:t>
      </w:r>
      <w:r w:rsidR="00855991" w:rsidRPr="000A7B19">
        <w:rPr>
          <w:rFonts w:asciiTheme="minorHAnsi" w:hAnsiTheme="minorHAnsi" w:cstheme="minorHAnsi"/>
          <w:szCs w:val="20"/>
        </w:rPr>
        <w:t>331</w:t>
      </w:r>
      <w:r w:rsidR="0017529E" w:rsidRPr="000A7B19">
        <w:rPr>
          <w:rFonts w:asciiTheme="minorHAnsi" w:hAnsiTheme="minorHAnsi" w:cstheme="minorHAnsi"/>
          <w:szCs w:val="20"/>
        </w:rPr>
        <w:t xml:space="preserve"> </w:t>
      </w:r>
      <w:r w:rsidR="00CB0930">
        <w:rPr>
          <w:rFonts w:asciiTheme="minorHAnsi" w:hAnsiTheme="minorHAnsi" w:cstheme="minorHAnsi"/>
          <w:szCs w:val="20"/>
        </w:rPr>
        <w:t xml:space="preserve">(tj. 54 %) </w:t>
      </w:r>
      <w:r w:rsidR="008963C7">
        <w:rPr>
          <w:rFonts w:asciiTheme="minorHAnsi" w:hAnsiTheme="minorHAnsi" w:cstheme="minorHAnsi"/>
          <w:szCs w:val="20"/>
        </w:rPr>
        <w:t xml:space="preserve">ukončených </w:t>
      </w:r>
      <w:r w:rsidR="00855991" w:rsidRPr="000A7B19">
        <w:rPr>
          <w:rFonts w:asciiTheme="minorHAnsi" w:hAnsiTheme="minorHAnsi" w:cstheme="minorHAnsi"/>
          <w:szCs w:val="20"/>
        </w:rPr>
        <w:t xml:space="preserve">projektů </w:t>
      </w:r>
      <w:r w:rsidR="0017529E" w:rsidRPr="000A7B19">
        <w:rPr>
          <w:rFonts w:asciiTheme="minorHAnsi" w:hAnsiTheme="minorHAnsi" w:cstheme="minorHAnsi"/>
          <w:szCs w:val="20"/>
        </w:rPr>
        <w:t xml:space="preserve">zaměřených na podporu rodin, jejichž celkové způsobilé výdaje činily </w:t>
      </w:r>
      <w:r w:rsidR="00855991" w:rsidRPr="000A7B19">
        <w:rPr>
          <w:rFonts w:asciiTheme="minorHAnsi" w:hAnsiTheme="minorHAnsi" w:cstheme="minorHAnsi"/>
          <w:szCs w:val="20"/>
        </w:rPr>
        <w:t xml:space="preserve">přibližně </w:t>
      </w:r>
      <w:r w:rsidR="0017529E" w:rsidRPr="000A7B19">
        <w:rPr>
          <w:rFonts w:asciiTheme="minorHAnsi" w:hAnsiTheme="minorHAnsi" w:cstheme="minorHAnsi"/>
          <w:szCs w:val="20"/>
        </w:rPr>
        <w:t xml:space="preserve">495 </w:t>
      </w:r>
      <w:r w:rsidR="00855991" w:rsidRPr="000A7B19">
        <w:rPr>
          <w:rFonts w:asciiTheme="minorHAnsi" w:hAnsiTheme="minorHAnsi" w:cstheme="minorHAnsi"/>
          <w:szCs w:val="20"/>
        </w:rPr>
        <w:t>mil.</w:t>
      </w:r>
      <w:r w:rsidR="0017529E" w:rsidRPr="000A7B19">
        <w:rPr>
          <w:rFonts w:asciiTheme="minorHAnsi" w:hAnsiTheme="minorHAnsi" w:cstheme="minorHAnsi"/>
          <w:szCs w:val="20"/>
        </w:rPr>
        <w:t xml:space="preserve"> Kč</w:t>
      </w:r>
      <w:r w:rsidR="005B63D8" w:rsidRPr="000A7B19">
        <w:rPr>
          <w:rFonts w:asciiTheme="minorHAnsi" w:hAnsiTheme="minorHAnsi" w:cstheme="minorHAnsi"/>
          <w:szCs w:val="20"/>
        </w:rPr>
        <w:t>.</w:t>
      </w:r>
    </w:p>
    <w:p w14:paraId="0A73BCD3" w14:textId="1DD24BF1" w:rsidR="0039509F" w:rsidRPr="0039509F" w:rsidRDefault="000F01C4" w:rsidP="00F81677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Theme="minorHAnsi" w:eastAsiaTheme="minorHAnsi" w:hAnsiTheme="minorHAnsi" w:cstheme="minorHAnsi"/>
        </w:rPr>
      </w:pPr>
      <w:r w:rsidRPr="0039509F">
        <w:rPr>
          <w:rFonts w:asciiTheme="minorHAnsi" w:eastAsiaTheme="minorHAnsi" w:hAnsiTheme="minorHAnsi" w:cstheme="minorHAnsi"/>
        </w:rPr>
        <w:t xml:space="preserve">NKÚ při </w:t>
      </w:r>
      <w:r w:rsidR="00B62745" w:rsidRPr="0039509F">
        <w:rPr>
          <w:rFonts w:asciiTheme="minorHAnsi" w:eastAsiaTheme="minorHAnsi" w:hAnsiTheme="minorHAnsi" w:cstheme="minorHAnsi"/>
        </w:rPr>
        <w:t>pr</w:t>
      </w:r>
      <w:r w:rsidRPr="0039509F">
        <w:rPr>
          <w:rFonts w:asciiTheme="minorHAnsi" w:eastAsiaTheme="minorHAnsi" w:hAnsiTheme="minorHAnsi" w:cstheme="minorHAnsi"/>
        </w:rPr>
        <w:t xml:space="preserve">ověřování administrace projektů OPZ zjistil, že </w:t>
      </w:r>
      <w:r w:rsidR="00EF599F">
        <w:rPr>
          <w:rFonts w:asciiTheme="minorHAnsi" w:eastAsiaTheme="minorHAnsi" w:hAnsiTheme="minorHAnsi" w:cstheme="minorHAnsi"/>
        </w:rPr>
        <w:t xml:space="preserve">MPSV </w:t>
      </w:r>
      <w:r w:rsidR="002760AE" w:rsidRPr="0039509F">
        <w:rPr>
          <w:rFonts w:asciiTheme="minorHAnsi" w:eastAsiaTheme="minorHAnsi" w:hAnsiTheme="minorHAnsi" w:cstheme="minorHAnsi"/>
        </w:rPr>
        <w:t>ve</w:t>
      </w:r>
      <w:r w:rsidRPr="0039509F">
        <w:rPr>
          <w:rFonts w:asciiTheme="minorHAnsi" w:eastAsiaTheme="minorHAnsi" w:hAnsiTheme="minorHAnsi" w:cstheme="minorHAnsi"/>
        </w:rPr>
        <w:t xml:space="preserve"> </w:t>
      </w:r>
      <w:r w:rsidR="002760AE" w:rsidRPr="0039509F">
        <w:rPr>
          <w:rFonts w:asciiTheme="minorHAnsi" w:eastAsiaTheme="minorHAnsi" w:hAnsiTheme="minorHAnsi" w:cstheme="minorHAnsi"/>
        </w:rPr>
        <w:t>třech případech</w:t>
      </w:r>
      <w:r w:rsidRPr="0039509F">
        <w:rPr>
          <w:rFonts w:asciiTheme="minorHAnsi" w:eastAsiaTheme="minorHAnsi" w:hAnsiTheme="minorHAnsi" w:cstheme="minorHAnsi"/>
        </w:rPr>
        <w:t xml:space="preserve"> </w:t>
      </w:r>
      <w:r w:rsidR="00EF599F">
        <w:rPr>
          <w:rFonts w:asciiTheme="minorHAnsi" w:eastAsiaTheme="minorHAnsi" w:hAnsiTheme="minorHAnsi" w:cstheme="minorHAnsi"/>
        </w:rPr>
        <w:t>nezajistilo</w:t>
      </w:r>
      <w:r w:rsidRPr="0039509F">
        <w:rPr>
          <w:rFonts w:asciiTheme="minorHAnsi" w:eastAsiaTheme="minorHAnsi" w:hAnsiTheme="minorHAnsi" w:cstheme="minorHAnsi"/>
        </w:rPr>
        <w:t xml:space="preserve"> předběžn</w:t>
      </w:r>
      <w:r w:rsidR="00EF599F">
        <w:rPr>
          <w:rFonts w:asciiTheme="minorHAnsi" w:eastAsiaTheme="minorHAnsi" w:hAnsiTheme="minorHAnsi" w:cstheme="minorHAnsi"/>
        </w:rPr>
        <w:t>ou</w:t>
      </w:r>
      <w:r w:rsidRPr="0039509F">
        <w:rPr>
          <w:rFonts w:asciiTheme="minorHAnsi" w:eastAsiaTheme="minorHAnsi" w:hAnsiTheme="minorHAnsi" w:cstheme="minorHAnsi"/>
        </w:rPr>
        <w:t xml:space="preserve"> kontrol</w:t>
      </w:r>
      <w:r w:rsidR="00EF599F">
        <w:rPr>
          <w:rFonts w:asciiTheme="minorHAnsi" w:eastAsiaTheme="minorHAnsi" w:hAnsiTheme="minorHAnsi" w:cstheme="minorHAnsi"/>
        </w:rPr>
        <w:t>u</w:t>
      </w:r>
      <w:r w:rsidRPr="0039509F">
        <w:rPr>
          <w:rFonts w:asciiTheme="minorHAnsi" w:eastAsiaTheme="minorHAnsi" w:hAnsiTheme="minorHAnsi" w:cstheme="minorHAnsi"/>
        </w:rPr>
        <w:t xml:space="preserve"> plánovaných a připravovaných operací v souladu se</w:t>
      </w:r>
      <w:r w:rsidR="000A09B9">
        <w:rPr>
          <w:rFonts w:asciiTheme="minorHAnsi" w:eastAsiaTheme="minorHAnsi" w:hAnsiTheme="minorHAnsi" w:cstheme="minorHAnsi"/>
        </w:rPr>
        <w:t xml:space="preserve"> </w:t>
      </w:r>
      <w:r w:rsidRPr="0039509F">
        <w:rPr>
          <w:rFonts w:asciiTheme="minorHAnsi" w:eastAsiaTheme="minorHAnsi" w:hAnsiTheme="minorHAnsi" w:cstheme="minorHAnsi"/>
        </w:rPr>
        <w:t xml:space="preserve">zákonem č. 320/2001 Sb. MPSV </w:t>
      </w:r>
      <w:r w:rsidR="009D74B5" w:rsidRPr="0039509F">
        <w:rPr>
          <w:rFonts w:asciiTheme="minorHAnsi" w:eastAsiaTheme="minorHAnsi" w:hAnsiTheme="minorHAnsi" w:cstheme="minorHAnsi"/>
        </w:rPr>
        <w:t xml:space="preserve">také </w:t>
      </w:r>
      <w:r w:rsidRPr="0039509F">
        <w:rPr>
          <w:rFonts w:asciiTheme="minorHAnsi" w:eastAsiaTheme="minorHAnsi" w:hAnsiTheme="minorHAnsi" w:cstheme="minorHAnsi"/>
        </w:rPr>
        <w:t xml:space="preserve">nepostupovalo v souladu </w:t>
      </w:r>
      <w:r w:rsidR="00AD1F02" w:rsidRPr="0039509F">
        <w:rPr>
          <w:rFonts w:asciiTheme="minorHAnsi" w:eastAsiaTheme="minorHAnsi" w:hAnsiTheme="minorHAnsi" w:cstheme="minorHAnsi"/>
        </w:rPr>
        <w:t>s</w:t>
      </w:r>
      <w:r w:rsidR="00B02F0A" w:rsidRPr="0039509F">
        <w:rPr>
          <w:rFonts w:asciiTheme="minorHAnsi" w:eastAsiaTheme="minorHAnsi" w:hAnsiTheme="minorHAnsi" w:cstheme="minorHAnsi"/>
        </w:rPr>
        <w:t> </w:t>
      </w:r>
      <w:r w:rsidRPr="0039509F">
        <w:rPr>
          <w:rFonts w:asciiTheme="minorHAnsi" w:eastAsiaTheme="minorHAnsi" w:hAnsiTheme="minorHAnsi" w:cstheme="minorHAnsi"/>
        </w:rPr>
        <w:t>vyhláškou č.</w:t>
      </w:r>
      <w:r w:rsidR="00F77001">
        <w:rPr>
          <w:rFonts w:asciiTheme="minorHAnsi" w:eastAsiaTheme="minorHAnsi" w:hAnsiTheme="minorHAnsi" w:cstheme="minorHAnsi"/>
        </w:rPr>
        <w:t> </w:t>
      </w:r>
      <w:r w:rsidRPr="0039509F">
        <w:rPr>
          <w:rFonts w:asciiTheme="minorHAnsi" w:eastAsiaTheme="minorHAnsi" w:hAnsiTheme="minorHAnsi" w:cstheme="minorHAnsi"/>
        </w:rPr>
        <w:t>367/2015</w:t>
      </w:r>
      <w:r w:rsidR="00F77001">
        <w:rPr>
          <w:rFonts w:asciiTheme="minorHAnsi" w:eastAsiaTheme="minorHAnsi" w:hAnsiTheme="minorHAnsi" w:cstheme="minorHAnsi"/>
        </w:rPr>
        <w:t> </w:t>
      </w:r>
      <w:r w:rsidRPr="0039509F">
        <w:rPr>
          <w:rFonts w:asciiTheme="minorHAnsi" w:eastAsiaTheme="minorHAnsi" w:hAnsiTheme="minorHAnsi" w:cstheme="minorHAnsi"/>
        </w:rPr>
        <w:t>Sb.</w:t>
      </w:r>
      <w:r w:rsidR="00BA284B" w:rsidRPr="0039509F">
        <w:rPr>
          <w:rStyle w:val="Znakapoznpodarou"/>
          <w:rFonts w:asciiTheme="minorHAnsi" w:eastAsiaTheme="minorHAnsi" w:hAnsiTheme="minorHAnsi" w:cstheme="minorHAnsi"/>
        </w:rPr>
        <w:footnoteReference w:id="5"/>
      </w:r>
      <w:r w:rsidRPr="0039509F">
        <w:rPr>
          <w:rFonts w:asciiTheme="minorHAnsi" w:eastAsiaTheme="minorHAnsi" w:hAnsiTheme="minorHAnsi" w:cstheme="minorHAnsi"/>
        </w:rPr>
        <w:t>, když neověř</w:t>
      </w:r>
      <w:r w:rsidR="009D74B5" w:rsidRPr="0039509F">
        <w:rPr>
          <w:rFonts w:asciiTheme="minorHAnsi" w:eastAsiaTheme="minorHAnsi" w:hAnsiTheme="minorHAnsi" w:cstheme="minorHAnsi"/>
        </w:rPr>
        <w:t>i</w:t>
      </w:r>
      <w:r w:rsidRPr="0039509F">
        <w:rPr>
          <w:rFonts w:asciiTheme="minorHAnsi" w:eastAsiaTheme="minorHAnsi" w:hAnsiTheme="minorHAnsi" w:cstheme="minorHAnsi"/>
        </w:rPr>
        <w:t xml:space="preserve">lo, zda </w:t>
      </w:r>
      <w:r w:rsidR="009D74B5" w:rsidRPr="0039509F">
        <w:rPr>
          <w:rFonts w:asciiTheme="minorHAnsi" w:eastAsiaTheme="minorHAnsi" w:hAnsiTheme="minorHAnsi" w:cstheme="minorHAnsi"/>
        </w:rPr>
        <w:t xml:space="preserve">mu </w:t>
      </w:r>
      <w:r w:rsidRPr="0039509F">
        <w:rPr>
          <w:rFonts w:asciiTheme="minorHAnsi" w:eastAsiaTheme="minorHAnsi" w:hAnsiTheme="minorHAnsi" w:cstheme="minorHAnsi"/>
        </w:rPr>
        <w:t>jednotliví příjemci podpory před</w:t>
      </w:r>
      <w:r w:rsidR="009D74B5" w:rsidRPr="0039509F">
        <w:rPr>
          <w:rFonts w:asciiTheme="minorHAnsi" w:eastAsiaTheme="minorHAnsi" w:hAnsiTheme="minorHAnsi" w:cstheme="minorHAnsi"/>
        </w:rPr>
        <w:t>loži</w:t>
      </w:r>
      <w:r w:rsidRPr="0039509F">
        <w:rPr>
          <w:rFonts w:asciiTheme="minorHAnsi" w:eastAsiaTheme="minorHAnsi" w:hAnsiTheme="minorHAnsi" w:cstheme="minorHAnsi"/>
        </w:rPr>
        <w:t>li podklady pro</w:t>
      </w:r>
      <w:r w:rsidR="000A09B9">
        <w:rPr>
          <w:rFonts w:asciiTheme="minorHAnsi" w:eastAsiaTheme="minorHAnsi" w:hAnsiTheme="minorHAnsi" w:cstheme="minorHAnsi"/>
        </w:rPr>
        <w:t xml:space="preserve"> </w:t>
      </w:r>
      <w:r w:rsidRPr="0039509F">
        <w:rPr>
          <w:rFonts w:asciiTheme="minorHAnsi" w:eastAsiaTheme="minorHAnsi" w:hAnsiTheme="minorHAnsi" w:cstheme="minorHAnsi"/>
        </w:rPr>
        <w:t>finanční vypořádání dotace.</w:t>
      </w:r>
      <w:r w:rsidR="00A522FC" w:rsidRPr="0039509F">
        <w:rPr>
          <w:rFonts w:asciiTheme="minorHAnsi" w:eastAsiaTheme="minorHAnsi" w:hAnsiTheme="minorHAnsi" w:cstheme="minorHAnsi"/>
        </w:rPr>
        <w:t xml:space="preserve"> </w:t>
      </w:r>
      <w:r w:rsidR="008E6AB4" w:rsidRPr="0039509F">
        <w:rPr>
          <w:rFonts w:asciiTheme="minorHAnsi" w:eastAsiaTheme="minorHAnsi" w:hAnsiTheme="minorHAnsi" w:cstheme="minorHAnsi"/>
        </w:rPr>
        <w:t xml:space="preserve">NKÚ </w:t>
      </w:r>
      <w:r w:rsidRPr="0039509F">
        <w:rPr>
          <w:rFonts w:asciiTheme="minorHAnsi" w:eastAsiaTheme="minorHAnsi" w:hAnsiTheme="minorHAnsi" w:cstheme="minorHAnsi"/>
        </w:rPr>
        <w:t xml:space="preserve">dále </w:t>
      </w:r>
      <w:r w:rsidR="008E6AB4" w:rsidRPr="0039509F">
        <w:rPr>
          <w:rFonts w:asciiTheme="minorHAnsi" w:eastAsiaTheme="minorHAnsi" w:hAnsiTheme="minorHAnsi" w:cstheme="minorHAnsi"/>
        </w:rPr>
        <w:t xml:space="preserve">zjistil, že MPSV </w:t>
      </w:r>
      <w:r w:rsidR="005902C5" w:rsidRPr="0039509F">
        <w:rPr>
          <w:rFonts w:asciiTheme="minorHAnsi" w:eastAsiaTheme="minorHAnsi" w:hAnsiTheme="minorHAnsi" w:cstheme="minorHAnsi"/>
        </w:rPr>
        <w:t xml:space="preserve">v šesti případech u tří projektů </w:t>
      </w:r>
      <w:r w:rsidR="008E6AB4" w:rsidRPr="0039509F">
        <w:rPr>
          <w:rFonts w:asciiTheme="minorHAnsi" w:eastAsiaTheme="minorHAnsi" w:hAnsiTheme="minorHAnsi" w:cstheme="minorHAnsi"/>
        </w:rPr>
        <w:t>nezohlednilo doporučení hodnotitelů při věcném hodnocení žádostí o</w:t>
      </w:r>
      <w:r w:rsidR="003C41DF" w:rsidRPr="0039509F">
        <w:rPr>
          <w:rFonts w:asciiTheme="minorHAnsi" w:eastAsiaTheme="minorHAnsi" w:hAnsiTheme="minorHAnsi" w:cstheme="minorHAnsi"/>
        </w:rPr>
        <w:t> </w:t>
      </w:r>
      <w:r w:rsidR="008E6AB4" w:rsidRPr="0039509F">
        <w:rPr>
          <w:rFonts w:asciiTheme="minorHAnsi" w:eastAsiaTheme="minorHAnsi" w:hAnsiTheme="minorHAnsi" w:cstheme="minorHAnsi"/>
        </w:rPr>
        <w:t>podporu</w:t>
      </w:r>
      <w:r w:rsidR="005B33CF" w:rsidRPr="0039509F">
        <w:rPr>
          <w:rFonts w:asciiTheme="minorHAnsi" w:eastAsiaTheme="minorHAnsi" w:hAnsiTheme="minorHAnsi" w:cstheme="minorHAnsi"/>
        </w:rPr>
        <w:t xml:space="preserve">. </w:t>
      </w:r>
      <w:r w:rsidR="0039509F" w:rsidRPr="00837041">
        <w:rPr>
          <w:rFonts w:asciiTheme="minorHAnsi" w:eastAsiaTheme="minorHAnsi" w:hAnsiTheme="minorHAnsi" w:cstheme="minorHAnsi"/>
        </w:rPr>
        <w:t xml:space="preserve">Naplnění účelu dotace MPSV vyhodnocuje na základě </w:t>
      </w:r>
      <w:r w:rsidR="00C25D50" w:rsidRPr="00837041">
        <w:rPr>
          <w:rFonts w:asciiTheme="minorHAnsi" w:eastAsiaTheme="minorHAnsi" w:hAnsiTheme="minorHAnsi" w:cstheme="minorHAnsi"/>
        </w:rPr>
        <w:t>dosahování hodnot závazných indikátorů a</w:t>
      </w:r>
      <w:r w:rsidR="00F77001">
        <w:rPr>
          <w:rFonts w:asciiTheme="minorHAnsi" w:eastAsiaTheme="minorHAnsi" w:hAnsiTheme="minorHAnsi" w:cstheme="minorHAnsi"/>
        </w:rPr>
        <w:t> </w:t>
      </w:r>
      <w:r w:rsidR="0039509F" w:rsidRPr="00837041">
        <w:rPr>
          <w:rFonts w:asciiTheme="minorHAnsi" w:eastAsiaTheme="minorHAnsi" w:hAnsiTheme="minorHAnsi" w:cstheme="minorHAnsi"/>
        </w:rPr>
        <w:t>plnění klíčových aktivit</w:t>
      </w:r>
      <w:r w:rsidR="00C25D50" w:rsidRPr="00837041">
        <w:rPr>
          <w:rFonts w:asciiTheme="minorHAnsi" w:eastAsiaTheme="minorHAnsi" w:hAnsiTheme="minorHAnsi" w:cstheme="minorHAnsi"/>
        </w:rPr>
        <w:t xml:space="preserve"> projektu</w:t>
      </w:r>
      <w:r w:rsidR="0039509F" w:rsidRPr="00837041">
        <w:rPr>
          <w:rFonts w:asciiTheme="minorHAnsi" w:eastAsiaTheme="minorHAnsi" w:hAnsiTheme="minorHAnsi" w:cstheme="minorHAnsi"/>
        </w:rPr>
        <w:t xml:space="preserve">. Závazné indikátory </w:t>
      </w:r>
      <w:r w:rsidR="00C25D50" w:rsidRPr="00837041">
        <w:rPr>
          <w:rFonts w:asciiTheme="minorHAnsi" w:eastAsiaTheme="minorHAnsi" w:hAnsiTheme="minorHAnsi" w:cstheme="minorHAnsi"/>
        </w:rPr>
        <w:t xml:space="preserve">u </w:t>
      </w:r>
      <w:r w:rsidR="0039509F" w:rsidRPr="00837041">
        <w:rPr>
          <w:rFonts w:asciiTheme="minorHAnsi" w:eastAsiaTheme="minorHAnsi" w:hAnsiTheme="minorHAnsi" w:cstheme="minorHAnsi"/>
        </w:rPr>
        <w:t>projekt</w:t>
      </w:r>
      <w:r w:rsidR="00C25D50" w:rsidRPr="00837041">
        <w:rPr>
          <w:rFonts w:asciiTheme="minorHAnsi" w:eastAsiaTheme="minorHAnsi" w:hAnsiTheme="minorHAnsi" w:cstheme="minorHAnsi"/>
        </w:rPr>
        <w:t>ů</w:t>
      </w:r>
      <w:r w:rsidR="0039509F" w:rsidRPr="00837041">
        <w:rPr>
          <w:rFonts w:asciiTheme="minorHAnsi" w:eastAsiaTheme="minorHAnsi" w:hAnsiTheme="minorHAnsi" w:cstheme="minorHAnsi"/>
        </w:rPr>
        <w:t xml:space="preserve"> v OPZ ovšem nesledují kvalitativní rovinu dosahování cílů</w:t>
      </w:r>
      <w:r w:rsidR="00D338CD" w:rsidRPr="00837041">
        <w:rPr>
          <w:rFonts w:asciiTheme="minorHAnsi" w:eastAsiaTheme="minorHAnsi" w:hAnsiTheme="minorHAnsi" w:cstheme="minorHAnsi"/>
        </w:rPr>
        <w:t xml:space="preserve"> (viz část IV., bod 1 tohoto kontrolního závěru)</w:t>
      </w:r>
      <w:r w:rsidR="0039509F" w:rsidRPr="00837041">
        <w:rPr>
          <w:rFonts w:asciiTheme="minorHAnsi" w:eastAsiaTheme="minorHAnsi" w:hAnsiTheme="minorHAnsi" w:cstheme="minorHAnsi"/>
        </w:rPr>
        <w:t xml:space="preserve">. Dosažení cílů přitom závisí rovněž na kvalitě, v jaké jsou </w:t>
      </w:r>
      <w:r w:rsidR="00C25D50" w:rsidRPr="00837041">
        <w:rPr>
          <w:rFonts w:asciiTheme="minorHAnsi" w:eastAsiaTheme="minorHAnsi" w:hAnsiTheme="minorHAnsi" w:cstheme="minorHAnsi"/>
        </w:rPr>
        <w:t>klíčové</w:t>
      </w:r>
      <w:r w:rsidR="0039509F" w:rsidRPr="00837041">
        <w:rPr>
          <w:rFonts w:asciiTheme="minorHAnsi" w:eastAsiaTheme="minorHAnsi" w:hAnsiTheme="minorHAnsi" w:cstheme="minorHAnsi"/>
        </w:rPr>
        <w:t xml:space="preserve"> aktivity</w:t>
      </w:r>
      <w:r w:rsidR="00C25D50" w:rsidRPr="00837041">
        <w:rPr>
          <w:rFonts w:asciiTheme="minorHAnsi" w:eastAsiaTheme="minorHAnsi" w:hAnsiTheme="minorHAnsi" w:cstheme="minorHAnsi"/>
        </w:rPr>
        <w:t xml:space="preserve"> projektu</w:t>
      </w:r>
      <w:r w:rsidR="0039509F" w:rsidRPr="00837041">
        <w:rPr>
          <w:rFonts w:asciiTheme="minorHAnsi" w:eastAsiaTheme="minorHAnsi" w:hAnsiTheme="minorHAnsi" w:cstheme="minorHAnsi"/>
        </w:rPr>
        <w:t xml:space="preserve"> realizovány.</w:t>
      </w:r>
    </w:p>
    <w:p w14:paraId="4A196789" w14:textId="32F8851E" w:rsidR="00773002" w:rsidRDefault="005430A2" w:rsidP="007051F0">
      <w:pPr>
        <w:pStyle w:val="Odstavecseseznamem"/>
        <w:numPr>
          <w:ilvl w:val="0"/>
          <w:numId w:val="20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773002" w:rsidRPr="00B02F0A">
        <w:rPr>
          <w:rFonts w:asciiTheme="minorHAnsi" w:hAnsiTheme="minorHAnsi" w:cstheme="minorHAnsi"/>
        </w:rPr>
        <w:t xml:space="preserve">ontrolované projekty dle zjištění NKÚ přispěly ke zlepšení situace </w:t>
      </w:r>
      <w:r w:rsidR="00087D1A">
        <w:rPr>
          <w:rFonts w:asciiTheme="minorHAnsi" w:hAnsiTheme="minorHAnsi" w:cstheme="minorHAnsi"/>
        </w:rPr>
        <w:t xml:space="preserve">osob z </w:t>
      </w:r>
      <w:r w:rsidR="00773002" w:rsidRPr="00B02F0A">
        <w:rPr>
          <w:rFonts w:asciiTheme="minorHAnsi" w:hAnsiTheme="minorHAnsi" w:cstheme="minorHAnsi"/>
        </w:rPr>
        <w:t>cílových skupin, avšak ne vždy v takové</w:t>
      </w:r>
      <w:r w:rsidR="003F109F">
        <w:rPr>
          <w:rFonts w:asciiTheme="minorHAnsi" w:hAnsiTheme="minorHAnsi" w:cstheme="minorHAnsi"/>
        </w:rPr>
        <w:t xml:space="preserve"> </w:t>
      </w:r>
      <w:r w:rsidR="00773002" w:rsidRPr="00B02F0A">
        <w:rPr>
          <w:rFonts w:asciiTheme="minorHAnsi" w:hAnsiTheme="minorHAnsi" w:cstheme="minorHAnsi"/>
        </w:rPr>
        <w:t xml:space="preserve">míře, kterou sami příjemci </w:t>
      </w:r>
      <w:r w:rsidR="00087D1A">
        <w:rPr>
          <w:rFonts w:asciiTheme="minorHAnsi" w:hAnsiTheme="minorHAnsi" w:cstheme="minorHAnsi"/>
        </w:rPr>
        <w:t xml:space="preserve">podpory </w:t>
      </w:r>
      <w:r w:rsidR="00773002" w:rsidRPr="00B02F0A">
        <w:rPr>
          <w:rFonts w:asciiTheme="minorHAnsi" w:hAnsiTheme="minorHAnsi" w:cstheme="minorHAnsi"/>
        </w:rPr>
        <w:t xml:space="preserve">předpokládali. </w:t>
      </w:r>
      <w:r w:rsidR="002F1D94" w:rsidRPr="00030EBD">
        <w:rPr>
          <w:rFonts w:asciiTheme="minorHAnsi" w:hAnsiTheme="minorHAnsi" w:cstheme="minorHAnsi"/>
        </w:rPr>
        <w:t xml:space="preserve">NKÚ </w:t>
      </w:r>
      <w:r w:rsidR="002F1D94" w:rsidRPr="00F1604C">
        <w:rPr>
          <w:rFonts w:asciiTheme="minorHAnsi" w:hAnsiTheme="minorHAnsi" w:cstheme="minorHAnsi"/>
        </w:rPr>
        <w:t>u</w:t>
      </w:r>
      <w:r w:rsidR="002F1D94">
        <w:rPr>
          <w:rFonts w:asciiTheme="minorHAnsi" w:hAnsiTheme="minorHAnsi" w:cstheme="minorHAnsi"/>
        </w:rPr>
        <w:t> </w:t>
      </w:r>
      <w:r w:rsidR="002F1D94" w:rsidRPr="00F1604C">
        <w:rPr>
          <w:rFonts w:asciiTheme="minorHAnsi" w:hAnsiTheme="minorHAnsi" w:cstheme="minorHAnsi"/>
        </w:rPr>
        <w:t xml:space="preserve">dvou příjemců podpory zjistil, že nedosáhli vybraných dílčích cílů, které si sami stanovili v žádosti o podporu. </w:t>
      </w:r>
      <w:r w:rsidR="00773002" w:rsidRPr="00B02F0A">
        <w:rPr>
          <w:rFonts w:asciiTheme="minorHAnsi" w:hAnsiTheme="minorHAnsi" w:cstheme="minorHAnsi"/>
        </w:rPr>
        <w:t>Dlouhodobé dopady ukončených kontrolovaných projektů jsou pouze dílčí, nebo nejsou prokazatelné. NKÚ zjistil nedostatky v postupu příjemců podpory při plnění stanovených podmínek OPZ</w:t>
      </w:r>
      <w:r w:rsidR="00CB72F5">
        <w:rPr>
          <w:rStyle w:val="Znakapoznpodarou"/>
          <w:rFonts w:asciiTheme="minorHAnsi" w:hAnsiTheme="minorHAnsi" w:cstheme="minorHAnsi"/>
        </w:rPr>
        <w:footnoteReference w:id="6"/>
      </w:r>
      <w:r w:rsidR="00773002" w:rsidRPr="00B02F0A">
        <w:rPr>
          <w:rFonts w:asciiTheme="minorHAnsi" w:hAnsiTheme="minorHAnsi" w:cstheme="minorHAnsi"/>
        </w:rPr>
        <w:t xml:space="preserve"> </w:t>
      </w:r>
      <w:r w:rsidR="00773002" w:rsidRPr="00030EBD">
        <w:rPr>
          <w:rFonts w:asciiTheme="minorHAnsi" w:hAnsiTheme="minorHAnsi" w:cstheme="minorHAnsi"/>
        </w:rPr>
        <w:t xml:space="preserve">a </w:t>
      </w:r>
      <w:r w:rsidR="0083554E" w:rsidRPr="00030EBD">
        <w:rPr>
          <w:rFonts w:asciiTheme="minorHAnsi" w:hAnsiTheme="minorHAnsi" w:cstheme="minorHAnsi"/>
        </w:rPr>
        <w:t>porušení zákona č. 218/2000 Sb., zákona č.</w:t>
      </w:r>
      <w:r w:rsidR="002F1D94">
        <w:rPr>
          <w:rFonts w:asciiTheme="minorHAnsi" w:hAnsiTheme="minorHAnsi" w:cstheme="minorHAnsi"/>
        </w:rPr>
        <w:t> </w:t>
      </w:r>
      <w:r w:rsidR="0083554E" w:rsidRPr="00030EBD">
        <w:rPr>
          <w:rFonts w:asciiTheme="minorHAnsi" w:hAnsiTheme="minorHAnsi" w:cstheme="minorHAnsi"/>
        </w:rPr>
        <w:t>320/2001 Sb. a</w:t>
      </w:r>
      <w:r w:rsidR="00D84138">
        <w:rPr>
          <w:rFonts w:asciiTheme="minorHAnsi" w:hAnsiTheme="minorHAnsi" w:cstheme="minorHAnsi"/>
        </w:rPr>
        <w:t> </w:t>
      </w:r>
      <w:r w:rsidR="0083554E" w:rsidRPr="00030EBD">
        <w:rPr>
          <w:rFonts w:asciiTheme="minorHAnsi" w:hAnsiTheme="minorHAnsi" w:cstheme="minorHAnsi"/>
        </w:rPr>
        <w:t>vyhlášky č. 367/2015 Sb.</w:t>
      </w:r>
      <w:r w:rsidR="00773002" w:rsidRPr="00030EBD">
        <w:rPr>
          <w:rFonts w:asciiTheme="minorHAnsi" w:hAnsiTheme="minorHAnsi" w:cstheme="minorHAnsi"/>
        </w:rPr>
        <w:t xml:space="preserve"> </w:t>
      </w:r>
      <w:r w:rsidR="002645E8" w:rsidRPr="00030EBD">
        <w:rPr>
          <w:rFonts w:asciiTheme="minorHAnsi" w:hAnsiTheme="minorHAnsi" w:cstheme="minorHAnsi"/>
        </w:rPr>
        <w:t>Při vynakládání peněžních prostředků příjemci podpory postupovali dle zásady hospodárnosti a respektovali ceny obvyklé v daném místě a čase.</w:t>
      </w:r>
    </w:p>
    <w:p w14:paraId="4D405A42" w14:textId="0317AD7D" w:rsidR="00E1168D" w:rsidRPr="00030EBD" w:rsidRDefault="00934C39" w:rsidP="00E1168D">
      <w:pPr>
        <w:pStyle w:val="Odstavecseseznamem"/>
        <w:numPr>
          <w:ilvl w:val="0"/>
          <w:numId w:val="20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030EBD">
        <w:rPr>
          <w:rFonts w:asciiTheme="minorHAnsi" w:hAnsiTheme="minorHAnsi" w:cstheme="minorHAnsi"/>
        </w:rPr>
        <w:t xml:space="preserve">NDT </w:t>
      </w:r>
      <w:r w:rsidRPr="00561351">
        <w:rPr>
          <w:rFonts w:asciiTheme="minorHAnsi" w:hAnsiTheme="minorHAnsi" w:cstheme="minorHAnsi"/>
          <w:i/>
        </w:rPr>
        <w:t>Rodina</w:t>
      </w:r>
      <w:r w:rsidRPr="00030EBD">
        <w:rPr>
          <w:rFonts w:asciiTheme="minorHAnsi" w:hAnsiTheme="minorHAnsi" w:cstheme="minorHAnsi"/>
        </w:rPr>
        <w:t xml:space="preserve"> přispívá k předcházení nežádoucích rodinných situací (např. rozpad rodiny, odebírání dětí). </w:t>
      </w:r>
      <w:r w:rsidR="00166B3E" w:rsidRPr="00030EBD">
        <w:rPr>
          <w:rFonts w:asciiTheme="minorHAnsi" w:hAnsiTheme="minorHAnsi" w:cstheme="minorHAnsi"/>
        </w:rPr>
        <w:t>NKÚ</w:t>
      </w:r>
      <w:r w:rsidRPr="00030EBD">
        <w:rPr>
          <w:rFonts w:asciiTheme="minorHAnsi" w:hAnsiTheme="minorHAnsi" w:cstheme="minorHAnsi"/>
        </w:rPr>
        <w:t xml:space="preserve"> však</w:t>
      </w:r>
      <w:r w:rsidR="00166B3E" w:rsidRPr="00030EBD">
        <w:rPr>
          <w:rFonts w:asciiTheme="minorHAnsi" w:hAnsiTheme="minorHAnsi" w:cstheme="minorHAnsi"/>
        </w:rPr>
        <w:t xml:space="preserve"> zjistil, že </w:t>
      </w:r>
      <w:r w:rsidR="00151E85" w:rsidRPr="00030EBD">
        <w:rPr>
          <w:rFonts w:asciiTheme="minorHAnsi" w:hAnsiTheme="minorHAnsi" w:cstheme="minorHAnsi"/>
        </w:rPr>
        <w:t xml:space="preserve">MPSV nenastavilo </w:t>
      </w:r>
      <w:r w:rsidR="00166B3E" w:rsidRPr="00030EBD">
        <w:rPr>
          <w:rFonts w:asciiTheme="minorHAnsi" w:hAnsiTheme="minorHAnsi" w:cstheme="minorHAnsi"/>
        </w:rPr>
        <w:t xml:space="preserve">národní dotační titul </w:t>
      </w:r>
      <w:r w:rsidR="00166B3E" w:rsidRPr="00561351">
        <w:rPr>
          <w:rFonts w:asciiTheme="minorHAnsi" w:hAnsiTheme="minorHAnsi" w:cstheme="minorHAnsi"/>
          <w:i/>
        </w:rPr>
        <w:t>Rodina</w:t>
      </w:r>
      <w:r w:rsidR="00151E85" w:rsidRPr="00030EBD">
        <w:rPr>
          <w:rFonts w:asciiTheme="minorHAnsi" w:hAnsiTheme="minorHAnsi" w:cstheme="minorHAnsi"/>
        </w:rPr>
        <w:t xml:space="preserve"> takovým způsobem, aby vytvořilo podmínky pro účelné vynakládání peněžních prostředků</w:t>
      </w:r>
      <w:r w:rsidR="000524DA">
        <w:rPr>
          <w:rFonts w:asciiTheme="minorHAnsi" w:hAnsiTheme="minorHAnsi" w:cstheme="minorHAnsi"/>
        </w:rPr>
        <w:t xml:space="preserve"> </w:t>
      </w:r>
      <w:r w:rsidR="00151E85" w:rsidRPr="00030EBD">
        <w:rPr>
          <w:rFonts w:asciiTheme="minorHAnsi" w:hAnsiTheme="minorHAnsi" w:cstheme="minorHAnsi"/>
        </w:rPr>
        <w:t>státního rozpočtu</w:t>
      </w:r>
      <w:r w:rsidR="00725F1E">
        <w:rPr>
          <w:rFonts w:asciiTheme="minorHAnsi" w:hAnsiTheme="minorHAnsi" w:cstheme="minorHAnsi"/>
        </w:rPr>
        <w:t xml:space="preserve"> (dále také „SR“)</w:t>
      </w:r>
      <w:r w:rsidR="00166B3E" w:rsidRPr="00030EBD">
        <w:rPr>
          <w:rFonts w:asciiTheme="minorHAnsi" w:hAnsiTheme="minorHAnsi" w:cstheme="minorHAnsi"/>
        </w:rPr>
        <w:t xml:space="preserve">. MPSV totiž v NDT </w:t>
      </w:r>
      <w:r w:rsidR="00166B3E" w:rsidRPr="00561351">
        <w:rPr>
          <w:rFonts w:asciiTheme="minorHAnsi" w:hAnsiTheme="minorHAnsi" w:cstheme="minorHAnsi"/>
          <w:i/>
        </w:rPr>
        <w:t>Rodina</w:t>
      </w:r>
      <w:r w:rsidR="00166B3E" w:rsidRPr="00030EBD">
        <w:rPr>
          <w:rFonts w:asciiTheme="minorHAnsi" w:hAnsiTheme="minorHAnsi" w:cstheme="minorHAnsi"/>
        </w:rPr>
        <w:t xml:space="preserve"> nestanovilo konkrétní cíle a</w:t>
      </w:r>
      <w:r w:rsidR="008F79EB" w:rsidRPr="00030EBD">
        <w:rPr>
          <w:rFonts w:asciiTheme="minorHAnsi" w:hAnsiTheme="minorHAnsi" w:cstheme="minorHAnsi"/>
        </w:rPr>
        <w:t> </w:t>
      </w:r>
      <w:r w:rsidR="00166B3E" w:rsidRPr="00030EBD">
        <w:rPr>
          <w:rFonts w:asciiTheme="minorHAnsi" w:hAnsiTheme="minorHAnsi" w:cstheme="minorHAnsi"/>
        </w:rPr>
        <w:t xml:space="preserve">indikátory, jejichž prostřednictvím by bylo možné sledovat a vyhodnocovat přínosy </w:t>
      </w:r>
      <w:r w:rsidR="00C76F42">
        <w:rPr>
          <w:rFonts w:asciiTheme="minorHAnsi" w:hAnsiTheme="minorHAnsi" w:cstheme="minorHAnsi"/>
        </w:rPr>
        <w:t xml:space="preserve">národního </w:t>
      </w:r>
      <w:r w:rsidR="00166B3E" w:rsidRPr="00030EBD">
        <w:rPr>
          <w:rFonts w:asciiTheme="minorHAnsi" w:hAnsiTheme="minorHAnsi" w:cstheme="minorHAnsi"/>
        </w:rPr>
        <w:t xml:space="preserve">dotačního titulu. </w:t>
      </w:r>
      <w:r w:rsidR="00B06D18" w:rsidRPr="00030EBD">
        <w:rPr>
          <w:rFonts w:asciiTheme="minorHAnsi" w:hAnsiTheme="minorHAnsi" w:cstheme="minorHAnsi"/>
        </w:rPr>
        <w:t>Tím, že MPSV soustavně nesledovalo a nevyhodnocovalo efektivnost a</w:t>
      </w:r>
      <w:r w:rsidR="003A79C1">
        <w:rPr>
          <w:rFonts w:asciiTheme="minorHAnsi" w:hAnsiTheme="minorHAnsi" w:cstheme="minorHAnsi"/>
        </w:rPr>
        <w:t> </w:t>
      </w:r>
      <w:r w:rsidR="00B06D18" w:rsidRPr="00030EBD">
        <w:rPr>
          <w:rFonts w:asciiTheme="minorHAnsi" w:hAnsiTheme="minorHAnsi" w:cstheme="minorHAnsi"/>
        </w:rPr>
        <w:t xml:space="preserve">účelnost vynakládání peněžních prostředků na podporu projektů v rámci NDT </w:t>
      </w:r>
      <w:r w:rsidR="00B06D18" w:rsidRPr="00561351">
        <w:rPr>
          <w:rFonts w:asciiTheme="minorHAnsi" w:hAnsiTheme="minorHAnsi" w:cstheme="minorHAnsi"/>
          <w:i/>
        </w:rPr>
        <w:t>Rodina</w:t>
      </w:r>
      <w:r w:rsidR="00B06D18" w:rsidRPr="00030EBD">
        <w:rPr>
          <w:rFonts w:asciiTheme="minorHAnsi" w:hAnsiTheme="minorHAnsi" w:cstheme="minorHAnsi"/>
        </w:rPr>
        <w:t xml:space="preserve"> ze</w:t>
      </w:r>
      <w:r w:rsidR="003F109F">
        <w:rPr>
          <w:rFonts w:asciiTheme="minorHAnsi" w:hAnsiTheme="minorHAnsi" w:cstheme="minorHAnsi"/>
        </w:rPr>
        <w:t xml:space="preserve"> </w:t>
      </w:r>
      <w:r w:rsidR="00B06D18" w:rsidRPr="00030EBD">
        <w:rPr>
          <w:rFonts w:asciiTheme="minorHAnsi" w:hAnsiTheme="minorHAnsi" w:cstheme="minorHAnsi"/>
        </w:rPr>
        <w:t>své rozpočtové kapitoly, nepostupovalo dle ustanovení § 39 odst. 3 zákona č.</w:t>
      </w:r>
      <w:r w:rsidRPr="00030EBD">
        <w:rPr>
          <w:rFonts w:asciiTheme="minorHAnsi" w:hAnsiTheme="minorHAnsi" w:cstheme="minorHAnsi"/>
        </w:rPr>
        <w:t> </w:t>
      </w:r>
      <w:r w:rsidR="00B06D18" w:rsidRPr="00030EBD">
        <w:rPr>
          <w:rFonts w:asciiTheme="minorHAnsi" w:hAnsiTheme="minorHAnsi" w:cstheme="minorHAnsi"/>
        </w:rPr>
        <w:t>218/2000</w:t>
      </w:r>
      <w:r w:rsidR="009F110E">
        <w:rPr>
          <w:rFonts w:asciiTheme="minorHAnsi" w:hAnsiTheme="minorHAnsi" w:cstheme="minorHAnsi"/>
        </w:rPr>
        <w:t> </w:t>
      </w:r>
      <w:r w:rsidR="00B06D18" w:rsidRPr="00030EBD">
        <w:rPr>
          <w:rFonts w:asciiTheme="minorHAnsi" w:hAnsiTheme="minorHAnsi" w:cstheme="minorHAnsi"/>
        </w:rPr>
        <w:t xml:space="preserve">Sb. </w:t>
      </w:r>
      <w:r w:rsidR="00166B3E" w:rsidRPr="00030EBD">
        <w:rPr>
          <w:rFonts w:asciiTheme="minorHAnsi" w:hAnsiTheme="minorHAnsi" w:cstheme="minorHAnsi"/>
        </w:rPr>
        <w:t xml:space="preserve">NKÚ současně zjistil, že MPSV při administraci NDT </w:t>
      </w:r>
      <w:r w:rsidR="00166B3E" w:rsidRPr="00561351">
        <w:rPr>
          <w:rFonts w:asciiTheme="minorHAnsi" w:hAnsiTheme="minorHAnsi" w:cstheme="minorHAnsi"/>
          <w:i/>
        </w:rPr>
        <w:t>Rodina</w:t>
      </w:r>
      <w:r w:rsidR="00166B3E" w:rsidRPr="00030EBD">
        <w:rPr>
          <w:rFonts w:asciiTheme="minorHAnsi" w:hAnsiTheme="minorHAnsi" w:cstheme="minorHAnsi"/>
        </w:rPr>
        <w:t xml:space="preserve"> nepostupovalo v souladu s</w:t>
      </w:r>
      <w:r w:rsidR="00FC47C6" w:rsidRPr="00030EBD">
        <w:rPr>
          <w:rFonts w:asciiTheme="minorHAnsi" w:hAnsiTheme="minorHAnsi" w:cstheme="minorHAnsi"/>
        </w:rPr>
        <w:t>e</w:t>
      </w:r>
      <w:r w:rsidR="003F109F">
        <w:rPr>
          <w:rFonts w:asciiTheme="minorHAnsi" w:hAnsiTheme="minorHAnsi" w:cstheme="minorHAnsi"/>
        </w:rPr>
        <w:t xml:space="preserve"> </w:t>
      </w:r>
      <w:r w:rsidR="00FC47C6" w:rsidRPr="00030EBD">
        <w:rPr>
          <w:rFonts w:asciiTheme="minorHAnsi" w:hAnsiTheme="minorHAnsi" w:cstheme="minorHAnsi"/>
        </w:rPr>
        <w:t>zákonem č. 218/2000 Sb. a zákonem č. 320/2001 Sb.</w:t>
      </w:r>
      <w:r w:rsidR="00326919" w:rsidRPr="00030EBD">
        <w:rPr>
          <w:rFonts w:asciiTheme="minorHAnsi" w:hAnsiTheme="minorHAnsi" w:cstheme="minorHAnsi"/>
          <w:strike/>
        </w:rPr>
        <w:t xml:space="preserve"> </w:t>
      </w:r>
    </w:p>
    <w:p w14:paraId="268FDBD0" w14:textId="388847F8" w:rsidR="00AA4D92" w:rsidRDefault="009A110F" w:rsidP="009A110F">
      <w:pPr>
        <w:pStyle w:val="Odstavecseseznamem"/>
        <w:numPr>
          <w:ilvl w:val="0"/>
          <w:numId w:val="20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D40DF">
        <w:rPr>
          <w:rFonts w:asciiTheme="minorHAnsi" w:hAnsiTheme="minorHAnsi" w:cstheme="minorHAnsi"/>
        </w:rPr>
        <w:t xml:space="preserve">MPSV při přípravě </w:t>
      </w:r>
      <w:r w:rsidRPr="00561351">
        <w:rPr>
          <w:rFonts w:asciiTheme="minorHAnsi" w:hAnsiTheme="minorHAnsi" w:cstheme="minorHAnsi"/>
          <w:i/>
        </w:rPr>
        <w:t>Koncepce rodinné politiky</w:t>
      </w:r>
      <w:r w:rsidRPr="00DD40DF">
        <w:rPr>
          <w:rFonts w:asciiTheme="minorHAnsi" w:hAnsiTheme="minorHAnsi" w:cstheme="minorHAnsi"/>
        </w:rPr>
        <w:t xml:space="preserve"> z roku 2017 (dále také „Koncepce“) nepostupovalo dle doporučení </w:t>
      </w:r>
      <w:r w:rsidRPr="00561351">
        <w:rPr>
          <w:rFonts w:asciiTheme="minorHAnsi" w:hAnsiTheme="minorHAnsi" w:cstheme="minorHAnsi"/>
          <w:i/>
        </w:rPr>
        <w:t>Metodiky přípravy veřejných strategií</w:t>
      </w:r>
      <w:r w:rsidRPr="00DD40DF">
        <w:rPr>
          <w:rFonts w:asciiTheme="minorHAnsi" w:hAnsiTheme="minorHAnsi" w:cstheme="minorHAnsi"/>
        </w:rPr>
        <w:t xml:space="preserve">, z níž mělo dle usnesení vlády </w:t>
      </w:r>
      <w:r w:rsidR="00F1099E" w:rsidRPr="00DD40DF">
        <w:rPr>
          <w:rFonts w:asciiTheme="minorHAnsi" w:hAnsiTheme="minorHAnsi" w:cstheme="minorHAnsi"/>
        </w:rPr>
        <w:t xml:space="preserve">České republiky </w:t>
      </w:r>
      <w:r w:rsidRPr="00DD40DF">
        <w:rPr>
          <w:rFonts w:asciiTheme="minorHAnsi" w:hAnsiTheme="minorHAnsi" w:cstheme="minorHAnsi"/>
        </w:rPr>
        <w:t>ze dne 2. května 2013 č. 318</w:t>
      </w:r>
      <w:r w:rsidR="003F109F">
        <w:rPr>
          <w:rFonts w:asciiTheme="minorHAnsi" w:hAnsiTheme="minorHAnsi" w:cstheme="minorHAnsi"/>
        </w:rPr>
        <w:t>,</w:t>
      </w:r>
      <w:r w:rsidRPr="00DD40DF">
        <w:rPr>
          <w:rFonts w:asciiTheme="minorHAnsi" w:hAnsiTheme="minorHAnsi" w:cstheme="minorHAnsi"/>
        </w:rPr>
        <w:t xml:space="preserve"> </w:t>
      </w:r>
      <w:r w:rsidR="00F1099E" w:rsidRPr="00561351">
        <w:rPr>
          <w:rFonts w:asciiTheme="minorHAnsi" w:hAnsiTheme="minorHAnsi" w:cstheme="minorHAnsi"/>
          <w:i/>
        </w:rPr>
        <w:t>k Metodice přípravy veřejných strategií</w:t>
      </w:r>
      <w:r w:rsidR="003F109F">
        <w:rPr>
          <w:rFonts w:asciiTheme="minorHAnsi" w:hAnsiTheme="minorHAnsi" w:cstheme="minorHAnsi"/>
        </w:rPr>
        <w:t>,</w:t>
      </w:r>
      <w:r w:rsidR="00F1099E" w:rsidRPr="00DD40DF">
        <w:rPr>
          <w:rFonts w:asciiTheme="minorHAnsi" w:hAnsiTheme="minorHAnsi" w:cstheme="minorHAnsi"/>
        </w:rPr>
        <w:t xml:space="preserve"> </w:t>
      </w:r>
      <w:r w:rsidRPr="00DD40DF">
        <w:rPr>
          <w:rFonts w:asciiTheme="minorHAnsi" w:hAnsiTheme="minorHAnsi" w:cstheme="minorHAnsi"/>
        </w:rPr>
        <w:t xml:space="preserve">vycházet. MPSV v </w:t>
      </w:r>
      <w:r w:rsidR="00D84138">
        <w:rPr>
          <w:rFonts w:asciiTheme="minorHAnsi" w:hAnsiTheme="minorHAnsi" w:cstheme="minorHAnsi"/>
        </w:rPr>
        <w:t>K</w:t>
      </w:r>
      <w:r w:rsidRPr="00DD40DF">
        <w:rPr>
          <w:rFonts w:asciiTheme="minorHAnsi" w:hAnsiTheme="minorHAnsi" w:cstheme="minorHAnsi"/>
        </w:rPr>
        <w:t xml:space="preserve">oncepci nestanovilo konkrétní, měřitelné a časově ohraničené cíle a opatření. </w:t>
      </w:r>
      <w:r w:rsidR="00AA4D92" w:rsidRPr="00DD40DF">
        <w:rPr>
          <w:rFonts w:asciiTheme="minorHAnsi" w:hAnsiTheme="minorHAnsi" w:cstheme="minorHAnsi"/>
        </w:rPr>
        <w:t>MPSV současně nenastavilo žádné indikátory pro systematické sledování a</w:t>
      </w:r>
      <w:r w:rsidR="0095773D" w:rsidRPr="00DD40DF">
        <w:rPr>
          <w:rFonts w:asciiTheme="minorHAnsi" w:hAnsiTheme="minorHAnsi" w:cstheme="minorHAnsi"/>
        </w:rPr>
        <w:t> </w:t>
      </w:r>
      <w:r w:rsidR="00AA4D92" w:rsidRPr="00DD40DF">
        <w:rPr>
          <w:rFonts w:asciiTheme="minorHAnsi" w:hAnsiTheme="minorHAnsi" w:cstheme="minorHAnsi"/>
        </w:rPr>
        <w:t>vyhodnocování plnění cílů a</w:t>
      </w:r>
      <w:r w:rsidR="008F79EB" w:rsidRPr="00DD40DF">
        <w:rPr>
          <w:rFonts w:asciiTheme="minorHAnsi" w:hAnsiTheme="minorHAnsi" w:cstheme="minorHAnsi"/>
        </w:rPr>
        <w:t> </w:t>
      </w:r>
      <w:r w:rsidR="00AA4D92" w:rsidRPr="00DD40DF">
        <w:rPr>
          <w:rFonts w:asciiTheme="minorHAnsi" w:hAnsiTheme="minorHAnsi" w:cstheme="minorHAnsi"/>
        </w:rPr>
        <w:t>opatření. V Koncepci jsou i opatření,</w:t>
      </w:r>
      <w:r w:rsidR="00F1099E" w:rsidRPr="00DD40DF">
        <w:rPr>
          <w:rFonts w:asciiTheme="minorHAnsi" w:hAnsiTheme="minorHAnsi" w:cstheme="minorHAnsi"/>
        </w:rPr>
        <w:t xml:space="preserve"> která nebudou </w:t>
      </w:r>
      <w:r w:rsidR="00DD40DF" w:rsidRPr="00DD40DF">
        <w:rPr>
          <w:rFonts w:asciiTheme="minorHAnsi" w:hAnsiTheme="minorHAnsi" w:cstheme="minorHAnsi"/>
        </w:rPr>
        <w:t xml:space="preserve">dle </w:t>
      </w:r>
      <w:r w:rsidR="003F109F" w:rsidRPr="00950ACB">
        <w:rPr>
          <w:rFonts w:asciiTheme="minorHAnsi" w:hAnsiTheme="minorHAnsi" w:cstheme="minorHAnsi"/>
        </w:rPr>
        <w:t>z</w:t>
      </w:r>
      <w:r w:rsidR="00DD40DF" w:rsidRPr="00950ACB">
        <w:rPr>
          <w:rFonts w:asciiTheme="minorHAnsi" w:hAnsiTheme="minorHAnsi" w:cstheme="minorHAnsi"/>
        </w:rPr>
        <w:t>práv o plnění</w:t>
      </w:r>
      <w:r w:rsidR="00DD40DF" w:rsidRPr="00DD40DF">
        <w:rPr>
          <w:rFonts w:asciiTheme="minorHAnsi" w:hAnsiTheme="minorHAnsi" w:cstheme="minorHAnsi"/>
        </w:rPr>
        <w:t xml:space="preserve"> </w:t>
      </w:r>
      <w:r w:rsidR="00DD40DF" w:rsidRPr="00753269">
        <w:rPr>
          <w:rFonts w:asciiTheme="minorHAnsi" w:hAnsiTheme="minorHAnsi" w:cstheme="minorHAnsi"/>
          <w:i/>
        </w:rPr>
        <w:t>Koncepce rodinné politiky</w:t>
      </w:r>
      <w:r w:rsidR="00DD40DF" w:rsidRPr="00DD40DF">
        <w:rPr>
          <w:rFonts w:asciiTheme="minorHAnsi" w:hAnsiTheme="minorHAnsi" w:cstheme="minorHAnsi"/>
        </w:rPr>
        <w:t xml:space="preserve"> </w:t>
      </w:r>
      <w:r w:rsidR="00F1099E" w:rsidRPr="00DD40DF">
        <w:rPr>
          <w:rFonts w:asciiTheme="minorHAnsi" w:hAnsiTheme="minorHAnsi" w:cstheme="minorHAnsi"/>
        </w:rPr>
        <w:t>realizována</w:t>
      </w:r>
      <w:r w:rsidR="00AA4D92" w:rsidRPr="00DD40DF">
        <w:rPr>
          <w:rFonts w:asciiTheme="minorHAnsi" w:hAnsiTheme="minorHAnsi" w:cstheme="minorHAnsi"/>
        </w:rPr>
        <w:t>, případně opatření, která nebyla založena na reálných východiscích</w:t>
      </w:r>
      <w:r w:rsidR="003F109F">
        <w:rPr>
          <w:rFonts w:asciiTheme="minorHAnsi" w:hAnsiTheme="minorHAnsi" w:cstheme="minorHAnsi"/>
        </w:rPr>
        <w:t>,</w:t>
      </w:r>
      <w:r w:rsidR="00AA4D92" w:rsidRPr="00DD40DF">
        <w:rPr>
          <w:rFonts w:asciiTheme="minorHAnsi" w:hAnsiTheme="minorHAnsi" w:cstheme="minorHAnsi"/>
        </w:rPr>
        <w:t xml:space="preserve"> a také opatření, jejichž realizaci brání re</w:t>
      </w:r>
      <w:r w:rsidR="003F109F">
        <w:rPr>
          <w:rFonts w:asciiTheme="minorHAnsi" w:hAnsiTheme="minorHAnsi" w:cstheme="minorHAnsi"/>
        </w:rPr>
        <w:t>s</w:t>
      </w:r>
      <w:r w:rsidR="00AA4D92" w:rsidRPr="00DD40DF">
        <w:rPr>
          <w:rFonts w:asciiTheme="minorHAnsi" w:hAnsiTheme="minorHAnsi" w:cstheme="minorHAnsi"/>
        </w:rPr>
        <w:t>ortní nesoulady, nebo u</w:t>
      </w:r>
      <w:r w:rsidR="0060281F">
        <w:rPr>
          <w:rFonts w:asciiTheme="minorHAnsi" w:hAnsiTheme="minorHAnsi" w:cstheme="minorHAnsi"/>
        </w:rPr>
        <w:t> </w:t>
      </w:r>
      <w:r w:rsidR="00AA4D92" w:rsidRPr="00DD40DF">
        <w:rPr>
          <w:rFonts w:asciiTheme="minorHAnsi" w:hAnsiTheme="minorHAnsi" w:cstheme="minorHAnsi"/>
        </w:rPr>
        <w:t xml:space="preserve">nichž není zřejmé, kdo zodpovídá za jejich realizaci. Finanční dopady plnění opatření </w:t>
      </w:r>
      <w:r w:rsidR="00AA4D92" w:rsidRPr="00DD40DF">
        <w:rPr>
          <w:rFonts w:asciiTheme="minorHAnsi" w:hAnsiTheme="minorHAnsi" w:cstheme="minorHAnsi"/>
        </w:rPr>
        <w:lastRenderedPageBreak/>
        <w:t xml:space="preserve">Koncepce na </w:t>
      </w:r>
      <w:r w:rsidRPr="00DD40DF">
        <w:rPr>
          <w:rFonts w:asciiTheme="minorHAnsi" w:hAnsiTheme="minorHAnsi" w:cstheme="minorHAnsi"/>
        </w:rPr>
        <w:t>státní</w:t>
      </w:r>
      <w:r w:rsidR="00AA4D92" w:rsidRPr="00DD40DF">
        <w:rPr>
          <w:rFonts w:asciiTheme="minorHAnsi" w:hAnsiTheme="minorHAnsi" w:cstheme="minorHAnsi"/>
        </w:rPr>
        <w:t xml:space="preserve"> rozpočet navíc sleduje MPSV jen v omezené míře. </w:t>
      </w:r>
      <w:r w:rsidRPr="00753269">
        <w:rPr>
          <w:rFonts w:asciiTheme="minorHAnsi" w:hAnsiTheme="minorHAnsi" w:cstheme="minorHAnsi"/>
          <w:i/>
        </w:rPr>
        <w:t>Koncepce rodinné politiky</w:t>
      </w:r>
      <w:r w:rsidRPr="00DD40DF">
        <w:rPr>
          <w:rFonts w:asciiTheme="minorHAnsi" w:hAnsiTheme="minorHAnsi" w:cstheme="minorHAnsi"/>
        </w:rPr>
        <w:t xml:space="preserve"> z roku 2017 coby základní strategický dokument proto nepředstavuje dostatečnou oporu pro účelné vynakládání peněžních prostředků </w:t>
      </w:r>
      <w:r w:rsidR="00725F1E">
        <w:rPr>
          <w:rFonts w:asciiTheme="minorHAnsi" w:hAnsiTheme="minorHAnsi" w:cstheme="minorHAnsi"/>
        </w:rPr>
        <w:t>SR</w:t>
      </w:r>
      <w:r w:rsidRPr="00DD40DF">
        <w:rPr>
          <w:rFonts w:asciiTheme="minorHAnsi" w:hAnsiTheme="minorHAnsi" w:cstheme="minorHAnsi"/>
        </w:rPr>
        <w:t xml:space="preserve"> a EU na podporu rodinné politiky.</w:t>
      </w:r>
    </w:p>
    <w:p w14:paraId="299B372E" w14:textId="2A8C9CE7" w:rsidR="001A440F" w:rsidRPr="00410B6A" w:rsidRDefault="003B5DC8" w:rsidP="00410B6A">
      <w:pPr>
        <w:pStyle w:val="Nadpis1"/>
        <w:spacing w:before="600"/>
        <w:rPr>
          <w:sz w:val="28"/>
        </w:rPr>
      </w:pPr>
      <w:r w:rsidRPr="00410B6A">
        <w:rPr>
          <w:sz w:val="28"/>
        </w:rPr>
        <w:t>II. Informace o kontrolované oblasti</w:t>
      </w:r>
    </w:p>
    <w:p w14:paraId="7D776804" w14:textId="3A40DA38" w:rsidR="00DF4A88" w:rsidRDefault="000F7102" w:rsidP="001A440F">
      <w:pPr>
        <w:rPr>
          <w:rFonts w:cstheme="minorHAnsi"/>
        </w:rPr>
      </w:pPr>
      <w:r w:rsidRPr="00DD40DF">
        <w:rPr>
          <w:rFonts w:cstheme="minorHAnsi"/>
        </w:rPr>
        <w:t>Ústředním orgánem státní správy odpovědným za oblast podpory rodinné politiky je v České republice MPSV.</w:t>
      </w:r>
      <w:r w:rsidRPr="00DD40DF">
        <w:rPr>
          <w:rStyle w:val="Znakapoznpodarou"/>
          <w:rFonts w:cstheme="minorHAnsi"/>
        </w:rPr>
        <w:footnoteReference w:id="7"/>
      </w:r>
      <w:r w:rsidRPr="00DD40DF">
        <w:rPr>
          <w:rFonts w:cstheme="minorHAnsi"/>
        </w:rPr>
        <w:t xml:space="preserve"> </w:t>
      </w:r>
      <w:r w:rsidR="001A440F" w:rsidRPr="00DD40DF">
        <w:rPr>
          <w:rFonts w:cstheme="minorHAnsi"/>
        </w:rPr>
        <w:t xml:space="preserve">Rodinná politika je souhrnem aktivit, které </w:t>
      </w:r>
      <w:r w:rsidR="00DE1AF3" w:rsidRPr="00DD40DF">
        <w:rPr>
          <w:rFonts w:cstheme="minorHAnsi"/>
        </w:rPr>
        <w:t>přispívají</w:t>
      </w:r>
      <w:r w:rsidR="001A440F" w:rsidRPr="00DD40DF">
        <w:rPr>
          <w:rFonts w:cstheme="minorHAnsi"/>
        </w:rPr>
        <w:t xml:space="preserve"> k vytváření socioekonomických podmínek vhodných pro fungování rodin a výchovu dětí, k podpoře rodin ohrožených příjmovou chudobou a sociálním vyloučením (viz graf č. 2) a k vyšší porodnosti a</w:t>
      </w:r>
      <w:r w:rsidR="00C76F42">
        <w:rPr>
          <w:rFonts w:cstheme="minorHAnsi"/>
        </w:rPr>
        <w:t> </w:t>
      </w:r>
      <w:r w:rsidR="001A440F" w:rsidRPr="00DD40DF">
        <w:rPr>
          <w:rFonts w:cstheme="minorHAnsi"/>
        </w:rPr>
        <w:t>sňatečnosti vzhledem k demografickým změnám v české společnosti.</w:t>
      </w:r>
      <w:r w:rsidR="00DF4A88">
        <w:rPr>
          <w:rFonts w:cstheme="minorHAnsi"/>
        </w:rPr>
        <w:t xml:space="preserve"> </w:t>
      </w:r>
    </w:p>
    <w:p w14:paraId="013144A6" w14:textId="037454D4" w:rsidR="00DF4A88" w:rsidRDefault="00DF4A88" w:rsidP="00DF4A88">
      <w:pPr>
        <w:rPr>
          <w:rFonts w:cstheme="minorHAnsi"/>
        </w:rPr>
      </w:pPr>
      <w:r w:rsidRPr="00DD40DF">
        <w:rPr>
          <w:rFonts w:cstheme="minorHAnsi"/>
        </w:rPr>
        <w:t xml:space="preserve">Na podporu rodin a na realizaci opatření rodinné politiky poskytuje MPSV peněžní prostředky </w:t>
      </w:r>
      <w:r w:rsidR="009F110E" w:rsidRPr="00DD40DF">
        <w:rPr>
          <w:rFonts w:cstheme="minorHAnsi"/>
        </w:rPr>
        <w:t xml:space="preserve">státního rozpočtu </w:t>
      </w:r>
      <w:r w:rsidR="009F110E">
        <w:rPr>
          <w:rFonts w:cstheme="minorHAnsi"/>
        </w:rPr>
        <w:t xml:space="preserve">a </w:t>
      </w:r>
      <w:r w:rsidRPr="00DD40DF">
        <w:rPr>
          <w:rFonts w:cstheme="minorHAnsi"/>
        </w:rPr>
        <w:t xml:space="preserve">EU v rámci OPZ a dále vynakládá peněžní prostředky z vlastní rozpočtové kapitoly na zajištění realizace NDT </w:t>
      </w:r>
      <w:r w:rsidRPr="001439C9">
        <w:rPr>
          <w:rFonts w:cstheme="minorHAnsi"/>
          <w:i/>
        </w:rPr>
        <w:t>Rodina</w:t>
      </w:r>
      <w:r w:rsidRPr="00DD40DF">
        <w:rPr>
          <w:rFonts w:cstheme="minorHAnsi"/>
        </w:rPr>
        <w:t xml:space="preserve"> a na vybrané dávky státní sociální podpory, tj.</w:t>
      </w:r>
      <w:r w:rsidR="00F35DA3">
        <w:rPr>
          <w:rFonts w:cstheme="minorHAnsi"/>
        </w:rPr>
        <w:t> </w:t>
      </w:r>
      <w:r w:rsidRPr="00DD40DF">
        <w:rPr>
          <w:rFonts w:cstheme="minorHAnsi"/>
        </w:rPr>
        <w:t xml:space="preserve">přídavek na dítě, porodné, rodičovský příspěvek, příspěvek na bydlení (viz </w:t>
      </w:r>
      <w:r w:rsidR="006E5596">
        <w:rPr>
          <w:rFonts w:cstheme="minorHAnsi"/>
        </w:rPr>
        <w:t>p</w:t>
      </w:r>
      <w:r w:rsidRPr="00DD40DF">
        <w:rPr>
          <w:rFonts w:cstheme="minorHAnsi"/>
        </w:rPr>
        <w:t xml:space="preserve">říloha č. 2 </w:t>
      </w:r>
      <w:r w:rsidR="006E5596">
        <w:rPr>
          <w:rFonts w:cstheme="minorHAnsi"/>
        </w:rPr>
        <w:t xml:space="preserve">tohoto </w:t>
      </w:r>
      <w:r w:rsidRPr="00DD40DF">
        <w:rPr>
          <w:rFonts w:cstheme="minorHAnsi"/>
        </w:rPr>
        <w:t>kontrolního závěru).</w:t>
      </w:r>
    </w:p>
    <w:p w14:paraId="1837A1CE" w14:textId="21A158A6" w:rsidR="00DF4A88" w:rsidRPr="00410B6A" w:rsidRDefault="00DF4A88" w:rsidP="00D83DFD">
      <w:pPr>
        <w:keepNext/>
        <w:spacing w:before="360" w:after="0"/>
        <w:rPr>
          <w:b/>
          <w:lang w:eastAsia="cs-CZ"/>
        </w:rPr>
      </w:pPr>
      <w:r w:rsidRPr="00410B6A">
        <w:rPr>
          <w:b/>
        </w:rPr>
        <w:t xml:space="preserve">Graf č. </w:t>
      </w:r>
      <w:r w:rsidR="007556B8" w:rsidRPr="00410B6A">
        <w:rPr>
          <w:b/>
        </w:rPr>
        <w:fldChar w:fldCharType="begin"/>
      </w:r>
      <w:r w:rsidR="007556B8" w:rsidRPr="00410B6A">
        <w:rPr>
          <w:b/>
        </w:rPr>
        <w:instrText xml:space="preserve"> SEQ Graf_č._ \* ARABIC </w:instrText>
      </w:r>
      <w:r w:rsidR="007556B8" w:rsidRPr="00410B6A">
        <w:rPr>
          <w:b/>
        </w:rPr>
        <w:fldChar w:fldCharType="separate"/>
      </w:r>
      <w:r w:rsidR="003C10D0">
        <w:rPr>
          <w:b/>
          <w:noProof/>
        </w:rPr>
        <w:t>1</w:t>
      </w:r>
      <w:r w:rsidR="007556B8" w:rsidRPr="00410B6A">
        <w:rPr>
          <w:b/>
          <w:noProof/>
        </w:rPr>
        <w:fldChar w:fldCharType="end"/>
      </w:r>
      <w:r w:rsidR="00946C93">
        <w:rPr>
          <w:b/>
          <w:noProof/>
        </w:rPr>
        <w:t>:</w:t>
      </w:r>
      <w:r w:rsidRPr="00410B6A">
        <w:rPr>
          <w:b/>
          <w:lang w:eastAsia="cs-CZ"/>
        </w:rPr>
        <w:t xml:space="preserve"> Státní výdaje na rodinné dávky v ČR a EU</w:t>
      </w:r>
    </w:p>
    <w:p w14:paraId="76700C36" w14:textId="78B09CE4" w:rsidR="00DF4A88" w:rsidRDefault="00DF4A88" w:rsidP="001A440F">
      <w:pPr>
        <w:rPr>
          <w:rFonts w:cstheme="minorHAnsi"/>
        </w:rPr>
      </w:pPr>
      <w:r>
        <w:rPr>
          <w:noProof/>
        </w:rPr>
        <w:drawing>
          <wp:inline distT="0" distB="0" distL="0" distR="0" wp14:anchorId="2A7FC832" wp14:editId="1FD370FF">
            <wp:extent cx="5698066" cy="3284713"/>
            <wp:effectExtent l="0" t="0" r="0" b="0"/>
            <wp:docPr id="32" name="Graf 32">
              <a:extLst xmlns:a="http://schemas.openxmlformats.org/drawingml/2006/main">
                <a:ext uri="{FF2B5EF4-FFF2-40B4-BE49-F238E27FC236}">
                  <a16:creationId xmlns:a16="http://schemas.microsoft.com/office/drawing/2014/main" id="{6DA128EF-74B0-4191-BE96-BBF8C52E91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3E31D18" w14:textId="77777777" w:rsidR="00DF4A88" w:rsidRPr="000B3094" w:rsidRDefault="00DF4A88" w:rsidP="00DF4A88">
      <w:pPr>
        <w:rPr>
          <w:lang w:eastAsia="cs-CZ"/>
        </w:rPr>
      </w:pPr>
      <w:r w:rsidRPr="00410B6A">
        <w:rPr>
          <w:b/>
          <w:sz w:val="20"/>
          <w:szCs w:val="20"/>
          <w:lang w:eastAsia="cs-CZ"/>
        </w:rPr>
        <w:t>Zdroj:</w:t>
      </w:r>
      <w:r w:rsidRPr="00410B6A">
        <w:rPr>
          <w:b/>
          <w:sz w:val="20"/>
          <w:szCs w:val="20"/>
          <w:lang w:val="en-GB" w:eastAsia="cs-CZ"/>
        </w:rPr>
        <w:t xml:space="preserve"> </w:t>
      </w:r>
      <w:r w:rsidRPr="00006DD6">
        <w:rPr>
          <w:sz w:val="20"/>
          <w:szCs w:val="20"/>
          <w:lang w:val="en-GB" w:eastAsia="cs-CZ"/>
        </w:rPr>
        <w:t xml:space="preserve">Eurostat, </w:t>
      </w:r>
      <w:r w:rsidRPr="005D50C6">
        <w:rPr>
          <w:i/>
          <w:sz w:val="20"/>
          <w:szCs w:val="20"/>
          <w:lang w:val="en-GB" w:eastAsia="cs-CZ"/>
        </w:rPr>
        <w:t>European system of integrated social protection statistics</w:t>
      </w:r>
      <w:r w:rsidRPr="00006DD6">
        <w:rPr>
          <w:sz w:val="20"/>
          <w:szCs w:val="20"/>
          <w:lang w:val="en-GB" w:eastAsia="cs-CZ"/>
        </w:rPr>
        <w:t xml:space="preserve"> (ESSPROS).</w:t>
      </w:r>
      <w:r>
        <w:rPr>
          <w:rStyle w:val="Znakapoznpodarou"/>
          <w:sz w:val="20"/>
          <w:szCs w:val="20"/>
          <w:lang w:val="en-GB" w:eastAsia="cs-CZ"/>
        </w:rPr>
        <w:footnoteReference w:id="8"/>
      </w:r>
    </w:p>
    <w:p w14:paraId="2E1673DA" w14:textId="489B41CF" w:rsidR="001A440F" w:rsidRPr="00DD40DF" w:rsidRDefault="001A440F" w:rsidP="001A440F">
      <w:pPr>
        <w:rPr>
          <w:rFonts w:cstheme="minorHAnsi"/>
        </w:rPr>
      </w:pPr>
      <w:r w:rsidRPr="00DD40DF">
        <w:rPr>
          <w:rFonts w:cstheme="minorHAnsi"/>
        </w:rPr>
        <w:lastRenderedPageBreak/>
        <w:t xml:space="preserve">Základním strategickým dokumentem, který vymezuje směřování podpory rodin v České republice je </w:t>
      </w:r>
      <w:r w:rsidRPr="005D50C6">
        <w:rPr>
          <w:rFonts w:cstheme="minorHAnsi"/>
          <w:i/>
        </w:rPr>
        <w:t>Koncepce rodinné politiky</w:t>
      </w:r>
      <w:r w:rsidRPr="00DD40DF">
        <w:rPr>
          <w:rFonts w:cstheme="minorHAnsi"/>
        </w:rPr>
        <w:t xml:space="preserve"> schválená usnesením vlády</w:t>
      </w:r>
      <w:r w:rsidR="000A7CCC">
        <w:rPr>
          <w:rFonts w:cstheme="minorHAnsi"/>
        </w:rPr>
        <w:t xml:space="preserve"> České republiky ze dne 18.</w:t>
      </w:r>
      <w:r w:rsidR="0060281F">
        <w:rPr>
          <w:rFonts w:cstheme="minorHAnsi"/>
        </w:rPr>
        <w:t> </w:t>
      </w:r>
      <w:r w:rsidR="000A7CCC">
        <w:rPr>
          <w:rFonts w:cstheme="minorHAnsi"/>
        </w:rPr>
        <w:t>září 2017 č. 654</w:t>
      </w:r>
      <w:r w:rsidR="006E5596">
        <w:rPr>
          <w:rFonts w:cstheme="minorHAnsi"/>
        </w:rPr>
        <w:t>,</w:t>
      </w:r>
      <w:r w:rsidR="000A7CCC">
        <w:rPr>
          <w:rFonts w:cstheme="minorHAnsi"/>
        </w:rPr>
        <w:t xml:space="preserve"> </w:t>
      </w:r>
      <w:r w:rsidR="000A7CCC" w:rsidRPr="005D50C6">
        <w:rPr>
          <w:rFonts w:cstheme="minorHAnsi"/>
          <w:i/>
        </w:rPr>
        <w:t>o Koncepci rodinné politiky</w:t>
      </w:r>
      <w:r w:rsidRPr="00DD40DF">
        <w:rPr>
          <w:rFonts w:cstheme="minorHAnsi"/>
        </w:rPr>
        <w:t>. Koncepce vymezuje celkem 39 opatření na</w:t>
      </w:r>
      <w:r w:rsidR="006E5596">
        <w:rPr>
          <w:rFonts w:cstheme="minorHAnsi"/>
        </w:rPr>
        <w:t xml:space="preserve"> </w:t>
      </w:r>
      <w:r w:rsidRPr="00DD40DF">
        <w:rPr>
          <w:rFonts w:cstheme="minorHAnsi"/>
        </w:rPr>
        <w:t>podporu veřejných služeb pro rodiny, na předcházení nežádoucích rodinných situací a</w:t>
      </w:r>
      <w:r w:rsidR="0060281F">
        <w:rPr>
          <w:rFonts w:cstheme="minorHAnsi"/>
        </w:rPr>
        <w:t> </w:t>
      </w:r>
      <w:r w:rsidRPr="00DD40DF">
        <w:rPr>
          <w:rFonts w:cstheme="minorHAnsi"/>
        </w:rPr>
        <w:t>na</w:t>
      </w:r>
      <w:r w:rsidR="006E5596">
        <w:rPr>
          <w:rFonts w:cstheme="minorHAnsi"/>
        </w:rPr>
        <w:t xml:space="preserve"> </w:t>
      </w:r>
      <w:r w:rsidRPr="00DD40DF">
        <w:rPr>
          <w:rFonts w:cstheme="minorHAnsi"/>
        </w:rPr>
        <w:t>slaďování práce a rodiny. Plnění těchto opatření je financováno ze státního rozpočtu a</w:t>
      </w:r>
      <w:r w:rsidR="0060281F">
        <w:rPr>
          <w:rFonts w:cstheme="minorHAnsi"/>
        </w:rPr>
        <w:t> </w:t>
      </w:r>
      <w:r w:rsidRPr="00DD40DF">
        <w:rPr>
          <w:rFonts w:cstheme="minorHAnsi"/>
        </w:rPr>
        <w:t xml:space="preserve">z OPZ. Jedním z opatření Koncepce je i poskytování peněžních prostředků na </w:t>
      </w:r>
      <w:r w:rsidR="00C76F42">
        <w:rPr>
          <w:rFonts w:cstheme="minorHAnsi"/>
        </w:rPr>
        <w:t>n</w:t>
      </w:r>
      <w:r w:rsidRPr="00DD40DF">
        <w:rPr>
          <w:rFonts w:cstheme="minorHAnsi"/>
        </w:rPr>
        <w:t xml:space="preserve">árodní dotační titul </w:t>
      </w:r>
      <w:r w:rsidRPr="005D50C6">
        <w:rPr>
          <w:rFonts w:cstheme="minorHAnsi"/>
          <w:i/>
        </w:rPr>
        <w:t>Rodina</w:t>
      </w:r>
      <w:r w:rsidRPr="00DD40DF">
        <w:rPr>
          <w:rFonts w:cstheme="minorHAnsi"/>
        </w:rPr>
        <w:t xml:space="preserve"> z rozpočtové kapitoly MPSV (viz </w:t>
      </w:r>
      <w:r w:rsidR="006E5596">
        <w:rPr>
          <w:rFonts w:cstheme="minorHAnsi"/>
        </w:rPr>
        <w:t>dále</w:t>
      </w:r>
      <w:r w:rsidRPr="00DD40DF">
        <w:rPr>
          <w:rFonts w:cstheme="minorHAnsi"/>
        </w:rPr>
        <w:t>).</w:t>
      </w:r>
    </w:p>
    <w:p w14:paraId="69973019" w14:textId="6569DABB" w:rsidR="00DD40DF" w:rsidRDefault="001A440F" w:rsidP="001A440F">
      <w:pPr>
        <w:rPr>
          <w:rFonts w:cstheme="minorHAnsi"/>
        </w:rPr>
      </w:pPr>
      <w:r w:rsidRPr="00DD40DF">
        <w:rPr>
          <w:rFonts w:cstheme="minorHAnsi"/>
        </w:rPr>
        <w:t xml:space="preserve">Dle usnesení vlády České republiky </w:t>
      </w:r>
      <w:r w:rsidRPr="00DD40DF">
        <w:rPr>
          <w:rFonts w:cstheme="minorHAnsi"/>
          <w:bCs/>
          <w:iCs/>
        </w:rPr>
        <w:t>ze dne 18. září 2017 č. 654</w:t>
      </w:r>
      <w:r w:rsidR="00E00061">
        <w:rPr>
          <w:rFonts w:cstheme="minorHAnsi"/>
          <w:bCs/>
          <w:iCs/>
        </w:rPr>
        <w:t>,</w:t>
      </w:r>
      <w:r w:rsidRPr="00DD40DF">
        <w:rPr>
          <w:rFonts w:cstheme="minorHAnsi"/>
          <w:bCs/>
          <w:iCs/>
        </w:rPr>
        <w:t xml:space="preserve"> </w:t>
      </w:r>
      <w:r w:rsidRPr="005D50C6">
        <w:rPr>
          <w:rFonts w:cstheme="minorHAnsi"/>
          <w:bCs/>
          <w:i/>
          <w:iCs/>
        </w:rPr>
        <w:t>o Koncepci rodinné politiky</w:t>
      </w:r>
      <w:r w:rsidR="00E00061">
        <w:rPr>
          <w:rFonts w:cstheme="minorHAnsi"/>
          <w:bCs/>
          <w:iCs/>
        </w:rPr>
        <w:t>,</w:t>
      </w:r>
      <w:r w:rsidRPr="00DD40DF">
        <w:rPr>
          <w:rStyle w:val="Znakapoznpodarou"/>
          <w:rFonts w:cstheme="minorHAnsi"/>
        </w:rPr>
        <w:t xml:space="preserve"> </w:t>
      </w:r>
      <w:r w:rsidRPr="00DD40DF">
        <w:rPr>
          <w:rFonts w:cstheme="minorHAnsi"/>
        </w:rPr>
        <w:t xml:space="preserve">má MPSV poskytnout </w:t>
      </w:r>
      <w:r w:rsidR="003B3031" w:rsidRPr="00DD40DF">
        <w:rPr>
          <w:rFonts w:cstheme="minorHAnsi"/>
        </w:rPr>
        <w:t xml:space="preserve">každoročně </w:t>
      </w:r>
      <w:r w:rsidRPr="00DD40DF">
        <w:rPr>
          <w:rFonts w:cstheme="minorHAnsi"/>
        </w:rPr>
        <w:t xml:space="preserve">peněžní prostředky z vlastní rozpočtové kapitoly na přípravu Fóra rodinné politiky a </w:t>
      </w:r>
      <w:r w:rsidR="003B3031">
        <w:rPr>
          <w:rFonts w:cstheme="minorHAnsi"/>
        </w:rPr>
        <w:t xml:space="preserve">každé tři roky </w:t>
      </w:r>
      <w:r w:rsidR="003B3031" w:rsidRPr="00DD40DF">
        <w:rPr>
          <w:rFonts w:cstheme="minorHAnsi"/>
        </w:rPr>
        <w:t xml:space="preserve">peněžní prostředky </w:t>
      </w:r>
      <w:r w:rsidR="003B3031">
        <w:rPr>
          <w:rFonts w:cstheme="minorHAnsi"/>
        </w:rPr>
        <w:t xml:space="preserve">na přípravu </w:t>
      </w:r>
      <w:r w:rsidRPr="00DD40DF">
        <w:rPr>
          <w:rFonts w:cstheme="minorHAnsi"/>
        </w:rPr>
        <w:t>komplexního výzkumu o</w:t>
      </w:r>
      <w:r w:rsidR="003B3031">
        <w:rPr>
          <w:rFonts w:cstheme="minorHAnsi"/>
        </w:rPr>
        <w:t> </w:t>
      </w:r>
      <w:r w:rsidRPr="00DD40DF">
        <w:rPr>
          <w:rFonts w:cstheme="minorHAnsi"/>
        </w:rPr>
        <w:t>situaci rodin a seniorů</w:t>
      </w:r>
      <w:r w:rsidR="00AB4DC1">
        <w:rPr>
          <w:rFonts w:cstheme="minorHAnsi"/>
        </w:rPr>
        <w:t>.</w:t>
      </w:r>
      <w:r w:rsidRPr="00DD40DF">
        <w:rPr>
          <w:rFonts w:cstheme="minorHAnsi"/>
        </w:rPr>
        <w:t xml:space="preserve"> </w:t>
      </w:r>
      <w:r w:rsidR="00AB4DC1">
        <w:rPr>
          <w:rFonts w:cstheme="minorHAnsi"/>
        </w:rPr>
        <w:t>D</w:t>
      </w:r>
      <w:r w:rsidRPr="00DD40DF">
        <w:rPr>
          <w:rFonts w:cstheme="minorHAnsi"/>
        </w:rPr>
        <w:t xml:space="preserve">ále má informovat vládu o pokroku realizace opatření navržených v Koncepci, každé tři roky má připravit </w:t>
      </w:r>
      <w:r w:rsidR="00E00061" w:rsidRPr="00950ACB">
        <w:rPr>
          <w:rFonts w:cstheme="minorHAnsi"/>
        </w:rPr>
        <w:t>z</w:t>
      </w:r>
      <w:r w:rsidRPr="00950ACB">
        <w:rPr>
          <w:rFonts w:cstheme="minorHAnsi"/>
        </w:rPr>
        <w:t>právu o rodině</w:t>
      </w:r>
      <w:r w:rsidRPr="00DD40DF">
        <w:rPr>
          <w:rFonts w:cstheme="minorHAnsi"/>
        </w:rPr>
        <w:t xml:space="preserve"> a každých pět let má připravit aktualizaci Koncepce. MPSV připravilo a předložilo vládě </w:t>
      </w:r>
      <w:r w:rsidR="000A7CCC">
        <w:rPr>
          <w:rFonts w:cstheme="minorHAnsi"/>
        </w:rPr>
        <w:t xml:space="preserve">ČR </w:t>
      </w:r>
      <w:r w:rsidRPr="00DD40DF">
        <w:rPr>
          <w:rFonts w:cstheme="minorHAnsi"/>
        </w:rPr>
        <w:t>v letech 2019 a 2021 aktualizované verze Koncepce, k jejich projednání a schválení nicméně nedošlo.</w:t>
      </w:r>
    </w:p>
    <w:p w14:paraId="133F9E33" w14:textId="5C53FF02" w:rsidR="003D1851" w:rsidRPr="003D1851" w:rsidRDefault="003D1851" w:rsidP="00D83DFD">
      <w:pPr>
        <w:keepNext/>
        <w:spacing w:before="240"/>
        <w:jc w:val="left"/>
        <w:rPr>
          <w:b/>
        </w:rPr>
      </w:pPr>
      <w:r w:rsidRPr="003D1851">
        <w:rPr>
          <w:b/>
        </w:rPr>
        <w:t xml:space="preserve">Operační program </w:t>
      </w:r>
      <w:r w:rsidRPr="005D50C6">
        <w:rPr>
          <w:b/>
          <w:i/>
        </w:rPr>
        <w:t>Zaměstnanost</w:t>
      </w:r>
      <w:r w:rsidR="00ED74FE">
        <w:rPr>
          <w:b/>
          <w:i/>
        </w:rPr>
        <w:t xml:space="preserve"> 2014–2020</w:t>
      </w:r>
    </w:p>
    <w:p w14:paraId="20D93308" w14:textId="3D2C2FB3" w:rsidR="00BC291B" w:rsidRPr="00006DD6" w:rsidRDefault="003D1851" w:rsidP="00BC291B">
      <w:pPr>
        <w:rPr>
          <w:rFonts w:eastAsia="Calibri" w:cs="Calibri"/>
          <w:bCs/>
        </w:rPr>
      </w:pPr>
      <w:r w:rsidRPr="006A6BAD">
        <w:rPr>
          <w:rFonts w:cstheme="minorHAnsi"/>
        </w:rPr>
        <w:t xml:space="preserve">Operační program </w:t>
      </w:r>
      <w:r w:rsidRPr="005D50C6">
        <w:rPr>
          <w:rFonts w:cstheme="minorHAnsi"/>
          <w:i/>
        </w:rPr>
        <w:t>Zaměstnanost</w:t>
      </w:r>
      <w:r w:rsidRPr="006A6BAD">
        <w:rPr>
          <w:rFonts w:cstheme="minorHAnsi"/>
        </w:rPr>
        <w:t xml:space="preserve"> </w:t>
      </w:r>
      <w:r w:rsidRPr="005D50C6">
        <w:rPr>
          <w:rFonts w:cstheme="minorHAnsi"/>
          <w:i/>
        </w:rPr>
        <w:t>2014</w:t>
      </w:r>
      <w:r w:rsidR="00DB6593" w:rsidRPr="005D50C6">
        <w:rPr>
          <w:i/>
        </w:rPr>
        <w:t>–</w:t>
      </w:r>
      <w:r w:rsidRPr="005D50C6">
        <w:rPr>
          <w:rFonts w:cstheme="minorHAnsi"/>
          <w:i/>
        </w:rPr>
        <w:t>2020</w:t>
      </w:r>
      <w:r w:rsidRPr="006A6BAD">
        <w:rPr>
          <w:rFonts w:cstheme="minorHAnsi"/>
        </w:rPr>
        <w:t xml:space="preserve"> vymezuje priority pro</w:t>
      </w:r>
      <w:r w:rsidR="00E00061">
        <w:rPr>
          <w:rFonts w:cstheme="minorHAnsi"/>
        </w:rPr>
        <w:t xml:space="preserve"> </w:t>
      </w:r>
      <w:r w:rsidRPr="006A6BAD">
        <w:rPr>
          <w:rFonts w:cstheme="minorHAnsi"/>
        </w:rPr>
        <w:t>podporu zaměstnanosti, sociálního začleňování a</w:t>
      </w:r>
      <w:r w:rsidR="00ED74FE">
        <w:rPr>
          <w:rFonts w:cstheme="minorHAnsi"/>
        </w:rPr>
        <w:t> </w:t>
      </w:r>
      <w:r w:rsidRPr="006A6BAD">
        <w:rPr>
          <w:rFonts w:cstheme="minorHAnsi"/>
        </w:rPr>
        <w:t>sociální</w:t>
      </w:r>
      <w:r w:rsidR="007C46FA">
        <w:rPr>
          <w:rFonts w:cstheme="minorHAnsi"/>
        </w:rPr>
        <w:t>ch</w:t>
      </w:r>
      <w:r w:rsidRPr="006A6BAD">
        <w:rPr>
          <w:rFonts w:cstheme="minorHAnsi"/>
        </w:rPr>
        <w:t xml:space="preserve"> inovac</w:t>
      </w:r>
      <w:r w:rsidR="007C46FA">
        <w:rPr>
          <w:rFonts w:cstheme="minorHAnsi"/>
        </w:rPr>
        <w:t>í</w:t>
      </w:r>
      <w:r w:rsidRPr="006A6BAD">
        <w:rPr>
          <w:rFonts w:cstheme="minorHAnsi"/>
        </w:rPr>
        <w:t xml:space="preserve"> včetně mezinárodní spolupráce z Evropského sociálního fondu</w:t>
      </w:r>
      <w:r w:rsidR="00ED74FE">
        <w:rPr>
          <w:rFonts w:cstheme="minorHAnsi"/>
        </w:rPr>
        <w:t xml:space="preserve"> v programovém období </w:t>
      </w:r>
      <w:r w:rsidR="00ED74FE" w:rsidRPr="00ED74FE">
        <w:rPr>
          <w:rFonts w:cstheme="minorHAnsi"/>
        </w:rPr>
        <w:t>2014–2020</w:t>
      </w:r>
      <w:r w:rsidRPr="006A6BAD">
        <w:rPr>
          <w:rFonts w:cstheme="minorHAnsi"/>
        </w:rPr>
        <w:t xml:space="preserve">. </w:t>
      </w:r>
      <w:r w:rsidR="008A4D56" w:rsidRPr="002262E9">
        <w:rPr>
          <w:rFonts w:cstheme="minorHAnsi"/>
        </w:rPr>
        <w:t>Řídicím orgánem</w:t>
      </w:r>
      <w:r w:rsidR="007A4C48" w:rsidRPr="002262E9">
        <w:rPr>
          <w:rFonts w:cstheme="minorHAnsi"/>
        </w:rPr>
        <w:t xml:space="preserve"> (dále také „</w:t>
      </w:r>
      <w:r w:rsidR="00144E3D" w:rsidRPr="002262E9">
        <w:rPr>
          <w:rFonts w:cstheme="minorHAnsi"/>
        </w:rPr>
        <w:t>ŘO</w:t>
      </w:r>
      <w:r w:rsidR="007A4C48" w:rsidRPr="002262E9">
        <w:rPr>
          <w:rFonts w:cstheme="minorHAnsi"/>
        </w:rPr>
        <w:t>“)</w:t>
      </w:r>
      <w:r w:rsidRPr="002262E9">
        <w:rPr>
          <w:rFonts w:cstheme="minorHAnsi"/>
        </w:rPr>
        <w:t xml:space="preserve"> </w:t>
      </w:r>
      <w:r w:rsidRPr="006A6BAD">
        <w:rPr>
          <w:rFonts w:cstheme="minorHAnsi"/>
        </w:rPr>
        <w:t>OPZ je Ministerstvo práce a sociálních věcí.</w:t>
      </w:r>
      <w:r w:rsidR="00BC291B">
        <w:rPr>
          <w:rFonts w:cstheme="minorHAnsi"/>
        </w:rPr>
        <w:t xml:space="preserve"> </w:t>
      </w:r>
      <w:r w:rsidR="00BC291B" w:rsidRPr="00006DD6">
        <w:t>OP</w:t>
      </w:r>
      <w:r w:rsidR="007C46FA">
        <w:t xml:space="preserve">Z </w:t>
      </w:r>
      <w:r w:rsidR="00BC291B" w:rsidRPr="00006DD6">
        <w:t xml:space="preserve">vychází ze strategie obsažené v </w:t>
      </w:r>
      <w:r w:rsidR="00BC291B" w:rsidRPr="00006DD6">
        <w:rPr>
          <w:i/>
        </w:rPr>
        <w:t>Dohodě o</w:t>
      </w:r>
      <w:r w:rsidR="005D50C6">
        <w:rPr>
          <w:i/>
        </w:rPr>
        <w:t> </w:t>
      </w:r>
      <w:r w:rsidR="00BC291B" w:rsidRPr="00006DD6">
        <w:rPr>
          <w:i/>
        </w:rPr>
        <w:t>partnerství</w:t>
      </w:r>
      <w:r w:rsidR="00BC291B" w:rsidRPr="00006DD6">
        <w:t xml:space="preserve"> a zohledňuje další relevantní dokumenty EU, mj. </w:t>
      </w:r>
      <w:r w:rsidR="00BC291B" w:rsidRPr="0045296C">
        <w:t>strategii</w:t>
      </w:r>
      <w:r w:rsidR="00BC291B" w:rsidRPr="00006DD6">
        <w:rPr>
          <w:i/>
        </w:rPr>
        <w:t xml:space="preserve"> Evropa 2020</w:t>
      </w:r>
      <w:r w:rsidR="00BC291B">
        <w:rPr>
          <w:rStyle w:val="Znakapoznpodarou"/>
        </w:rPr>
        <w:footnoteReference w:id="9"/>
      </w:r>
      <w:r w:rsidR="00BC291B" w:rsidRPr="00006DD6">
        <w:t xml:space="preserve">, a rovněž základní strategické dokumenty ČR platné v době přípravy programového dokumentu, např. </w:t>
      </w:r>
      <w:r w:rsidR="00BC291B" w:rsidRPr="006C0A31">
        <w:rPr>
          <w:i/>
        </w:rPr>
        <w:t>Strategi</w:t>
      </w:r>
      <w:r w:rsidR="007C46FA" w:rsidRPr="006C0A31">
        <w:rPr>
          <w:i/>
        </w:rPr>
        <w:t>i</w:t>
      </w:r>
      <w:r w:rsidR="00BC291B" w:rsidRPr="006C0A31">
        <w:rPr>
          <w:i/>
        </w:rPr>
        <w:t xml:space="preserve"> sociálního začleňování 2014</w:t>
      </w:r>
      <w:r w:rsidR="00DB6593" w:rsidRPr="00DB6593">
        <w:rPr>
          <w:i/>
        </w:rPr>
        <w:t>–</w:t>
      </w:r>
      <w:r w:rsidR="00BC291B" w:rsidRPr="006C0A31">
        <w:rPr>
          <w:i/>
        </w:rPr>
        <w:t>2020</w:t>
      </w:r>
      <w:r w:rsidR="00BC291B" w:rsidRPr="00006DD6">
        <w:t>.</w:t>
      </w:r>
    </w:p>
    <w:p w14:paraId="2AF4D904" w14:textId="14AF2946" w:rsidR="007A4C48" w:rsidRPr="00495BC2" w:rsidRDefault="007C46FA" w:rsidP="007A4C48">
      <w:pPr>
        <w:rPr>
          <w:rFonts w:cstheme="minorHAnsi"/>
          <w:highlight w:val="yellow"/>
        </w:rPr>
      </w:pPr>
      <w:r w:rsidRPr="007C46FA">
        <w:t xml:space="preserve">OPZ se člení na pět </w:t>
      </w:r>
      <w:r w:rsidR="00E12FB2" w:rsidRPr="002262E9">
        <w:t>prioritních os</w:t>
      </w:r>
      <w:r w:rsidRPr="002262E9">
        <w:t xml:space="preserve">, přičemž </w:t>
      </w:r>
      <w:r w:rsidR="007A4C48" w:rsidRPr="002262E9">
        <w:rPr>
          <w:rFonts w:cstheme="minorHAnsi"/>
        </w:rPr>
        <w:t>na podporu projektů v oblasti rodinné politiky poskytuje MPSV peněžní prostředky v rámci tří prioritních os</w:t>
      </w:r>
      <w:r w:rsidR="00891634">
        <w:rPr>
          <w:rFonts w:cstheme="minorHAnsi"/>
        </w:rPr>
        <w:t xml:space="preserve"> (dále také „PO“)</w:t>
      </w:r>
      <w:r w:rsidR="007A4C48" w:rsidRPr="002262E9">
        <w:rPr>
          <w:rFonts w:cstheme="minorHAnsi"/>
        </w:rPr>
        <w:t xml:space="preserve">, a to </w:t>
      </w:r>
      <w:r w:rsidR="00167C0F">
        <w:rPr>
          <w:rFonts w:cstheme="minorHAnsi"/>
        </w:rPr>
        <w:br/>
      </w:r>
      <w:r w:rsidR="007A4C48" w:rsidRPr="002262E9">
        <w:rPr>
          <w:rFonts w:cstheme="minorHAnsi"/>
        </w:rPr>
        <w:t xml:space="preserve">PO 1 – </w:t>
      </w:r>
      <w:r w:rsidR="007A4C48" w:rsidRPr="002262E9">
        <w:rPr>
          <w:rFonts w:cstheme="minorHAnsi"/>
          <w:i/>
        </w:rPr>
        <w:t>Podpora zaměstnanosti a adaptability pracovní síly</w:t>
      </w:r>
      <w:r w:rsidR="007A4C48" w:rsidRPr="002262E9">
        <w:rPr>
          <w:rFonts w:cstheme="minorHAnsi"/>
        </w:rPr>
        <w:t xml:space="preserve">; PO 2 – </w:t>
      </w:r>
      <w:r w:rsidR="007A4C48" w:rsidRPr="002262E9">
        <w:rPr>
          <w:rFonts w:cstheme="minorHAnsi"/>
          <w:i/>
        </w:rPr>
        <w:t>Sociální začleňování a boj s chudobou</w:t>
      </w:r>
      <w:r w:rsidR="007A4C48" w:rsidRPr="002262E9">
        <w:rPr>
          <w:rFonts w:cstheme="minorHAnsi"/>
        </w:rPr>
        <w:t xml:space="preserve">; PO 3 – </w:t>
      </w:r>
      <w:r w:rsidR="007A4C48" w:rsidRPr="002262E9">
        <w:rPr>
          <w:rFonts w:cstheme="minorHAnsi"/>
          <w:i/>
        </w:rPr>
        <w:t>Sociální inovace a mezinárodní spolupráce</w:t>
      </w:r>
      <w:r w:rsidR="007A4C48" w:rsidRPr="002262E9">
        <w:rPr>
          <w:rFonts w:cstheme="minorHAnsi"/>
        </w:rPr>
        <w:t xml:space="preserve">. Vzhledem k výši alokace peněžních prostředků se NKÚ v kontrole zaměřil na první dvě prioritní osy (viz tabulka č. 1). </w:t>
      </w:r>
    </w:p>
    <w:p w14:paraId="1AD1ECDC" w14:textId="632EB680" w:rsidR="005E2E3F" w:rsidRDefault="006C0A31" w:rsidP="005E2E3F">
      <w:pPr>
        <w:spacing w:before="120"/>
        <w:rPr>
          <w:rFonts w:cstheme="minorHAnsi"/>
        </w:rPr>
      </w:pPr>
      <w:r>
        <w:rPr>
          <w:rFonts w:cstheme="minorHAnsi"/>
        </w:rPr>
        <w:t>PO</w:t>
      </w:r>
      <w:r w:rsidR="005E2E3F" w:rsidRPr="00006DD6">
        <w:rPr>
          <w:rFonts w:cstheme="minorHAnsi"/>
        </w:rPr>
        <w:t xml:space="preserve"> 1 se primárně zaměřuje na zvýšení zaměstnanosti podpořených osob </w:t>
      </w:r>
      <w:r w:rsidR="00C54428">
        <w:rPr>
          <w:rFonts w:cstheme="minorHAnsi"/>
        </w:rPr>
        <w:t xml:space="preserve">prostřednictvím </w:t>
      </w:r>
      <w:r w:rsidR="005E2E3F" w:rsidRPr="00006DD6">
        <w:rPr>
          <w:rFonts w:cstheme="minorHAnsi"/>
        </w:rPr>
        <w:t xml:space="preserve">nástrojů aktivní politiky zaměstnanosti, </w:t>
      </w:r>
      <w:r w:rsidR="00AB6A3D">
        <w:rPr>
          <w:rFonts w:cstheme="minorHAnsi"/>
        </w:rPr>
        <w:t>na vyšší zapojení rodičů s dětmi na</w:t>
      </w:r>
      <w:r w:rsidR="00ED74FE">
        <w:rPr>
          <w:rFonts w:cstheme="minorHAnsi"/>
        </w:rPr>
        <w:t xml:space="preserve"> </w:t>
      </w:r>
      <w:r w:rsidR="00AB6A3D">
        <w:rPr>
          <w:rFonts w:cstheme="minorHAnsi"/>
        </w:rPr>
        <w:t xml:space="preserve">trhu práce, </w:t>
      </w:r>
      <w:r w:rsidR="005E2E3F" w:rsidRPr="00006DD6">
        <w:rPr>
          <w:rFonts w:cstheme="minorHAnsi"/>
        </w:rPr>
        <w:t>na</w:t>
      </w:r>
      <w:r w:rsidR="006B2FCD">
        <w:rPr>
          <w:rFonts w:cstheme="minorHAnsi"/>
        </w:rPr>
        <w:t> </w:t>
      </w:r>
      <w:r w:rsidR="005E2E3F" w:rsidRPr="00006DD6">
        <w:rPr>
          <w:rFonts w:cstheme="minorHAnsi"/>
        </w:rPr>
        <w:t>realizaci specifických opatření v souvislosti s podporou snižování rozdílů v postavení žen a</w:t>
      </w:r>
      <w:r w:rsidR="009E4F86">
        <w:rPr>
          <w:rFonts w:cstheme="minorHAnsi"/>
        </w:rPr>
        <w:t> </w:t>
      </w:r>
      <w:r w:rsidR="005E2E3F" w:rsidRPr="00006DD6">
        <w:rPr>
          <w:rFonts w:cstheme="minorHAnsi"/>
        </w:rPr>
        <w:t>mužů na trhu práce nebo na slaďování soukromého a pracovního života.</w:t>
      </w:r>
      <w:r w:rsidR="007A4C48">
        <w:rPr>
          <w:rFonts w:cstheme="minorHAnsi"/>
        </w:rPr>
        <w:t xml:space="preserve"> </w:t>
      </w:r>
      <w:r w:rsidR="007A4C48" w:rsidRPr="002262E9">
        <w:rPr>
          <w:rFonts w:cstheme="minorHAnsi"/>
        </w:rPr>
        <w:t>Peněžní prostředky poskytované v rámci této prioritní osy mají přispívat k naplňování tematického cíle č. 8 nařízení Evropského parlamentu a Rady (EU) č. 1303/2013 ze dne 17. 12. 2013, tj. k podpoře udržitelné zaměstnanosti, kvalitních pracovních míst a mobility pracovních sil.</w:t>
      </w:r>
    </w:p>
    <w:p w14:paraId="01B078AD" w14:textId="0DA84650" w:rsidR="007A4C48" w:rsidRPr="00495BC2" w:rsidRDefault="006C0A31" w:rsidP="007A4C48">
      <w:pPr>
        <w:spacing w:before="120"/>
        <w:rPr>
          <w:szCs w:val="21"/>
          <w:highlight w:val="yellow"/>
        </w:rPr>
      </w:pPr>
      <w:r>
        <w:rPr>
          <w:rFonts w:cstheme="minorHAnsi"/>
        </w:rPr>
        <w:t>PO</w:t>
      </w:r>
      <w:r w:rsidR="00AB6A3D">
        <w:rPr>
          <w:rFonts w:cstheme="minorHAnsi"/>
        </w:rPr>
        <w:t xml:space="preserve"> 2 </w:t>
      </w:r>
      <w:r w:rsidR="00AB6A3D" w:rsidRPr="00006DD6">
        <w:rPr>
          <w:szCs w:val="21"/>
        </w:rPr>
        <w:t>se zaměřuje na zvýšení uplatnitelnosti osob ohrožených sociálním vyloučením nebo sociálně vyloučených na trhu práce, na rozvoj služeb pro rodiny a děti a dalších služeb a aktivit zaměřených na osoby sociálně vyloučené nebo sociálním vyloučením ohrožené.</w:t>
      </w:r>
      <w:r w:rsidR="007A4C48">
        <w:rPr>
          <w:szCs w:val="21"/>
        </w:rPr>
        <w:t xml:space="preserve"> </w:t>
      </w:r>
      <w:r w:rsidR="007A4C48" w:rsidRPr="002262E9">
        <w:rPr>
          <w:szCs w:val="21"/>
        </w:rPr>
        <w:t xml:space="preserve">Peněžní prostředky poskytované v rámci této prioritní osy mají přispívat k naplňování tematického cíle č. </w:t>
      </w:r>
      <w:r w:rsidR="009F110E">
        <w:rPr>
          <w:szCs w:val="21"/>
        </w:rPr>
        <w:t>9</w:t>
      </w:r>
      <w:r w:rsidR="007A4C48" w:rsidRPr="002262E9">
        <w:rPr>
          <w:szCs w:val="21"/>
        </w:rPr>
        <w:t xml:space="preserve"> nařízení Evropského parlamentu a Rady (EU) č. 1303/2013 ze dne 17. 12. 2013, tj.</w:t>
      </w:r>
      <w:r w:rsidR="00F35DA3">
        <w:rPr>
          <w:szCs w:val="21"/>
        </w:rPr>
        <w:t> </w:t>
      </w:r>
      <w:r w:rsidR="007A4C48" w:rsidRPr="002262E9">
        <w:rPr>
          <w:szCs w:val="21"/>
        </w:rPr>
        <w:t>k</w:t>
      </w:r>
      <w:r w:rsidR="0060281F">
        <w:rPr>
          <w:szCs w:val="21"/>
        </w:rPr>
        <w:t> </w:t>
      </w:r>
      <w:r w:rsidR="007A4C48" w:rsidRPr="002262E9">
        <w:rPr>
          <w:szCs w:val="21"/>
        </w:rPr>
        <w:t>podpoře sociálního začleňování a boji proti chudobě a diskriminaci. Intervence v rámci PO</w:t>
      </w:r>
      <w:r w:rsidR="00F35DA3">
        <w:rPr>
          <w:szCs w:val="21"/>
        </w:rPr>
        <w:t> </w:t>
      </w:r>
      <w:r w:rsidR="007A4C48" w:rsidRPr="002262E9">
        <w:rPr>
          <w:szCs w:val="21"/>
        </w:rPr>
        <w:t>2 mají zároveň přispívat k dosažení cíle z </w:t>
      </w:r>
      <w:r w:rsidR="007A4C48" w:rsidRPr="005D50C6">
        <w:rPr>
          <w:i/>
          <w:szCs w:val="21"/>
        </w:rPr>
        <w:t>Národního programu reforem</w:t>
      </w:r>
      <w:r w:rsidR="007A4C48" w:rsidRPr="002262E9">
        <w:rPr>
          <w:szCs w:val="21"/>
        </w:rPr>
        <w:t xml:space="preserve"> pro oblasti sociálního začleňování a chudoby, kterým je zachování stejného počtu osob ohrožených </w:t>
      </w:r>
      <w:r w:rsidR="007A4C48" w:rsidRPr="002262E9">
        <w:rPr>
          <w:szCs w:val="21"/>
        </w:rPr>
        <w:lastRenderedPageBreak/>
        <w:t>chudobou nebo sociálním vyloučením na úrovni roku 2008 s úsilím o snížení</w:t>
      </w:r>
      <w:r w:rsidR="00203D78">
        <w:rPr>
          <w:szCs w:val="21"/>
        </w:rPr>
        <w:t xml:space="preserve"> jejich počtu</w:t>
      </w:r>
      <w:r w:rsidR="007A4C48" w:rsidRPr="002262E9">
        <w:rPr>
          <w:szCs w:val="21"/>
        </w:rPr>
        <w:t xml:space="preserve"> o 30 000 osob. Mezi skupinami osob nejvíce ohroženými příjmovou chudobou a sociálním vyloučením jsou dle programového dokumentu OPZ neúplné a vícečetné rodiny (viz graf č. 2).</w:t>
      </w:r>
    </w:p>
    <w:p w14:paraId="51475F1C" w14:textId="37B94D38" w:rsidR="00BB32F9" w:rsidRPr="00410B6A" w:rsidRDefault="00BB32F9" w:rsidP="00D83DFD">
      <w:pPr>
        <w:pStyle w:val="Titulek"/>
        <w:keepNext/>
        <w:spacing w:before="0"/>
        <w:rPr>
          <w:rFonts w:cstheme="minorHAnsi"/>
          <w:b/>
        </w:rPr>
      </w:pPr>
      <w:r w:rsidRPr="00410B6A">
        <w:rPr>
          <w:b/>
        </w:rPr>
        <w:t xml:space="preserve">Graf č. </w:t>
      </w:r>
      <w:r w:rsidR="007556B8" w:rsidRPr="00410B6A">
        <w:rPr>
          <w:b/>
        </w:rPr>
        <w:fldChar w:fldCharType="begin"/>
      </w:r>
      <w:r w:rsidR="007556B8" w:rsidRPr="00410B6A">
        <w:rPr>
          <w:b/>
        </w:rPr>
        <w:instrText xml:space="preserve"> SEQ Graf_č._ \* ARABIC </w:instrText>
      </w:r>
      <w:r w:rsidR="007556B8" w:rsidRPr="00410B6A">
        <w:rPr>
          <w:b/>
        </w:rPr>
        <w:fldChar w:fldCharType="separate"/>
      </w:r>
      <w:r w:rsidR="003C10D0">
        <w:rPr>
          <w:b/>
          <w:noProof/>
        </w:rPr>
        <w:t>2</w:t>
      </w:r>
      <w:r w:rsidR="007556B8" w:rsidRPr="00410B6A">
        <w:rPr>
          <w:b/>
          <w:noProof/>
        </w:rPr>
        <w:fldChar w:fldCharType="end"/>
      </w:r>
      <w:r w:rsidR="00946C93">
        <w:rPr>
          <w:b/>
          <w:noProof/>
        </w:rPr>
        <w:t>:</w:t>
      </w:r>
      <w:r w:rsidRPr="00410B6A">
        <w:rPr>
          <w:b/>
        </w:rPr>
        <w:t xml:space="preserve"> Míra ohrožení příjmovou chudobou u vybraných typů domácností (2015</w:t>
      </w:r>
      <w:r w:rsidR="008D6025" w:rsidRPr="00410B6A">
        <w:rPr>
          <w:b/>
        </w:rPr>
        <w:t>–</w:t>
      </w:r>
      <w:r w:rsidRPr="00410B6A">
        <w:rPr>
          <w:b/>
        </w:rPr>
        <w:t>2021)</w:t>
      </w:r>
    </w:p>
    <w:p w14:paraId="3A1888F1" w14:textId="2C3D8072" w:rsidR="00BB32F9" w:rsidRDefault="00A63C44" w:rsidP="00410B6A">
      <w:pPr>
        <w:spacing w:after="6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7A6B1AF" wp14:editId="6DCEE554">
            <wp:extent cx="4815840" cy="3146073"/>
            <wp:effectExtent l="0" t="0" r="381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" t="6880" r="1564" b="2362"/>
                    <a:stretch/>
                  </pic:blipFill>
                  <pic:spPr bwMode="auto">
                    <a:xfrm>
                      <a:off x="0" y="0"/>
                      <a:ext cx="4849486" cy="316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A623C" w14:textId="2C9B4CB7" w:rsidR="00BB32F9" w:rsidRPr="00410B6A" w:rsidRDefault="00BB32F9" w:rsidP="00136D51">
      <w:pPr>
        <w:spacing w:before="60" w:after="0" w:line="259" w:lineRule="auto"/>
        <w:jc w:val="left"/>
        <w:rPr>
          <w:sz w:val="20"/>
          <w:szCs w:val="20"/>
        </w:rPr>
      </w:pPr>
      <w:r w:rsidRPr="00410B6A">
        <w:rPr>
          <w:b/>
          <w:sz w:val="20"/>
          <w:szCs w:val="20"/>
        </w:rPr>
        <w:t>Zdroj:</w:t>
      </w:r>
      <w:r w:rsidRPr="00410B6A">
        <w:rPr>
          <w:sz w:val="20"/>
          <w:szCs w:val="20"/>
        </w:rPr>
        <w:t xml:space="preserve"> </w:t>
      </w:r>
      <w:hyperlink r:id="rId22" w:history="1">
        <w:r w:rsidRPr="00410B6A">
          <w:rPr>
            <w:rStyle w:val="Hypertextovodkaz"/>
            <w:sz w:val="20"/>
            <w:szCs w:val="20"/>
          </w:rPr>
          <w:t>https://www.czso.cz/csu/czso/prijmy-a-zivotni-podminky-domacnosti-r4hlvpcwox</w:t>
        </w:r>
      </w:hyperlink>
      <w:r w:rsidR="0044070B" w:rsidRPr="00410B6A">
        <w:rPr>
          <w:sz w:val="20"/>
          <w:szCs w:val="20"/>
        </w:rPr>
        <w:t>.</w:t>
      </w:r>
    </w:p>
    <w:p w14:paraId="1A6E1A7C" w14:textId="10635FC5" w:rsidR="00F053D9" w:rsidRDefault="000132EC" w:rsidP="00F053D9">
      <w:pPr>
        <w:spacing w:before="120"/>
        <w:rPr>
          <w:szCs w:val="21"/>
        </w:rPr>
      </w:pPr>
      <w:r w:rsidRPr="00006DD6">
        <w:rPr>
          <w:rFonts w:cstheme="minorHAnsi"/>
        </w:rPr>
        <w:t>Z celkové alokace OPZ</w:t>
      </w:r>
      <w:r w:rsidR="0047581A">
        <w:rPr>
          <w:rFonts w:cstheme="minorHAnsi"/>
        </w:rPr>
        <w:t xml:space="preserve"> </w:t>
      </w:r>
      <w:r w:rsidR="0047581A" w:rsidRPr="002262E9">
        <w:rPr>
          <w:rFonts w:cstheme="minorHAnsi"/>
        </w:rPr>
        <w:t xml:space="preserve">(podpora </w:t>
      </w:r>
      <w:r w:rsidR="007A3531" w:rsidRPr="002262E9">
        <w:rPr>
          <w:rFonts w:cstheme="minorHAnsi"/>
        </w:rPr>
        <w:t>EU</w:t>
      </w:r>
      <w:r w:rsidR="0047581A" w:rsidRPr="002262E9">
        <w:rPr>
          <w:rFonts w:cstheme="minorHAnsi"/>
        </w:rPr>
        <w:t>)</w:t>
      </w:r>
      <w:r w:rsidRPr="002262E9">
        <w:rPr>
          <w:rFonts w:cstheme="minorHAnsi"/>
        </w:rPr>
        <w:t>, která dle</w:t>
      </w:r>
      <w:r w:rsidR="00FC42E4">
        <w:rPr>
          <w:rFonts w:cstheme="minorHAnsi"/>
        </w:rPr>
        <w:t xml:space="preserve"> </w:t>
      </w:r>
      <w:r w:rsidRPr="00950ACB">
        <w:rPr>
          <w:rFonts w:cstheme="minorHAnsi"/>
        </w:rPr>
        <w:t xml:space="preserve">3. revize </w:t>
      </w:r>
      <w:r w:rsidR="006C0A31" w:rsidRPr="00950ACB">
        <w:rPr>
          <w:rFonts w:cstheme="minorHAnsi"/>
        </w:rPr>
        <w:t>OPZ</w:t>
      </w:r>
      <w:r w:rsidRPr="002262E9">
        <w:rPr>
          <w:rFonts w:cstheme="minorHAnsi"/>
        </w:rPr>
        <w:t xml:space="preserve"> schválené Evropskou komisí dne 18. 12. 2020 činí celkem </w:t>
      </w:r>
      <w:r w:rsidR="00DF09F0" w:rsidRPr="002262E9">
        <w:rPr>
          <w:rFonts w:cstheme="minorHAnsi"/>
        </w:rPr>
        <w:t>62,37 mld. Kč</w:t>
      </w:r>
      <w:r w:rsidR="00DF09F0" w:rsidRPr="002262E9">
        <w:rPr>
          <w:rStyle w:val="Znakapoznpodarou"/>
          <w:rFonts w:cstheme="minorHAnsi"/>
        </w:rPr>
        <w:footnoteReference w:id="10"/>
      </w:r>
      <w:r w:rsidRPr="002262E9">
        <w:rPr>
          <w:rFonts w:cstheme="minorHAnsi"/>
        </w:rPr>
        <w:t xml:space="preserve">, je pro PO 1 vyčleněno celkem </w:t>
      </w:r>
      <w:r w:rsidR="00DF09F0" w:rsidRPr="002262E9">
        <w:rPr>
          <w:rFonts w:cstheme="minorHAnsi"/>
        </w:rPr>
        <w:t>39,79</w:t>
      </w:r>
      <w:r w:rsidR="00F35DA3">
        <w:rPr>
          <w:rFonts w:cstheme="minorHAnsi"/>
        </w:rPr>
        <w:t> </w:t>
      </w:r>
      <w:r w:rsidR="00DF09F0" w:rsidRPr="002262E9">
        <w:rPr>
          <w:rFonts w:cstheme="minorHAnsi"/>
        </w:rPr>
        <w:t>mld.</w:t>
      </w:r>
      <w:r w:rsidR="00F35DA3">
        <w:rPr>
          <w:rFonts w:cstheme="minorHAnsi"/>
        </w:rPr>
        <w:t> </w:t>
      </w:r>
      <w:r w:rsidR="00DF09F0" w:rsidRPr="002262E9">
        <w:rPr>
          <w:rFonts w:cstheme="minorHAnsi"/>
        </w:rPr>
        <w:t>Kč</w:t>
      </w:r>
      <w:r w:rsidR="00DF09F0" w:rsidRPr="002262E9">
        <w:rPr>
          <w:rFonts w:cstheme="minorHAnsi"/>
          <w:vertAlign w:val="superscript"/>
        </w:rPr>
        <w:t>1</w:t>
      </w:r>
      <w:r w:rsidR="006B79DE">
        <w:rPr>
          <w:rFonts w:cstheme="minorHAnsi"/>
          <w:vertAlign w:val="superscript"/>
        </w:rPr>
        <w:t>0</w:t>
      </w:r>
      <w:r w:rsidRPr="002262E9">
        <w:rPr>
          <w:rFonts w:cstheme="minorHAnsi"/>
        </w:rPr>
        <w:t>, což představuje 6</w:t>
      </w:r>
      <w:r w:rsidR="000A7CCC">
        <w:rPr>
          <w:rFonts w:cstheme="minorHAnsi"/>
        </w:rPr>
        <w:t>4</w:t>
      </w:r>
      <w:r w:rsidRPr="002262E9">
        <w:rPr>
          <w:rFonts w:cstheme="minorHAnsi"/>
        </w:rPr>
        <w:t xml:space="preserve"> %</w:t>
      </w:r>
      <w:r w:rsidR="007A4C48" w:rsidRPr="002262E9">
        <w:rPr>
          <w:rFonts w:cstheme="minorHAnsi"/>
        </w:rPr>
        <w:t xml:space="preserve"> z celkové alokace OPZ</w:t>
      </w:r>
      <w:r w:rsidR="007A3531" w:rsidRPr="002262E9">
        <w:rPr>
          <w:rFonts w:cstheme="minorHAnsi"/>
        </w:rPr>
        <w:t xml:space="preserve"> (podpora EU)</w:t>
      </w:r>
      <w:r w:rsidRPr="002262E9">
        <w:rPr>
          <w:rFonts w:cstheme="minorHAnsi"/>
        </w:rPr>
        <w:t xml:space="preserve">. </w:t>
      </w:r>
      <w:r w:rsidRPr="002262E9">
        <w:rPr>
          <w:szCs w:val="21"/>
        </w:rPr>
        <w:t xml:space="preserve">Významný podíl alokace finančních prostředků pro tuto </w:t>
      </w:r>
      <w:r w:rsidR="00136D51">
        <w:rPr>
          <w:szCs w:val="21"/>
        </w:rPr>
        <w:t>PO</w:t>
      </w:r>
      <w:r w:rsidRPr="002262E9">
        <w:rPr>
          <w:szCs w:val="21"/>
        </w:rPr>
        <w:t xml:space="preserve"> je dán skutečností, že zahrnuje aktivity ve</w:t>
      </w:r>
      <w:r w:rsidR="00F35DA3">
        <w:rPr>
          <w:szCs w:val="21"/>
        </w:rPr>
        <w:t> </w:t>
      </w:r>
      <w:r w:rsidRPr="002262E9">
        <w:rPr>
          <w:szCs w:val="21"/>
        </w:rPr>
        <w:t>prospěch uchazečů o</w:t>
      </w:r>
      <w:r w:rsidR="00B33DF5">
        <w:rPr>
          <w:szCs w:val="21"/>
        </w:rPr>
        <w:t> </w:t>
      </w:r>
      <w:r w:rsidRPr="002262E9">
        <w:rPr>
          <w:szCs w:val="21"/>
        </w:rPr>
        <w:t xml:space="preserve">zaměstnání </w:t>
      </w:r>
      <w:r w:rsidR="00990CF9" w:rsidRPr="002262E9">
        <w:rPr>
          <w:szCs w:val="21"/>
        </w:rPr>
        <w:t xml:space="preserve">a </w:t>
      </w:r>
      <w:r w:rsidRPr="002262E9">
        <w:rPr>
          <w:szCs w:val="21"/>
        </w:rPr>
        <w:t>zaměstnaných, specifické akce ve prospěch rovnosti žen a</w:t>
      </w:r>
      <w:r w:rsidR="00C54428" w:rsidRPr="002262E9">
        <w:rPr>
          <w:szCs w:val="21"/>
        </w:rPr>
        <w:t> </w:t>
      </w:r>
      <w:r w:rsidRPr="002262E9">
        <w:rPr>
          <w:szCs w:val="21"/>
        </w:rPr>
        <w:t>mužů, systémová opatření na posílení institucí trhu práce a rovněž intervence v oblasti zařízení služeb péče o</w:t>
      </w:r>
      <w:r w:rsidR="006B79DE">
        <w:rPr>
          <w:szCs w:val="21"/>
        </w:rPr>
        <w:t> </w:t>
      </w:r>
      <w:r w:rsidRPr="002262E9">
        <w:rPr>
          <w:szCs w:val="21"/>
        </w:rPr>
        <w:t xml:space="preserve">děti. </w:t>
      </w:r>
      <w:r w:rsidR="00F053D9" w:rsidRPr="002262E9">
        <w:rPr>
          <w:szCs w:val="21"/>
        </w:rPr>
        <w:t xml:space="preserve">Na PO 2 je dle </w:t>
      </w:r>
      <w:r w:rsidR="00F053D9" w:rsidRPr="00950ACB">
        <w:rPr>
          <w:szCs w:val="21"/>
        </w:rPr>
        <w:t xml:space="preserve">3. revize </w:t>
      </w:r>
      <w:r w:rsidR="00950ACB">
        <w:rPr>
          <w:szCs w:val="21"/>
        </w:rPr>
        <w:t xml:space="preserve">OPZ </w:t>
      </w:r>
      <w:r w:rsidR="00F053D9" w:rsidRPr="002262E9">
        <w:rPr>
          <w:szCs w:val="21"/>
        </w:rPr>
        <w:t xml:space="preserve">vyčleněno </w:t>
      </w:r>
      <w:r w:rsidR="00DF09F0" w:rsidRPr="002262E9">
        <w:rPr>
          <w:szCs w:val="21"/>
        </w:rPr>
        <w:t>15,69 mld. Kč</w:t>
      </w:r>
      <w:r w:rsidR="00DF09F0" w:rsidRPr="002262E9">
        <w:rPr>
          <w:szCs w:val="21"/>
          <w:vertAlign w:val="superscript"/>
        </w:rPr>
        <w:t>1</w:t>
      </w:r>
      <w:r w:rsidR="006B79DE">
        <w:rPr>
          <w:szCs w:val="21"/>
          <w:vertAlign w:val="superscript"/>
        </w:rPr>
        <w:t>0</w:t>
      </w:r>
      <w:r w:rsidR="00C54428" w:rsidRPr="002262E9">
        <w:rPr>
          <w:szCs w:val="21"/>
        </w:rPr>
        <w:t>, což představuje 2</w:t>
      </w:r>
      <w:r w:rsidR="008E5E21" w:rsidRPr="002262E9">
        <w:rPr>
          <w:szCs w:val="21"/>
        </w:rPr>
        <w:t>5</w:t>
      </w:r>
      <w:r w:rsidR="00C54428" w:rsidRPr="002262E9">
        <w:rPr>
          <w:szCs w:val="21"/>
        </w:rPr>
        <w:t xml:space="preserve"> % </w:t>
      </w:r>
      <w:r w:rsidR="00F053D9" w:rsidRPr="002262E9">
        <w:rPr>
          <w:szCs w:val="21"/>
        </w:rPr>
        <w:t>celkové alokace programu. Finančn</w:t>
      </w:r>
      <w:r w:rsidR="00C54428" w:rsidRPr="002262E9">
        <w:rPr>
          <w:szCs w:val="21"/>
        </w:rPr>
        <w:t xml:space="preserve">í významnost </w:t>
      </w:r>
      <w:r w:rsidR="00F053D9" w:rsidRPr="002262E9">
        <w:rPr>
          <w:szCs w:val="21"/>
        </w:rPr>
        <w:t>PO 2 OPZ je určena především velikostí hlavní cílové</w:t>
      </w:r>
      <w:r w:rsidR="00F053D9" w:rsidRPr="00006DD6">
        <w:rPr>
          <w:szCs w:val="21"/>
        </w:rPr>
        <w:t xml:space="preserve"> skupiny, kterou jsou osoby sociálně vyloučené nebo sociálním vyloučením ohrožené.</w:t>
      </w:r>
    </w:p>
    <w:p w14:paraId="4C3838A9" w14:textId="7DF9E2AA" w:rsidR="00B341AF" w:rsidRPr="002262E9" w:rsidRDefault="00B341AF" w:rsidP="00B341AF">
      <w:pPr>
        <w:spacing w:before="120"/>
      </w:pPr>
      <w:r w:rsidRPr="002262E9">
        <w:t xml:space="preserve">Z údajů obsažených </w:t>
      </w:r>
      <w:r w:rsidRPr="00950ACB">
        <w:t xml:space="preserve">ve </w:t>
      </w:r>
      <w:r w:rsidR="00950ACB" w:rsidRPr="00950ACB">
        <w:rPr>
          <w:i/>
        </w:rPr>
        <w:t>V</w:t>
      </w:r>
      <w:r w:rsidRPr="00B266E7">
        <w:rPr>
          <w:i/>
        </w:rPr>
        <w:t xml:space="preserve">ýroční zprávě o implementaci </w:t>
      </w:r>
      <w:r w:rsidR="00950ACB">
        <w:rPr>
          <w:i/>
        </w:rPr>
        <w:t>programu Zaměstnanost</w:t>
      </w:r>
      <w:r w:rsidRPr="00B266E7">
        <w:rPr>
          <w:i/>
        </w:rPr>
        <w:t xml:space="preserve"> za rok 2020</w:t>
      </w:r>
      <w:r w:rsidRPr="002262E9">
        <w:t xml:space="preserve"> vyplývá, že</w:t>
      </w:r>
      <w:r w:rsidR="00410B6A">
        <w:t xml:space="preserve"> </w:t>
      </w:r>
      <w:r w:rsidRPr="002262E9">
        <w:t>k 31.</w:t>
      </w:r>
      <w:r w:rsidR="006B79DE">
        <w:t> </w:t>
      </w:r>
      <w:r w:rsidRPr="002262E9">
        <w:t>12.</w:t>
      </w:r>
      <w:r w:rsidR="006B79DE">
        <w:t> </w:t>
      </w:r>
      <w:r w:rsidRPr="002262E9">
        <w:t xml:space="preserve">2020 bylo vyhlášeno v OPZ celkem 127 výzev v celkovém objemu </w:t>
      </w:r>
      <w:r w:rsidR="00DF09F0" w:rsidRPr="002262E9">
        <w:t>89,76</w:t>
      </w:r>
      <w:r w:rsidR="00B33DF5">
        <w:t> </w:t>
      </w:r>
      <w:r w:rsidR="00DF09F0" w:rsidRPr="002262E9">
        <w:t>mld.</w:t>
      </w:r>
      <w:r w:rsidR="00B33DF5">
        <w:t> </w:t>
      </w:r>
      <w:r w:rsidR="00DF09F0" w:rsidRPr="002262E9">
        <w:t>Kč</w:t>
      </w:r>
      <w:r w:rsidR="00DF09F0" w:rsidRPr="002262E9">
        <w:rPr>
          <w:rStyle w:val="Znakapoznpodarou"/>
        </w:rPr>
        <w:footnoteReference w:id="11"/>
      </w:r>
      <w:r w:rsidRPr="002262E9">
        <w:t>. Zaregistrováno bylo ve vyhlášených výzvách celkem 17 158 žádostí o</w:t>
      </w:r>
      <w:r w:rsidR="00B33DF5">
        <w:t> </w:t>
      </w:r>
      <w:r w:rsidRPr="002262E9">
        <w:t>podporu a vydáno bylo celkem 9 600 právních aktů o poskytnutí podpory. Celkové proplacené výdaje v OPZ čin</w:t>
      </w:r>
      <w:r w:rsidR="00B46B52" w:rsidRPr="002262E9">
        <w:t>ily</w:t>
      </w:r>
      <w:r w:rsidRPr="002262E9">
        <w:t xml:space="preserve"> </w:t>
      </w:r>
      <w:r w:rsidR="00DF09F0" w:rsidRPr="002262E9">
        <w:t>41,18 mld. Kč</w:t>
      </w:r>
      <w:r w:rsidR="00DF09F0" w:rsidRPr="002262E9">
        <w:rPr>
          <w:vertAlign w:val="superscript"/>
        </w:rPr>
        <w:t>1</w:t>
      </w:r>
      <w:r w:rsidR="002262E9" w:rsidRPr="002262E9">
        <w:rPr>
          <w:vertAlign w:val="superscript"/>
        </w:rPr>
        <w:t>1</w:t>
      </w:r>
      <w:r w:rsidRPr="002262E9">
        <w:t>. Podpořeno bylo přes 498 tis</w:t>
      </w:r>
      <w:r w:rsidR="00A73CAA">
        <w:t>íc</w:t>
      </w:r>
      <w:r w:rsidRPr="002262E9">
        <w:t xml:space="preserve"> účastníků.</w:t>
      </w:r>
      <w:r w:rsidR="00B946C0" w:rsidRPr="002262E9">
        <w:t xml:space="preserve"> Dle </w:t>
      </w:r>
      <w:r w:rsidR="00B946C0" w:rsidRPr="006B2FCD">
        <w:rPr>
          <w:i/>
        </w:rPr>
        <w:t>Výroční zprávy o implementaci Dohody o partnerství za rok 2020</w:t>
      </w:r>
      <w:r w:rsidR="00B946C0" w:rsidRPr="002262E9">
        <w:t xml:space="preserve"> byl</w:t>
      </w:r>
      <w:r w:rsidR="00C10653" w:rsidRPr="002262E9">
        <w:t xml:space="preserve"> </w:t>
      </w:r>
      <w:r w:rsidR="00B946C0" w:rsidRPr="002262E9">
        <w:t xml:space="preserve">již k 31. 12. 2020 </w:t>
      </w:r>
      <w:r w:rsidR="00C10653" w:rsidRPr="002262E9">
        <w:t xml:space="preserve">v OPZ </w:t>
      </w:r>
      <w:r w:rsidR="00B946C0" w:rsidRPr="002262E9">
        <w:t xml:space="preserve">splněn limit čerpání pro splnění </w:t>
      </w:r>
      <w:r w:rsidR="00B13CC0">
        <w:t xml:space="preserve">pravidla </w:t>
      </w:r>
      <w:r w:rsidR="00B946C0" w:rsidRPr="002262E9">
        <w:t>n+3</w:t>
      </w:r>
      <w:r w:rsidR="00AD2CB3" w:rsidRPr="002262E9">
        <w:rPr>
          <w:rStyle w:val="Znakapoznpodarou"/>
        </w:rPr>
        <w:footnoteReference w:id="12"/>
      </w:r>
      <w:r w:rsidR="00B946C0" w:rsidRPr="002262E9">
        <w:t xml:space="preserve"> pro rok 2021.</w:t>
      </w:r>
    </w:p>
    <w:p w14:paraId="6062F59D" w14:textId="0D62B1C4" w:rsidR="00063342" w:rsidRDefault="008162F3" w:rsidP="0056540C">
      <w:pPr>
        <w:spacing w:before="120"/>
        <w:rPr>
          <w:rFonts w:cstheme="minorHAnsi"/>
        </w:rPr>
      </w:pPr>
      <w:r w:rsidRPr="00006DD6">
        <w:rPr>
          <w:rFonts w:cstheme="minorHAnsi"/>
        </w:rPr>
        <w:t xml:space="preserve">OPZ se vyznačuje velkým množstvím neinvestičních </w:t>
      </w:r>
      <w:r w:rsidR="00B341AF">
        <w:rPr>
          <w:rFonts w:cstheme="minorHAnsi"/>
        </w:rPr>
        <w:t>(</w:t>
      </w:r>
      <w:r w:rsidRPr="00006DD6">
        <w:rPr>
          <w:rFonts w:cstheme="minorHAnsi"/>
        </w:rPr>
        <w:t>tzv. měkkých</w:t>
      </w:r>
      <w:r w:rsidR="00B341AF">
        <w:rPr>
          <w:rFonts w:cstheme="minorHAnsi"/>
        </w:rPr>
        <w:t>)</w:t>
      </w:r>
      <w:r w:rsidRPr="00006DD6">
        <w:rPr>
          <w:rFonts w:cstheme="minorHAnsi"/>
        </w:rPr>
        <w:t xml:space="preserve"> projektů.</w:t>
      </w:r>
      <w:r>
        <w:rPr>
          <w:rFonts w:cstheme="minorHAnsi"/>
        </w:rPr>
        <w:t xml:space="preserve"> </w:t>
      </w:r>
      <w:r w:rsidR="0056540C" w:rsidRPr="00006DD6">
        <w:rPr>
          <w:rFonts w:cstheme="minorHAnsi"/>
        </w:rPr>
        <w:t>Ke dni 31.</w:t>
      </w:r>
      <w:r w:rsidR="0060281F">
        <w:rPr>
          <w:rFonts w:cstheme="minorHAnsi"/>
        </w:rPr>
        <w:t> </w:t>
      </w:r>
      <w:r w:rsidR="0056540C" w:rsidRPr="00006DD6">
        <w:rPr>
          <w:rFonts w:cstheme="minorHAnsi"/>
        </w:rPr>
        <w:t>12.</w:t>
      </w:r>
      <w:r w:rsidR="0060281F">
        <w:rPr>
          <w:rFonts w:cstheme="minorHAnsi"/>
        </w:rPr>
        <w:t> </w:t>
      </w:r>
      <w:r w:rsidR="0056540C" w:rsidRPr="00006DD6">
        <w:rPr>
          <w:rFonts w:cstheme="minorHAnsi"/>
        </w:rPr>
        <w:t xml:space="preserve">2021 bylo evidováno </w:t>
      </w:r>
      <w:r w:rsidR="00063342">
        <w:rPr>
          <w:rFonts w:cstheme="minorHAnsi"/>
        </w:rPr>
        <w:t>v rámci tří prioritních os (u</w:t>
      </w:r>
      <w:r w:rsidR="0056540C" w:rsidRPr="00006DD6">
        <w:rPr>
          <w:rFonts w:cstheme="minorHAnsi"/>
        </w:rPr>
        <w:t xml:space="preserve"> 7 specifických cílů</w:t>
      </w:r>
      <w:r w:rsidR="00063342">
        <w:rPr>
          <w:rFonts w:cstheme="minorHAnsi"/>
        </w:rPr>
        <w:t xml:space="preserve">) </w:t>
      </w:r>
      <w:r w:rsidR="0056540C" w:rsidRPr="00006DD6">
        <w:rPr>
          <w:rFonts w:cstheme="minorHAnsi"/>
        </w:rPr>
        <w:t>minimálně 3</w:t>
      </w:r>
      <w:r w:rsidR="00F35DA3">
        <w:rPr>
          <w:rFonts w:cstheme="minorHAnsi"/>
        </w:rPr>
        <w:t> </w:t>
      </w:r>
      <w:r w:rsidR="0056540C" w:rsidRPr="00006DD6">
        <w:rPr>
          <w:rFonts w:cstheme="minorHAnsi"/>
        </w:rPr>
        <w:t>593</w:t>
      </w:r>
      <w:r w:rsidR="00F35DA3">
        <w:rPr>
          <w:rFonts w:cstheme="minorHAnsi"/>
        </w:rPr>
        <w:t> </w:t>
      </w:r>
      <w:r w:rsidR="0056540C" w:rsidRPr="00006DD6">
        <w:rPr>
          <w:rFonts w:cstheme="minorHAnsi"/>
        </w:rPr>
        <w:t>projektů</w:t>
      </w:r>
      <w:r w:rsidR="00063342">
        <w:rPr>
          <w:rFonts w:cstheme="minorHAnsi"/>
        </w:rPr>
        <w:t xml:space="preserve"> na podporu rodinné politiky s celkovými</w:t>
      </w:r>
      <w:r w:rsidR="0056540C" w:rsidRPr="00006DD6">
        <w:rPr>
          <w:rFonts w:cstheme="minorHAnsi"/>
        </w:rPr>
        <w:t xml:space="preserve"> způsobil</w:t>
      </w:r>
      <w:r w:rsidR="00063342">
        <w:rPr>
          <w:rFonts w:cstheme="minorHAnsi"/>
        </w:rPr>
        <w:t>ými</w:t>
      </w:r>
      <w:r w:rsidR="0056540C" w:rsidRPr="00006DD6">
        <w:rPr>
          <w:rFonts w:cstheme="minorHAnsi"/>
        </w:rPr>
        <w:t xml:space="preserve"> výdaj</w:t>
      </w:r>
      <w:r w:rsidR="00063342">
        <w:rPr>
          <w:rFonts w:cstheme="minorHAnsi"/>
        </w:rPr>
        <w:t>i ve výši</w:t>
      </w:r>
      <w:r w:rsidR="0056540C" w:rsidRPr="00006DD6">
        <w:rPr>
          <w:rFonts w:cstheme="minorHAnsi"/>
        </w:rPr>
        <w:t xml:space="preserve"> 10</w:t>
      </w:r>
      <w:r w:rsidR="00063342">
        <w:rPr>
          <w:rFonts w:cstheme="minorHAnsi"/>
        </w:rPr>
        <w:t>,</w:t>
      </w:r>
      <w:r w:rsidR="0056540C" w:rsidRPr="00006DD6">
        <w:rPr>
          <w:rFonts w:cstheme="minorHAnsi"/>
        </w:rPr>
        <w:t>3</w:t>
      </w:r>
      <w:r w:rsidR="00063342">
        <w:rPr>
          <w:rFonts w:cstheme="minorHAnsi"/>
        </w:rPr>
        <w:t xml:space="preserve"> mld</w:t>
      </w:r>
      <w:r w:rsidR="0056540C" w:rsidRPr="00006DD6">
        <w:rPr>
          <w:rFonts w:cstheme="minorHAnsi"/>
        </w:rPr>
        <w:t>.</w:t>
      </w:r>
      <w:r w:rsidR="00F35DA3">
        <w:rPr>
          <w:rFonts w:cstheme="minorHAnsi"/>
        </w:rPr>
        <w:t> </w:t>
      </w:r>
      <w:r w:rsidR="0056540C" w:rsidRPr="00006DD6">
        <w:rPr>
          <w:rFonts w:cstheme="minorHAnsi"/>
        </w:rPr>
        <w:t xml:space="preserve">Kč. </w:t>
      </w:r>
      <w:r w:rsidR="0056540C" w:rsidRPr="00006DD6">
        <w:rPr>
          <w:rFonts w:cstheme="minorHAnsi"/>
        </w:rPr>
        <w:lastRenderedPageBreak/>
        <w:t>U</w:t>
      </w:r>
      <w:r w:rsidR="00063342">
        <w:rPr>
          <w:rFonts w:cstheme="minorHAnsi"/>
        </w:rPr>
        <w:t> </w:t>
      </w:r>
      <w:r w:rsidR="0056540C" w:rsidRPr="00006DD6">
        <w:rPr>
          <w:rFonts w:cstheme="minorHAnsi"/>
        </w:rPr>
        <w:t>těchto projektů bylo k 31. 12. 2021 proplaceno celkem 8,6 mld. Kč</w:t>
      </w:r>
      <w:r w:rsidR="00063342">
        <w:rPr>
          <w:rFonts w:cstheme="minorHAnsi"/>
        </w:rPr>
        <w:t xml:space="preserve">. </w:t>
      </w:r>
      <w:r w:rsidR="00777EF9" w:rsidRPr="002262E9">
        <w:rPr>
          <w:rFonts w:cstheme="minorHAnsi"/>
        </w:rPr>
        <w:t>Celkový počet účastníků podpořených v těchto projektech byl 159 965</w:t>
      </w:r>
      <w:r w:rsidR="00CE2FAC" w:rsidRPr="002262E9">
        <w:rPr>
          <w:rStyle w:val="Znakapoznpodarou"/>
          <w:rFonts w:cstheme="minorHAnsi"/>
        </w:rPr>
        <w:footnoteReference w:id="13"/>
      </w:r>
      <w:r w:rsidR="00777EF9" w:rsidRPr="002262E9">
        <w:rPr>
          <w:rFonts w:cstheme="minorHAnsi"/>
        </w:rPr>
        <w:t>. Průměrné náklady na podporu osoby z cílové skupiny v rámci projektu OPZ zaměřeného na podporu rodinné politiky činily 89 413 Kč.</w:t>
      </w:r>
    </w:p>
    <w:p w14:paraId="3B8A07D5" w14:textId="50340433" w:rsidR="0056540C" w:rsidRPr="006357EF" w:rsidRDefault="00063342" w:rsidP="006357EF">
      <w:pPr>
        <w:pStyle w:val="Titulek"/>
        <w:spacing w:after="40"/>
        <w:rPr>
          <w:b/>
        </w:rPr>
      </w:pPr>
      <w:r w:rsidRPr="006357EF">
        <w:rPr>
          <w:b/>
        </w:rPr>
        <w:t xml:space="preserve">Tabulka č. </w:t>
      </w:r>
      <w:r w:rsidR="007556B8" w:rsidRPr="006357EF">
        <w:rPr>
          <w:b/>
        </w:rPr>
        <w:fldChar w:fldCharType="begin"/>
      </w:r>
      <w:r w:rsidR="007556B8" w:rsidRPr="006357EF">
        <w:rPr>
          <w:b/>
        </w:rPr>
        <w:instrText xml:space="preserve"> SEQ Tabulka_č. \* ARABIC </w:instrText>
      </w:r>
      <w:r w:rsidR="007556B8" w:rsidRPr="006357EF">
        <w:rPr>
          <w:b/>
        </w:rPr>
        <w:fldChar w:fldCharType="separate"/>
      </w:r>
      <w:r w:rsidR="003C10D0">
        <w:rPr>
          <w:b/>
          <w:noProof/>
        </w:rPr>
        <w:t>1</w:t>
      </w:r>
      <w:r w:rsidR="007556B8" w:rsidRPr="006357EF">
        <w:rPr>
          <w:b/>
          <w:noProof/>
        </w:rPr>
        <w:fldChar w:fldCharType="end"/>
      </w:r>
      <w:r w:rsidR="008A4213">
        <w:rPr>
          <w:b/>
          <w:noProof/>
        </w:rPr>
        <w:t xml:space="preserve">: </w:t>
      </w:r>
      <w:r w:rsidR="0056540C" w:rsidRPr="006357EF">
        <w:rPr>
          <w:b/>
        </w:rPr>
        <w:t>Projekty OPZ zaměřené na podporu rodinné politiky</w:t>
      </w:r>
      <w:r w:rsidRPr="006357EF">
        <w:rPr>
          <w:rStyle w:val="Znakapoznpodarou"/>
          <w:b/>
        </w:rPr>
        <w:footnoteReference w:id="14"/>
      </w:r>
    </w:p>
    <w:tbl>
      <w:tblPr>
        <w:tblStyle w:val="Mkatabulky"/>
        <w:tblW w:w="9071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907"/>
        <w:gridCol w:w="1587"/>
        <w:gridCol w:w="1644"/>
        <w:gridCol w:w="1361"/>
        <w:gridCol w:w="1361"/>
        <w:gridCol w:w="1361"/>
      </w:tblGrid>
      <w:tr w:rsidR="00850854" w14:paraId="3E2079BA" w14:textId="614D3430" w:rsidTr="009523A5">
        <w:trPr>
          <w:trHeight w:val="255"/>
          <w:jc w:val="center"/>
        </w:trPr>
        <w:tc>
          <w:tcPr>
            <w:tcW w:w="850" w:type="dxa"/>
            <w:shd w:val="clear" w:color="auto" w:fill="E5F1FF"/>
            <w:vAlign w:val="center"/>
          </w:tcPr>
          <w:p w14:paraId="395B3EC3" w14:textId="77777777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Prioritní osa</w:t>
            </w:r>
          </w:p>
        </w:tc>
        <w:tc>
          <w:tcPr>
            <w:tcW w:w="907" w:type="dxa"/>
            <w:shd w:val="clear" w:color="auto" w:fill="E5F1FF"/>
            <w:vAlign w:val="center"/>
          </w:tcPr>
          <w:p w14:paraId="7C838425" w14:textId="77777777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Počet projektů</w:t>
            </w:r>
          </w:p>
        </w:tc>
        <w:tc>
          <w:tcPr>
            <w:tcW w:w="1587" w:type="dxa"/>
            <w:shd w:val="clear" w:color="auto" w:fill="E5F1FF"/>
            <w:vAlign w:val="center"/>
          </w:tcPr>
          <w:p w14:paraId="5C718051" w14:textId="052E3A2B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CZV</w:t>
            </w:r>
            <w:r w:rsidRPr="002262E9">
              <w:rPr>
                <w:b/>
                <w:sz w:val="18"/>
                <w:szCs w:val="18"/>
              </w:rPr>
              <w:t>*</w:t>
            </w:r>
            <w:r w:rsidRPr="00777EF9">
              <w:rPr>
                <w:b/>
                <w:sz w:val="18"/>
                <w:szCs w:val="18"/>
              </w:rPr>
              <w:t xml:space="preserve"> ve vydaných</w:t>
            </w:r>
            <w:r w:rsidR="008A4213">
              <w:rPr>
                <w:b/>
                <w:sz w:val="18"/>
                <w:szCs w:val="18"/>
              </w:rPr>
              <w:t xml:space="preserve"> </w:t>
            </w:r>
            <w:r w:rsidRPr="00777EF9">
              <w:rPr>
                <w:b/>
                <w:sz w:val="18"/>
                <w:szCs w:val="18"/>
              </w:rPr>
              <w:t>právních aktech bez negativních stavů</w:t>
            </w:r>
          </w:p>
        </w:tc>
        <w:tc>
          <w:tcPr>
            <w:tcW w:w="1644" w:type="dxa"/>
            <w:shd w:val="clear" w:color="auto" w:fill="E5F1FF"/>
            <w:vAlign w:val="center"/>
          </w:tcPr>
          <w:p w14:paraId="09548D74" w14:textId="59B4A71B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Příspěvek EU ve vydaných</w:t>
            </w:r>
            <w:r w:rsidR="008A4213">
              <w:rPr>
                <w:b/>
                <w:sz w:val="18"/>
                <w:szCs w:val="18"/>
              </w:rPr>
              <w:t xml:space="preserve"> </w:t>
            </w:r>
            <w:r w:rsidRPr="00777EF9">
              <w:rPr>
                <w:b/>
                <w:sz w:val="18"/>
                <w:szCs w:val="18"/>
              </w:rPr>
              <w:t>právních aktech bez negativních stavů</w:t>
            </w:r>
          </w:p>
        </w:tc>
        <w:tc>
          <w:tcPr>
            <w:tcW w:w="1361" w:type="dxa"/>
            <w:shd w:val="clear" w:color="auto" w:fill="E5F1FF"/>
            <w:vAlign w:val="center"/>
          </w:tcPr>
          <w:p w14:paraId="0BC34F72" w14:textId="77777777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 xml:space="preserve">Proplaceno </w:t>
            </w:r>
            <w:r w:rsidRPr="00777EF9">
              <w:rPr>
                <w:b/>
                <w:sz w:val="18"/>
                <w:szCs w:val="18"/>
              </w:rPr>
              <w:br/>
              <w:t>k 31. 12. 2021 celkem</w:t>
            </w:r>
          </w:p>
        </w:tc>
        <w:tc>
          <w:tcPr>
            <w:tcW w:w="1361" w:type="dxa"/>
            <w:shd w:val="clear" w:color="auto" w:fill="E5F1FF"/>
            <w:vAlign w:val="center"/>
          </w:tcPr>
          <w:p w14:paraId="5ECB73A5" w14:textId="77777777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 xml:space="preserve">Proplaceno </w:t>
            </w:r>
            <w:r w:rsidRPr="00777EF9">
              <w:rPr>
                <w:b/>
                <w:sz w:val="18"/>
                <w:szCs w:val="18"/>
              </w:rPr>
              <w:br/>
              <w:t xml:space="preserve">k 31. 12. 2021 </w:t>
            </w:r>
            <w:r w:rsidRPr="00777EF9">
              <w:rPr>
                <w:b/>
                <w:sz w:val="18"/>
                <w:szCs w:val="18"/>
              </w:rPr>
              <w:br/>
              <w:t>EU</w:t>
            </w:r>
          </w:p>
        </w:tc>
        <w:tc>
          <w:tcPr>
            <w:tcW w:w="1361" w:type="dxa"/>
            <w:shd w:val="clear" w:color="auto" w:fill="E5F1FF"/>
            <w:vAlign w:val="center"/>
          </w:tcPr>
          <w:p w14:paraId="69D7FFFC" w14:textId="3B94FD63" w:rsidR="00777EF9" w:rsidRPr="00777EF9" w:rsidRDefault="00777EF9" w:rsidP="0056540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Proplaceno k 31. 12. 2021 SR</w:t>
            </w:r>
          </w:p>
        </w:tc>
      </w:tr>
      <w:tr w:rsidR="008A4213" w14:paraId="0026FFCC" w14:textId="1E844BA1" w:rsidTr="009523A5">
        <w:trPr>
          <w:trHeight w:val="255"/>
          <w:jc w:val="center"/>
        </w:trPr>
        <w:tc>
          <w:tcPr>
            <w:tcW w:w="850" w:type="dxa"/>
            <w:vAlign w:val="center"/>
          </w:tcPr>
          <w:p w14:paraId="7EEAA6EA" w14:textId="77777777" w:rsidR="00777EF9" w:rsidRPr="00777EF9" w:rsidRDefault="00777EF9" w:rsidP="0056540C">
            <w:pPr>
              <w:spacing w:after="0"/>
              <w:jc w:val="center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PO 1</w:t>
            </w:r>
          </w:p>
        </w:tc>
        <w:tc>
          <w:tcPr>
            <w:tcW w:w="907" w:type="dxa"/>
            <w:vAlign w:val="center"/>
          </w:tcPr>
          <w:p w14:paraId="0B1250C1" w14:textId="77777777" w:rsidR="00777EF9" w:rsidRPr="00777EF9" w:rsidRDefault="00777EF9" w:rsidP="009523A5">
            <w:pPr>
              <w:spacing w:after="0"/>
              <w:ind w:right="113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2 829</w:t>
            </w:r>
          </w:p>
        </w:tc>
        <w:tc>
          <w:tcPr>
            <w:tcW w:w="1587" w:type="dxa"/>
            <w:vAlign w:val="center"/>
          </w:tcPr>
          <w:p w14:paraId="58B0A566" w14:textId="5401F293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9 376,1 mil. Kč</w:t>
            </w:r>
          </w:p>
        </w:tc>
        <w:tc>
          <w:tcPr>
            <w:tcW w:w="1644" w:type="dxa"/>
            <w:vAlign w:val="center"/>
          </w:tcPr>
          <w:p w14:paraId="0BC6171E" w14:textId="3F1875E9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7 625,9 mil. Kč</w:t>
            </w:r>
          </w:p>
        </w:tc>
        <w:tc>
          <w:tcPr>
            <w:tcW w:w="1361" w:type="dxa"/>
            <w:vAlign w:val="center"/>
          </w:tcPr>
          <w:p w14:paraId="4971A44D" w14:textId="2A8505D8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7 776,3 mil. Kč</w:t>
            </w:r>
          </w:p>
        </w:tc>
        <w:tc>
          <w:tcPr>
            <w:tcW w:w="1361" w:type="dxa"/>
            <w:vAlign w:val="center"/>
          </w:tcPr>
          <w:p w14:paraId="27B905FA" w14:textId="4E5A22B1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6 469,1 mil. Kč</w:t>
            </w:r>
          </w:p>
        </w:tc>
        <w:tc>
          <w:tcPr>
            <w:tcW w:w="1361" w:type="dxa"/>
            <w:vAlign w:val="center"/>
          </w:tcPr>
          <w:p w14:paraId="5456143D" w14:textId="0BBDC3F5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1 307,2 mil. Kč</w:t>
            </w:r>
          </w:p>
        </w:tc>
      </w:tr>
      <w:tr w:rsidR="008A4213" w14:paraId="4D9E243E" w14:textId="05533D35" w:rsidTr="009523A5">
        <w:trPr>
          <w:trHeight w:val="255"/>
          <w:jc w:val="center"/>
        </w:trPr>
        <w:tc>
          <w:tcPr>
            <w:tcW w:w="850" w:type="dxa"/>
            <w:vAlign w:val="center"/>
          </w:tcPr>
          <w:p w14:paraId="732FDC85" w14:textId="77777777" w:rsidR="00777EF9" w:rsidRPr="00777EF9" w:rsidRDefault="00777EF9" w:rsidP="0056540C">
            <w:pPr>
              <w:spacing w:after="0"/>
              <w:jc w:val="center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PO 2</w:t>
            </w:r>
          </w:p>
        </w:tc>
        <w:tc>
          <w:tcPr>
            <w:tcW w:w="907" w:type="dxa"/>
            <w:vAlign w:val="center"/>
          </w:tcPr>
          <w:p w14:paraId="0E2BC8FE" w14:textId="77777777" w:rsidR="00777EF9" w:rsidRPr="00777EF9" w:rsidRDefault="00777EF9" w:rsidP="009523A5">
            <w:pPr>
              <w:spacing w:after="0"/>
              <w:ind w:right="113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753</w:t>
            </w:r>
          </w:p>
        </w:tc>
        <w:tc>
          <w:tcPr>
            <w:tcW w:w="1587" w:type="dxa"/>
            <w:vAlign w:val="center"/>
          </w:tcPr>
          <w:p w14:paraId="40CA5EB6" w14:textId="7CC6FF54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927,6 mil. Kč</w:t>
            </w:r>
          </w:p>
        </w:tc>
        <w:tc>
          <w:tcPr>
            <w:tcW w:w="1644" w:type="dxa"/>
            <w:vAlign w:val="center"/>
          </w:tcPr>
          <w:p w14:paraId="2EA04CED" w14:textId="7665B4DF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788,4 mil. Kč</w:t>
            </w:r>
          </w:p>
        </w:tc>
        <w:tc>
          <w:tcPr>
            <w:tcW w:w="1361" w:type="dxa"/>
            <w:vAlign w:val="center"/>
          </w:tcPr>
          <w:p w14:paraId="56B3EDA6" w14:textId="5D13C8F1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757, 2 mil. Kč</w:t>
            </w:r>
          </w:p>
        </w:tc>
        <w:tc>
          <w:tcPr>
            <w:tcW w:w="1361" w:type="dxa"/>
            <w:vAlign w:val="center"/>
          </w:tcPr>
          <w:p w14:paraId="4FB0D311" w14:textId="3EBE05E8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652,0 mil. Kč</w:t>
            </w:r>
          </w:p>
        </w:tc>
        <w:tc>
          <w:tcPr>
            <w:tcW w:w="1361" w:type="dxa"/>
            <w:vAlign w:val="center"/>
          </w:tcPr>
          <w:p w14:paraId="655FD3F2" w14:textId="11113B81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 mil. Kč</w:t>
            </w:r>
          </w:p>
        </w:tc>
      </w:tr>
      <w:tr w:rsidR="008A4213" w14:paraId="08E6E0E6" w14:textId="2852E5E0" w:rsidTr="009523A5">
        <w:trPr>
          <w:trHeight w:val="255"/>
          <w:jc w:val="center"/>
        </w:trPr>
        <w:tc>
          <w:tcPr>
            <w:tcW w:w="850" w:type="dxa"/>
            <w:vAlign w:val="center"/>
          </w:tcPr>
          <w:p w14:paraId="46E13C09" w14:textId="77777777" w:rsidR="00777EF9" w:rsidRPr="00777EF9" w:rsidRDefault="00777EF9" w:rsidP="0056540C">
            <w:pPr>
              <w:spacing w:after="0"/>
              <w:jc w:val="center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PO 3</w:t>
            </w:r>
          </w:p>
        </w:tc>
        <w:tc>
          <w:tcPr>
            <w:tcW w:w="907" w:type="dxa"/>
            <w:vAlign w:val="center"/>
          </w:tcPr>
          <w:p w14:paraId="49C8F31F" w14:textId="77777777" w:rsidR="00777EF9" w:rsidRPr="00777EF9" w:rsidRDefault="00777EF9" w:rsidP="009523A5">
            <w:pPr>
              <w:spacing w:after="0"/>
              <w:ind w:right="113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  <w:vAlign w:val="center"/>
          </w:tcPr>
          <w:p w14:paraId="3D23BB89" w14:textId="62AC4000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38,0 mil. Kč</w:t>
            </w:r>
          </w:p>
        </w:tc>
        <w:tc>
          <w:tcPr>
            <w:tcW w:w="1644" w:type="dxa"/>
            <w:vAlign w:val="center"/>
          </w:tcPr>
          <w:p w14:paraId="1EDE575B" w14:textId="4C3DEEB5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34,6 mil. Kč</w:t>
            </w:r>
          </w:p>
        </w:tc>
        <w:tc>
          <w:tcPr>
            <w:tcW w:w="1361" w:type="dxa"/>
            <w:vAlign w:val="center"/>
          </w:tcPr>
          <w:p w14:paraId="52C9F6B4" w14:textId="284F4A89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33,8 mil. Kč</w:t>
            </w:r>
          </w:p>
        </w:tc>
        <w:tc>
          <w:tcPr>
            <w:tcW w:w="1361" w:type="dxa"/>
            <w:vAlign w:val="center"/>
          </w:tcPr>
          <w:p w14:paraId="290A3D85" w14:textId="528CE2C3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 w:rsidRPr="00777EF9">
              <w:rPr>
                <w:sz w:val="18"/>
                <w:szCs w:val="18"/>
              </w:rPr>
              <w:t>30,7 mil. Kč</w:t>
            </w:r>
          </w:p>
        </w:tc>
        <w:tc>
          <w:tcPr>
            <w:tcW w:w="1361" w:type="dxa"/>
            <w:vAlign w:val="center"/>
          </w:tcPr>
          <w:p w14:paraId="0F4978A0" w14:textId="3C90BC76" w:rsidR="00777EF9" w:rsidRPr="00777EF9" w:rsidRDefault="00777EF9" w:rsidP="009523A5">
            <w:pPr>
              <w:spacing w:after="0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 mil. Kč</w:t>
            </w:r>
          </w:p>
        </w:tc>
      </w:tr>
      <w:tr w:rsidR="00850854" w14:paraId="3503B960" w14:textId="10A55916" w:rsidTr="009523A5">
        <w:trPr>
          <w:trHeight w:val="255"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C4E9945" w14:textId="77777777" w:rsidR="00053671" w:rsidRPr="00777EF9" w:rsidRDefault="00053671" w:rsidP="0005367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Celkem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E5AAB02" w14:textId="77777777" w:rsidR="00053671" w:rsidRPr="00777EF9" w:rsidRDefault="00053671" w:rsidP="009523A5">
            <w:pPr>
              <w:spacing w:after="0"/>
              <w:ind w:right="113"/>
              <w:jc w:val="right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3 593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75F3562" w14:textId="3A27325E" w:rsidR="00053671" w:rsidRPr="00777EF9" w:rsidRDefault="00053671" w:rsidP="009523A5">
            <w:pPr>
              <w:spacing w:after="0"/>
              <w:ind w:right="57"/>
              <w:jc w:val="right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10 341,7 mil. Kč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2A8FB949" w14:textId="5684B255" w:rsidR="00053671" w:rsidRPr="00777EF9" w:rsidRDefault="00053671" w:rsidP="009523A5">
            <w:pPr>
              <w:spacing w:after="0"/>
              <w:ind w:right="57"/>
              <w:jc w:val="right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8 448,9 mil. Kč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6C3E056" w14:textId="468C2725" w:rsidR="00053671" w:rsidRPr="00777EF9" w:rsidRDefault="00053671" w:rsidP="009523A5">
            <w:pPr>
              <w:spacing w:after="0"/>
              <w:ind w:right="57"/>
              <w:jc w:val="right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8 567,3 mil. Kč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38233A3" w14:textId="2D197847" w:rsidR="00053671" w:rsidRPr="00777EF9" w:rsidRDefault="00053671" w:rsidP="009523A5">
            <w:pPr>
              <w:spacing w:after="0"/>
              <w:ind w:right="57"/>
              <w:jc w:val="right"/>
              <w:rPr>
                <w:b/>
                <w:sz w:val="18"/>
                <w:szCs w:val="18"/>
              </w:rPr>
            </w:pPr>
            <w:r w:rsidRPr="00777EF9">
              <w:rPr>
                <w:b/>
                <w:sz w:val="18"/>
                <w:szCs w:val="18"/>
              </w:rPr>
              <w:t>7 151,9 mil. Kč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25754FE" w14:textId="5DF5DD41" w:rsidR="00053671" w:rsidRPr="00777EF9" w:rsidRDefault="00053671" w:rsidP="009523A5">
            <w:pPr>
              <w:spacing w:after="0"/>
              <w:ind w:right="57"/>
              <w:jc w:val="right"/>
              <w:rPr>
                <w:b/>
                <w:sz w:val="18"/>
                <w:szCs w:val="18"/>
              </w:rPr>
            </w:pPr>
            <w:r w:rsidRPr="00E343D0">
              <w:rPr>
                <w:b/>
                <w:sz w:val="18"/>
                <w:szCs w:val="18"/>
              </w:rPr>
              <w:t>1 415,4 mil. Kč</w:t>
            </w:r>
          </w:p>
        </w:tc>
      </w:tr>
    </w:tbl>
    <w:p w14:paraId="6AEB6473" w14:textId="3B5E5136" w:rsidR="0056540C" w:rsidRDefault="0056540C" w:rsidP="006357EF">
      <w:pPr>
        <w:spacing w:before="40" w:after="0"/>
        <w:rPr>
          <w:sz w:val="20"/>
        </w:rPr>
      </w:pPr>
      <w:r w:rsidRPr="006357EF">
        <w:rPr>
          <w:b/>
          <w:sz w:val="20"/>
        </w:rPr>
        <w:t>Zdroj:</w:t>
      </w:r>
      <w:r w:rsidRPr="00006DD6">
        <w:rPr>
          <w:sz w:val="20"/>
        </w:rPr>
        <w:t xml:space="preserve"> </w:t>
      </w:r>
      <w:r w:rsidR="00A73CAA">
        <w:rPr>
          <w:sz w:val="20"/>
        </w:rPr>
        <w:t xml:space="preserve">vypracoval NKÚ na základě </w:t>
      </w:r>
      <w:r>
        <w:rPr>
          <w:sz w:val="20"/>
        </w:rPr>
        <w:t>dat</w:t>
      </w:r>
      <w:r w:rsidRPr="00006DD6">
        <w:rPr>
          <w:sz w:val="20"/>
        </w:rPr>
        <w:t xml:space="preserve"> </w:t>
      </w:r>
      <w:r>
        <w:rPr>
          <w:sz w:val="20"/>
        </w:rPr>
        <w:t xml:space="preserve">z </w:t>
      </w:r>
      <w:r w:rsidRPr="00006DD6">
        <w:rPr>
          <w:sz w:val="20"/>
        </w:rPr>
        <w:t>MPSV k 31. 12. 2021</w:t>
      </w:r>
      <w:r w:rsidR="00A73CAA">
        <w:rPr>
          <w:sz w:val="20"/>
        </w:rPr>
        <w:t>.</w:t>
      </w:r>
    </w:p>
    <w:p w14:paraId="08040CCE" w14:textId="0060B410" w:rsidR="008E5E21" w:rsidRPr="008E5E21" w:rsidRDefault="008E5E21" w:rsidP="0036018F">
      <w:pPr>
        <w:ind w:left="142" w:hanging="142"/>
        <w:rPr>
          <w:sz w:val="20"/>
        </w:rPr>
      </w:pPr>
      <w:r w:rsidRPr="002262E9">
        <w:rPr>
          <w:sz w:val="20"/>
        </w:rPr>
        <w:t>*</w:t>
      </w:r>
      <w:r w:rsidR="0025418F">
        <w:rPr>
          <w:sz w:val="20"/>
        </w:rPr>
        <w:tab/>
      </w:r>
      <w:r w:rsidRPr="002262E9">
        <w:rPr>
          <w:sz w:val="20"/>
        </w:rPr>
        <w:t>Celkové způsobilé výdaje</w:t>
      </w:r>
      <w:r w:rsidR="00A73CAA">
        <w:rPr>
          <w:sz w:val="20"/>
        </w:rPr>
        <w:t>.</w:t>
      </w:r>
    </w:p>
    <w:p w14:paraId="76A53613" w14:textId="55D01903" w:rsidR="00B73EA9" w:rsidRPr="00495BC2" w:rsidRDefault="005141E8" w:rsidP="00B73EA9">
      <w:pPr>
        <w:rPr>
          <w:highlight w:val="yellow"/>
          <w:lang w:eastAsia="cs-CZ"/>
        </w:rPr>
      </w:pPr>
      <w:r>
        <w:rPr>
          <w:rFonts w:cstheme="minorHAnsi"/>
        </w:rPr>
        <w:t>V OPZ jsou podporovány mj. projekty s nepřímými náklady, které mohou dosahovat maximálně 25 % přímých způsobilých nákladů projektu</w:t>
      </w:r>
      <w:r w:rsidRPr="00776309">
        <w:rPr>
          <w:rFonts w:cstheme="minorHAnsi"/>
        </w:rPr>
        <w:t xml:space="preserve">. </w:t>
      </w:r>
      <w:r w:rsidR="00776309" w:rsidRPr="00776309">
        <w:rPr>
          <w:rFonts w:cstheme="minorHAnsi"/>
        </w:rPr>
        <w:t>P</w:t>
      </w:r>
      <w:r w:rsidR="00776309" w:rsidRPr="00776309">
        <w:rPr>
          <w:lang w:eastAsia="cs-CZ"/>
        </w:rPr>
        <w:t xml:space="preserve">říjemci podpory nejsou povinni dle </w:t>
      </w:r>
      <w:r w:rsidR="00776309">
        <w:rPr>
          <w:lang w:eastAsia="cs-CZ"/>
        </w:rPr>
        <w:t xml:space="preserve">nastavených </w:t>
      </w:r>
      <w:r w:rsidR="00776309" w:rsidRPr="00776309">
        <w:rPr>
          <w:lang w:eastAsia="cs-CZ"/>
        </w:rPr>
        <w:t>podmínek OPZ dokládat výdaje na uskutečněné nepřímé náklady.</w:t>
      </w:r>
      <w:r w:rsidR="00776309">
        <w:rPr>
          <w:rFonts w:cstheme="minorHAnsi"/>
        </w:rPr>
        <w:t xml:space="preserve"> </w:t>
      </w:r>
      <w:r w:rsidR="00B73EA9" w:rsidRPr="002262E9">
        <w:rPr>
          <w:rFonts w:cstheme="minorHAnsi"/>
        </w:rPr>
        <w:t>Tato skutečnost se týká celkem</w:t>
      </w:r>
      <w:r w:rsidR="00B73EA9" w:rsidRPr="002262E9">
        <w:rPr>
          <w:lang w:eastAsia="cs-CZ"/>
        </w:rPr>
        <w:t xml:space="preserve"> 1 169 projektů </w:t>
      </w:r>
      <w:r w:rsidR="00B13CC0">
        <w:rPr>
          <w:lang w:eastAsia="cs-CZ"/>
        </w:rPr>
        <w:t xml:space="preserve">zaměřených na podporu rodinné politiky </w:t>
      </w:r>
      <w:r w:rsidR="00B73EA9" w:rsidRPr="002262E9">
        <w:rPr>
          <w:lang w:eastAsia="cs-CZ"/>
        </w:rPr>
        <w:t>s celkovými způsobilými výdaji ve výši 2 633,9 mil. Kč, přičemž hodnota nepřímých nákladů činila</w:t>
      </w:r>
      <w:r w:rsidR="0036018F">
        <w:rPr>
          <w:lang w:eastAsia="cs-CZ"/>
        </w:rPr>
        <w:t xml:space="preserve"> </w:t>
      </w:r>
      <w:r w:rsidR="00B73EA9" w:rsidRPr="002262E9">
        <w:rPr>
          <w:lang w:eastAsia="cs-CZ"/>
        </w:rPr>
        <w:t>520,8 mil.</w:t>
      </w:r>
      <w:r w:rsidR="0036018F">
        <w:rPr>
          <w:lang w:eastAsia="cs-CZ"/>
        </w:rPr>
        <w:t> </w:t>
      </w:r>
      <w:r w:rsidR="00B73EA9" w:rsidRPr="002262E9">
        <w:rPr>
          <w:lang w:eastAsia="cs-CZ"/>
        </w:rPr>
        <w:t>Kč.</w:t>
      </w:r>
    </w:p>
    <w:p w14:paraId="4A685AB2" w14:textId="35F4B213" w:rsidR="003D1851" w:rsidRPr="003D1851" w:rsidRDefault="003D1851" w:rsidP="00D83DFD">
      <w:pPr>
        <w:keepNext/>
        <w:spacing w:before="240"/>
        <w:jc w:val="left"/>
        <w:rPr>
          <w:b/>
        </w:rPr>
      </w:pPr>
      <w:r w:rsidRPr="003D1851">
        <w:rPr>
          <w:b/>
        </w:rPr>
        <w:t xml:space="preserve">Národní dotační titul </w:t>
      </w:r>
      <w:r w:rsidRPr="00570941">
        <w:rPr>
          <w:b/>
          <w:i/>
        </w:rPr>
        <w:t>Rodina</w:t>
      </w:r>
      <w:r w:rsidRPr="003D1851">
        <w:rPr>
          <w:b/>
        </w:rPr>
        <w:t xml:space="preserve"> </w:t>
      </w:r>
    </w:p>
    <w:p w14:paraId="6B4D84FC" w14:textId="77777777" w:rsidR="003B5A92" w:rsidRDefault="009A7D20" w:rsidP="009A7D20">
      <w:pPr>
        <w:rPr>
          <w:rFonts w:cstheme="minorHAnsi"/>
        </w:rPr>
      </w:pPr>
      <w:r w:rsidRPr="006A6BAD">
        <w:rPr>
          <w:rFonts w:cstheme="minorHAnsi"/>
        </w:rPr>
        <w:t xml:space="preserve">MPSV vyčleňuje každoročně na podporu rodin prostředky </w:t>
      </w:r>
      <w:r>
        <w:rPr>
          <w:rFonts w:cstheme="minorHAnsi"/>
        </w:rPr>
        <w:t xml:space="preserve">pro samosprávu i neziskový sektor </w:t>
      </w:r>
      <w:r w:rsidRPr="006A6BAD">
        <w:rPr>
          <w:rFonts w:cstheme="minorHAnsi"/>
        </w:rPr>
        <w:t xml:space="preserve">v rámci </w:t>
      </w:r>
      <w:r w:rsidR="00A97889">
        <w:rPr>
          <w:rFonts w:cstheme="minorHAnsi"/>
        </w:rPr>
        <w:t xml:space="preserve">NDT </w:t>
      </w:r>
      <w:r w:rsidR="00A97889" w:rsidRPr="00570941">
        <w:rPr>
          <w:rFonts w:cstheme="minorHAnsi"/>
          <w:i/>
        </w:rPr>
        <w:t>Rodina</w:t>
      </w:r>
      <w:r w:rsidRPr="006A6BA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A6BAD">
        <w:rPr>
          <w:rFonts w:cstheme="minorHAnsi"/>
        </w:rPr>
        <w:t>Cílem NDT</w:t>
      </w:r>
      <w:r w:rsidR="00E74FA0">
        <w:rPr>
          <w:rFonts w:cstheme="minorHAnsi"/>
        </w:rPr>
        <w:t xml:space="preserve"> </w:t>
      </w:r>
      <w:r w:rsidR="00E74FA0" w:rsidRPr="00570941">
        <w:rPr>
          <w:rFonts w:cstheme="minorHAnsi"/>
          <w:i/>
        </w:rPr>
        <w:t>Rodina</w:t>
      </w:r>
      <w:r w:rsidR="00E74FA0">
        <w:rPr>
          <w:rFonts w:cstheme="minorHAnsi"/>
        </w:rPr>
        <w:t xml:space="preserve"> </w:t>
      </w:r>
      <w:r w:rsidRPr="006A6BAD">
        <w:rPr>
          <w:rFonts w:cstheme="minorHAnsi"/>
        </w:rPr>
        <w:t>je podpora služeb pro rodiny, které mají preventivní a</w:t>
      </w:r>
      <w:r w:rsidR="00A97889">
        <w:rPr>
          <w:rFonts w:cstheme="minorHAnsi"/>
        </w:rPr>
        <w:t> </w:t>
      </w:r>
      <w:r w:rsidRPr="006A6BAD">
        <w:rPr>
          <w:rFonts w:cstheme="minorHAnsi"/>
        </w:rPr>
        <w:t>podpůrný charakter. Služby mají posilovat rodičovské kompetence, zkvalitňovat rodinné vztahy, podporovat rodiny v péči o děti, jejich výchově a při slaďování práce a rodiny, a</w:t>
      </w:r>
      <w:r w:rsidR="00A97889">
        <w:rPr>
          <w:rFonts w:cstheme="minorHAnsi"/>
        </w:rPr>
        <w:t> </w:t>
      </w:r>
      <w:r w:rsidRPr="006A6BAD">
        <w:rPr>
          <w:rFonts w:cstheme="minorHAnsi"/>
        </w:rPr>
        <w:t xml:space="preserve">napomáhat při předcházení a řešení krizových situací v rodině. </w:t>
      </w:r>
      <w:r w:rsidR="00A97889">
        <w:rPr>
          <w:rFonts w:cstheme="minorHAnsi"/>
        </w:rPr>
        <w:t>N</w:t>
      </w:r>
      <w:r w:rsidR="00F54994">
        <w:rPr>
          <w:rFonts w:cstheme="minorHAnsi"/>
        </w:rPr>
        <w:t xml:space="preserve">DT </w:t>
      </w:r>
      <w:r w:rsidR="00F54994" w:rsidRPr="00570941">
        <w:rPr>
          <w:rFonts w:cstheme="minorHAnsi"/>
          <w:i/>
        </w:rPr>
        <w:t>Rodina</w:t>
      </w:r>
      <w:r w:rsidRPr="006A6BAD">
        <w:rPr>
          <w:rFonts w:cstheme="minorHAnsi"/>
        </w:rPr>
        <w:t xml:space="preserve"> </w:t>
      </w:r>
      <w:r w:rsidR="00A97889">
        <w:rPr>
          <w:rFonts w:cstheme="minorHAnsi"/>
        </w:rPr>
        <w:t>má</w:t>
      </w:r>
      <w:r w:rsidRPr="006A6BAD">
        <w:rPr>
          <w:rFonts w:cstheme="minorHAnsi"/>
        </w:rPr>
        <w:t xml:space="preserve"> poskyt</w:t>
      </w:r>
      <w:r w:rsidR="00A97889">
        <w:rPr>
          <w:rFonts w:cstheme="minorHAnsi"/>
        </w:rPr>
        <w:t>ovat</w:t>
      </w:r>
      <w:r w:rsidRPr="006A6BAD">
        <w:rPr>
          <w:rFonts w:cstheme="minorHAnsi"/>
        </w:rPr>
        <w:t xml:space="preserve"> komplexní pomoc rodině jako celku a posilovat význam rodiny pro společnost. </w:t>
      </w:r>
    </w:p>
    <w:p w14:paraId="0D3DC9F7" w14:textId="14C65AE0" w:rsidR="009A7D20" w:rsidRPr="006A6BAD" w:rsidRDefault="009A7D20" w:rsidP="009A7D20">
      <w:pPr>
        <w:rPr>
          <w:rFonts w:cstheme="minorHAnsi"/>
        </w:rPr>
      </w:pPr>
      <w:r w:rsidRPr="006A6BAD">
        <w:rPr>
          <w:rFonts w:cstheme="minorHAnsi"/>
        </w:rPr>
        <w:t>Dotace na</w:t>
      </w:r>
      <w:r w:rsidR="0036018F">
        <w:rPr>
          <w:rFonts w:cstheme="minorHAnsi"/>
        </w:rPr>
        <w:t xml:space="preserve"> </w:t>
      </w:r>
      <w:r w:rsidRPr="006A6BAD">
        <w:rPr>
          <w:rFonts w:cstheme="minorHAnsi"/>
        </w:rPr>
        <w:t>podporu rodiny pro nestátní neziskové organizace v</w:t>
      </w:r>
      <w:r w:rsidR="00A97889">
        <w:rPr>
          <w:rFonts w:cstheme="minorHAnsi"/>
        </w:rPr>
        <w:t xml:space="preserve"> NDT </w:t>
      </w:r>
      <w:r w:rsidR="00A97889" w:rsidRPr="00570941">
        <w:rPr>
          <w:rFonts w:cstheme="minorHAnsi"/>
          <w:i/>
        </w:rPr>
        <w:t>Rodina</w:t>
      </w:r>
      <w:r w:rsidRPr="006A6BAD">
        <w:rPr>
          <w:rFonts w:cstheme="minorHAnsi"/>
        </w:rPr>
        <w:t xml:space="preserve"> jsou každoročně vyhlašovány k 1. 9. </w:t>
      </w:r>
      <w:r w:rsidR="00B13CC0" w:rsidRPr="00B13CC0">
        <w:rPr>
          <w:rFonts w:cstheme="minorHAnsi"/>
        </w:rPr>
        <w:t>V letech 2018–2020 MPSV poskytlo příjemcům</w:t>
      </w:r>
      <w:r w:rsidR="006F421E">
        <w:rPr>
          <w:rFonts w:cstheme="minorHAnsi"/>
        </w:rPr>
        <w:t xml:space="preserve"> dotace</w:t>
      </w:r>
      <w:r w:rsidR="00FC1D96">
        <w:rPr>
          <w:rStyle w:val="Znakapoznpodarou"/>
          <w:rFonts w:cstheme="minorHAnsi"/>
        </w:rPr>
        <w:footnoteReference w:id="15"/>
      </w:r>
      <w:r w:rsidR="00B13CC0" w:rsidRPr="00B13CC0">
        <w:rPr>
          <w:rFonts w:cstheme="minorHAnsi"/>
        </w:rPr>
        <w:t xml:space="preserve"> </w:t>
      </w:r>
      <w:r w:rsidR="006F421E" w:rsidRPr="00B13CC0">
        <w:rPr>
          <w:rFonts w:cstheme="minorHAnsi"/>
        </w:rPr>
        <w:t xml:space="preserve">v NDT </w:t>
      </w:r>
      <w:r w:rsidR="006F421E" w:rsidRPr="00570941">
        <w:rPr>
          <w:rFonts w:cstheme="minorHAnsi"/>
          <w:i/>
        </w:rPr>
        <w:t>Rodina</w:t>
      </w:r>
      <w:r w:rsidR="006F421E" w:rsidRPr="00B13CC0">
        <w:rPr>
          <w:rFonts w:cstheme="minorHAnsi"/>
        </w:rPr>
        <w:t xml:space="preserve"> </w:t>
      </w:r>
      <w:r w:rsidR="006F421E">
        <w:rPr>
          <w:rFonts w:cstheme="minorHAnsi"/>
        </w:rPr>
        <w:t>podporu</w:t>
      </w:r>
      <w:r w:rsidR="00B13CC0" w:rsidRPr="00B13CC0">
        <w:rPr>
          <w:rFonts w:cstheme="minorHAnsi"/>
        </w:rPr>
        <w:t xml:space="preserve"> v celkové výši 0,3 mld. Kč.</w:t>
      </w:r>
    </w:p>
    <w:p w14:paraId="76BC94E3" w14:textId="77777777" w:rsidR="00950ACB" w:rsidRDefault="00950ACB">
      <w:pPr>
        <w:spacing w:after="160" w:line="259" w:lineRule="auto"/>
        <w:jc w:val="left"/>
        <w:rPr>
          <w:rFonts w:eastAsiaTheme="majorEastAsia" w:cstheme="majorBidi"/>
          <w:b/>
          <w:sz w:val="28"/>
          <w:szCs w:val="32"/>
        </w:rPr>
      </w:pPr>
      <w:r>
        <w:rPr>
          <w:sz w:val="28"/>
        </w:rPr>
        <w:br w:type="page"/>
      </w:r>
    </w:p>
    <w:p w14:paraId="34792DFF" w14:textId="2FFF7873" w:rsidR="003B5DC8" w:rsidRPr="0036018F" w:rsidRDefault="003B5DC8" w:rsidP="0036018F">
      <w:pPr>
        <w:pStyle w:val="Nadpis1"/>
        <w:spacing w:before="600"/>
        <w:rPr>
          <w:sz w:val="28"/>
        </w:rPr>
      </w:pPr>
      <w:r w:rsidRPr="0036018F">
        <w:rPr>
          <w:sz w:val="28"/>
        </w:rPr>
        <w:lastRenderedPageBreak/>
        <w:t>III. Rozsah kontroly</w:t>
      </w:r>
    </w:p>
    <w:p w14:paraId="545956CC" w14:textId="77777777" w:rsidR="00085335" w:rsidRDefault="00E33B28" w:rsidP="00E33B28">
      <w:r>
        <w:t xml:space="preserve">Cílem kontrolní akce bylo prověřit, zda peněžní prostředky státního rozpočtu a Evropské unie vynaložené na opatření v oblasti rodinné politiky přispěly k realizaci stanovených cílů a zda byly vynaloženy a čerpány v souladu s právními předpisy. </w:t>
      </w:r>
    </w:p>
    <w:p w14:paraId="67B02022" w14:textId="34EDF9D7" w:rsidR="00973CA3" w:rsidRPr="003D388D" w:rsidRDefault="00973CA3" w:rsidP="00973CA3">
      <w:r w:rsidRPr="003D388D">
        <w:t xml:space="preserve">Za účelné NKÚ považoval u MPSV takové použití peněžních prostředků na podporu rodinné politiky, které vedlo k plnění specifických cílů prioritních os 1 a 2 v OPZ, cílů NDT </w:t>
      </w:r>
      <w:r w:rsidRPr="00570941">
        <w:rPr>
          <w:i/>
        </w:rPr>
        <w:t>Rodina</w:t>
      </w:r>
      <w:r w:rsidRPr="003D388D">
        <w:t xml:space="preserve"> a opatření stanovených v </w:t>
      </w:r>
      <w:r w:rsidRPr="00570941">
        <w:rPr>
          <w:i/>
        </w:rPr>
        <w:t>Koncepci rodinné politiky</w:t>
      </w:r>
      <w:r w:rsidRPr="003D388D">
        <w:t>. U příjemců podpory považoval NKÚ za</w:t>
      </w:r>
      <w:r w:rsidR="0036018F">
        <w:t xml:space="preserve"> </w:t>
      </w:r>
      <w:r w:rsidRPr="003D388D">
        <w:t xml:space="preserve">účelné takové použití peněžních prostředků, které vedlo k naplnění stanovených cílů projektů. </w:t>
      </w:r>
    </w:p>
    <w:p w14:paraId="2140EE39" w14:textId="1358B03A" w:rsidR="009D4382" w:rsidRPr="003D388D" w:rsidRDefault="009D4382" w:rsidP="00241F29">
      <w:r w:rsidRPr="003D388D">
        <w:t xml:space="preserve">Za hospodárné </w:t>
      </w:r>
      <w:r w:rsidR="00922E98" w:rsidRPr="003D388D">
        <w:t>NKÚ považoval</w:t>
      </w:r>
      <w:r w:rsidRPr="003D388D">
        <w:t xml:space="preserve"> takové použití </w:t>
      </w:r>
      <w:r w:rsidR="001254E8" w:rsidRPr="003D388D">
        <w:t>peněžních prostředků, které odpovídá cenám v místě a čase obvyklým.</w:t>
      </w:r>
      <w:r w:rsidR="001254E8" w:rsidRPr="003D388D">
        <w:rPr>
          <w:rStyle w:val="Znakapoznpodarou"/>
        </w:rPr>
        <w:footnoteReference w:id="16"/>
      </w:r>
    </w:p>
    <w:p w14:paraId="303C8007" w14:textId="39BC92CD" w:rsidR="00460AEB" w:rsidRDefault="004754CE" w:rsidP="00E33B28">
      <w:r w:rsidRPr="003D388D">
        <w:t xml:space="preserve">NKÚ provedl kontrolu u MPSV jako ŘO OPZ, u ÚP ČR a u dalších vybraných příjemců podpory z OPZ. </w:t>
      </w:r>
      <w:r w:rsidR="00A40321" w:rsidRPr="003D388D">
        <w:t>U MPSV</w:t>
      </w:r>
      <w:r w:rsidR="00A40321">
        <w:t xml:space="preserve"> </w:t>
      </w:r>
      <w:r w:rsidR="00507051">
        <w:t>se kontrola zaměřila na</w:t>
      </w:r>
      <w:r w:rsidR="0068102E">
        <w:t xml:space="preserve"> </w:t>
      </w:r>
      <w:r w:rsidR="00A810A7">
        <w:t xml:space="preserve">nastavení </w:t>
      </w:r>
      <w:r w:rsidR="000B2E32">
        <w:t xml:space="preserve">opatření </w:t>
      </w:r>
      <w:r w:rsidR="0068102E">
        <w:t>v rámci OPZ</w:t>
      </w:r>
      <w:r w:rsidR="008435A0">
        <w:t xml:space="preserve"> a na</w:t>
      </w:r>
      <w:r w:rsidR="0068102E">
        <w:t xml:space="preserve"> </w:t>
      </w:r>
      <w:r w:rsidR="000B2E32">
        <w:t xml:space="preserve">poskytování peněžních prostředků vynaložených </w:t>
      </w:r>
      <w:r w:rsidR="00CE5C6B">
        <w:t xml:space="preserve">na realizaci těchto opatření </w:t>
      </w:r>
      <w:r w:rsidR="000B2E32">
        <w:t>z</w:t>
      </w:r>
      <w:r w:rsidR="008435A0">
        <w:t> </w:t>
      </w:r>
      <w:r w:rsidR="000B2E32">
        <w:t>OPZ</w:t>
      </w:r>
      <w:r w:rsidR="008435A0">
        <w:t xml:space="preserve">. NKÚ prověřoval </w:t>
      </w:r>
      <w:r w:rsidR="0068102E">
        <w:t>zejména</w:t>
      </w:r>
      <w:r w:rsidR="008435A0">
        <w:t xml:space="preserve"> úlohu</w:t>
      </w:r>
      <w:r w:rsidR="0068102E">
        <w:t xml:space="preserve"> </w:t>
      </w:r>
      <w:r w:rsidR="00D141AA">
        <w:t>ŘO</w:t>
      </w:r>
      <w:r w:rsidR="0068102E">
        <w:t xml:space="preserve"> při administraci, realizaci a vyhodnocování projektů OPZ</w:t>
      </w:r>
      <w:r w:rsidR="008435A0">
        <w:t xml:space="preserve"> zaměřených na</w:t>
      </w:r>
      <w:r w:rsidR="00A73CAA">
        <w:t xml:space="preserve"> </w:t>
      </w:r>
      <w:r w:rsidR="008435A0">
        <w:t>oblast rodinné politiky</w:t>
      </w:r>
      <w:r w:rsidR="0068102E">
        <w:t xml:space="preserve">. NKÚ prověřil, </w:t>
      </w:r>
      <w:r w:rsidR="008352F3">
        <w:t xml:space="preserve">zda </w:t>
      </w:r>
      <w:r w:rsidR="00A73CAA">
        <w:t xml:space="preserve">byly </w:t>
      </w:r>
      <w:r w:rsidR="008352F3">
        <w:t>d</w:t>
      </w:r>
      <w:r w:rsidR="00F20AEA">
        <w:t xml:space="preserve">otace poskytnuty v souladu s dokumentací OPZ a zda MPSV ověřuje splnění účelu dotace. </w:t>
      </w:r>
    </w:p>
    <w:p w14:paraId="16F0E8C6" w14:textId="09E545EF" w:rsidR="008435A0" w:rsidRDefault="002B5D77" w:rsidP="008435A0">
      <w:r w:rsidRPr="003D388D">
        <w:t xml:space="preserve">NKÚ prověřoval, zda MPSV při přípravě </w:t>
      </w:r>
      <w:r w:rsidRPr="00570941">
        <w:rPr>
          <w:i/>
        </w:rPr>
        <w:t>Koncepce rodinné politiky</w:t>
      </w:r>
      <w:r w:rsidRPr="003D388D">
        <w:t xml:space="preserve"> a při plnění úkolů souvisejících s Koncepcí, které mu uložila vláda ČR</w:t>
      </w:r>
      <w:r w:rsidRPr="003D388D">
        <w:rPr>
          <w:rStyle w:val="Znakapoznpodarou"/>
        </w:rPr>
        <w:footnoteReference w:id="17"/>
      </w:r>
      <w:r w:rsidRPr="003D388D">
        <w:t xml:space="preserve">, postupovalo takovým způsobem, aby vytvářelo podmínky pro účelné vynakládání peněžních prostředků státního rozpočtu a EU v oblasti podpory rodinné politiky. V této souvislosti se </w:t>
      </w:r>
      <w:r w:rsidR="002D2A1A" w:rsidRPr="003D388D">
        <w:t xml:space="preserve">NKÚ </w:t>
      </w:r>
      <w:r w:rsidRPr="003D388D">
        <w:t xml:space="preserve">zaměřil i na kontrolu peněžních prostředků </w:t>
      </w:r>
      <w:r w:rsidR="006F421E">
        <w:t>státního rozpočtu</w:t>
      </w:r>
      <w:r w:rsidRPr="003D388D">
        <w:t xml:space="preserve">, které MPSV vynakládá v souladu s Koncepcí na NDT </w:t>
      </w:r>
      <w:r w:rsidRPr="00570941">
        <w:rPr>
          <w:i/>
        </w:rPr>
        <w:t>Rodina</w:t>
      </w:r>
      <w:r w:rsidRPr="003D388D">
        <w:t xml:space="preserve">. </w:t>
      </w:r>
    </w:p>
    <w:p w14:paraId="3D7428A9" w14:textId="1258877C" w:rsidR="00507051" w:rsidRDefault="00507051" w:rsidP="00E33B28">
      <w:r>
        <w:t xml:space="preserve">U vybraných příjemců podpory se kontrola zaměřila </w:t>
      </w:r>
      <w:r w:rsidR="008435A0">
        <w:t>jednak</w:t>
      </w:r>
      <w:r w:rsidR="00F20AEA">
        <w:t xml:space="preserve"> </w:t>
      </w:r>
      <w:r>
        <w:t>na</w:t>
      </w:r>
      <w:r w:rsidR="00F20AEA">
        <w:t xml:space="preserve"> dodržování podmínek, </w:t>
      </w:r>
      <w:r w:rsidR="008435A0">
        <w:t>na jejichž základě</w:t>
      </w:r>
      <w:r w:rsidR="00F20AEA">
        <w:t xml:space="preserve"> jim byla poskytnuta </w:t>
      </w:r>
      <w:r w:rsidR="00FB79E0">
        <w:t>podpora</w:t>
      </w:r>
      <w:r w:rsidR="006F421E">
        <w:t>,</w:t>
      </w:r>
      <w:r w:rsidR="00F20AEA">
        <w:t xml:space="preserve"> </w:t>
      </w:r>
      <w:r w:rsidR="008435A0">
        <w:t xml:space="preserve">jednak </w:t>
      </w:r>
      <w:r w:rsidR="00F20AEA">
        <w:t xml:space="preserve">na dosahování cílů a </w:t>
      </w:r>
      <w:r w:rsidR="009908E8">
        <w:t xml:space="preserve">naplňování </w:t>
      </w:r>
      <w:r w:rsidR="00F20AEA">
        <w:t xml:space="preserve">účelu projektů. </w:t>
      </w:r>
      <w:r w:rsidR="006C1F33">
        <w:t>Zároveň bylo u příjemců podpory prověřováno, zda byly dodrženy postupy při realizaci veřejných zakázek</w:t>
      </w:r>
      <w:r w:rsidR="00FA5146">
        <w:t xml:space="preserve"> a zda při realizaci projekt</w:t>
      </w:r>
      <w:r w:rsidR="006F421E">
        <w:t>ů</w:t>
      </w:r>
      <w:r w:rsidR="00FA5146">
        <w:t xml:space="preserve"> </w:t>
      </w:r>
      <w:r w:rsidR="002D6694">
        <w:t xml:space="preserve">příjemci </w:t>
      </w:r>
      <w:r w:rsidR="00FA5146">
        <w:t>postupovali hospodárně</w:t>
      </w:r>
      <w:r w:rsidR="006C1F33">
        <w:t>.</w:t>
      </w:r>
    </w:p>
    <w:p w14:paraId="29776A0D" w14:textId="69525EAF" w:rsidR="00507051" w:rsidRDefault="001A479F" w:rsidP="004E0DBA">
      <w:pPr>
        <w:spacing w:after="0"/>
      </w:pPr>
      <w:r>
        <w:t xml:space="preserve">Ke kontrole na systémové úrovni i u příjemců podpory vybral NKÚ 10 </w:t>
      </w:r>
      <w:r w:rsidRPr="00AB169A">
        <w:t xml:space="preserve">projektů </w:t>
      </w:r>
      <w:r>
        <w:t>spolufinancovaných z OPZ, které byly realizovány osmi příjemci podpory</w:t>
      </w:r>
      <w:r w:rsidR="00F214F6">
        <w:t xml:space="preserve"> </w:t>
      </w:r>
      <w:r w:rsidR="00F214F6" w:rsidRPr="003D388D">
        <w:t xml:space="preserve">(viz </w:t>
      </w:r>
      <w:r w:rsidR="002D6694">
        <w:t>p</w:t>
      </w:r>
      <w:r w:rsidR="00F214F6" w:rsidRPr="003D388D">
        <w:t xml:space="preserve">říloha č. 1 </w:t>
      </w:r>
      <w:r w:rsidR="002D6694">
        <w:t xml:space="preserve">tohoto </w:t>
      </w:r>
      <w:r w:rsidR="00F214F6" w:rsidRPr="003D388D">
        <w:t>kontrolního závěru)</w:t>
      </w:r>
      <w:r w:rsidRPr="003D388D">
        <w:t>.</w:t>
      </w:r>
      <w:r w:rsidR="003D388D" w:rsidRPr="003D388D">
        <w:t xml:space="preserve"> </w:t>
      </w:r>
      <w:r w:rsidR="00F553CD" w:rsidRPr="003D388D">
        <w:t>Do vzorku kontrolovaných projektů byly vybrány projekty, jejichž tematické zaměření odpovídalo předmětu kontrolní akce č. 21/29.</w:t>
      </w:r>
      <w:r>
        <w:t xml:space="preserve"> </w:t>
      </w:r>
      <w:r w:rsidR="00F553CD">
        <w:t>Projekty byly d</w:t>
      </w:r>
      <w:r>
        <w:t>ále vybrány s ohledem na</w:t>
      </w:r>
      <w:r w:rsidR="0036018F">
        <w:t xml:space="preserve"> </w:t>
      </w:r>
      <w:r>
        <w:t xml:space="preserve">finanční významnost, ukončení jejich realizace včetně vyplacení peněžních prostředků poskytnuté podpory (kromě projektů ÚP ČR) a také dle </w:t>
      </w:r>
      <w:r w:rsidR="005061EE">
        <w:t>místa</w:t>
      </w:r>
      <w:r>
        <w:t xml:space="preserve"> realizace projektů. </w:t>
      </w:r>
      <w:r w:rsidR="006C1F33">
        <w:t>MPSV schválilo u</w:t>
      </w:r>
      <w:r>
        <w:t> </w:t>
      </w:r>
      <w:r w:rsidR="006C1F33">
        <w:t>10</w:t>
      </w:r>
      <w:r>
        <w:t> </w:t>
      </w:r>
      <w:r w:rsidR="006C1F33">
        <w:t xml:space="preserve">kontrolovaných projektů celkové způsobilé výdaje ve </w:t>
      </w:r>
      <w:r w:rsidR="006C1F33" w:rsidRPr="00B975C5">
        <w:t xml:space="preserve">výši </w:t>
      </w:r>
      <w:r w:rsidR="00881B80" w:rsidRPr="00B975C5">
        <w:t xml:space="preserve">303,6 mil. </w:t>
      </w:r>
      <w:r w:rsidR="006C1F33" w:rsidRPr="00B975C5">
        <w:t>Kč a</w:t>
      </w:r>
      <w:r w:rsidR="003D388D">
        <w:t> </w:t>
      </w:r>
      <w:r w:rsidR="00D63151" w:rsidRPr="00B975C5">
        <w:t>k 31. 1. 2022</w:t>
      </w:r>
      <w:r w:rsidR="00BA13E6">
        <w:t xml:space="preserve"> </w:t>
      </w:r>
      <w:r w:rsidR="00FB79E0">
        <w:t>na</w:t>
      </w:r>
      <w:r w:rsidR="002D6694">
        <w:t xml:space="preserve"> </w:t>
      </w:r>
      <w:r w:rsidR="00FB79E0">
        <w:t xml:space="preserve">ně </w:t>
      </w:r>
      <w:r w:rsidR="006C1F33" w:rsidRPr="00B975C5">
        <w:t>proplatilo</w:t>
      </w:r>
      <w:r w:rsidR="00881B80" w:rsidRPr="00B975C5">
        <w:t xml:space="preserve"> 216,7</w:t>
      </w:r>
      <w:r w:rsidR="00FB79E0">
        <w:t> </w:t>
      </w:r>
      <w:r w:rsidR="00881B80" w:rsidRPr="00B975C5">
        <w:t>mil.</w:t>
      </w:r>
      <w:r w:rsidR="006C1F33" w:rsidRPr="00B975C5">
        <w:t xml:space="preserve"> Kč (z toho </w:t>
      </w:r>
      <w:r w:rsidR="00881B80" w:rsidRPr="00B975C5">
        <w:t>184,2 mil.</w:t>
      </w:r>
      <w:r w:rsidR="006C1F33" w:rsidRPr="00B975C5">
        <w:t xml:space="preserve"> Kč z ESF</w:t>
      </w:r>
      <w:r w:rsidR="00372B8F" w:rsidRPr="00B975C5">
        <w:rPr>
          <w:rStyle w:val="Znakapoznpodarou"/>
        </w:rPr>
        <w:footnoteReference w:id="18"/>
      </w:r>
      <w:r w:rsidR="006C1F33" w:rsidRPr="00B975C5">
        <w:t xml:space="preserve"> a</w:t>
      </w:r>
      <w:r w:rsidR="00353B6A">
        <w:t> </w:t>
      </w:r>
      <w:r w:rsidR="00881B80" w:rsidRPr="00B975C5">
        <w:t>32,5</w:t>
      </w:r>
      <w:r w:rsidR="00353B6A">
        <w:t> </w:t>
      </w:r>
      <w:r w:rsidR="00881B80" w:rsidRPr="00B975C5">
        <w:t>mil.</w:t>
      </w:r>
      <w:r w:rsidR="006C1F33" w:rsidRPr="00B975C5">
        <w:t xml:space="preserve"> Kč ze SR). Kontrolovaný objem peněžních prostředků činil </w:t>
      </w:r>
      <w:r w:rsidR="00B975C5" w:rsidRPr="00B975C5">
        <w:t xml:space="preserve">216,7 mil. </w:t>
      </w:r>
      <w:r w:rsidR="006C1F33" w:rsidRPr="00B975C5">
        <w:t>Kč (výdaje proplacené z</w:t>
      </w:r>
      <w:r w:rsidR="00573F98">
        <w:t>e</w:t>
      </w:r>
      <w:r w:rsidR="006C1F33" w:rsidRPr="00B975C5">
        <w:t xml:space="preserve"> </w:t>
      </w:r>
      <w:r w:rsidR="00573F98" w:rsidRPr="00B975C5">
        <w:t xml:space="preserve">SR </w:t>
      </w:r>
      <w:r w:rsidR="00573F98">
        <w:t xml:space="preserve">a </w:t>
      </w:r>
      <w:r w:rsidR="006C1F33" w:rsidRPr="00B975C5">
        <w:t>ESF).</w:t>
      </w:r>
      <w:r w:rsidR="00A8172D">
        <w:t xml:space="preserve"> </w:t>
      </w:r>
    </w:p>
    <w:p w14:paraId="0D3F73D8" w14:textId="6AA018E9" w:rsidR="00693E75" w:rsidRPr="00693E75" w:rsidRDefault="00693E75" w:rsidP="0036018F">
      <w:pPr>
        <w:spacing w:before="240"/>
        <w:ind w:left="567" w:hanging="567"/>
        <w:rPr>
          <w:sz w:val="20"/>
        </w:rPr>
      </w:pPr>
      <w:r w:rsidRPr="003D388D">
        <w:rPr>
          <w:b/>
          <w:sz w:val="20"/>
        </w:rPr>
        <w:t xml:space="preserve">Pozn.: </w:t>
      </w:r>
      <w:r w:rsidRPr="003D388D">
        <w:rPr>
          <w:sz w:val="20"/>
        </w:rPr>
        <w:t>Právní předpisy uvedené v tomto kontrolním závěru jsou aplikovány ve znění účinném pro kontrolované období.</w:t>
      </w:r>
    </w:p>
    <w:p w14:paraId="7BDB880E" w14:textId="77777777" w:rsidR="00950ACB" w:rsidRDefault="00950ACB">
      <w:pPr>
        <w:spacing w:after="160" w:line="259" w:lineRule="auto"/>
        <w:jc w:val="left"/>
        <w:rPr>
          <w:rFonts w:eastAsiaTheme="majorEastAsia" w:cstheme="majorBidi"/>
          <w:b/>
          <w:sz w:val="28"/>
          <w:szCs w:val="32"/>
        </w:rPr>
      </w:pPr>
      <w:r>
        <w:rPr>
          <w:sz w:val="28"/>
        </w:rPr>
        <w:br w:type="page"/>
      </w:r>
    </w:p>
    <w:p w14:paraId="0BB9B9AB" w14:textId="79C7AA41" w:rsidR="003B5DC8" w:rsidRPr="0036018F" w:rsidRDefault="003B5DC8" w:rsidP="0036018F">
      <w:pPr>
        <w:pStyle w:val="Nadpis1"/>
        <w:spacing w:before="600"/>
        <w:rPr>
          <w:sz w:val="28"/>
        </w:rPr>
      </w:pPr>
      <w:r w:rsidRPr="0036018F">
        <w:rPr>
          <w:sz w:val="28"/>
        </w:rPr>
        <w:lastRenderedPageBreak/>
        <w:t>IV. Podrobné skutečnosti zjištěné kontrolou</w:t>
      </w:r>
    </w:p>
    <w:p w14:paraId="3581BFC4" w14:textId="7E36AE57" w:rsidR="00757A6C" w:rsidRDefault="008A4213" w:rsidP="008A4213">
      <w:pPr>
        <w:pStyle w:val="Nadpis2"/>
      </w:pPr>
      <w:r>
        <w:t xml:space="preserve">1. </w:t>
      </w:r>
      <w:r w:rsidR="00757A6C" w:rsidRPr="00757A6C">
        <w:t xml:space="preserve">Nedostatky </w:t>
      </w:r>
      <w:r w:rsidR="005A0CD8">
        <w:t>v nastavení podpory z </w:t>
      </w:r>
      <w:r w:rsidR="002D6694">
        <w:t>o</w:t>
      </w:r>
      <w:r w:rsidR="005A0CD8">
        <w:t xml:space="preserve">peračního programu </w:t>
      </w:r>
      <w:r w:rsidR="005A0CD8" w:rsidRPr="00401345">
        <w:rPr>
          <w:i/>
        </w:rPr>
        <w:t>Zaměstnanost</w:t>
      </w:r>
      <w:r w:rsidR="002D6694">
        <w:rPr>
          <w:i/>
        </w:rPr>
        <w:t xml:space="preserve"> 2014–2020</w:t>
      </w:r>
    </w:p>
    <w:p w14:paraId="77A207CE" w14:textId="678A0638" w:rsidR="00300D1B" w:rsidRDefault="006F421E" w:rsidP="00E1340A">
      <w:r w:rsidRPr="006F421E">
        <w:t>NKÚ prověřoval, zda MPSV v rámci OPZ nastavilo výzvy, specifické cíle, opatření a</w:t>
      </w:r>
      <w:r w:rsidR="00295308">
        <w:t> </w:t>
      </w:r>
      <w:r w:rsidRPr="006F421E">
        <w:t xml:space="preserve">systém sledování a vyhodnocování dopadů poskytnuté podpory takovým způsobem, aby byly vytvořeny podmínky pro účelné vynakládání peněžních prostředků </w:t>
      </w:r>
      <w:r w:rsidR="008304DA" w:rsidRPr="006F421E">
        <w:t xml:space="preserve">SR </w:t>
      </w:r>
      <w:r w:rsidR="008304DA">
        <w:t xml:space="preserve">a </w:t>
      </w:r>
      <w:r w:rsidRPr="006F421E">
        <w:t>EU na podporu rodinné politiky.</w:t>
      </w:r>
      <w:r w:rsidR="00611E1C">
        <w:t xml:space="preserve"> </w:t>
      </w:r>
    </w:p>
    <w:p w14:paraId="3EA97297" w14:textId="29000A75" w:rsidR="00D93B13" w:rsidRPr="00D93B13" w:rsidRDefault="00D93B13" w:rsidP="00D83DFD">
      <w:pPr>
        <w:keepNext/>
        <w:rPr>
          <w:i/>
        </w:rPr>
      </w:pPr>
      <w:r w:rsidRPr="003D388D">
        <w:rPr>
          <w:i/>
        </w:rPr>
        <w:t>Nastavení systému výzev v OPZ</w:t>
      </w:r>
    </w:p>
    <w:p w14:paraId="43FD8B96" w14:textId="00E32C08" w:rsidR="00733CC3" w:rsidRDefault="007D6D77" w:rsidP="00E1340A">
      <w:pPr>
        <w:spacing w:after="160"/>
      </w:pPr>
      <w:r>
        <w:t>V </w:t>
      </w:r>
      <w:r w:rsidR="00666F93">
        <w:t>OPZ</w:t>
      </w:r>
      <w:r>
        <w:t xml:space="preserve"> bylo k 29. 4. 2022 vyhlášeno celkem 46 výzev s</w:t>
      </w:r>
      <w:r w:rsidR="00640D99">
        <w:t xml:space="preserve"> celkovou </w:t>
      </w:r>
      <w:r>
        <w:t xml:space="preserve">alokací </w:t>
      </w:r>
      <w:r w:rsidR="00640D99">
        <w:t>ve výši</w:t>
      </w:r>
      <w:r>
        <w:t xml:space="preserve"> 21,9 mld. Kč</w:t>
      </w:r>
      <w:r w:rsidR="00611E1C">
        <w:t>. V </w:t>
      </w:r>
      <w:r w:rsidR="00666F93">
        <w:t>rámci</w:t>
      </w:r>
      <w:r w:rsidR="00611E1C">
        <w:t xml:space="preserve"> těchto výzev</w:t>
      </w:r>
      <w:r>
        <w:t xml:space="preserve"> je možné podpořit mj.</w:t>
      </w:r>
      <w:r w:rsidR="00681080">
        <w:t xml:space="preserve"> projekty zaměřené na podporu</w:t>
      </w:r>
      <w:r>
        <w:t xml:space="preserve"> rodinn</w:t>
      </w:r>
      <w:r w:rsidR="00681080">
        <w:t>é</w:t>
      </w:r>
      <w:r>
        <w:t xml:space="preserve"> politik</w:t>
      </w:r>
      <w:r w:rsidR="00681080">
        <w:t>y</w:t>
      </w:r>
      <w:r w:rsidR="00B912D7">
        <w:t xml:space="preserve">. Jejich </w:t>
      </w:r>
      <w:r>
        <w:t xml:space="preserve">cílovými skupinami jsou mj. osoby pečující o děti do 15 let věku. </w:t>
      </w:r>
      <w:r w:rsidR="00733CC3">
        <w:t>V souvislosti s podporou rodinné politiky bylo možné podpořit rovněž osoby ohrožené chudobou a sociálním vyloučením v rámci různých specifických cílů OPZ.</w:t>
      </w:r>
    </w:p>
    <w:p w14:paraId="5DEC4F65" w14:textId="12CB42CF" w:rsidR="005C3135" w:rsidRDefault="00FE6098" w:rsidP="00E1340A">
      <w:pPr>
        <w:spacing w:after="160"/>
      </w:pPr>
      <w:r>
        <w:t xml:space="preserve">NKÚ </w:t>
      </w:r>
      <w:r w:rsidR="003A544D">
        <w:t>zjistil, že zacílení výzev v OPZ je v souladu s nastavenými opatřeními uvedenými v Koncepci.</w:t>
      </w:r>
      <w:r w:rsidR="0046612B">
        <w:t xml:space="preserve"> </w:t>
      </w:r>
      <w:r w:rsidR="00300D1B">
        <w:t>Koncepce</w:t>
      </w:r>
      <w:r w:rsidR="00E926E0">
        <w:t xml:space="preserve"> i</w:t>
      </w:r>
      <w:r w:rsidR="00D13CC9">
        <w:t> </w:t>
      </w:r>
      <w:r w:rsidR="00E926E0">
        <w:t>programový dokument OPZ obsahují témata a opatření, kter</w:t>
      </w:r>
      <w:r w:rsidR="002D6694">
        <w:t>é</w:t>
      </w:r>
      <w:r w:rsidR="00E926E0">
        <w:t xml:space="preserve"> </w:t>
      </w:r>
      <w:r w:rsidR="0022445E">
        <w:t>reagují na</w:t>
      </w:r>
      <w:r w:rsidR="00E926E0">
        <w:t xml:space="preserve"> problémy </w:t>
      </w:r>
      <w:r w:rsidR="00E926E0" w:rsidRPr="00006DD6">
        <w:t>v</w:t>
      </w:r>
      <w:r w:rsidR="00666F93">
        <w:t> </w:t>
      </w:r>
      <w:r w:rsidR="00E926E0" w:rsidRPr="00006DD6">
        <w:t xml:space="preserve">oblasti </w:t>
      </w:r>
      <w:r w:rsidR="00A327D0">
        <w:t xml:space="preserve">odměňování mužů a žen, v oblasti </w:t>
      </w:r>
      <w:r w:rsidR="00A327D0" w:rsidRPr="00006DD6">
        <w:rPr>
          <w:rFonts w:cs="Calibri"/>
          <w:color w:val="000000"/>
          <w:lang w:eastAsia="cs-CZ"/>
        </w:rPr>
        <w:t>nabídk</w:t>
      </w:r>
      <w:r w:rsidR="00A327D0">
        <w:rPr>
          <w:rFonts w:cs="Calibri"/>
          <w:color w:val="000000"/>
          <w:lang w:eastAsia="cs-CZ"/>
        </w:rPr>
        <w:t>y</w:t>
      </w:r>
      <w:r w:rsidR="00A327D0" w:rsidRPr="00006DD6">
        <w:rPr>
          <w:rFonts w:cs="Calibri"/>
          <w:color w:val="000000"/>
          <w:lang w:eastAsia="cs-CZ"/>
        </w:rPr>
        <w:t xml:space="preserve"> kvalitních flexibilních forem práce</w:t>
      </w:r>
      <w:r w:rsidR="00A327D0" w:rsidRPr="00006DD6">
        <w:t xml:space="preserve"> </w:t>
      </w:r>
      <w:r w:rsidR="00A327D0">
        <w:t xml:space="preserve">či v oblasti </w:t>
      </w:r>
      <w:r w:rsidR="00E926E0" w:rsidRPr="00006DD6">
        <w:t>služeb péče a vzdělávání dětí v předškolním a školním věku</w:t>
      </w:r>
      <w:r w:rsidR="00E926E0">
        <w:t>. Z</w:t>
      </w:r>
      <w:r w:rsidR="00E926E0" w:rsidRPr="00006DD6">
        <w:t xml:space="preserve">acílení některých výzev </w:t>
      </w:r>
      <w:r w:rsidR="00B912D7">
        <w:t>v</w:t>
      </w:r>
      <w:r w:rsidR="00E926E0" w:rsidRPr="00006DD6">
        <w:t> OPZ je určeno právě na vybudování nových kapacit dětských skupin či jiných typů předškolních zařízení</w:t>
      </w:r>
      <w:r w:rsidR="00E926E0">
        <w:t>.</w:t>
      </w:r>
      <w:r w:rsidR="005D3FAB">
        <w:t xml:space="preserve"> </w:t>
      </w:r>
      <w:r w:rsidR="00D13DDD" w:rsidRPr="003D388D">
        <w:t>Do konce</w:t>
      </w:r>
      <w:r w:rsidR="005D3FAB" w:rsidRPr="003D388D">
        <w:t xml:space="preserve"> kontroly NKÚ bylo vyhlášeno 17 výzev se</w:t>
      </w:r>
      <w:r w:rsidR="0036018F">
        <w:t xml:space="preserve"> </w:t>
      </w:r>
      <w:r w:rsidR="005D3FAB" w:rsidRPr="003D388D">
        <w:t>zaměřením na</w:t>
      </w:r>
      <w:r w:rsidR="002D6694">
        <w:t xml:space="preserve"> </w:t>
      </w:r>
      <w:r w:rsidR="005D3FAB" w:rsidRPr="003D388D">
        <w:t>podporu a vybudování kapacit předškolních zařízení péče o děti s</w:t>
      </w:r>
      <w:r w:rsidR="00666F93" w:rsidRPr="003D388D">
        <w:t xml:space="preserve"> přibližnou </w:t>
      </w:r>
      <w:r w:rsidR="005D3FAB" w:rsidRPr="003D388D">
        <w:t>alokací 8</w:t>
      </w:r>
      <w:r w:rsidR="00666F93" w:rsidRPr="003D388D">
        <w:t>,7 mld</w:t>
      </w:r>
      <w:r w:rsidR="005D3FAB" w:rsidRPr="003D388D">
        <w:t>.</w:t>
      </w:r>
      <w:r w:rsidR="00666F93" w:rsidRPr="003D388D">
        <w:t> </w:t>
      </w:r>
      <w:r w:rsidR="005D3FAB" w:rsidRPr="003D388D">
        <w:t>Kč.</w:t>
      </w:r>
      <w:r w:rsidR="00A327D0" w:rsidRPr="003D388D">
        <w:t xml:space="preserve"> </w:t>
      </w:r>
      <w:r w:rsidR="009E21FD" w:rsidRPr="003D388D">
        <w:t xml:space="preserve">MPSV </w:t>
      </w:r>
      <w:r w:rsidR="00687036" w:rsidRPr="003D388D">
        <w:t xml:space="preserve">průběžně navyšuje či snižuje alokace jednotlivých výzev v OPZ dle aktuální potřebnosti. </w:t>
      </w:r>
      <w:r w:rsidR="005C3135" w:rsidRPr="003D388D">
        <w:t xml:space="preserve">Např. výzva č. 03_15_022 byla navýšena o 100 mil. Kč, kdy MPSV toto navýšení zdůvodnilo mj. </w:t>
      </w:r>
      <w:r w:rsidR="00DE1D5A" w:rsidRPr="003D388D">
        <w:t xml:space="preserve">požadavkem na </w:t>
      </w:r>
      <w:r w:rsidR="005C3135" w:rsidRPr="003D388D">
        <w:t>vyšší čerpání peněžních prostředků</w:t>
      </w:r>
      <w:r w:rsidR="00DE1D5A" w:rsidRPr="003D388D">
        <w:t xml:space="preserve"> v rámci OPZ ze strany příjemců podpory</w:t>
      </w:r>
      <w:r w:rsidR="005C3135" w:rsidRPr="003D388D">
        <w:t>.</w:t>
      </w:r>
    </w:p>
    <w:p w14:paraId="5DC6C04B" w14:textId="3B54B119" w:rsidR="00961041" w:rsidRDefault="001B17B1" w:rsidP="00E1340A">
      <w:pPr>
        <w:spacing w:after="160"/>
      </w:pPr>
      <w:r>
        <w:t xml:space="preserve">NKÚ v rámci prověřování systému nastavení výzev v OPZ zjistil, že </w:t>
      </w:r>
      <w:r w:rsidR="00630702">
        <w:t>MPSV nastavilo vymezení podporovaných aktivit v některých výzvách OPZ tak obecně, že není možné jednoznačně vyloučit překryv s rozsahem poskytovaných základních sociálních služeb podle zákona č.</w:t>
      </w:r>
      <w:r w:rsidR="00D547C4">
        <w:t> </w:t>
      </w:r>
      <w:r w:rsidR="00630702">
        <w:t>108/2006 Sb.</w:t>
      </w:r>
      <w:r w:rsidR="00630702">
        <w:rPr>
          <w:rStyle w:val="Znakapoznpodarou"/>
        </w:rPr>
        <w:footnoteReference w:id="19"/>
      </w:r>
      <w:r w:rsidR="00B03FEE">
        <w:t xml:space="preserve"> </w:t>
      </w:r>
      <w:r w:rsidR="002D6694">
        <w:t>Formulace</w:t>
      </w:r>
      <w:r w:rsidR="00B03FEE">
        <w:t xml:space="preserve"> vybraných výzev č. 03_15_022 a č. 03_16_064 týkající se podpory základních činností sociálních služeb je tak nejednoznačná, že na jedné straně umožňuje podporovat projektové aktivity z věcného hlediska odpovídající základním činnostem sociálních služeb, avšak na straně druhé obsahuj</w:t>
      </w:r>
      <w:r w:rsidR="00666F93">
        <w:t>e</w:t>
      </w:r>
      <w:r w:rsidR="00B03FEE">
        <w:t xml:space="preserve"> informaci, že základní činnosti sociálních služeb podporovány nebudou.</w:t>
      </w:r>
      <w:r w:rsidR="001F4AD8">
        <w:t xml:space="preserve"> </w:t>
      </w:r>
      <w:r w:rsidR="00F536B4" w:rsidRPr="003D388D">
        <w:t>Tato skutečnost byla zjištěna u tří kontrolovaných projektů</w:t>
      </w:r>
      <w:r w:rsidR="00D70830" w:rsidRPr="003D388D">
        <w:t xml:space="preserve"> podpořených v rámci uvedených výzev</w:t>
      </w:r>
      <w:r w:rsidR="00814358" w:rsidRPr="003D388D">
        <w:t>.</w:t>
      </w:r>
      <w:r w:rsidR="00F536B4" w:rsidRPr="003D388D">
        <w:t xml:space="preserve"> </w:t>
      </w:r>
      <w:r w:rsidR="008473B9">
        <w:t>N</w:t>
      </w:r>
      <w:r w:rsidR="001F4AD8">
        <w:t>ejednoznačné vymezení podporovaných aktivit ve</w:t>
      </w:r>
      <w:r w:rsidR="00D83DFD">
        <w:t xml:space="preserve"> </w:t>
      </w:r>
      <w:r w:rsidR="001F4AD8">
        <w:t>výzvách OPZ</w:t>
      </w:r>
      <w:r w:rsidR="00685E9C">
        <w:t xml:space="preserve"> představuje </w:t>
      </w:r>
      <w:r w:rsidR="009C739A">
        <w:t xml:space="preserve">reálné </w:t>
      </w:r>
      <w:r w:rsidR="00685E9C">
        <w:t xml:space="preserve">riziko </w:t>
      </w:r>
      <w:r w:rsidR="00FC7F33">
        <w:t xml:space="preserve">duplicitního </w:t>
      </w:r>
      <w:r w:rsidR="00575AB0">
        <w:t>financování aktivit odpovídajících sociálním službám v rozsahu základních činností</w:t>
      </w:r>
      <w:r w:rsidR="00F54360">
        <w:t xml:space="preserve">. </w:t>
      </w:r>
    </w:p>
    <w:p w14:paraId="6E316DF8" w14:textId="19F4F74E" w:rsidR="00C43D21" w:rsidRPr="00FF6F3A" w:rsidRDefault="00C43D21" w:rsidP="00D83DFD">
      <w:pPr>
        <w:keepNext/>
        <w:spacing w:after="160"/>
        <w:rPr>
          <w:i/>
        </w:rPr>
      </w:pPr>
      <w:r w:rsidRPr="003D388D">
        <w:rPr>
          <w:i/>
        </w:rPr>
        <w:t xml:space="preserve">Nastavené indikátory </w:t>
      </w:r>
      <w:r w:rsidR="003C56BA" w:rsidRPr="003D388D">
        <w:rPr>
          <w:i/>
        </w:rPr>
        <w:t xml:space="preserve">v PO 2 </w:t>
      </w:r>
      <w:r w:rsidRPr="003D388D">
        <w:rPr>
          <w:i/>
        </w:rPr>
        <w:t>neumožňují sledovat kvalitativní dopady projektů v </w:t>
      </w:r>
      <w:r w:rsidR="003C56BA" w:rsidRPr="003D388D">
        <w:rPr>
          <w:i/>
        </w:rPr>
        <w:t>OPZ</w:t>
      </w:r>
      <w:r w:rsidRPr="003D388D">
        <w:rPr>
          <w:i/>
        </w:rPr>
        <w:t xml:space="preserve"> </w:t>
      </w:r>
    </w:p>
    <w:p w14:paraId="67FECA42" w14:textId="0E1A2929" w:rsidR="00015ABE" w:rsidRDefault="004F3B77" w:rsidP="00E1340A">
      <w:pPr>
        <w:spacing w:after="160"/>
      </w:pPr>
      <w:r w:rsidRPr="00196669">
        <w:t>V OPZ jsou nastaveny cílové hodnoty monitorovacích indikátorů, které by měly poskytovat zpětnou vazbu o tom, zda p</w:t>
      </w:r>
      <w:r w:rsidR="00795D51" w:rsidRPr="00196669">
        <w:t>rojekty, případně pr</w:t>
      </w:r>
      <w:r w:rsidR="002E62FF" w:rsidRPr="00196669">
        <w:t>o</w:t>
      </w:r>
      <w:r w:rsidR="00795D51" w:rsidRPr="00196669">
        <w:t>gramy, dosáhly</w:t>
      </w:r>
      <w:r w:rsidR="00C504BA" w:rsidRPr="00196669">
        <w:t xml:space="preserve"> stanovených</w:t>
      </w:r>
      <w:r w:rsidR="00795D51" w:rsidRPr="00196669">
        <w:t xml:space="preserve"> cílů, které si žadatelé, případně </w:t>
      </w:r>
      <w:r w:rsidR="00D141AA" w:rsidRPr="00196669">
        <w:t>ŘO</w:t>
      </w:r>
      <w:r w:rsidR="00795D51" w:rsidRPr="00196669">
        <w:t>, vymezili jako cíle podpory, tzn. zda podpora splnila svůj účel.</w:t>
      </w:r>
      <w:r w:rsidR="00795D51">
        <w:t xml:space="preserve"> </w:t>
      </w:r>
      <w:r>
        <w:t xml:space="preserve">NKÚ </w:t>
      </w:r>
      <w:r w:rsidR="00795D51">
        <w:t>proto</w:t>
      </w:r>
      <w:r>
        <w:t xml:space="preserve"> </w:t>
      </w:r>
      <w:r w:rsidR="00730D47">
        <w:t>pr</w:t>
      </w:r>
      <w:r>
        <w:t xml:space="preserve">ověřoval, zda MPSV nastavilo indikátory v OPZ takovým způsobem, aby bylo na jejich základě možné vyhodnotit výstupy a dopady poskytnuté podpory v oblasti rodinné politiky. </w:t>
      </w:r>
    </w:p>
    <w:p w14:paraId="5ED16B4F" w14:textId="0F9A9B70" w:rsidR="003825FF" w:rsidRDefault="003825FF" w:rsidP="003825FF">
      <w:pPr>
        <w:rPr>
          <w:rFonts w:eastAsia="Calibri" w:cs="Calibri"/>
        </w:rPr>
      </w:pPr>
      <w:r>
        <w:lastRenderedPageBreak/>
        <w:t xml:space="preserve">MPSV sleduje podporu rodin prostřednictvím specifických indikátorů v rámci PO 1 OPZ u výzev zaměřených na podporu zařízení péče o děti </w:t>
      </w:r>
      <w:r w:rsidR="00377D76">
        <w:t>a</w:t>
      </w:r>
      <w:r>
        <w:t xml:space="preserve"> u výzev, kde je </w:t>
      </w:r>
      <w:r w:rsidRPr="00F87302">
        <w:rPr>
          <w:rFonts w:cstheme="minorHAnsi"/>
          <w:szCs w:val="24"/>
        </w:rPr>
        <w:t xml:space="preserve">sledována podpora rodin </w:t>
      </w:r>
      <w:r w:rsidR="00455144">
        <w:rPr>
          <w:rFonts w:cstheme="minorHAnsi"/>
          <w:szCs w:val="24"/>
        </w:rPr>
        <w:t>na</w:t>
      </w:r>
      <w:r w:rsidR="0036018F">
        <w:rPr>
          <w:rFonts w:cstheme="minorHAnsi"/>
          <w:szCs w:val="24"/>
        </w:rPr>
        <w:t xml:space="preserve"> </w:t>
      </w:r>
      <w:r w:rsidR="00455144">
        <w:rPr>
          <w:rFonts w:cstheme="minorHAnsi"/>
          <w:szCs w:val="24"/>
        </w:rPr>
        <w:t>základě</w:t>
      </w:r>
      <w:r w:rsidRPr="00F87302">
        <w:rPr>
          <w:rFonts w:cstheme="minorHAnsi"/>
          <w:szCs w:val="24"/>
        </w:rPr>
        <w:t xml:space="preserve"> postavení podpořené </w:t>
      </w:r>
      <w:r w:rsidRPr="00FA44AD">
        <w:rPr>
          <w:rFonts w:cstheme="minorHAnsi"/>
          <w:szCs w:val="24"/>
        </w:rPr>
        <w:t xml:space="preserve">osoby na trhu práce. </w:t>
      </w:r>
      <w:r w:rsidR="00F436E7" w:rsidRPr="00FA44AD">
        <w:rPr>
          <w:rFonts w:cstheme="minorHAnsi"/>
          <w:szCs w:val="24"/>
        </w:rPr>
        <w:t xml:space="preserve">K tomuto účelu jsou využívány indikátory z řady 6 29 XX </w:t>
      </w:r>
      <w:r w:rsidR="009B7F58" w:rsidRPr="003D388D">
        <w:rPr>
          <w:rFonts w:cstheme="minorHAnsi"/>
          <w:i/>
        </w:rPr>
        <w:t>Účastníci zaměstnaní XX měsíců po ukončení své účasti, včetně OSVČ</w:t>
      </w:r>
      <w:r w:rsidR="009B7F58" w:rsidRPr="003D388D">
        <w:rPr>
          <w:rFonts w:cstheme="minorHAnsi"/>
          <w:szCs w:val="24"/>
        </w:rPr>
        <w:t xml:space="preserve"> </w:t>
      </w:r>
      <w:r w:rsidR="00F436E7" w:rsidRPr="003D388D">
        <w:rPr>
          <w:rFonts w:cstheme="minorHAnsi"/>
          <w:szCs w:val="24"/>
        </w:rPr>
        <w:t>a indikátor 6 27 00</w:t>
      </w:r>
      <w:r w:rsidR="009B7F58" w:rsidRPr="003D388D">
        <w:rPr>
          <w:rFonts w:cstheme="minorHAnsi"/>
          <w:szCs w:val="24"/>
        </w:rPr>
        <w:t xml:space="preserve"> </w:t>
      </w:r>
      <w:r w:rsidR="009B7F58" w:rsidRPr="003D388D">
        <w:rPr>
          <w:rFonts w:cstheme="minorHAnsi"/>
          <w:i/>
        </w:rPr>
        <w:t>Účastníci zaměstnaní po ukončení své účasti, včetně OSVČ</w:t>
      </w:r>
      <w:r w:rsidR="00F436E7" w:rsidRPr="003D388D">
        <w:rPr>
          <w:rFonts w:cstheme="minorHAnsi"/>
          <w:szCs w:val="24"/>
        </w:rPr>
        <w:t>.</w:t>
      </w:r>
      <w:r w:rsidR="00F436E7" w:rsidRPr="00FA44AD">
        <w:rPr>
          <w:rFonts w:cstheme="minorHAnsi"/>
          <w:szCs w:val="24"/>
        </w:rPr>
        <w:t xml:space="preserve"> </w:t>
      </w:r>
      <w:r w:rsidRPr="00FA44AD">
        <w:rPr>
          <w:rFonts w:cstheme="minorHAnsi"/>
          <w:szCs w:val="24"/>
        </w:rPr>
        <w:t>Nicméně pro sledování situace osob z cílových skupin podpořených v rámci PO 2 OPZ (tj. osoby sociálně vyloučené či</w:t>
      </w:r>
      <w:r w:rsidR="002863B0">
        <w:rPr>
          <w:rFonts w:cstheme="minorHAnsi"/>
          <w:szCs w:val="24"/>
        </w:rPr>
        <w:t xml:space="preserve"> </w:t>
      </w:r>
      <w:r w:rsidRPr="00FA44AD">
        <w:rPr>
          <w:rFonts w:cstheme="minorHAnsi"/>
          <w:szCs w:val="24"/>
        </w:rPr>
        <w:t>sociálním vyloučením ohrožené) nebyly stanoveny specifické indikátory. Důvodem</w:t>
      </w:r>
      <w:r>
        <w:rPr>
          <w:rFonts w:cstheme="minorHAnsi"/>
          <w:szCs w:val="24"/>
        </w:rPr>
        <w:t xml:space="preserve"> pro</w:t>
      </w:r>
      <w:r w:rsidR="002863B0">
        <w:rPr>
          <w:rFonts w:cstheme="minorHAnsi"/>
          <w:szCs w:val="24"/>
        </w:rPr>
        <w:t xml:space="preserve"> </w:t>
      </w:r>
      <w:r w:rsidR="00377D76">
        <w:rPr>
          <w:rFonts w:cstheme="minorHAnsi"/>
          <w:szCs w:val="24"/>
        </w:rPr>
        <w:t>nestanovení</w:t>
      </w:r>
      <w:r>
        <w:rPr>
          <w:rFonts w:cstheme="minorHAnsi"/>
          <w:szCs w:val="24"/>
        </w:rPr>
        <w:t xml:space="preserve"> těchto indikátorů</w:t>
      </w:r>
      <w:r w:rsidRPr="0091272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je dle MPSV skutečnost, </w:t>
      </w:r>
      <w:r w:rsidRPr="0091272E">
        <w:rPr>
          <w:rFonts w:cstheme="minorHAnsi"/>
        </w:rPr>
        <w:t xml:space="preserve">že v rámci celého objemu podporovaných aktivit </w:t>
      </w:r>
      <w:r>
        <w:rPr>
          <w:rFonts w:cstheme="minorHAnsi"/>
        </w:rPr>
        <w:t xml:space="preserve">v OPZ </w:t>
      </w:r>
      <w:r w:rsidRPr="0091272E">
        <w:rPr>
          <w:rFonts w:cstheme="minorHAnsi"/>
        </w:rPr>
        <w:t>tvoří aktivity na podporu rodiny velmi malé procento podpory.</w:t>
      </w:r>
      <w:r>
        <w:rPr>
          <w:rFonts w:cstheme="minorHAnsi"/>
          <w:szCs w:val="24"/>
        </w:rPr>
        <w:t xml:space="preserve"> Nicméně z</w:t>
      </w:r>
      <w:r w:rsidR="008E5E21">
        <w:rPr>
          <w:rFonts w:cstheme="minorHAnsi"/>
          <w:szCs w:val="24"/>
        </w:rPr>
        <w:t> </w:t>
      </w:r>
      <w:r w:rsidR="008E5E21" w:rsidRPr="003D388D">
        <w:rPr>
          <w:rFonts w:cstheme="minorHAnsi"/>
          <w:szCs w:val="24"/>
        </w:rPr>
        <w:t xml:space="preserve">dokumentu </w:t>
      </w:r>
      <w:r w:rsidR="008E5E21" w:rsidRPr="003D388D">
        <w:rPr>
          <w:rFonts w:eastAsia="Calibri" w:cs="Calibri"/>
          <w:i/>
        </w:rPr>
        <w:t>2. průběžné vyhodnocení dotazníků zpráv o realizaci</w:t>
      </w:r>
      <w:r>
        <w:rPr>
          <w:rStyle w:val="Znakapoznpodarou"/>
          <w:rFonts w:eastAsia="Calibri" w:cs="Calibri"/>
        </w:rPr>
        <w:footnoteReference w:id="20"/>
      </w:r>
      <w:r w:rsidRPr="00006DD6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vyplývá, že </w:t>
      </w:r>
      <w:r w:rsidRPr="00006DD6">
        <w:rPr>
          <w:rFonts w:eastAsia="Calibri" w:cs="Calibri"/>
        </w:rPr>
        <w:t>cílová skupina „</w:t>
      </w:r>
      <w:r w:rsidRPr="00B266E7">
        <w:rPr>
          <w:rFonts w:eastAsia="Calibri" w:cs="Calibri"/>
        </w:rPr>
        <w:t>rodiče, osoby pečující o děti či závislé osoby, neformální pečovatelé</w:t>
      </w:r>
      <w:r w:rsidRPr="00006DD6">
        <w:rPr>
          <w:rFonts w:eastAsia="Calibri" w:cs="Calibri"/>
        </w:rPr>
        <w:t>“ je ve</w:t>
      </w:r>
      <w:r w:rsidR="002863B0">
        <w:rPr>
          <w:rFonts w:eastAsia="Calibri" w:cs="Calibri"/>
        </w:rPr>
        <w:t xml:space="preserve"> </w:t>
      </w:r>
      <w:r w:rsidRPr="00006DD6">
        <w:rPr>
          <w:rFonts w:eastAsia="Calibri" w:cs="Calibri"/>
        </w:rPr>
        <w:t>vyhodnocovaných projektech vůbec nejčastěji zastoupenou cílovou skupinou (38 %)</w:t>
      </w:r>
      <w:r>
        <w:rPr>
          <w:rFonts w:eastAsia="Calibri" w:cs="Calibri"/>
        </w:rPr>
        <w:t xml:space="preserve"> a cílová skupina „</w:t>
      </w:r>
      <w:r w:rsidRPr="00B266E7">
        <w:rPr>
          <w:rFonts w:eastAsia="Calibri" w:cs="Calibri"/>
        </w:rPr>
        <w:t>osoby se znevýhodněním, osoby sociálně vyloučené nebo sociálním vyloučením ohrožené</w:t>
      </w:r>
      <w:r>
        <w:rPr>
          <w:rFonts w:eastAsia="Calibri" w:cs="Calibri"/>
        </w:rPr>
        <w:t>“ je třetí nejčastěji zastoupenou cílovou skupinou (15 %)</w:t>
      </w:r>
      <w:r w:rsidRPr="00006DD6">
        <w:rPr>
          <w:rFonts w:eastAsia="Calibri" w:cs="Calibri"/>
        </w:rPr>
        <w:t>.</w:t>
      </w:r>
    </w:p>
    <w:p w14:paraId="230E90BD" w14:textId="20C7A5BB" w:rsidR="003825FF" w:rsidRDefault="003825FF" w:rsidP="003825FF">
      <w:pPr>
        <w:pStyle w:val="Default"/>
        <w:spacing w:before="120" w:after="120"/>
        <w:jc w:val="both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NKÚ</w:t>
      </w:r>
      <w:r w:rsidRPr="00EB43C1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v této souvislosti zjistil, že 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závazné indikátory 6 00 00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color w:val="auto"/>
          <w:szCs w:val="22"/>
          <w:lang w:eastAsia="en-US"/>
        </w:rPr>
        <w:t>Celkový počet</w:t>
      </w:r>
      <w:r w:rsidR="003D388D">
        <w:rPr>
          <w:rFonts w:asciiTheme="minorHAnsi" w:eastAsiaTheme="minorHAnsi" w:hAnsiTheme="minorHAnsi" w:cstheme="minorBidi"/>
          <w:i/>
          <w:color w:val="auto"/>
          <w:szCs w:val="22"/>
          <w:lang w:eastAsia="en-US"/>
        </w:rPr>
        <w:t xml:space="preserve"> </w:t>
      </w:r>
      <w:r w:rsidR="009B1E17" w:rsidRPr="003D388D">
        <w:rPr>
          <w:rFonts w:asciiTheme="minorHAnsi" w:eastAsiaTheme="minorHAnsi" w:hAnsiTheme="minorHAnsi" w:cstheme="minorBidi"/>
          <w:i/>
          <w:color w:val="auto"/>
          <w:szCs w:val="22"/>
          <w:lang w:eastAsia="en-US"/>
        </w:rPr>
        <w:t>účastníků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, 6 70 10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color w:val="auto"/>
          <w:szCs w:val="22"/>
          <w:lang w:eastAsia="en-US"/>
        </w:rPr>
        <w:t>Využívání podpořených služeb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, 6 70 01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i/>
          <w:color w:val="auto"/>
          <w:szCs w:val="22"/>
          <w:lang w:eastAsia="en-US"/>
        </w:rPr>
        <w:t>Kapacita podpořených služeb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,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stanovené v kontrovaných projektech, 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nezajišťují měřitelnost výstupů a souvisejících výsledků projektu v</w:t>
      </w:r>
      <w:r w:rsidR="00FF20BF">
        <w:rPr>
          <w:rFonts w:asciiTheme="minorHAnsi" w:eastAsiaTheme="minorHAnsi" w:hAnsiTheme="minorHAnsi" w:cstheme="minorBidi"/>
          <w:color w:val="auto"/>
          <w:szCs w:val="22"/>
          <w:lang w:eastAsia="en-US"/>
        </w:rPr>
        <w:t> 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přímé vazbě na uvedený specifický cíl</w:t>
      </w:r>
      <w:r w:rsidR="00BA650F">
        <w:rPr>
          <w:rFonts w:asciiTheme="minorHAnsi" w:eastAsiaTheme="minorHAnsi" w:hAnsiTheme="minorHAnsi" w:cstheme="minorBidi"/>
          <w:color w:val="auto"/>
          <w:szCs w:val="22"/>
          <w:lang w:eastAsia="en-US"/>
        </w:rPr>
        <w:t>.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="00BA650F">
        <w:rPr>
          <w:rFonts w:asciiTheme="minorHAnsi" w:eastAsiaTheme="minorHAnsi" w:hAnsiTheme="minorHAnsi" w:cstheme="minorBidi"/>
          <w:color w:val="auto"/>
          <w:szCs w:val="22"/>
          <w:lang w:eastAsia="en-US"/>
        </w:rPr>
        <w:t>S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ledování samotného počtu účastníků, resp. kapacity podpořených služeb, </w:t>
      </w:r>
      <w:r w:rsidR="00BB276A">
        <w:rPr>
          <w:rFonts w:asciiTheme="minorHAnsi" w:eastAsiaTheme="minorHAnsi" w:hAnsiTheme="minorHAnsi" w:cstheme="minorBidi"/>
          <w:color w:val="auto"/>
          <w:szCs w:val="22"/>
          <w:lang w:eastAsia="en-US"/>
        </w:rPr>
        <w:t>neukazuje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, zda se podpořené osoby díky projektovým aktivitám dokázaly dostat ze stavu sociálního vyloučení či ohrožení sociálním vyloučením. Nastavení závazných indikátor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ů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6 00 00, </w:t>
      </w:r>
      <w:r w:rsidRPr="003D38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6 70 0</w:t>
      </w:r>
      <w:r w:rsidR="00F7037F" w:rsidRPr="003D388D">
        <w:rPr>
          <w:rFonts w:asciiTheme="minorHAnsi" w:eastAsiaTheme="minorHAnsi" w:hAnsiTheme="minorHAnsi" w:cstheme="minorBidi"/>
          <w:color w:val="auto"/>
          <w:szCs w:val="22"/>
          <w:lang w:eastAsia="en-US"/>
        </w:rPr>
        <w:t>1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a 6 70 10 umožňuje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MPSV 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sledovat a vyhodnocovat pouze plnění </w:t>
      </w:r>
      <w:r w:rsidR="003A283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velmi obecně </w:t>
      </w:r>
      <w:r w:rsidR="00BE59C4">
        <w:rPr>
          <w:rFonts w:asciiTheme="minorHAnsi" w:eastAsiaTheme="minorHAnsi" w:hAnsiTheme="minorHAnsi" w:cstheme="minorBidi"/>
          <w:color w:val="auto"/>
          <w:szCs w:val="22"/>
          <w:lang w:eastAsia="en-US"/>
        </w:rPr>
        <w:t>vy</w:t>
      </w:r>
      <w:r w:rsidR="003A283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mezeného </w:t>
      </w:r>
      <w:r w:rsidRPr="00541D6E">
        <w:rPr>
          <w:rFonts w:asciiTheme="minorHAnsi" w:eastAsiaTheme="minorHAnsi" w:hAnsiTheme="minorHAnsi" w:cstheme="minorBidi"/>
          <w:color w:val="auto"/>
          <w:szCs w:val="22"/>
          <w:lang w:eastAsia="en-US"/>
        </w:rPr>
        <w:t>účelu použití peněžních prostředků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. </w:t>
      </w:r>
      <w:r w:rsidRPr="00196669">
        <w:rPr>
          <w:rFonts w:asciiTheme="minorHAnsi" w:eastAsiaTheme="minorHAnsi" w:hAnsiTheme="minorHAnsi" w:cstheme="minorBidi"/>
          <w:color w:val="auto"/>
          <w:szCs w:val="22"/>
          <w:lang w:eastAsia="en-US"/>
        </w:rPr>
        <w:t>Současně však takové nastavení neumožňuje MPSV sledovat a vyhodnocovat skutečné dopady projektu ve</w:t>
      </w:r>
      <w:r w:rsidR="008A421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196669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smyslu dosahování jeho </w:t>
      </w:r>
      <w:r w:rsidR="0023462C" w:rsidRPr="00196669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konkrétních </w:t>
      </w:r>
      <w:r w:rsidRPr="00196669">
        <w:rPr>
          <w:rFonts w:asciiTheme="minorHAnsi" w:eastAsiaTheme="minorHAnsi" w:hAnsiTheme="minorHAnsi" w:cstheme="minorBidi"/>
          <w:color w:val="auto"/>
          <w:szCs w:val="22"/>
          <w:lang w:eastAsia="en-US"/>
        </w:rPr>
        <w:t>cílů.</w:t>
      </w:r>
    </w:p>
    <w:p w14:paraId="7AA67487" w14:textId="08D2C15B" w:rsidR="003825FF" w:rsidRDefault="003825FF" w:rsidP="003825FF">
      <w:pPr>
        <w:spacing w:after="160"/>
        <w:rPr>
          <w:rFonts w:cstheme="minorHAnsi"/>
          <w:szCs w:val="24"/>
        </w:rPr>
      </w:pPr>
      <w:r w:rsidRPr="008C4225">
        <w:rPr>
          <w:rFonts w:cstheme="minorHAnsi"/>
          <w:szCs w:val="24"/>
        </w:rPr>
        <w:t>MPSV jako ŘO OPZ má tak omezenou možnost systematického sledování přínosů projektů v oblasti se zaměřením na osoby sociálně vyloučené nebo sociálním vyloučením ohrožené. MPSV po ukončení realizace projektů nesleduje u osob z</w:t>
      </w:r>
      <w:r>
        <w:rPr>
          <w:rFonts w:cstheme="minorHAnsi"/>
          <w:szCs w:val="24"/>
        </w:rPr>
        <w:t xml:space="preserve"> této </w:t>
      </w:r>
      <w:r w:rsidRPr="008C4225">
        <w:rPr>
          <w:rFonts w:cstheme="minorHAnsi"/>
          <w:szCs w:val="24"/>
        </w:rPr>
        <w:t xml:space="preserve">cílové skupiny např. míru příjmové chudoby, míru materiální deprivace apod., a nelze proto vyhodnotit, </w:t>
      </w:r>
      <w:r w:rsidRPr="00FA44AD">
        <w:rPr>
          <w:rFonts w:cstheme="minorHAnsi"/>
          <w:szCs w:val="24"/>
        </w:rPr>
        <w:t>zda u daných osob vedla realizace projektů ke snížení ohrožení sociálním vyloučením.</w:t>
      </w:r>
      <w:r w:rsidRPr="00FA44AD">
        <w:rPr>
          <w:rStyle w:val="Znakapoznpodarou"/>
          <w:rFonts w:cstheme="minorHAnsi"/>
          <w:szCs w:val="24"/>
        </w:rPr>
        <w:footnoteReference w:id="21"/>
      </w:r>
      <w:r w:rsidRPr="00FA44AD">
        <w:rPr>
          <w:rFonts w:cstheme="minorHAnsi"/>
          <w:szCs w:val="24"/>
        </w:rPr>
        <w:t xml:space="preserve"> </w:t>
      </w:r>
    </w:p>
    <w:p w14:paraId="029243BD" w14:textId="4C1660C8" w:rsidR="00DA29BA" w:rsidRPr="00DA29BA" w:rsidRDefault="00DA29BA" w:rsidP="00D83DFD">
      <w:pPr>
        <w:keepNext/>
        <w:spacing w:after="160"/>
        <w:rPr>
          <w:i/>
        </w:rPr>
      </w:pPr>
      <w:r w:rsidRPr="003D388D">
        <w:rPr>
          <w:i/>
        </w:rPr>
        <w:t>Nestanovení dolní hranice plnění indikátorů v OPZ</w:t>
      </w:r>
    </w:p>
    <w:p w14:paraId="4CD586E3" w14:textId="2BC944BF" w:rsidR="00FC3283" w:rsidRPr="00FA44AD" w:rsidRDefault="00015ABE" w:rsidP="00E1340A">
      <w:pPr>
        <w:spacing w:after="160"/>
      </w:pPr>
      <w:r w:rsidRPr="00FA44AD">
        <w:t>C</w:t>
      </w:r>
      <w:r w:rsidR="00795D51" w:rsidRPr="00FA44AD">
        <w:t>elkov</w:t>
      </w:r>
      <w:r w:rsidRPr="00FA44AD">
        <w:t>á</w:t>
      </w:r>
      <w:r w:rsidR="00795D51" w:rsidRPr="00FA44AD">
        <w:t xml:space="preserve"> mír</w:t>
      </w:r>
      <w:r w:rsidRPr="00FA44AD">
        <w:t>a</w:t>
      </w:r>
      <w:r w:rsidR="00795D51" w:rsidRPr="00FA44AD">
        <w:t xml:space="preserve"> naplnění indikátorů v případě vícera stanovených indikátorů výstupů, příp. výsledků, </w:t>
      </w:r>
      <w:r w:rsidR="00495ECD" w:rsidRPr="00FA44AD">
        <w:t xml:space="preserve">je vypočítávána jako jejich průměr. Zároveň platí, že v případě přeplnění cílové hodnoty indikátorů je stanovena horní </w:t>
      </w:r>
      <w:r w:rsidR="00495ECD" w:rsidRPr="003D388D">
        <w:t xml:space="preserve">hranice </w:t>
      </w:r>
      <w:r w:rsidR="006B59CE" w:rsidRPr="003D388D">
        <w:t xml:space="preserve">(120 %) </w:t>
      </w:r>
      <w:r w:rsidR="00495ECD" w:rsidRPr="003D388D">
        <w:t xml:space="preserve">pro započtení </w:t>
      </w:r>
      <w:r w:rsidR="00054027" w:rsidRPr="003D388D">
        <w:t xml:space="preserve">cílové </w:t>
      </w:r>
      <w:r w:rsidR="00495ECD" w:rsidRPr="003D388D">
        <w:t>hodnoty</w:t>
      </w:r>
      <w:r w:rsidR="00054027" w:rsidRPr="003D388D">
        <w:t xml:space="preserve"> každého závazného indikátoru zvlášť</w:t>
      </w:r>
      <w:r w:rsidR="006B59CE" w:rsidRPr="003D388D">
        <w:t>.</w:t>
      </w:r>
      <w:r w:rsidR="003D388D" w:rsidRPr="003D388D">
        <w:t xml:space="preserve"> </w:t>
      </w:r>
      <w:r w:rsidR="006B59CE" w:rsidRPr="003D388D">
        <w:t>D</w:t>
      </w:r>
      <w:r w:rsidR="00495ECD" w:rsidRPr="003D388D">
        <w:t>olní hranice pro započtení hodnoty</w:t>
      </w:r>
      <w:r w:rsidR="00FC3283" w:rsidRPr="003D388D">
        <w:t xml:space="preserve"> každého indikátoru zvlášť</w:t>
      </w:r>
      <w:r w:rsidR="00495ECD" w:rsidRPr="003D388D">
        <w:t xml:space="preserve"> nebyla v OPZ </w:t>
      </w:r>
      <w:r w:rsidR="00054027" w:rsidRPr="003D388D">
        <w:t>vymezen</w:t>
      </w:r>
      <w:r w:rsidR="00495ECD" w:rsidRPr="003D388D">
        <w:t>a.</w:t>
      </w:r>
      <w:r w:rsidR="000F45C3" w:rsidRPr="003D388D">
        <w:t xml:space="preserve"> </w:t>
      </w:r>
      <w:r w:rsidR="00B12164" w:rsidRPr="003D388D">
        <w:t>U</w:t>
      </w:r>
      <w:r w:rsidR="005C58FC" w:rsidRPr="003D388D">
        <w:t> </w:t>
      </w:r>
      <w:r w:rsidR="00B12164" w:rsidRPr="003D388D">
        <w:t>celkové míry naplnění indikátorů výstupů platí, že sankce ud</w:t>
      </w:r>
      <w:r w:rsidR="005C58FC" w:rsidRPr="003D388D">
        <w:t>í</w:t>
      </w:r>
      <w:r w:rsidR="00B12164" w:rsidRPr="003D388D">
        <w:t xml:space="preserve">lí ŘO OPZ až v případě, že tato hodnota bude nižší než </w:t>
      </w:r>
      <w:r w:rsidR="0062511A" w:rsidRPr="003D388D">
        <w:t>85 %</w:t>
      </w:r>
      <w:r w:rsidR="005C58FC" w:rsidRPr="003D388D">
        <w:t xml:space="preserve"> a u celkové míry naplnění indikátorů výsledků bude nižší než </w:t>
      </w:r>
      <w:r w:rsidR="0062511A" w:rsidRPr="003D388D">
        <w:t>75 %</w:t>
      </w:r>
      <w:r w:rsidR="005C58FC" w:rsidRPr="003D388D">
        <w:t>.</w:t>
      </w:r>
      <w:r w:rsidR="00B12164" w:rsidRPr="003D388D">
        <w:t xml:space="preserve"> </w:t>
      </w:r>
      <w:r w:rsidR="00FC3283" w:rsidRPr="003D388D">
        <w:t xml:space="preserve">NKÚ zjistil, že při současném výpočtu celkové míry naplnění indikátorů v OPZ </w:t>
      </w:r>
      <w:r w:rsidR="006B59CE" w:rsidRPr="003D388D">
        <w:t>dochází</w:t>
      </w:r>
      <w:r w:rsidR="00343B44" w:rsidRPr="003D388D">
        <w:t xml:space="preserve"> prostřednictvím indikátorů</w:t>
      </w:r>
      <w:r w:rsidR="00343B44" w:rsidRPr="00FA44AD">
        <w:t xml:space="preserve"> naplněných na 120 %</w:t>
      </w:r>
      <w:r w:rsidR="00FC3283" w:rsidRPr="00FA44AD">
        <w:t xml:space="preserve"> ke kompenzaci nenaplněných hodnot indikátorů</w:t>
      </w:r>
      <w:r w:rsidR="00343B44" w:rsidRPr="00FA44AD">
        <w:t xml:space="preserve"> (např. pouze ze 60 %)</w:t>
      </w:r>
      <w:r w:rsidR="006B59CE">
        <w:t>.</w:t>
      </w:r>
      <w:r w:rsidR="006C6379">
        <w:t xml:space="preserve"> </w:t>
      </w:r>
      <w:proofErr w:type="gramStart"/>
      <w:r w:rsidR="006B59CE">
        <w:t>Není</w:t>
      </w:r>
      <w:proofErr w:type="gramEnd"/>
      <w:r w:rsidR="006B59CE">
        <w:t xml:space="preserve"> proto zajištěno, </w:t>
      </w:r>
      <w:r w:rsidR="00D83DFD">
        <w:t>aby byly</w:t>
      </w:r>
      <w:r w:rsidR="006B59CE">
        <w:t xml:space="preserve"> projektové aktivity realizovány v rozsahu stanoveném v právních aktech o</w:t>
      </w:r>
      <w:r w:rsidR="00D83DFD">
        <w:t> </w:t>
      </w:r>
      <w:r w:rsidR="006B59CE">
        <w:t>poskytnutí/převodu podpory</w:t>
      </w:r>
      <w:r w:rsidR="006B59CE" w:rsidRPr="003D388D">
        <w:t>.</w:t>
      </w:r>
      <w:r w:rsidR="003D388D" w:rsidRPr="003D388D">
        <w:t xml:space="preserve"> </w:t>
      </w:r>
      <w:r w:rsidR="006C6379" w:rsidRPr="003D388D">
        <w:t xml:space="preserve">Současně není zajištěno, </w:t>
      </w:r>
      <w:r w:rsidR="00D83DFD">
        <w:t>aby</w:t>
      </w:r>
      <w:r w:rsidR="008A4213">
        <w:t xml:space="preserve"> </w:t>
      </w:r>
      <w:r w:rsidR="006C6379" w:rsidRPr="003D388D">
        <w:t xml:space="preserve">projektové aktivity nižšího finančního významu </w:t>
      </w:r>
      <w:r w:rsidR="006B0DC9">
        <w:t>ne</w:t>
      </w:r>
      <w:r w:rsidR="006C6379" w:rsidRPr="003D388D">
        <w:t>kompenzova</w:t>
      </w:r>
      <w:r w:rsidR="00D83DFD">
        <w:t>ly</w:t>
      </w:r>
      <w:r w:rsidR="006C6379" w:rsidRPr="003D388D">
        <w:t xml:space="preserve"> neplnění indikátorů spojených s projektovými </w:t>
      </w:r>
      <w:r w:rsidR="006C6379" w:rsidRPr="003D388D">
        <w:lastRenderedPageBreak/>
        <w:t>aktivitami vyššího finančního významu. Proto je důležité stanovit jak horní hranici, tak i dolní hranici plnění cílové hodnoty u každého indikátoru zvlášť, přičemž kompenzační mechanismus lze zachovat.</w:t>
      </w:r>
    </w:p>
    <w:p w14:paraId="3967EB7F" w14:textId="02FDEC35" w:rsidR="00DA29BA" w:rsidRPr="00DA29BA" w:rsidRDefault="00DA29BA" w:rsidP="00D83DFD">
      <w:pPr>
        <w:keepNext/>
        <w:spacing w:after="160"/>
        <w:rPr>
          <w:i/>
        </w:rPr>
      </w:pPr>
      <w:r w:rsidRPr="003D388D">
        <w:rPr>
          <w:i/>
        </w:rPr>
        <w:t>Vykazování nulových hodnot u indikátorů</w:t>
      </w:r>
      <w:r w:rsidR="00D93B13" w:rsidRPr="003D388D">
        <w:rPr>
          <w:i/>
        </w:rPr>
        <w:t xml:space="preserve"> v OPZ</w:t>
      </w:r>
      <w:r w:rsidRPr="003D388D">
        <w:rPr>
          <w:i/>
        </w:rPr>
        <w:t>, které nepředstavují závazek</w:t>
      </w:r>
    </w:p>
    <w:p w14:paraId="6BB1FF2D" w14:textId="32491477" w:rsidR="004F3B77" w:rsidRPr="003D388D" w:rsidRDefault="002822B9" w:rsidP="00172B52">
      <w:pPr>
        <w:spacing w:after="160"/>
        <w:rPr>
          <w:strike/>
        </w:rPr>
      </w:pPr>
      <w:r w:rsidRPr="00FA44AD">
        <w:t>Vedle</w:t>
      </w:r>
      <w:r w:rsidR="000B0728" w:rsidRPr="00FA44AD">
        <w:t xml:space="preserve"> indikátorů, které představují závazek pro příjemce, </w:t>
      </w:r>
      <w:r w:rsidRPr="00FA44AD">
        <w:t xml:space="preserve">jsou v OPZ </w:t>
      </w:r>
      <w:r w:rsidR="000B0728" w:rsidRPr="00FA44AD">
        <w:t>stanoveny pro projekty</w:t>
      </w:r>
      <w:r w:rsidR="000B0728" w:rsidRPr="002822B9">
        <w:t xml:space="preserve"> také indikátory, </w:t>
      </w:r>
      <w:r w:rsidR="00F61433" w:rsidRPr="002822B9">
        <w:t>jejichž cílová hodnota</w:t>
      </w:r>
      <w:r w:rsidR="000B0728" w:rsidRPr="002822B9">
        <w:t xml:space="preserve"> nepředstavuj</w:t>
      </w:r>
      <w:r w:rsidR="00F61433" w:rsidRPr="002822B9">
        <w:t>e</w:t>
      </w:r>
      <w:r w:rsidR="000B0728" w:rsidRPr="002822B9">
        <w:t xml:space="preserve"> závazek, ale příjemc</w:t>
      </w:r>
      <w:r w:rsidR="00F61433" w:rsidRPr="002822B9">
        <w:t>i podpory</w:t>
      </w:r>
      <w:r w:rsidR="000B0728" w:rsidRPr="002822B9">
        <w:t xml:space="preserve"> je musí vykazovat.</w:t>
      </w:r>
      <w:r w:rsidR="00427BB4" w:rsidRPr="002822B9">
        <w:t xml:space="preserve"> </w:t>
      </w:r>
      <w:r w:rsidR="00F61433" w:rsidRPr="002822B9">
        <w:t>Nastavení nezávazkových indikátorů vychází z obsahového vymezení každé výzvy k předkládání žádostí o podporu.</w:t>
      </w:r>
      <w:r w:rsidR="002C031B">
        <w:t xml:space="preserve"> </w:t>
      </w:r>
      <w:r w:rsidR="00427BB4">
        <w:t xml:space="preserve">NKÚ v této souvislosti </w:t>
      </w:r>
      <w:r w:rsidR="002C031B" w:rsidRPr="003D388D">
        <w:t xml:space="preserve">u kontrolovaných projektů </w:t>
      </w:r>
      <w:r w:rsidR="00427BB4" w:rsidRPr="003D388D">
        <w:t>zjistil, že</w:t>
      </w:r>
      <w:r w:rsidR="002863B0">
        <w:t xml:space="preserve"> </w:t>
      </w:r>
      <w:r w:rsidR="00427BB4" w:rsidRPr="003D388D">
        <w:t>u</w:t>
      </w:r>
      <w:r w:rsidR="00295308">
        <w:t> </w:t>
      </w:r>
      <w:r w:rsidR="00427BB4" w:rsidRPr="003D388D">
        <w:t xml:space="preserve">většiny </w:t>
      </w:r>
      <w:r w:rsidR="00B266E7">
        <w:t>„</w:t>
      </w:r>
      <w:r w:rsidR="00427BB4" w:rsidRPr="003D388D">
        <w:t>indikátorů, které musí příjemci vykazovat, ale jejich cílová hodnota nepředstavuje závazek</w:t>
      </w:r>
      <w:r w:rsidR="00B266E7">
        <w:t>“</w:t>
      </w:r>
      <w:r w:rsidR="00427BB4" w:rsidRPr="003D388D">
        <w:t xml:space="preserve">, byla </w:t>
      </w:r>
      <w:r w:rsidR="002C031B" w:rsidRPr="003D388D">
        <w:t>v právních aktech o poskytnutí/převodu podpory stanovena</w:t>
      </w:r>
      <w:r w:rsidR="00427BB4" w:rsidRPr="003D388D">
        <w:t xml:space="preserve"> </w:t>
      </w:r>
      <w:r w:rsidR="002C031B" w:rsidRPr="003D388D">
        <w:t xml:space="preserve">nulová </w:t>
      </w:r>
      <w:r w:rsidR="00F61433" w:rsidRPr="003D388D">
        <w:t>cílová hodnota</w:t>
      </w:r>
      <w:r w:rsidR="002C031B" w:rsidRPr="003D388D">
        <w:t>, neboť tyto indikátory nebyly pro dané projekty relevantní.</w:t>
      </w:r>
      <w:r w:rsidR="003D388D" w:rsidRPr="003D388D">
        <w:t xml:space="preserve"> </w:t>
      </w:r>
      <w:r w:rsidR="002C031B" w:rsidRPr="003D388D">
        <w:t xml:space="preserve">Nastavení těchto indikátorů tak není funkční a vykazování jejich dosažených hodnot je pouze formální. </w:t>
      </w:r>
    </w:p>
    <w:p w14:paraId="4B3D81F4" w14:textId="6748FBB8" w:rsidR="00C66EF5" w:rsidRPr="00C66EF5" w:rsidRDefault="00C66EF5" w:rsidP="0032564E">
      <w:pPr>
        <w:keepNext/>
        <w:spacing w:after="160"/>
        <w:rPr>
          <w:i/>
        </w:rPr>
      </w:pPr>
      <w:r w:rsidRPr="003D388D">
        <w:rPr>
          <w:i/>
        </w:rPr>
        <w:t>Plnění cílových hodnot vybraných indikátorů v OPZ</w:t>
      </w:r>
    </w:p>
    <w:p w14:paraId="08265777" w14:textId="59CD5F54" w:rsidR="00C44A5A" w:rsidRDefault="00C44A5A" w:rsidP="00172B52">
      <w:pPr>
        <w:spacing w:before="120"/>
        <w:rPr>
          <w:rFonts w:cstheme="minorHAnsi"/>
          <w:lang w:eastAsia="cs-CZ"/>
        </w:rPr>
      </w:pPr>
      <w:r>
        <w:rPr>
          <w:rFonts w:cstheme="minorHAnsi"/>
          <w:szCs w:val="24"/>
        </w:rPr>
        <w:t xml:space="preserve">NKÚ dále </w:t>
      </w:r>
      <w:r w:rsidR="006B0DC9">
        <w:rPr>
          <w:rFonts w:cstheme="minorHAnsi"/>
          <w:szCs w:val="24"/>
        </w:rPr>
        <w:t>pr</w:t>
      </w:r>
      <w:r>
        <w:rPr>
          <w:rFonts w:cstheme="minorHAnsi"/>
          <w:szCs w:val="24"/>
        </w:rPr>
        <w:t>ověřoval, jaké je plnění indikátorů v OPZ v souvislosti s podporou rodinné politiky. U</w:t>
      </w:r>
      <w:r w:rsidR="00F7368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 xml:space="preserve">indikátoru 6 28 00 </w:t>
      </w:r>
      <w:r w:rsidRPr="00C44A5A">
        <w:rPr>
          <w:rFonts w:cstheme="minorHAnsi"/>
          <w:i/>
          <w:szCs w:val="24"/>
        </w:rPr>
        <w:t>Znevýhodnění účastníci, kteří po ukončení své účasti hledají zaměstnání, jsou v procesu vzdělávání</w:t>
      </w:r>
      <w:r w:rsidR="00950ACB">
        <w:rPr>
          <w:rFonts w:cstheme="minorHAnsi"/>
          <w:i/>
          <w:szCs w:val="24"/>
        </w:rPr>
        <w:t xml:space="preserve"> </w:t>
      </w:r>
      <w:r w:rsidRPr="00C44A5A">
        <w:rPr>
          <w:rFonts w:cstheme="minorHAnsi"/>
          <w:i/>
          <w:szCs w:val="24"/>
        </w:rPr>
        <w:t>/ odborné přípravy, rozšiřují si kvalifikaci nebo jsou zaměstnaní, a</w:t>
      </w:r>
      <w:r w:rsidR="002064CC">
        <w:rPr>
          <w:rFonts w:cstheme="minorHAnsi"/>
          <w:i/>
          <w:szCs w:val="24"/>
        </w:rPr>
        <w:t> </w:t>
      </w:r>
      <w:r w:rsidRPr="00C44A5A">
        <w:rPr>
          <w:rFonts w:cstheme="minorHAnsi"/>
          <w:i/>
          <w:szCs w:val="24"/>
        </w:rPr>
        <w:t>to</w:t>
      </w:r>
      <w:r w:rsidR="002064CC">
        <w:rPr>
          <w:rFonts w:cstheme="minorHAnsi"/>
          <w:i/>
          <w:szCs w:val="24"/>
        </w:rPr>
        <w:t> i </w:t>
      </w:r>
      <w:r w:rsidRPr="00C44A5A">
        <w:rPr>
          <w:rFonts w:cstheme="minorHAnsi"/>
          <w:i/>
          <w:szCs w:val="24"/>
        </w:rPr>
        <w:t>OSVČ</w:t>
      </w:r>
      <w:r>
        <w:rPr>
          <w:rFonts w:cstheme="minorHAnsi"/>
          <w:szCs w:val="24"/>
        </w:rPr>
        <w:t xml:space="preserve"> a u indikátoru 5 01 30 </w:t>
      </w:r>
      <w:r w:rsidRPr="00C44A5A">
        <w:rPr>
          <w:rFonts w:cstheme="minorHAnsi"/>
          <w:i/>
          <w:szCs w:val="24"/>
        </w:rPr>
        <w:t>Počet osob pracujících v rámci flexibilních forem práce</w:t>
      </w:r>
      <w:r w:rsidRPr="00C44A5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NKÚ zjistil, že </w:t>
      </w:r>
      <w:r w:rsidR="00AA59BA">
        <w:rPr>
          <w:rFonts w:cstheme="minorHAnsi"/>
          <w:szCs w:val="24"/>
        </w:rPr>
        <w:t xml:space="preserve">jejich </w:t>
      </w:r>
      <w:r>
        <w:rPr>
          <w:rFonts w:cstheme="minorHAnsi"/>
          <w:szCs w:val="24"/>
        </w:rPr>
        <w:t xml:space="preserve">plnění </w:t>
      </w:r>
      <w:r w:rsidR="001E77AB">
        <w:rPr>
          <w:rFonts w:cstheme="minorHAnsi"/>
          <w:szCs w:val="24"/>
        </w:rPr>
        <w:t xml:space="preserve">za celý OPZ </w:t>
      </w:r>
      <w:r>
        <w:rPr>
          <w:rFonts w:cstheme="minorHAnsi"/>
          <w:szCs w:val="24"/>
        </w:rPr>
        <w:t xml:space="preserve">u méně rozvinutých regionů nedosahovalo k datu 31. 1. 2022 plánovaných cílových hodnot. </w:t>
      </w:r>
      <w:r>
        <w:rPr>
          <w:rFonts w:cstheme="minorHAnsi"/>
          <w:lang w:eastAsia="cs-CZ"/>
        </w:rPr>
        <w:t>I</w:t>
      </w:r>
      <w:r w:rsidRPr="00006DD6">
        <w:rPr>
          <w:rFonts w:cstheme="minorHAnsi"/>
          <w:lang w:eastAsia="cs-CZ"/>
        </w:rPr>
        <w:t xml:space="preserve">ndikátor 6 28 00 </w:t>
      </w:r>
      <w:r>
        <w:rPr>
          <w:rFonts w:cstheme="minorHAnsi"/>
          <w:lang w:eastAsia="cs-CZ"/>
        </w:rPr>
        <w:t>byl k 31. 1. 2022 plněn z</w:t>
      </w:r>
      <w:r w:rsidR="00E45029">
        <w:rPr>
          <w:rFonts w:cstheme="minorHAnsi"/>
          <w:lang w:eastAsia="cs-CZ"/>
        </w:rPr>
        <w:t> </w:t>
      </w:r>
      <w:r w:rsidRPr="00006DD6">
        <w:rPr>
          <w:rFonts w:cstheme="minorHAnsi"/>
          <w:lang w:eastAsia="cs-CZ"/>
        </w:rPr>
        <w:t>96,38</w:t>
      </w:r>
      <w:r w:rsidR="00E45029">
        <w:rPr>
          <w:rFonts w:cstheme="minorHAnsi"/>
          <w:lang w:eastAsia="cs-CZ"/>
        </w:rPr>
        <w:t> </w:t>
      </w:r>
      <w:r w:rsidRPr="00006DD6">
        <w:rPr>
          <w:rFonts w:cstheme="minorHAnsi"/>
          <w:lang w:eastAsia="cs-CZ"/>
        </w:rPr>
        <w:t>% a indikátor 5</w:t>
      </w:r>
      <w:r w:rsidR="002064CC">
        <w:rPr>
          <w:rFonts w:cstheme="minorHAnsi"/>
          <w:lang w:eastAsia="cs-CZ"/>
        </w:rPr>
        <w:t> </w:t>
      </w:r>
      <w:r w:rsidRPr="00006DD6">
        <w:rPr>
          <w:rFonts w:cstheme="minorHAnsi"/>
          <w:lang w:eastAsia="cs-CZ"/>
        </w:rPr>
        <w:t xml:space="preserve">01 30 </w:t>
      </w:r>
      <w:r>
        <w:rPr>
          <w:rFonts w:cstheme="minorHAnsi"/>
          <w:lang w:eastAsia="cs-CZ"/>
        </w:rPr>
        <w:t>dosahoval ke stejnému datu</w:t>
      </w:r>
      <w:r w:rsidRPr="00006DD6">
        <w:rPr>
          <w:rFonts w:cstheme="minorHAnsi"/>
          <w:lang w:eastAsia="cs-CZ"/>
        </w:rPr>
        <w:t xml:space="preserve"> plnění 82,31 %. </w:t>
      </w:r>
      <w:r w:rsidR="006A14FD">
        <w:rPr>
          <w:rFonts w:cstheme="minorHAnsi"/>
          <w:lang w:eastAsia="cs-CZ"/>
        </w:rPr>
        <w:t xml:space="preserve">Naopak u indikátoru </w:t>
      </w:r>
      <w:r w:rsidR="006A14FD" w:rsidRPr="00006DD6">
        <w:rPr>
          <w:rFonts w:cstheme="minorHAnsi"/>
          <w:lang w:eastAsia="cs-CZ"/>
        </w:rPr>
        <w:t>6 27 00</w:t>
      </w:r>
      <w:r w:rsidR="006A14FD">
        <w:rPr>
          <w:rFonts w:cstheme="minorHAnsi"/>
          <w:lang w:eastAsia="cs-CZ"/>
        </w:rPr>
        <w:t xml:space="preserve"> </w:t>
      </w:r>
      <w:r w:rsidR="006A14FD" w:rsidRPr="006A14FD">
        <w:rPr>
          <w:rFonts w:cstheme="minorHAnsi"/>
          <w:i/>
          <w:lang w:eastAsia="cs-CZ"/>
        </w:rPr>
        <w:t>Účastníci zaměstnaní po ukončení své účasti, včetně OSVČ</w:t>
      </w:r>
      <w:r w:rsidR="006A14FD">
        <w:rPr>
          <w:rFonts w:cstheme="minorHAnsi"/>
          <w:lang w:eastAsia="cs-CZ"/>
        </w:rPr>
        <w:t xml:space="preserve"> </w:t>
      </w:r>
      <w:r w:rsidR="00AA59BA">
        <w:rPr>
          <w:rFonts w:cstheme="minorHAnsi"/>
          <w:lang w:eastAsia="cs-CZ"/>
        </w:rPr>
        <w:t>došlo k</w:t>
      </w:r>
      <w:r w:rsidR="006A14FD">
        <w:rPr>
          <w:rFonts w:cstheme="minorHAnsi"/>
          <w:lang w:eastAsia="cs-CZ"/>
        </w:rPr>
        <w:t xml:space="preserve"> </w:t>
      </w:r>
      <w:r w:rsidR="007D558E">
        <w:rPr>
          <w:rFonts w:cstheme="minorHAnsi"/>
          <w:lang w:eastAsia="cs-CZ"/>
        </w:rPr>
        <w:t xml:space="preserve">převýšení plánovaného plnění u více i méně rozvinutých regionů o </w:t>
      </w:r>
      <w:r w:rsidR="006A14FD">
        <w:rPr>
          <w:rFonts w:cstheme="minorHAnsi"/>
          <w:lang w:eastAsia="cs-CZ"/>
        </w:rPr>
        <w:t>více než 1</w:t>
      </w:r>
      <w:r w:rsidR="007D558E">
        <w:rPr>
          <w:rFonts w:cstheme="minorHAnsi"/>
          <w:lang w:eastAsia="cs-CZ"/>
        </w:rPr>
        <w:t> </w:t>
      </w:r>
      <w:r w:rsidR="006A14FD">
        <w:rPr>
          <w:rFonts w:cstheme="minorHAnsi"/>
          <w:lang w:eastAsia="cs-CZ"/>
        </w:rPr>
        <w:t>000</w:t>
      </w:r>
      <w:r w:rsidR="007D558E">
        <w:rPr>
          <w:rFonts w:cstheme="minorHAnsi"/>
          <w:lang w:eastAsia="cs-CZ"/>
        </w:rPr>
        <w:t xml:space="preserve"> </w:t>
      </w:r>
      <w:r w:rsidR="006A14FD">
        <w:rPr>
          <w:rFonts w:cstheme="minorHAnsi"/>
          <w:lang w:eastAsia="cs-CZ"/>
        </w:rPr>
        <w:t>%.</w:t>
      </w:r>
    </w:p>
    <w:p w14:paraId="41B6EB8E" w14:textId="1C8A5EE8" w:rsidR="000831A8" w:rsidRPr="000831A8" w:rsidRDefault="00237484" w:rsidP="00172B52">
      <w:pPr>
        <w:spacing w:before="120"/>
      </w:pPr>
      <w:r>
        <w:rPr>
          <w:rFonts w:cstheme="minorHAnsi"/>
          <w:lang w:eastAsia="cs-CZ"/>
        </w:rPr>
        <w:t>V souvislosti s </w:t>
      </w:r>
      <w:r w:rsidR="006B0DC9">
        <w:rPr>
          <w:rFonts w:cstheme="minorHAnsi"/>
          <w:lang w:eastAsia="cs-CZ"/>
        </w:rPr>
        <w:t>pr</w:t>
      </w:r>
      <w:r>
        <w:rPr>
          <w:rFonts w:cstheme="minorHAnsi"/>
          <w:lang w:eastAsia="cs-CZ"/>
        </w:rPr>
        <w:t xml:space="preserve">ověřováním plnění indikátorů NKÚ zjistil, </w:t>
      </w:r>
      <w:r w:rsidR="00AA59BA">
        <w:rPr>
          <w:rFonts w:cstheme="minorHAnsi"/>
          <w:lang w:eastAsia="cs-CZ"/>
        </w:rPr>
        <w:t xml:space="preserve">že u 179 z 331 (tj. </w:t>
      </w:r>
      <w:r w:rsidR="00DD6223">
        <w:rPr>
          <w:rFonts w:cstheme="minorHAnsi"/>
          <w:lang w:eastAsia="cs-CZ"/>
        </w:rPr>
        <w:t>54</w:t>
      </w:r>
      <w:r w:rsidR="009A5423">
        <w:rPr>
          <w:rFonts w:cstheme="minorHAnsi"/>
          <w:lang w:eastAsia="cs-CZ"/>
        </w:rPr>
        <w:t> </w:t>
      </w:r>
      <w:r w:rsidR="00AA59BA">
        <w:rPr>
          <w:rFonts w:cstheme="minorHAnsi"/>
          <w:lang w:eastAsia="cs-CZ"/>
        </w:rPr>
        <w:t xml:space="preserve">%) </w:t>
      </w:r>
      <w:r w:rsidR="008963C7">
        <w:rPr>
          <w:rFonts w:cstheme="minorHAnsi"/>
          <w:lang w:eastAsia="cs-CZ"/>
        </w:rPr>
        <w:t xml:space="preserve">ukončených </w:t>
      </w:r>
      <w:r w:rsidR="00AA59BA">
        <w:rPr>
          <w:rFonts w:cstheme="minorHAnsi"/>
          <w:lang w:eastAsia="cs-CZ"/>
        </w:rPr>
        <w:t>projektů zaměřených na podporu rodin, jejichž celkové způsobilé výdaje činily 495</w:t>
      </w:r>
      <w:r w:rsidR="002064CC">
        <w:rPr>
          <w:rFonts w:cstheme="minorHAnsi"/>
          <w:lang w:eastAsia="cs-CZ"/>
        </w:rPr>
        <w:t> </w:t>
      </w:r>
      <w:r w:rsidR="00AA59BA">
        <w:rPr>
          <w:rFonts w:cstheme="minorHAnsi"/>
          <w:lang w:eastAsia="cs-CZ"/>
        </w:rPr>
        <w:t>mil.</w:t>
      </w:r>
      <w:r w:rsidR="002064CC">
        <w:rPr>
          <w:rFonts w:cstheme="minorHAnsi"/>
          <w:lang w:eastAsia="cs-CZ"/>
        </w:rPr>
        <w:t> </w:t>
      </w:r>
      <w:r w:rsidR="00AA59BA">
        <w:rPr>
          <w:rFonts w:cstheme="minorHAnsi"/>
          <w:lang w:eastAsia="cs-CZ"/>
        </w:rPr>
        <w:t xml:space="preserve">Kč, </w:t>
      </w:r>
      <w:r w:rsidR="00946601">
        <w:rPr>
          <w:rFonts w:cstheme="minorHAnsi"/>
          <w:lang w:eastAsia="cs-CZ"/>
        </w:rPr>
        <w:t>ne</w:t>
      </w:r>
      <w:r w:rsidR="00AA59BA">
        <w:rPr>
          <w:rFonts w:cstheme="minorHAnsi"/>
          <w:lang w:eastAsia="cs-CZ"/>
        </w:rPr>
        <w:t>byl k 22. 6. 2022 naplněn</w:t>
      </w:r>
      <w:r w:rsidR="000831A8">
        <w:rPr>
          <w:rFonts w:cstheme="minorHAnsi"/>
          <w:lang w:eastAsia="cs-CZ"/>
        </w:rPr>
        <w:t xml:space="preserve"> </w:t>
      </w:r>
      <w:r w:rsidR="004756A2" w:rsidRPr="003D388D">
        <w:t xml:space="preserve">ze 100 % </w:t>
      </w:r>
      <w:r w:rsidRPr="003D388D">
        <w:t>výsledkový</w:t>
      </w:r>
      <w:r w:rsidRPr="00237484">
        <w:t xml:space="preserve"> indikátor 6 26 00 </w:t>
      </w:r>
      <w:r w:rsidRPr="00237484">
        <w:rPr>
          <w:i/>
        </w:rPr>
        <w:t>Účastníci, kteří získali kvalifikaci po ukončení své účasti</w:t>
      </w:r>
      <w:r w:rsidR="000831A8">
        <w:t>. Pouze u poloviny těchto projektů přitom byla u cílové hodnoty indikátoru 6 26 00 překročena hranice 75 % pro neuložení sankce za nesplnění závazků týkajících se celkové míry naplnění indikátorů výsledků.</w:t>
      </w:r>
    </w:p>
    <w:p w14:paraId="13A3D640" w14:textId="1091B289" w:rsidR="00345A8D" w:rsidRPr="00F06EEA" w:rsidRDefault="00F32D14" w:rsidP="00A56129">
      <w:pPr>
        <w:pStyle w:val="Titulek"/>
        <w:spacing w:after="40"/>
        <w:ind w:left="1418" w:hanging="1418"/>
        <w:rPr>
          <w:b/>
        </w:rPr>
      </w:pPr>
      <w:r w:rsidRPr="00F06EEA">
        <w:rPr>
          <w:b/>
        </w:rPr>
        <w:t>Tabulka č.</w:t>
      </w:r>
      <w:r w:rsidR="00F06EEA">
        <w:rPr>
          <w:b/>
        </w:rPr>
        <w:t> </w:t>
      </w:r>
      <w:r w:rsidR="007556B8" w:rsidRPr="00F06EEA">
        <w:rPr>
          <w:b/>
        </w:rPr>
        <w:fldChar w:fldCharType="begin"/>
      </w:r>
      <w:r w:rsidR="007556B8" w:rsidRPr="00F06EEA">
        <w:rPr>
          <w:b/>
        </w:rPr>
        <w:instrText xml:space="preserve"> SEQ Tabulka_č. \* ARABIC </w:instrText>
      </w:r>
      <w:r w:rsidR="007556B8" w:rsidRPr="00F06EEA">
        <w:rPr>
          <w:b/>
        </w:rPr>
        <w:fldChar w:fldCharType="separate"/>
      </w:r>
      <w:r w:rsidR="003C10D0">
        <w:rPr>
          <w:b/>
          <w:noProof/>
        </w:rPr>
        <w:t>2</w:t>
      </w:r>
      <w:r w:rsidR="007556B8" w:rsidRPr="00F06EEA">
        <w:rPr>
          <w:b/>
          <w:noProof/>
        </w:rPr>
        <w:fldChar w:fldCharType="end"/>
      </w:r>
      <w:r w:rsidR="007968C0">
        <w:rPr>
          <w:b/>
          <w:noProof/>
        </w:rPr>
        <w:t>:</w:t>
      </w:r>
      <w:r w:rsidR="007968C0">
        <w:rPr>
          <w:b/>
        </w:rPr>
        <w:tab/>
      </w:r>
      <w:r w:rsidR="00345A8D" w:rsidRPr="00F06EEA">
        <w:rPr>
          <w:b/>
        </w:rPr>
        <w:t>Přehled plnění vybraných závazných indikátorů u ukončených projektů zaměřených na oblast podpory rodin v rámci OPZ (ke dni 22. 6. 2022)</w:t>
      </w:r>
    </w:p>
    <w:tbl>
      <w:tblPr>
        <w:tblStyle w:val="Mkatabulky"/>
        <w:tblW w:w="499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8"/>
        <w:gridCol w:w="1134"/>
        <w:gridCol w:w="1702"/>
        <w:gridCol w:w="1087"/>
        <w:gridCol w:w="1089"/>
        <w:gridCol w:w="1563"/>
        <w:gridCol w:w="1561"/>
      </w:tblGrid>
      <w:tr w:rsidR="007968C0" w:rsidRPr="007968C0" w14:paraId="632E6712" w14:textId="77777777" w:rsidTr="007968C0">
        <w:trPr>
          <w:trHeight w:val="255"/>
          <w:jc w:val="center"/>
        </w:trPr>
        <w:tc>
          <w:tcPr>
            <w:tcW w:w="502" w:type="pct"/>
            <w:vMerge w:val="restart"/>
            <w:shd w:val="clear" w:color="auto" w:fill="E5F1FF"/>
            <w:vAlign w:val="center"/>
          </w:tcPr>
          <w:p w14:paraId="0F5F073B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Indikátor</w:t>
            </w:r>
          </w:p>
        </w:tc>
        <w:tc>
          <w:tcPr>
            <w:tcW w:w="627" w:type="pct"/>
            <w:vMerge w:val="restart"/>
            <w:shd w:val="clear" w:color="auto" w:fill="E5F1FF"/>
            <w:vAlign w:val="center"/>
          </w:tcPr>
          <w:p w14:paraId="4BA51BD4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Typ indikátorů</w:t>
            </w:r>
          </w:p>
        </w:tc>
        <w:tc>
          <w:tcPr>
            <w:tcW w:w="941" w:type="pct"/>
            <w:vMerge w:val="restart"/>
            <w:shd w:val="clear" w:color="auto" w:fill="E5F1FF"/>
            <w:vAlign w:val="center"/>
          </w:tcPr>
          <w:p w14:paraId="1829731A" w14:textId="5DA37AC5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Počet projekt</w:t>
            </w:r>
            <w:r w:rsidR="00FE4073" w:rsidRPr="007968C0">
              <w:rPr>
                <w:rFonts w:ascii="Calibri" w:hAnsi="Calibri" w:cs="Calibri"/>
                <w:b/>
                <w:sz w:val="18"/>
                <w:szCs w:val="18"/>
              </w:rPr>
              <w:t>ů</w:t>
            </w:r>
            <w:r w:rsidRPr="007968C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2564E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se</w:t>
            </w:r>
            <w:r w:rsidR="0032564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stanovenou cílovou hodnotou indikátoru</w:t>
            </w:r>
          </w:p>
        </w:tc>
        <w:tc>
          <w:tcPr>
            <w:tcW w:w="1203" w:type="pct"/>
            <w:gridSpan w:val="2"/>
            <w:shd w:val="clear" w:color="auto" w:fill="E5F1FF"/>
            <w:vAlign w:val="center"/>
          </w:tcPr>
          <w:p w14:paraId="0931732E" w14:textId="1C4C0F9B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Projekty, které naplnily cílovou hodnotu indikátoru</w:t>
            </w:r>
            <w:r w:rsidR="004756A2" w:rsidRPr="007968C0">
              <w:rPr>
                <w:rFonts w:ascii="Calibri" w:hAnsi="Calibri" w:cs="Calibri"/>
                <w:b/>
                <w:sz w:val="18"/>
                <w:szCs w:val="18"/>
              </w:rPr>
              <w:t xml:space="preserve"> na 100 %</w:t>
            </w:r>
          </w:p>
        </w:tc>
        <w:tc>
          <w:tcPr>
            <w:tcW w:w="1727" w:type="pct"/>
            <w:gridSpan w:val="2"/>
            <w:shd w:val="clear" w:color="auto" w:fill="E5F1FF"/>
            <w:vAlign w:val="center"/>
          </w:tcPr>
          <w:p w14:paraId="491C712B" w14:textId="72866FD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Projekty, které naplnily cílovou hodnotu indikátor</w:t>
            </w:r>
            <w:r w:rsidR="00FE4073" w:rsidRPr="007968C0">
              <w:rPr>
                <w:rFonts w:ascii="Calibri" w:hAnsi="Calibri" w:cs="Calibri"/>
                <w:b/>
                <w:sz w:val="18"/>
                <w:szCs w:val="18"/>
              </w:rPr>
              <w:t>u</w:t>
            </w:r>
            <w:r w:rsidRPr="007968C0">
              <w:rPr>
                <w:rFonts w:ascii="Calibri" w:hAnsi="Calibri" w:cs="Calibri"/>
                <w:b/>
                <w:sz w:val="18"/>
                <w:szCs w:val="18"/>
              </w:rPr>
              <w:t xml:space="preserve"> alespoň na</w:t>
            </w:r>
            <w:r w:rsidR="00FE4073" w:rsidRPr="007968C0">
              <w:rPr>
                <w:rFonts w:ascii="Calibri" w:hAnsi="Calibri" w:cs="Calibri"/>
                <w:b/>
                <w:sz w:val="18"/>
                <w:szCs w:val="18"/>
              </w:rPr>
              <w:t> </w:t>
            </w: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85 % (výstupový), resp. 75 % (výsledkový)</w:t>
            </w:r>
          </w:p>
        </w:tc>
      </w:tr>
      <w:tr w:rsidR="007968C0" w:rsidRPr="007968C0" w14:paraId="093B615D" w14:textId="77777777" w:rsidTr="007968C0">
        <w:trPr>
          <w:trHeight w:val="255"/>
          <w:jc w:val="center"/>
        </w:trPr>
        <w:tc>
          <w:tcPr>
            <w:tcW w:w="502" w:type="pct"/>
            <w:vMerge/>
            <w:shd w:val="clear" w:color="auto" w:fill="E5F1FF"/>
            <w:vAlign w:val="center"/>
          </w:tcPr>
          <w:p w14:paraId="0634FF53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5F1FF"/>
            <w:vAlign w:val="center"/>
          </w:tcPr>
          <w:p w14:paraId="3A33C834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41" w:type="pct"/>
            <w:vMerge/>
            <w:shd w:val="clear" w:color="auto" w:fill="E5F1FF"/>
            <w:vAlign w:val="center"/>
          </w:tcPr>
          <w:p w14:paraId="6F943D71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E5F1FF"/>
            <w:vAlign w:val="center"/>
          </w:tcPr>
          <w:p w14:paraId="25060DFD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Počet</w:t>
            </w:r>
          </w:p>
        </w:tc>
        <w:tc>
          <w:tcPr>
            <w:tcW w:w="602" w:type="pct"/>
            <w:shd w:val="clear" w:color="auto" w:fill="E5F1FF"/>
            <w:vAlign w:val="center"/>
          </w:tcPr>
          <w:p w14:paraId="74537926" w14:textId="75A6DD03" w:rsidR="00345A8D" w:rsidRPr="007968C0" w:rsidRDefault="00C071E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Procento</w:t>
            </w:r>
          </w:p>
        </w:tc>
        <w:tc>
          <w:tcPr>
            <w:tcW w:w="864" w:type="pct"/>
            <w:shd w:val="clear" w:color="auto" w:fill="E5F1FF"/>
            <w:vAlign w:val="center"/>
          </w:tcPr>
          <w:p w14:paraId="415BA9A1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Počet</w:t>
            </w:r>
          </w:p>
        </w:tc>
        <w:tc>
          <w:tcPr>
            <w:tcW w:w="864" w:type="pct"/>
            <w:shd w:val="clear" w:color="auto" w:fill="E5F1FF"/>
            <w:vAlign w:val="center"/>
          </w:tcPr>
          <w:p w14:paraId="74876505" w14:textId="32F40CA1" w:rsidR="00345A8D" w:rsidRPr="007968C0" w:rsidRDefault="00C071E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Procento</w:t>
            </w:r>
          </w:p>
        </w:tc>
      </w:tr>
      <w:tr w:rsidR="007968C0" w:rsidRPr="007968C0" w14:paraId="3A3ECB1A" w14:textId="77777777" w:rsidTr="007968C0">
        <w:trPr>
          <w:trHeight w:val="255"/>
          <w:jc w:val="center"/>
        </w:trPr>
        <w:tc>
          <w:tcPr>
            <w:tcW w:w="502" w:type="pct"/>
            <w:vAlign w:val="center"/>
          </w:tcPr>
          <w:p w14:paraId="4612D9AB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6 00 00</w:t>
            </w:r>
          </w:p>
        </w:tc>
        <w:tc>
          <w:tcPr>
            <w:tcW w:w="627" w:type="pct"/>
            <w:vAlign w:val="center"/>
          </w:tcPr>
          <w:p w14:paraId="5C354764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Výstupový</w:t>
            </w:r>
          </w:p>
        </w:tc>
        <w:tc>
          <w:tcPr>
            <w:tcW w:w="941" w:type="pct"/>
            <w:vAlign w:val="center"/>
          </w:tcPr>
          <w:p w14:paraId="0300B21B" w14:textId="77777777" w:rsidR="00345A8D" w:rsidRPr="007968C0" w:rsidRDefault="00345A8D" w:rsidP="002863B0">
            <w:pPr>
              <w:spacing w:after="0"/>
              <w:ind w:right="52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1 840</w:t>
            </w:r>
          </w:p>
        </w:tc>
        <w:tc>
          <w:tcPr>
            <w:tcW w:w="601" w:type="pct"/>
            <w:vAlign w:val="center"/>
          </w:tcPr>
          <w:p w14:paraId="4CBD6311" w14:textId="77777777" w:rsidR="00345A8D" w:rsidRPr="007968C0" w:rsidRDefault="00345A8D" w:rsidP="002863B0">
            <w:pPr>
              <w:spacing w:after="0"/>
              <w:ind w:right="23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1 537</w:t>
            </w:r>
          </w:p>
        </w:tc>
        <w:tc>
          <w:tcPr>
            <w:tcW w:w="602" w:type="pct"/>
            <w:vAlign w:val="center"/>
          </w:tcPr>
          <w:p w14:paraId="188E51EE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83,53 %</w:t>
            </w:r>
          </w:p>
        </w:tc>
        <w:tc>
          <w:tcPr>
            <w:tcW w:w="864" w:type="pct"/>
            <w:vAlign w:val="center"/>
          </w:tcPr>
          <w:p w14:paraId="26E9DE45" w14:textId="63A9CDE0" w:rsidR="00345A8D" w:rsidRPr="007968C0" w:rsidRDefault="00345A8D" w:rsidP="002863B0">
            <w:pPr>
              <w:spacing w:after="0"/>
              <w:ind w:right="43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</w:t>
            </w:r>
            <w:r w:rsidR="0032564E">
              <w:rPr>
                <w:rFonts w:ascii="Calibri" w:hAnsi="Calibri" w:cs="Calibri"/>
                <w:sz w:val="18"/>
                <w:szCs w:val="18"/>
              </w:rPr>
              <w:t> </w:t>
            </w:r>
            <w:r w:rsidRPr="007968C0">
              <w:rPr>
                <w:rFonts w:ascii="Calibri" w:hAnsi="Calibri" w:cs="Calibri"/>
                <w:sz w:val="18"/>
                <w:szCs w:val="18"/>
              </w:rPr>
              <w:t>706</w:t>
            </w:r>
          </w:p>
        </w:tc>
        <w:tc>
          <w:tcPr>
            <w:tcW w:w="864" w:type="pct"/>
            <w:vAlign w:val="center"/>
          </w:tcPr>
          <w:p w14:paraId="7500C97E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92,72 %</w:t>
            </w:r>
          </w:p>
        </w:tc>
      </w:tr>
      <w:tr w:rsidR="007968C0" w:rsidRPr="007968C0" w14:paraId="20198F27" w14:textId="77777777" w:rsidTr="007968C0">
        <w:trPr>
          <w:trHeight w:val="255"/>
          <w:jc w:val="center"/>
        </w:trPr>
        <w:tc>
          <w:tcPr>
            <w:tcW w:w="502" w:type="pct"/>
            <w:vAlign w:val="center"/>
          </w:tcPr>
          <w:p w14:paraId="160286AE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6 26 00</w:t>
            </w:r>
          </w:p>
        </w:tc>
        <w:tc>
          <w:tcPr>
            <w:tcW w:w="627" w:type="pct"/>
            <w:vAlign w:val="center"/>
          </w:tcPr>
          <w:p w14:paraId="79F579B4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Výsledkový</w:t>
            </w:r>
          </w:p>
        </w:tc>
        <w:tc>
          <w:tcPr>
            <w:tcW w:w="941" w:type="pct"/>
            <w:vAlign w:val="center"/>
          </w:tcPr>
          <w:p w14:paraId="594AECF1" w14:textId="77777777" w:rsidR="00345A8D" w:rsidRPr="007968C0" w:rsidRDefault="00345A8D" w:rsidP="002863B0">
            <w:pPr>
              <w:spacing w:after="0"/>
              <w:ind w:right="52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331</w:t>
            </w:r>
          </w:p>
        </w:tc>
        <w:tc>
          <w:tcPr>
            <w:tcW w:w="601" w:type="pct"/>
            <w:vAlign w:val="center"/>
          </w:tcPr>
          <w:p w14:paraId="2A70D1D0" w14:textId="77777777" w:rsidR="00345A8D" w:rsidRPr="007968C0" w:rsidRDefault="00345A8D" w:rsidP="002863B0">
            <w:pPr>
              <w:spacing w:after="0"/>
              <w:ind w:right="23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02" w:type="pct"/>
            <w:vAlign w:val="center"/>
          </w:tcPr>
          <w:p w14:paraId="452DE07E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45,92 %</w:t>
            </w:r>
          </w:p>
        </w:tc>
        <w:tc>
          <w:tcPr>
            <w:tcW w:w="864" w:type="pct"/>
            <w:vAlign w:val="center"/>
          </w:tcPr>
          <w:p w14:paraId="0C0A2A01" w14:textId="77777777" w:rsidR="00345A8D" w:rsidRPr="007968C0" w:rsidRDefault="00345A8D" w:rsidP="002863B0">
            <w:pPr>
              <w:spacing w:after="0"/>
              <w:ind w:right="43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164</w:t>
            </w:r>
          </w:p>
        </w:tc>
        <w:tc>
          <w:tcPr>
            <w:tcW w:w="864" w:type="pct"/>
            <w:vAlign w:val="center"/>
          </w:tcPr>
          <w:p w14:paraId="7CFA0EDF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49,55 %</w:t>
            </w:r>
          </w:p>
        </w:tc>
      </w:tr>
      <w:tr w:rsidR="007968C0" w:rsidRPr="007968C0" w14:paraId="3D69EAB4" w14:textId="77777777" w:rsidTr="007968C0">
        <w:trPr>
          <w:trHeight w:val="255"/>
          <w:jc w:val="center"/>
        </w:trPr>
        <w:tc>
          <w:tcPr>
            <w:tcW w:w="502" w:type="pct"/>
            <w:vAlign w:val="center"/>
          </w:tcPr>
          <w:p w14:paraId="0F9594AD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6 70 01</w:t>
            </w:r>
          </w:p>
        </w:tc>
        <w:tc>
          <w:tcPr>
            <w:tcW w:w="627" w:type="pct"/>
            <w:vAlign w:val="center"/>
          </w:tcPr>
          <w:p w14:paraId="78756B97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Výstupový</w:t>
            </w:r>
          </w:p>
        </w:tc>
        <w:tc>
          <w:tcPr>
            <w:tcW w:w="941" w:type="pct"/>
            <w:vAlign w:val="center"/>
          </w:tcPr>
          <w:p w14:paraId="4BAD6947" w14:textId="77777777" w:rsidR="00345A8D" w:rsidRPr="007968C0" w:rsidRDefault="00345A8D" w:rsidP="002863B0">
            <w:pPr>
              <w:spacing w:after="0"/>
              <w:ind w:right="52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01" w:type="pct"/>
            <w:vAlign w:val="center"/>
          </w:tcPr>
          <w:p w14:paraId="56ACB883" w14:textId="77777777" w:rsidR="00345A8D" w:rsidRPr="007968C0" w:rsidRDefault="00345A8D" w:rsidP="002863B0">
            <w:pPr>
              <w:spacing w:after="0"/>
              <w:ind w:right="23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602" w:type="pct"/>
            <w:vAlign w:val="center"/>
          </w:tcPr>
          <w:p w14:paraId="3B2F4CC3" w14:textId="1AA4321F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9</w:t>
            </w:r>
            <w:r w:rsidR="00E60972" w:rsidRPr="007968C0">
              <w:rPr>
                <w:rFonts w:ascii="Calibri" w:hAnsi="Calibri" w:cs="Calibri"/>
                <w:sz w:val="18"/>
                <w:szCs w:val="18"/>
              </w:rPr>
              <w:t>4</w:t>
            </w:r>
            <w:r w:rsidRPr="007968C0">
              <w:rPr>
                <w:rFonts w:ascii="Calibri" w:hAnsi="Calibri" w:cs="Calibri"/>
                <w:sz w:val="18"/>
                <w:szCs w:val="18"/>
              </w:rPr>
              <w:t>,</w:t>
            </w:r>
            <w:r w:rsidR="00E60972" w:rsidRPr="007968C0">
              <w:rPr>
                <w:rFonts w:ascii="Calibri" w:hAnsi="Calibri" w:cs="Calibri"/>
                <w:sz w:val="18"/>
                <w:szCs w:val="18"/>
              </w:rPr>
              <w:t>74</w:t>
            </w:r>
            <w:r w:rsidRPr="007968C0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</w:tc>
        <w:tc>
          <w:tcPr>
            <w:tcW w:w="864" w:type="pct"/>
            <w:vAlign w:val="center"/>
          </w:tcPr>
          <w:p w14:paraId="20A0A025" w14:textId="77777777" w:rsidR="00345A8D" w:rsidRPr="007968C0" w:rsidRDefault="00345A8D" w:rsidP="002863B0">
            <w:pPr>
              <w:spacing w:after="0"/>
              <w:ind w:right="43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864" w:type="pct"/>
            <w:vAlign w:val="center"/>
          </w:tcPr>
          <w:p w14:paraId="4D2C73F9" w14:textId="5869DA70" w:rsidR="00345A8D" w:rsidRPr="007968C0" w:rsidRDefault="00E60972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94,74 %</w:t>
            </w:r>
          </w:p>
        </w:tc>
      </w:tr>
      <w:tr w:rsidR="007968C0" w:rsidRPr="007968C0" w14:paraId="28C386E2" w14:textId="77777777" w:rsidTr="007968C0">
        <w:trPr>
          <w:trHeight w:val="255"/>
          <w:jc w:val="center"/>
        </w:trPr>
        <w:tc>
          <w:tcPr>
            <w:tcW w:w="502" w:type="pct"/>
            <w:vAlign w:val="center"/>
          </w:tcPr>
          <w:p w14:paraId="235DCDAA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68C0">
              <w:rPr>
                <w:rFonts w:ascii="Calibri" w:hAnsi="Calibri" w:cs="Calibri"/>
                <w:b/>
                <w:sz w:val="18"/>
                <w:szCs w:val="18"/>
              </w:rPr>
              <w:t>6 70 10</w:t>
            </w:r>
          </w:p>
        </w:tc>
        <w:tc>
          <w:tcPr>
            <w:tcW w:w="627" w:type="pct"/>
            <w:vAlign w:val="center"/>
          </w:tcPr>
          <w:p w14:paraId="60A7B72A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Výsledkový</w:t>
            </w:r>
          </w:p>
        </w:tc>
        <w:tc>
          <w:tcPr>
            <w:tcW w:w="941" w:type="pct"/>
            <w:vAlign w:val="center"/>
          </w:tcPr>
          <w:p w14:paraId="1D2AC03E" w14:textId="77777777" w:rsidR="00345A8D" w:rsidRPr="007968C0" w:rsidRDefault="00345A8D" w:rsidP="002863B0">
            <w:pPr>
              <w:spacing w:after="0"/>
              <w:ind w:right="52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601" w:type="pct"/>
            <w:vAlign w:val="center"/>
          </w:tcPr>
          <w:p w14:paraId="0C1DD947" w14:textId="77777777" w:rsidR="00345A8D" w:rsidRPr="007968C0" w:rsidRDefault="00345A8D" w:rsidP="002863B0">
            <w:pPr>
              <w:spacing w:after="0"/>
              <w:ind w:right="23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02" w:type="pct"/>
            <w:vAlign w:val="center"/>
          </w:tcPr>
          <w:p w14:paraId="70252898" w14:textId="77777777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80,00 %</w:t>
            </w:r>
          </w:p>
        </w:tc>
        <w:tc>
          <w:tcPr>
            <w:tcW w:w="864" w:type="pct"/>
            <w:vAlign w:val="center"/>
          </w:tcPr>
          <w:p w14:paraId="5C934B13" w14:textId="77777777" w:rsidR="00345A8D" w:rsidRPr="007968C0" w:rsidRDefault="00345A8D" w:rsidP="002863B0">
            <w:pPr>
              <w:spacing w:after="0"/>
              <w:ind w:right="431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864" w:type="pct"/>
            <w:vAlign w:val="center"/>
          </w:tcPr>
          <w:p w14:paraId="19B3FB7C" w14:textId="5915FFAE" w:rsidR="00345A8D" w:rsidRPr="007968C0" w:rsidRDefault="00345A8D" w:rsidP="00C071ED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68C0">
              <w:rPr>
                <w:rFonts w:ascii="Calibri" w:hAnsi="Calibri" w:cs="Calibri"/>
                <w:sz w:val="18"/>
                <w:szCs w:val="18"/>
              </w:rPr>
              <w:t>100</w:t>
            </w:r>
            <w:r w:rsidR="0032564E">
              <w:rPr>
                <w:rFonts w:ascii="Calibri" w:hAnsi="Calibri" w:cs="Calibri"/>
                <w:sz w:val="18"/>
                <w:szCs w:val="18"/>
              </w:rPr>
              <w:t>,00</w:t>
            </w:r>
            <w:r w:rsidRPr="007968C0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</w:tc>
      </w:tr>
    </w:tbl>
    <w:p w14:paraId="701A66D6" w14:textId="62D3AE3D" w:rsidR="00345A8D" w:rsidRPr="00006DD6" w:rsidRDefault="00345A8D" w:rsidP="007968C0">
      <w:pPr>
        <w:spacing w:before="40" w:after="0"/>
        <w:rPr>
          <w:sz w:val="20"/>
          <w:szCs w:val="20"/>
        </w:rPr>
      </w:pPr>
      <w:r w:rsidRPr="007968C0">
        <w:rPr>
          <w:b/>
          <w:sz w:val="20"/>
          <w:szCs w:val="20"/>
        </w:rPr>
        <w:t>Zdroj:</w:t>
      </w:r>
      <w:r w:rsidRPr="00006DD6">
        <w:rPr>
          <w:sz w:val="20"/>
          <w:szCs w:val="20"/>
        </w:rPr>
        <w:t xml:space="preserve"> </w:t>
      </w:r>
      <w:r w:rsidR="0032564E">
        <w:rPr>
          <w:sz w:val="20"/>
          <w:szCs w:val="20"/>
        </w:rPr>
        <w:t>vypracoval NKÚ</w:t>
      </w:r>
      <w:r w:rsidRPr="00006DD6">
        <w:rPr>
          <w:sz w:val="20"/>
          <w:szCs w:val="20"/>
        </w:rPr>
        <w:t xml:space="preserve"> dle údajů v </w:t>
      </w:r>
      <w:r w:rsidRPr="00104748">
        <w:rPr>
          <w:i/>
          <w:sz w:val="20"/>
          <w:szCs w:val="20"/>
        </w:rPr>
        <w:t>MS2014+</w:t>
      </w:r>
      <w:r w:rsidR="003B024A">
        <w:rPr>
          <w:sz w:val="20"/>
          <w:szCs w:val="20"/>
        </w:rPr>
        <w:t>.</w:t>
      </w:r>
    </w:p>
    <w:p w14:paraId="3FE81EAC" w14:textId="382C9141" w:rsidR="00345A8D" w:rsidRDefault="00345A8D" w:rsidP="00B42BB6">
      <w:pPr>
        <w:spacing w:after="0"/>
        <w:rPr>
          <w:sz w:val="20"/>
          <w:szCs w:val="20"/>
        </w:rPr>
      </w:pPr>
      <w:r w:rsidRPr="007968C0">
        <w:rPr>
          <w:b/>
          <w:sz w:val="20"/>
          <w:szCs w:val="20"/>
        </w:rPr>
        <w:t>Pozn.</w:t>
      </w:r>
      <w:r w:rsidR="003B024A" w:rsidRPr="007968C0">
        <w:rPr>
          <w:b/>
          <w:sz w:val="20"/>
          <w:szCs w:val="20"/>
        </w:rPr>
        <w:t>:</w:t>
      </w:r>
      <w:r w:rsidRPr="007968C0">
        <w:rPr>
          <w:b/>
          <w:sz w:val="20"/>
          <w:szCs w:val="20"/>
        </w:rPr>
        <w:t xml:space="preserve"> </w:t>
      </w:r>
      <w:r w:rsidR="003B024A">
        <w:rPr>
          <w:sz w:val="20"/>
          <w:szCs w:val="20"/>
        </w:rPr>
        <w:t>P</w:t>
      </w:r>
      <w:r w:rsidRPr="00006DD6">
        <w:rPr>
          <w:sz w:val="20"/>
          <w:szCs w:val="20"/>
        </w:rPr>
        <w:t>očet ukončených projektů (stav PP43) = 1</w:t>
      </w:r>
      <w:r w:rsidR="0032564E">
        <w:rPr>
          <w:sz w:val="20"/>
          <w:szCs w:val="20"/>
        </w:rPr>
        <w:t> </w:t>
      </w:r>
      <w:r w:rsidRPr="00006DD6">
        <w:rPr>
          <w:sz w:val="20"/>
          <w:szCs w:val="20"/>
        </w:rPr>
        <w:t>856</w:t>
      </w:r>
      <w:r w:rsidR="003B024A">
        <w:rPr>
          <w:sz w:val="20"/>
          <w:szCs w:val="20"/>
        </w:rPr>
        <w:t>.</w:t>
      </w:r>
    </w:p>
    <w:p w14:paraId="62C73A1A" w14:textId="4BFD8230" w:rsidR="009E5ECE" w:rsidRPr="00006DD6" w:rsidRDefault="009E5ECE" w:rsidP="007968C0">
      <w:pPr>
        <w:spacing w:after="0"/>
        <w:ind w:left="567"/>
        <w:rPr>
          <w:sz w:val="20"/>
          <w:szCs w:val="20"/>
        </w:rPr>
      </w:pPr>
      <w:r w:rsidRPr="007968C0">
        <w:rPr>
          <w:sz w:val="20"/>
          <w:szCs w:val="20"/>
        </w:rPr>
        <w:t>Indikátory:</w:t>
      </w:r>
      <w:r>
        <w:rPr>
          <w:sz w:val="20"/>
          <w:szCs w:val="20"/>
        </w:rPr>
        <w:t xml:space="preserve"> 6 00 00 </w:t>
      </w:r>
      <w:r>
        <w:rPr>
          <w:i/>
          <w:sz w:val="20"/>
          <w:szCs w:val="20"/>
        </w:rPr>
        <w:t>Celkový počet účastníků</w:t>
      </w:r>
      <w:r>
        <w:rPr>
          <w:sz w:val="20"/>
          <w:szCs w:val="20"/>
        </w:rPr>
        <w:t xml:space="preserve">, 6 26 00 </w:t>
      </w:r>
      <w:r w:rsidRPr="009E5ECE">
        <w:rPr>
          <w:i/>
          <w:sz w:val="20"/>
          <w:szCs w:val="20"/>
        </w:rPr>
        <w:t>Účastníci, kteří získali kvalifikaci po ukončení své účasti</w:t>
      </w:r>
      <w:r>
        <w:rPr>
          <w:sz w:val="20"/>
          <w:szCs w:val="20"/>
        </w:rPr>
        <w:t>,</w:t>
      </w:r>
      <w:r w:rsidR="005B19C6">
        <w:rPr>
          <w:sz w:val="20"/>
          <w:szCs w:val="20"/>
        </w:rPr>
        <w:t xml:space="preserve"> </w:t>
      </w:r>
      <w:r w:rsidRPr="009E5ECE">
        <w:rPr>
          <w:sz w:val="20"/>
        </w:rPr>
        <w:t>6</w:t>
      </w:r>
      <w:r w:rsidR="005B19C6">
        <w:rPr>
          <w:sz w:val="20"/>
        </w:rPr>
        <w:t> </w:t>
      </w:r>
      <w:r w:rsidRPr="009E5ECE">
        <w:rPr>
          <w:sz w:val="20"/>
        </w:rPr>
        <w:t>70</w:t>
      </w:r>
      <w:r w:rsidR="005B19C6">
        <w:rPr>
          <w:sz w:val="20"/>
        </w:rPr>
        <w:t> </w:t>
      </w:r>
      <w:r w:rsidRPr="009E5ECE">
        <w:rPr>
          <w:sz w:val="20"/>
        </w:rPr>
        <w:t xml:space="preserve">10 </w:t>
      </w:r>
      <w:r w:rsidRPr="009E5ECE">
        <w:rPr>
          <w:i/>
          <w:sz w:val="20"/>
        </w:rPr>
        <w:t>Využívání podpořených služeb</w:t>
      </w:r>
      <w:r w:rsidRPr="009E5ECE">
        <w:rPr>
          <w:sz w:val="20"/>
        </w:rPr>
        <w:t xml:space="preserve">, 6 70 01 </w:t>
      </w:r>
      <w:r w:rsidRPr="009E5ECE">
        <w:rPr>
          <w:i/>
          <w:sz w:val="20"/>
        </w:rPr>
        <w:t>Kapacita podpořených služeb</w:t>
      </w:r>
      <w:r>
        <w:rPr>
          <w:sz w:val="20"/>
        </w:rPr>
        <w:t>.</w:t>
      </w:r>
    </w:p>
    <w:p w14:paraId="3974437C" w14:textId="48FD4035" w:rsidR="00C66EF5" w:rsidRPr="00C66EF5" w:rsidRDefault="00C66EF5" w:rsidP="0029345B">
      <w:pPr>
        <w:keepNext/>
        <w:spacing w:before="120"/>
        <w:rPr>
          <w:i/>
        </w:rPr>
      </w:pPr>
      <w:r w:rsidRPr="003D388D">
        <w:rPr>
          <w:i/>
        </w:rPr>
        <w:lastRenderedPageBreak/>
        <w:t>Vyhodnocení dopadů projektů v OPZ</w:t>
      </w:r>
    </w:p>
    <w:p w14:paraId="0AF31194" w14:textId="65E4C132" w:rsidR="009314C4" w:rsidRDefault="009314C4" w:rsidP="00172B52">
      <w:pPr>
        <w:spacing w:before="120"/>
        <w:rPr>
          <w:rFonts w:cstheme="minorHAnsi"/>
          <w:bCs/>
        </w:rPr>
      </w:pPr>
      <w:r w:rsidRPr="00006DD6">
        <w:t>NKÚ</w:t>
      </w:r>
      <w:r w:rsidR="004F6330">
        <w:t xml:space="preserve"> dále</w:t>
      </w:r>
      <w:r>
        <w:t xml:space="preserve"> prověřoval</w:t>
      </w:r>
      <w:r w:rsidRPr="00006DD6">
        <w:t xml:space="preserve">, </w:t>
      </w:r>
      <w:r w:rsidRPr="00006DD6">
        <w:rPr>
          <w:rFonts w:cstheme="minorHAnsi"/>
          <w:bCs/>
        </w:rPr>
        <w:t>jakým způsobem MPSV monitoruje a vyhodnocuje výstupy a dopady u projektů podpořených z OPZ a zda na základě vyhodnocení těchto výstupů a</w:t>
      </w:r>
      <w:r w:rsidR="0007583C">
        <w:rPr>
          <w:rFonts w:cstheme="minorHAnsi"/>
          <w:bCs/>
        </w:rPr>
        <w:t> </w:t>
      </w:r>
      <w:r w:rsidRPr="00006DD6">
        <w:rPr>
          <w:rFonts w:cstheme="minorHAnsi"/>
          <w:bCs/>
        </w:rPr>
        <w:t>dopadů následně přijímá příslušná opatření.</w:t>
      </w:r>
    </w:p>
    <w:p w14:paraId="7A0AFC2F" w14:textId="2D545FA3" w:rsidR="00174C7A" w:rsidRPr="00782BAA" w:rsidRDefault="00174C7A" w:rsidP="00172B52">
      <w:pPr>
        <w:rPr>
          <w:rFonts w:cstheme="minorHAnsi"/>
        </w:rPr>
      </w:pPr>
      <w:r>
        <w:rPr>
          <w:rFonts w:cstheme="minorHAnsi"/>
          <w:bCs/>
        </w:rPr>
        <w:t>OPZ je vyhodnocován částečně evaluacemi</w:t>
      </w:r>
      <w:r>
        <w:rPr>
          <w:rStyle w:val="Znakapoznpodarou"/>
          <w:rFonts w:cstheme="minorHAnsi"/>
          <w:bCs/>
        </w:rPr>
        <w:footnoteReference w:id="22"/>
      </w:r>
      <w:r>
        <w:rPr>
          <w:rFonts w:cstheme="minorHAnsi"/>
          <w:bCs/>
        </w:rPr>
        <w:t xml:space="preserve"> a částečně </w:t>
      </w:r>
      <w:r w:rsidR="002C2B2D">
        <w:rPr>
          <w:rFonts w:cstheme="minorHAnsi"/>
          <w:bCs/>
        </w:rPr>
        <w:t>„</w:t>
      </w:r>
      <w:proofErr w:type="spellStart"/>
      <w:r w:rsidRPr="002C2B2D">
        <w:rPr>
          <w:rFonts w:cstheme="minorHAnsi"/>
          <w:bCs/>
        </w:rPr>
        <w:t>sebeevaluacemi</w:t>
      </w:r>
      <w:proofErr w:type="spellEnd"/>
      <w:r w:rsidR="002C2B2D">
        <w:rPr>
          <w:rFonts w:cstheme="minorHAnsi"/>
          <w:bCs/>
        </w:rPr>
        <w:t>“</w:t>
      </w:r>
      <w:r w:rsidRPr="002C2B2D">
        <w:rPr>
          <w:rFonts w:cstheme="minorHAnsi"/>
          <w:bCs/>
        </w:rPr>
        <w:t>,</w:t>
      </w:r>
      <w:r>
        <w:rPr>
          <w:rFonts w:cstheme="minorHAnsi"/>
          <w:bCs/>
        </w:rPr>
        <w:t xml:space="preserve"> které jsou u</w:t>
      </w:r>
      <w:r w:rsidR="003B024A">
        <w:rPr>
          <w:rFonts w:cstheme="minorHAnsi"/>
          <w:bCs/>
        </w:rPr>
        <w:t> </w:t>
      </w:r>
      <w:r>
        <w:rPr>
          <w:rFonts w:cstheme="minorHAnsi"/>
          <w:bCs/>
        </w:rPr>
        <w:t xml:space="preserve">některých výzev pro realizaci projektů z OPZ povinné. </w:t>
      </w:r>
      <w:r w:rsidR="002C2B2D">
        <w:rPr>
          <w:rFonts w:cstheme="minorHAnsi"/>
          <w:bCs/>
        </w:rPr>
        <w:t>„</w:t>
      </w:r>
      <w:proofErr w:type="spellStart"/>
      <w:r w:rsidR="004F6330" w:rsidRPr="004F6330">
        <w:rPr>
          <w:rFonts w:cstheme="minorHAnsi"/>
          <w:bCs/>
        </w:rPr>
        <w:t>Sebeevaluace</w:t>
      </w:r>
      <w:proofErr w:type="spellEnd"/>
      <w:r w:rsidR="002C2B2D">
        <w:rPr>
          <w:rFonts w:cstheme="minorHAnsi"/>
          <w:bCs/>
        </w:rPr>
        <w:t>“</w:t>
      </w:r>
      <w:r w:rsidR="004F6330" w:rsidRPr="004F6330">
        <w:rPr>
          <w:rFonts w:cstheme="minorHAnsi"/>
          <w:bCs/>
        </w:rPr>
        <w:t xml:space="preserve"> je kromě projektů přímého přidělení povinně prováděna u projektů zaměřených na vývoj a</w:t>
      </w:r>
      <w:r w:rsidR="0029345B">
        <w:rPr>
          <w:rFonts w:cstheme="minorHAnsi"/>
          <w:bCs/>
        </w:rPr>
        <w:t> </w:t>
      </w:r>
      <w:r w:rsidR="004F6330" w:rsidRPr="004F6330">
        <w:rPr>
          <w:rFonts w:cstheme="minorHAnsi"/>
          <w:bCs/>
        </w:rPr>
        <w:t>realizaci sociálních inovací, a to za účelem získání poznatků o dopadu inovace a podmínkách fungování a šíření vyvinutého inovačního řešení.</w:t>
      </w:r>
      <w:r w:rsidR="004F6330">
        <w:rPr>
          <w:rFonts w:cstheme="minorHAnsi"/>
          <w:bCs/>
        </w:rPr>
        <w:t xml:space="preserve"> </w:t>
      </w:r>
      <w:r w:rsidR="00545E18" w:rsidRPr="003D388D">
        <w:rPr>
          <w:rFonts w:cstheme="minorHAnsi"/>
          <w:bCs/>
        </w:rPr>
        <w:t>Za p</w:t>
      </w:r>
      <w:r w:rsidRPr="003D388D">
        <w:rPr>
          <w:rFonts w:cstheme="minorHAnsi"/>
          <w:bCs/>
        </w:rPr>
        <w:t xml:space="preserve">řípadné nedostatky zjištěné z výstupů ze </w:t>
      </w:r>
      <w:r w:rsidR="002C2B2D">
        <w:rPr>
          <w:rFonts w:cstheme="minorHAnsi"/>
          <w:bCs/>
        </w:rPr>
        <w:t>„</w:t>
      </w:r>
      <w:proofErr w:type="spellStart"/>
      <w:r w:rsidRPr="003D388D">
        <w:rPr>
          <w:rFonts w:cstheme="minorHAnsi"/>
          <w:bCs/>
        </w:rPr>
        <w:t>sebeevaluace</w:t>
      </w:r>
      <w:proofErr w:type="spellEnd"/>
      <w:r w:rsidR="002C2B2D">
        <w:rPr>
          <w:rFonts w:cstheme="minorHAnsi"/>
          <w:bCs/>
        </w:rPr>
        <w:t>“</w:t>
      </w:r>
      <w:r w:rsidRPr="003D388D">
        <w:rPr>
          <w:rFonts w:cstheme="minorHAnsi"/>
          <w:bCs/>
        </w:rPr>
        <w:t xml:space="preserve"> nemohou </w:t>
      </w:r>
      <w:r w:rsidR="00545E18" w:rsidRPr="003D388D">
        <w:rPr>
          <w:rFonts w:cstheme="minorHAnsi"/>
          <w:bCs/>
        </w:rPr>
        <w:t>být</w:t>
      </w:r>
      <w:r w:rsidRPr="003D388D">
        <w:rPr>
          <w:rFonts w:cstheme="minorHAnsi"/>
          <w:bCs/>
        </w:rPr>
        <w:t xml:space="preserve"> </w:t>
      </w:r>
      <w:r w:rsidR="00545E18" w:rsidRPr="003D388D">
        <w:rPr>
          <w:rFonts w:cstheme="minorHAnsi"/>
          <w:bCs/>
        </w:rPr>
        <w:t>v souladu s </w:t>
      </w:r>
      <w:r w:rsidR="00545E18" w:rsidRPr="002C2B2D">
        <w:rPr>
          <w:rFonts w:cstheme="minorHAnsi"/>
          <w:bCs/>
          <w:i/>
        </w:rPr>
        <w:t>O</w:t>
      </w:r>
      <w:r w:rsidR="00545E18" w:rsidRPr="00B266E7">
        <w:rPr>
          <w:rFonts w:cstheme="minorHAnsi"/>
          <w:bCs/>
          <w:i/>
        </w:rPr>
        <w:t>becnou částí pravidel pro žadatele a</w:t>
      </w:r>
      <w:r w:rsidR="0029345B">
        <w:rPr>
          <w:rFonts w:cstheme="minorHAnsi"/>
          <w:bCs/>
        </w:rPr>
        <w:t> </w:t>
      </w:r>
      <w:r w:rsidR="00545E18" w:rsidRPr="00B266E7">
        <w:rPr>
          <w:rFonts w:cstheme="minorHAnsi"/>
          <w:bCs/>
          <w:i/>
        </w:rPr>
        <w:t xml:space="preserve">příjemce v rámci </w:t>
      </w:r>
      <w:r w:rsidR="002C2B2D">
        <w:rPr>
          <w:rFonts w:cstheme="minorHAnsi"/>
          <w:bCs/>
          <w:i/>
        </w:rPr>
        <w:t xml:space="preserve">operačního programu </w:t>
      </w:r>
      <w:r w:rsidR="00545E18" w:rsidRPr="002C2B2D">
        <w:rPr>
          <w:rFonts w:cstheme="minorHAnsi"/>
          <w:bCs/>
          <w:i/>
        </w:rPr>
        <w:t>Z</w:t>
      </w:r>
      <w:r w:rsidR="002C2B2D">
        <w:rPr>
          <w:rFonts w:cstheme="minorHAnsi"/>
          <w:bCs/>
          <w:i/>
        </w:rPr>
        <w:t>aměstnanost</w:t>
      </w:r>
      <w:r w:rsidR="00545E18" w:rsidRPr="0029345B">
        <w:rPr>
          <w:rFonts w:cstheme="minorHAnsi"/>
          <w:bCs/>
        </w:rPr>
        <w:t xml:space="preserve"> </w:t>
      </w:r>
      <w:r w:rsidR="00545E18" w:rsidRPr="003D388D">
        <w:rPr>
          <w:rFonts w:cstheme="minorHAnsi"/>
          <w:bCs/>
        </w:rPr>
        <w:t>příjemci podpory sankcionováni</w:t>
      </w:r>
      <w:r w:rsidRPr="003D388D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3FCC915E" w14:textId="0BEF8213" w:rsidR="002544AC" w:rsidRPr="00A47C6C" w:rsidRDefault="002544AC" w:rsidP="00172B52">
      <w:pPr>
        <w:pStyle w:val="Default"/>
        <w:spacing w:before="120" w:after="120"/>
        <w:jc w:val="both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MPSV nezavazuje příjemce podpory ke sledování </w:t>
      </w:r>
      <w:r w:rsidR="00F0704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dopadů podpořených projektů u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účastníků po ukončení jejich účasti, resp. jejich postavení na trhu práce. </w:t>
      </w:r>
      <w:r w:rsidRPr="000450FA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Příjemci podpory tak neověřují, zda podpora osobám </w:t>
      </w:r>
      <w:r w:rsidR="00F0704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z cílové skupiny </w:t>
      </w:r>
      <w:r w:rsidRPr="000450FA">
        <w:rPr>
          <w:rFonts w:asciiTheme="minorHAnsi" w:eastAsiaTheme="minorHAnsi" w:hAnsiTheme="minorHAnsi" w:cstheme="minorBidi"/>
          <w:color w:val="auto"/>
          <w:szCs w:val="22"/>
          <w:lang w:eastAsia="en-US"/>
        </w:rPr>
        <w:t>skutečně pomohla a zlepšila jejich postavení nejen na</w:t>
      </w:r>
      <w:r w:rsidR="008A421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Pr="000450FA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trhu práce.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Poskytnutá podpora</w:t>
      </w:r>
      <w:r w:rsidR="00F0704F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řeší problémy osob z cílových skupin pouze dočasně po</w:t>
      </w:r>
      <w:r w:rsidR="008A4213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dobu realizace projekt</w:t>
      </w:r>
      <w:r w:rsidR="00530BBC">
        <w:rPr>
          <w:rFonts w:asciiTheme="minorHAnsi" w:eastAsiaTheme="minorHAnsi" w:hAnsiTheme="minorHAnsi" w:cstheme="minorBidi"/>
          <w:color w:val="auto"/>
          <w:szCs w:val="22"/>
          <w:lang w:eastAsia="en-US"/>
        </w:rPr>
        <w:t>ů</w:t>
      </w:r>
      <w:r w:rsidR="00A47C6C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. Při současném nastavení podmínek OPZ nemusí příjemci podpory ani MPSV sledovat přínosy a dopady poskytnuté podpory po ukončení realizace projektů. 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Výjimku představují projekty ÚP </w:t>
      </w:r>
      <w:r w:rsidRPr="002544AC">
        <w:rPr>
          <w:rFonts w:asciiTheme="minorHAnsi" w:eastAsiaTheme="minorHAnsi" w:hAnsiTheme="minorHAnsi" w:cstheme="minorHAnsi"/>
          <w:color w:val="auto"/>
          <w:szCs w:val="22"/>
          <w:lang w:eastAsia="en-US"/>
        </w:rPr>
        <w:t>ČR</w:t>
      </w:r>
      <w:r w:rsidRPr="002544AC">
        <w:rPr>
          <w:rFonts w:asciiTheme="minorHAnsi" w:hAnsiTheme="minorHAnsi" w:cstheme="minorHAnsi"/>
        </w:rPr>
        <w:t xml:space="preserve">, neboť ÚP ČR disponuje nástroji, které mu umožňují </w:t>
      </w:r>
      <w:r w:rsidR="003824F8" w:rsidRPr="003D388D">
        <w:rPr>
          <w:rFonts w:asciiTheme="minorHAnsi" w:hAnsiTheme="minorHAnsi" w:cstheme="minorHAnsi"/>
        </w:rPr>
        <w:t xml:space="preserve">až 36 měsíců </w:t>
      </w:r>
      <w:r w:rsidRPr="003D388D">
        <w:rPr>
          <w:rFonts w:asciiTheme="minorHAnsi" w:hAnsiTheme="minorHAnsi" w:cstheme="minorHAnsi"/>
        </w:rPr>
        <w:t>po</w:t>
      </w:r>
      <w:r w:rsidR="008A4213">
        <w:rPr>
          <w:rFonts w:asciiTheme="minorHAnsi" w:hAnsiTheme="minorHAnsi" w:cstheme="minorHAnsi"/>
        </w:rPr>
        <w:t xml:space="preserve"> </w:t>
      </w:r>
      <w:r w:rsidRPr="003D388D">
        <w:rPr>
          <w:rFonts w:asciiTheme="minorHAnsi" w:hAnsiTheme="minorHAnsi" w:cstheme="minorHAnsi"/>
        </w:rPr>
        <w:t>ukončení realizace projektů sledovat reálné dopady projekt</w:t>
      </w:r>
      <w:r w:rsidR="00530BBC" w:rsidRPr="003D388D">
        <w:rPr>
          <w:rFonts w:asciiTheme="minorHAnsi" w:hAnsiTheme="minorHAnsi" w:cstheme="minorHAnsi"/>
        </w:rPr>
        <w:t>ů</w:t>
      </w:r>
      <w:r w:rsidR="004F6330">
        <w:rPr>
          <w:rFonts w:asciiTheme="minorHAnsi" w:hAnsiTheme="minorHAnsi" w:cstheme="minorHAnsi"/>
        </w:rPr>
        <w:t xml:space="preserve"> na postavení účastníků na trhu práce</w:t>
      </w:r>
      <w:r w:rsidR="003824F8" w:rsidRPr="003D388D">
        <w:rPr>
          <w:rFonts w:asciiTheme="minorHAnsi" w:hAnsiTheme="minorHAnsi" w:cstheme="minorHAnsi"/>
        </w:rPr>
        <w:t xml:space="preserve">. </w:t>
      </w:r>
      <w:r w:rsidR="00530BBC" w:rsidRPr="003D388D">
        <w:rPr>
          <w:rFonts w:asciiTheme="minorHAnsi" w:hAnsiTheme="minorHAnsi" w:cstheme="minorHAnsi"/>
        </w:rPr>
        <w:t xml:space="preserve">ÚP ČR </w:t>
      </w:r>
      <w:r w:rsidR="003824F8" w:rsidRPr="003D388D">
        <w:rPr>
          <w:rFonts w:asciiTheme="minorHAnsi" w:hAnsiTheme="minorHAnsi" w:cstheme="minorHAnsi"/>
        </w:rPr>
        <w:t>tedy</w:t>
      </w:r>
      <w:r w:rsidR="003824F8">
        <w:rPr>
          <w:rFonts w:asciiTheme="minorHAnsi" w:hAnsiTheme="minorHAnsi" w:cstheme="minorHAnsi"/>
        </w:rPr>
        <w:t xml:space="preserve"> </w:t>
      </w:r>
      <w:r w:rsidRPr="002544AC">
        <w:rPr>
          <w:rFonts w:asciiTheme="minorHAnsi" w:hAnsiTheme="minorHAnsi" w:cstheme="minorHAnsi"/>
        </w:rPr>
        <w:t xml:space="preserve">sleduje prostřednictvím </w:t>
      </w:r>
      <w:r w:rsidR="00530BBC">
        <w:rPr>
          <w:rFonts w:asciiTheme="minorHAnsi" w:hAnsiTheme="minorHAnsi" w:cstheme="minorHAnsi"/>
        </w:rPr>
        <w:t>vlastních nástrojů</w:t>
      </w:r>
      <w:r w:rsidRPr="002544AC">
        <w:rPr>
          <w:rFonts w:asciiTheme="minorHAnsi" w:hAnsiTheme="minorHAnsi" w:cstheme="minorHAnsi"/>
        </w:rPr>
        <w:t>, zda se</w:t>
      </w:r>
      <w:r w:rsidR="004D7285">
        <w:rPr>
          <w:rFonts w:asciiTheme="minorHAnsi" w:hAnsiTheme="minorHAnsi" w:cstheme="minorHAnsi"/>
        </w:rPr>
        <w:t xml:space="preserve"> </w:t>
      </w:r>
      <w:r w:rsidRPr="002544AC">
        <w:rPr>
          <w:rFonts w:asciiTheme="minorHAnsi" w:hAnsiTheme="minorHAnsi" w:cstheme="minorHAnsi"/>
        </w:rPr>
        <w:t>konkrétní účastník realizovaného projektu vrátí do evidence</w:t>
      </w:r>
      <w:r>
        <w:rPr>
          <w:rFonts w:asciiTheme="minorHAnsi" w:hAnsiTheme="minorHAnsi" w:cstheme="minorHAnsi"/>
        </w:rPr>
        <w:t xml:space="preserve"> </w:t>
      </w:r>
      <w:r w:rsidR="00662ECF">
        <w:rPr>
          <w:rFonts w:asciiTheme="minorHAnsi" w:hAnsiTheme="minorHAnsi" w:cstheme="minorHAnsi"/>
        </w:rPr>
        <w:t xml:space="preserve">uchazečů o zaměstnání </w:t>
      </w:r>
      <w:r>
        <w:rPr>
          <w:rFonts w:asciiTheme="minorHAnsi" w:hAnsiTheme="minorHAnsi" w:cstheme="minorHAnsi"/>
        </w:rPr>
        <w:t>ÚP ČR</w:t>
      </w:r>
      <w:r w:rsidRPr="002544AC">
        <w:rPr>
          <w:rFonts w:asciiTheme="minorHAnsi" w:hAnsiTheme="minorHAnsi" w:cstheme="minorHAnsi"/>
        </w:rPr>
        <w:t>.</w:t>
      </w:r>
    </w:p>
    <w:p w14:paraId="3EF0CF77" w14:textId="7E5DDCDA" w:rsidR="00572DF6" w:rsidRPr="00006DD6" w:rsidRDefault="0007583C" w:rsidP="00572DF6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</w:t>
      </w:r>
      <w:r w:rsidRPr="00006DD6">
        <w:rPr>
          <w:rFonts w:cstheme="minorHAnsi"/>
        </w:rPr>
        <w:t xml:space="preserve"> případě soutěžních projektů </w:t>
      </w:r>
      <w:r>
        <w:rPr>
          <w:rFonts w:cstheme="minorHAnsi"/>
        </w:rPr>
        <w:t>OPZ</w:t>
      </w:r>
      <w:r w:rsidRPr="00006DD6">
        <w:rPr>
          <w:rFonts w:cstheme="minorHAnsi"/>
        </w:rPr>
        <w:t xml:space="preserve"> </w:t>
      </w:r>
      <w:r>
        <w:rPr>
          <w:rFonts w:cstheme="minorHAnsi"/>
        </w:rPr>
        <w:t>je</w:t>
      </w:r>
      <w:r w:rsidRPr="00006DD6">
        <w:rPr>
          <w:rFonts w:cstheme="minorHAnsi"/>
        </w:rPr>
        <w:t xml:space="preserve"> povinnou přílohou závěrečné zprávy o realizaci projektu vyplněný dotazník, který </w:t>
      </w:r>
      <w:r w:rsidR="00174C7A">
        <w:rPr>
          <w:rFonts w:cstheme="minorHAnsi"/>
        </w:rPr>
        <w:t xml:space="preserve">povinně </w:t>
      </w:r>
      <w:r w:rsidRPr="00006DD6">
        <w:rPr>
          <w:rFonts w:cstheme="minorHAnsi"/>
        </w:rPr>
        <w:t xml:space="preserve">zpracovává příjemce podpory a který obsahuje výsledky projektu </w:t>
      </w:r>
      <w:r>
        <w:rPr>
          <w:rFonts w:cstheme="minorHAnsi"/>
        </w:rPr>
        <w:t xml:space="preserve">a vyhodnocení postupu realizace projektu </w:t>
      </w:r>
      <w:r w:rsidRPr="00006DD6">
        <w:rPr>
          <w:rFonts w:cstheme="minorHAnsi"/>
        </w:rPr>
        <w:t>nad rámec informací uváděných ve</w:t>
      </w:r>
      <w:r w:rsidR="004D7285">
        <w:rPr>
          <w:rFonts w:cstheme="minorHAnsi"/>
        </w:rPr>
        <w:t xml:space="preserve"> </w:t>
      </w:r>
      <w:r w:rsidRPr="00006DD6">
        <w:rPr>
          <w:rFonts w:cstheme="minorHAnsi"/>
        </w:rPr>
        <w:t>zprávách o realizaci</w:t>
      </w:r>
      <w:r>
        <w:rPr>
          <w:rFonts w:cstheme="minorHAnsi"/>
        </w:rPr>
        <w:t xml:space="preserve"> a </w:t>
      </w:r>
      <w:r w:rsidRPr="00006DD6">
        <w:rPr>
          <w:rFonts w:cstheme="minorHAnsi"/>
        </w:rPr>
        <w:t>nad rámec plnění hodnot monitorovacích indikátorů.</w:t>
      </w:r>
      <w:r w:rsidR="00184FC0">
        <w:rPr>
          <w:rFonts w:cstheme="minorHAnsi"/>
        </w:rPr>
        <w:t xml:space="preserve"> </w:t>
      </w:r>
      <w:r w:rsidR="00572DF6" w:rsidRPr="00006DD6">
        <w:rPr>
          <w:rFonts w:cstheme="minorHAnsi"/>
        </w:rPr>
        <w:t>Dotazník obsahuje otázky mj. k přínosům projektu, k cílovým skupinám, údaje k získaným dotovaným a</w:t>
      </w:r>
      <w:r w:rsidR="00247389">
        <w:rPr>
          <w:rFonts w:cstheme="minorHAnsi"/>
        </w:rPr>
        <w:t> </w:t>
      </w:r>
      <w:r w:rsidR="00572DF6" w:rsidRPr="00006DD6">
        <w:rPr>
          <w:rFonts w:cstheme="minorHAnsi"/>
        </w:rPr>
        <w:t>nedotovaným pracovním místům, dosažené přínosy ve změně postojů a motivaci účastníků, problémy a překážky apod.</w:t>
      </w:r>
    </w:p>
    <w:p w14:paraId="7E3ABD18" w14:textId="3FDC0B69" w:rsidR="009C6740" w:rsidRDefault="00184FC0" w:rsidP="009C6740">
      <w:pPr>
        <w:spacing w:after="160" w:line="259" w:lineRule="auto"/>
      </w:pPr>
      <w:r>
        <w:rPr>
          <w:rFonts w:cstheme="minorHAnsi"/>
        </w:rPr>
        <w:t xml:space="preserve">Výsledky </w:t>
      </w:r>
      <w:r w:rsidR="00572DF6">
        <w:rPr>
          <w:rFonts w:cstheme="minorHAnsi"/>
        </w:rPr>
        <w:t xml:space="preserve">vyhodnocení dotazníku zpracovává MPSV vždy ve dvouletých intervalech, kdy první hodnocení proběhlo v roce 2019 a druhé v roce 2021. </w:t>
      </w:r>
      <w:r w:rsidR="0059382B" w:rsidRPr="003D388D">
        <w:rPr>
          <w:rFonts w:cstheme="minorHAnsi"/>
        </w:rPr>
        <w:t>MPSV si nicméně v </w:t>
      </w:r>
      <w:r w:rsidR="0059382B" w:rsidRPr="002C2B2D">
        <w:rPr>
          <w:rFonts w:cstheme="minorHAnsi"/>
          <w:i/>
        </w:rPr>
        <w:t>O</w:t>
      </w:r>
      <w:r w:rsidR="0059382B" w:rsidRPr="00B266E7">
        <w:rPr>
          <w:rFonts w:cstheme="minorHAnsi"/>
          <w:i/>
        </w:rPr>
        <w:t xml:space="preserve">becné části pravidel pro žadatele a příjemce podpory v rámci </w:t>
      </w:r>
      <w:r w:rsidR="002C2B2D">
        <w:rPr>
          <w:rFonts w:cstheme="minorHAnsi"/>
          <w:i/>
        </w:rPr>
        <w:t xml:space="preserve">operačního programu </w:t>
      </w:r>
      <w:r w:rsidR="0059382B" w:rsidRPr="002C2B2D">
        <w:rPr>
          <w:rFonts w:cstheme="minorHAnsi"/>
          <w:i/>
        </w:rPr>
        <w:t>Z</w:t>
      </w:r>
      <w:r w:rsidR="002C2B2D">
        <w:rPr>
          <w:rFonts w:cstheme="minorHAnsi"/>
          <w:i/>
        </w:rPr>
        <w:t>aměstnanost</w:t>
      </w:r>
      <w:r w:rsidR="0059382B" w:rsidRPr="003D388D">
        <w:rPr>
          <w:rFonts w:cstheme="minorHAnsi"/>
        </w:rPr>
        <w:t xml:space="preserve"> stanovilo, že nebude ověřovat věcnou správnost vyplněných a předložených dotazníků ze strany příjemců podpory.</w:t>
      </w:r>
      <w:r w:rsidR="007D5FDE" w:rsidRPr="003D388D">
        <w:rPr>
          <w:rFonts w:cstheme="minorHAnsi"/>
        </w:rPr>
        <w:t xml:space="preserve"> </w:t>
      </w:r>
      <w:r w:rsidR="009C6740" w:rsidRPr="003D388D">
        <w:t>MPSV pouze ověřuje, zda</w:t>
      </w:r>
      <w:r w:rsidR="008A4213">
        <w:t xml:space="preserve"> </w:t>
      </w:r>
      <w:r w:rsidR="009C6740" w:rsidRPr="003D388D">
        <w:t xml:space="preserve">příjemci podpory splnili svou povinnost a dotazník v příslušné aplikaci vypracovali. </w:t>
      </w:r>
      <w:r w:rsidR="007D5FDE" w:rsidRPr="003D388D">
        <w:rPr>
          <w:rFonts w:cstheme="minorHAnsi"/>
        </w:rPr>
        <w:t>Není proto zajištěna obsahová kvalita předkládaných údajů, které MPSV využívá k evaluační činnosti</w:t>
      </w:r>
      <w:r w:rsidR="001E2833" w:rsidRPr="003D388D">
        <w:rPr>
          <w:rFonts w:cstheme="minorHAnsi"/>
        </w:rPr>
        <w:t xml:space="preserve"> a</w:t>
      </w:r>
      <w:r w:rsidR="008A4213">
        <w:rPr>
          <w:rFonts w:cstheme="minorHAnsi"/>
        </w:rPr>
        <w:t> </w:t>
      </w:r>
      <w:r w:rsidR="001E2833" w:rsidRPr="003D388D">
        <w:rPr>
          <w:rFonts w:cstheme="minorHAnsi"/>
        </w:rPr>
        <w:t>k</w:t>
      </w:r>
      <w:r w:rsidR="008A4213">
        <w:rPr>
          <w:rFonts w:cstheme="minorHAnsi"/>
        </w:rPr>
        <w:t> </w:t>
      </w:r>
      <w:r w:rsidR="001E2833" w:rsidRPr="003D388D">
        <w:rPr>
          <w:rFonts w:cstheme="minorHAnsi"/>
        </w:rPr>
        <w:t>identifikaci případných systémových nedostatků v rámci OPZ</w:t>
      </w:r>
      <w:r w:rsidR="007D5FDE" w:rsidRPr="003D388D">
        <w:rPr>
          <w:rFonts w:cstheme="minorHAnsi"/>
        </w:rPr>
        <w:t>.</w:t>
      </w:r>
      <w:r w:rsidR="001E2833" w:rsidRPr="003D388D">
        <w:rPr>
          <w:rFonts w:cstheme="minorHAnsi"/>
        </w:rPr>
        <w:t xml:space="preserve"> NKÚ u</w:t>
      </w:r>
      <w:r w:rsidR="007568F0">
        <w:rPr>
          <w:rFonts w:cstheme="minorHAnsi"/>
        </w:rPr>
        <w:t> </w:t>
      </w:r>
      <w:r w:rsidR="001E2833" w:rsidRPr="003D388D">
        <w:rPr>
          <w:rFonts w:cstheme="minorHAnsi"/>
        </w:rPr>
        <w:t xml:space="preserve">jednoho kontrolovaného projektu zjistil, že míra vyplnění dotazníku </w:t>
      </w:r>
      <w:r w:rsidR="009C6740" w:rsidRPr="003D388D">
        <w:rPr>
          <w:rFonts w:cstheme="minorHAnsi"/>
        </w:rPr>
        <w:t>byla</w:t>
      </w:r>
      <w:r w:rsidR="001E2833" w:rsidRPr="003D388D">
        <w:rPr>
          <w:rFonts w:cstheme="minorHAnsi"/>
        </w:rPr>
        <w:t xml:space="preserve"> omezená a</w:t>
      </w:r>
      <w:r w:rsidR="007568F0">
        <w:rPr>
          <w:rFonts w:cstheme="minorHAnsi"/>
        </w:rPr>
        <w:t> </w:t>
      </w:r>
      <w:r w:rsidR="001E2833" w:rsidRPr="003D388D">
        <w:rPr>
          <w:rFonts w:cstheme="minorHAnsi"/>
        </w:rPr>
        <w:t>neumož</w:t>
      </w:r>
      <w:r w:rsidR="009C6740" w:rsidRPr="003D388D">
        <w:rPr>
          <w:rFonts w:cstheme="minorHAnsi"/>
        </w:rPr>
        <w:t>nila</w:t>
      </w:r>
      <w:r w:rsidR="001E2833" w:rsidRPr="003D388D">
        <w:rPr>
          <w:rFonts w:cstheme="minorHAnsi"/>
        </w:rPr>
        <w:t xml:space="preserve"> MPSV plnohodnotně využít data k vyhodnocení. </w:t>
      </w:r>
    </w:p>
    <w:p w14:paraId="0A4A545B" w14:textId="5F5E3F86" w:rsidR="00757A6C" w:rsidRDefault="00686F72" w:rsidP="00686F72">
      <w:pPr>
        <w:pStyle w:val="Nadpis2"/>
      </w:pPr>
      <w:r>
        <w:t xml:space="preserve">2. </w:t>
      </w:r>
      <w:r w:rsidR="00757A6C" w:rsidRPr="00757A6C">
        <w:t>Nedostatky v</w:t>
      </w:r>
      <w:r w:rsidR="00757A6C">
        <w:t> administraci projektů</w:t>
      </w:r>
      <w:r w:rsidR="005A0CD8">
        <w:t xml:space="preserve"> OPZ</w:t>
      </w:r>
      <w:r w:rsidR="00757A6C">
        <w:t xml:space="preserve"> ze strany MPSV</w:t>
      </w:r>
    </w:p>
    <w:p w14:paraId="1134EAA0" w14:textId="20711AFA" w:rsidR="00FC01D0" w:rsidRDefault="009136B9" w:rsidP="00757A6C">
      <w:r>
        <w:t xml:space="preserve">NKÚ </w:t>
      </w:r>
      <w:r w:rsidR="004F6330">
        <w:t>pr</w:t>
      </w:r>
      <w:r>
        <w:t xml:space="preserve">ověřoval, zda </w:t>
      </w:r>
      <w:r w:rsidR="003241CF">
        <w:t xml:space="preserve">MPSV při poskytování peněžních prostředků z OPZ </w:t>
      </w:r>
      <w:r>
        <w:t>postupovalo v průběhu administrace</w:t>
      </w:r>
      <w:r w:rsidR="003241CF">
        <w:t xml:space="preserve"> kontrolovaných</w:t>
      </w:r>
      <w:r>
        <w:t xml:space="preserve"> projektů v souladu s pravidly OPZ</w:t>
      </w:r>
      <w:r w:rsidR="00C14A0E">
        <w:rPr>
          <w:vertAlign w:val="superscript"/>
        </w:rPr>
        <w:t>6</w:t>
      </w:r>
      <w:r>
        <w:t xml:space="preserve"> a právními předpisy.</w:t>
      </w:r>
    </w:p>
    <w:p w14:paraId="62DE3FEF" w14:textId="1682E568" w:rsidR="00DF7C2A" w:rsidRDefault="001724F5" w:rsidP="00757A6C">
      <w:r w:rsidRPr="003D388D">
        <w:lastRenderedPageBreak/>
        <w:t>MPSV v právních aktech o poskytnutí/převodu podpory vymezuje účel dotace obecným způsobem se zdůvodněním, že nesplnění účelu dotace v jakémkoliv rozsahu má za následek odvod ve výši celé poskytnuté dotace (podpory).</w:t>
      </w:r>
      <w:r w:rsidR="00171F58" w:rsidRPr="003D388D">
        <w:t xml:space="preserve"> Účel dotace proto nezahrnuje konkrétní cíle projektů, které si příjemci podpory sami stanovili v žádostech o podporu. MPSV do právních aktů o poskytnutí/převodu podpory vkládá popisy klíčových aktivit projektu a</w:t>
      </w:r>
      <w:r w:rsidR="003D388D">
        <w:t> </w:t>
      </w:r>
      <w:r w:rsidR="00171F58" w:rsidRPr="003D388D">
        <w:t>předpokládá, že</w:t>
      </w:r>
      <w:r w:rsidR="007568F0">
        <w:t xml:space="preserve"> </w:t>
      </w:r>
      <w:r w:rsidR="00171F58" w:rsidRPr="003D388D">
        <w:t>plnění těchto aktivit povede k naplňování cílů projektů. Naplnění účelu dotace MPSV proto vyhodnocuje na základě plnění klíčových aktivit a dosahování hodnot závazných indikátorů. Závazné indikátory, které jsou nastaveny pro každý projekt v OPZ, ovšem nesledují kvalitativní rovinu dosahování cílů</w:t>
      </w:r>
      <w:r w:rsidR="00B272CA">
        <w:t xml:space="preserve"> nebo dílčích cílů</w:t>
      </w:r>
      <w:r w:rsidR="00171F58" w:rsidRPr="003D388D">
        <w:t>, která je pro</w:t>
      </w:r>
      <w:r w:rsidR="00F0472C" w:rsidRPr="003D388D">
        <w:t xml:space="preserve"> tzv.</w:t>
      </w:r>
      <w:r w:rsidR="00171F58" w:rsidRPr="003D388D">
        <w:t xml:space="preserve"> </w:t>
      </w:r>
      <w:r w:rsidR="00F0472C" w:rsidRPr="003D388D">
        <w:t xml:space="preserve">měkké </w:t>
      </w:r>
      <w:r w:rsidR="00171F58" w:rsidRPr="003D388D">
        <w:t>projekty zásadní</w:t>
      </w:r>
      <w:r w:rsidR="00F0472C" w:rsidRPr="003D388D">
        <w:t xml:space="preserve"> (viz část I., bod 1. a část IV., bod 1. </w:t>
      </w:r>
      <w:r w:rsidR="007568F0">
        <w:t xml:space="preserve">tohoto </w:t>
      </w:r>
      <w:r w:rsidR="00F0472C" w:rsidRPr="003D388D">
        <w:t>kontrolního závěru)</w:t>
      </w:r>
      <w:r w:rsidR="00171F58" w:rsidRPr="003D388D">
        <w:t xml:space="preserve">. Samotná realizace klíčových aktivit projektu přitom nutně neznamená, že bylo cílů </w:t>
      </w:r>
      <w:r w:rsidR="00B272CA">
        <w:t xml:space="preserve">nebo dílčích cílů </w:t>
      </w:r>
      <w:r w:rsidR="00171F58" w:rsidRPr="003D388D">
        <w:t>projektu dosaženo</w:t>
      </w:r>
      <w:r w:rsidR="00584816" w:rsidRPr="003D388D">
        <w:t>, jak NKÚ zjistil u</w:t>
      </w:r>
      <w:r w:rsidR="00B272CA">
        <w:t> </w:t>
      </w:r>
      <w:r w:rsidR="00584816" w:rsidRPr="003D388D">
        <w:t>dvou kontrolovaných projektů</w:t>
      </w:r>
      <w:r w:rsidR="00171F58" w:rsidRPr="003D388D">
        <w:t xml:space="preserve"> (viz příklad</w:t>
      </w:r>
      <w:r w:rsidR="00584816" w:rsidRPr="003D388D">
        <w:t xml:space="preserve"> </w:t>
      </w:r>
      <w:r w:rsidR="00171F58" w:rsidRPr="00F1604C">
        <w:t>– část IV., kap. 3 tohoto kontrolního závěru)</w:t>
      </w:r>
      <w:r w:rsidR="00584816">
        <w:t xml:space="preserve">. </w:t>
      </w:r>
    </w:p>
    <w:p w14:paraId="01706746" w14:textId="7C64A023" w:rsidR="00174C7A" w:rsidRDefault="00174C7A" w:rsidP="00174C7A">
      <w:r w:rsidRPr="00174C7A">
        <w:t xml:space="preserve">NKÚ se </w:t>
      </w:r>
      <w:r w:rsidR="00362D4C">
        <w:t xml:space="preserve">dále </w:t>
      </w:r>
      <w:r w:rsidRPr="00174C7A">
        <w:t>zaměřil na nastavení postupů</w:t>
      </w:r>
      <w:r w:rsidR="008928D9">
        <w:t xml:space="preserve"> a</w:t>
      </w:r>
      <w:r w:rsidRPr="00174C7A">
        <w:t xml:space="preserve"> kritérií pro hodnocení podaných žádostí o podporu v</w:t>
      </w:r>
      <w:r w:rsidR="008928D9">
        <w:t> </w:t>
      </w:r>
      <w:r w:rsidRPr="00174C7A">
        <w:t>OPZ</w:t>
      </w:r>
      <w:r w:rsidR="008928D9">
        <w:t>,</w:t>
      </w:r>
      <w:r w:rsidRPr="00174C7A">
        <w:t xml:space="preserve"> </w:t>
      </w:r>
      <w:r w:rsidR="008928D9">
        <w:t>např. na ověřování nastavení relevantních cílů</w:t>
      </w:r>
      <w:r w:rsidR="008928D9">
        <w:rPr>
          <w:rStyle w:val="Znakapoznpodarou"/>
        </w:rPr>
        <w:footnoteReference w:id="23"/>
      </w:r>
      <w:r w:rsidR="008928D9">
        <w:t xml:space="preserve"> projektů. MPSV</w:t>
      </w:r>
      <w:r w:rsidRPr="00174C7A">
        <w:t xml:space="preserve"> upravuje postupy a kritéria hodnocení projektů jednak v rámci pravidel pro OPZ, </w:t>
      </w:r>
      <w:r w:rsidR="007568F0">
        <w:t>jednak</w:t>
      </w:r>
      <w:r w:rsidRPr="00174C7A">
        <w:t xml:space="preserve"> zveřejňuje informace o způsobu hodnocení a výběru projektů v textové části každé vyhlášené výzvy OPZ.</w:t>
      </w:r>
      <w:r w:rsidR="00332575">
        <w:t xml:space="preserve"> </w:t>
      </w:r>
      <w:r w:rsidR="00A7417B" w:rsidRPr="00172CB6">
        <w:t xml:space="preserve">V OPZ zajišťují </w:t>
      </w:r>
      <w:r w:rsidRPr="00172CB6">
        <w:t>věcné hodnocení projektů</w:t>
      </w:r>
      <w:r w:rsidR="003D388D" w:rsidRPr="00172CB6">
        <w:t xml:space="preserve"> </w:t>
      </w:r>
      <w:r w:rsidRPr="00172CB6">
        <w:t>individuální externí hodnotitelé a výběrová, příp. hodnoticí komise</w:t>
      </w:r>
      <w:r w:rsidR="00A7417B" w:rsidRPr="00172CB6">
        <w:t>.</w:t>
      </w:r>
      <w:r w:rsidRPr="00172CB6">
        <w:t xml:space="preserve"> </w:t>
      </w:r>
      <w:r w:rsidR="00A7417B" w:rsidRPr="00172CB6">
        <w:t xml:space="preserve">MPSV </w:t>
      </w:r>
      <w:r w:rsidRPr="00172CB6">
        <w:t>zohledňuje stanoviska hodnotitelů pouze v případě, že tito</w:t>
      </w:r>
      <w:r w:rsidR="00A7417B" w:rsidRPr="00172CB6">
        <w:t xml:space="preserve"> </w:t>
      </w:r>
      <w:r w:rsidRPr="00172CB6">
        <w:t>uvedou v komentáři k hodnocení konkrétní návrhy a</w:t>
      </w:r>
      <w:r w:rsidR="00BF0BC4" w:rsidRPr="00172CB6">
        <w:t> </w:t>
      </w:r>
      <w:r w:rsidRPr="00172CB6">
        <w:t>doporučení postupu v případě zjištění nesouladu</w:t>
      </w:r>
      <w:r w:rsidR="00A7417B" w:rsidRPr="00172CB6">
        <w:t xml:space="preserve"> (např. krácení rozpočtu)</w:t>
      </w:r>
      <w:r w:rsidR="004F6330">
        <w:t>.</w:t>
      </w:r>
      <w:r w:rsidR="00A7417B" w:rsidRPr="00172CB6">
        <w:t xml:space="preserve"> </w:t>
      </w:r>
      <w:r w:rsidR="004F6330">
        <w:t>V</w:t>
      </w:r>
      <w:r w:rsidR="00A7417B" w:rsidRPr="00172CB6">
        <w:t> opačném případě se MPSV stanoviskem hodnotitelů nezabývá.</w:t>
      </w:r>
      <w:r>
        <w:t xml:space="preserve"> </w:t>
      </w:r>
    </w:p>
    <w:p w14:paraId="2D552E5A" w14:textId="07553B17" w:rsidR="0065226F" w:rsidRDefault="0065226F" w:rsidP="0065226F">
      <w:r>
        <w:t>NKÚ zjistil, že žadatel v žádosti o podporu nestanovil cíl</w:t>
      </w:r>
      <w:r w:rsidR="008B2531">
        <w:rPr>
          <w:rStyle w:val="Znakapoznpodarou"/>
        </w:rPr>
        <w:footnoteReference w:id="24"/>
      </w:r>
      <w:r>
        <w:t xml:space="preserve"> projektu dle principů SMART</w:t>
      </w:r>
      <w:r w:rsidR="00596F97">
        <w:rPr>
          <w:rStyle w:val="Znakapoznpodarou"/>
        </w:rPr>
        <w:footnoteReference w:id="25"/>
      </w:r>
      <w:r>
        <w:t>, neboť cíl nebyl definován jako výsledný měřitelný stav, kterého má cílová skupina dosáhnout. Na</w:t>
      </w:r>
      <w:r w:rsidR="00295308">
        <w:t> </w:t>
      </w:r>
      <w:r>
        <w:t>nenastavení cíle projektu metodou SMART upozornili i oba hodnotitelé při věcném hodnocení projektu. Přesto však byl projekt vybrán k podpoře a jeho cíl zůstal nezměněn.</w:t>
      </w:r>
      <w:r w:rsidR="00A3345D">
        <w:t xml:space="preserve"> </w:t>
      </w:r>
      <w:r w:rsidR="00A3345D" w:rsidRPr="00172CB6">
        <w:t>Dle</w:t>
      </w:r>
      <w:r w:rsidR="007568F0">
        <w:t xml:space="preserve"> </w:t>
      </w:r>
      <w:r w:rsidR="00A3345D" w:rsidRPr="00125CF7">
        <w:rPr>
          <w:i/>
        </w:rPr>
        <w:t>O</w:t>
      </w:r>
      <w:r w:rsidR="00A3345D" w:rsidRPr="00B266E7">
        <w:rPr>
          <w:i/>
        </w:rPr>
        <w:t xml:space="preserve">becné části pravidel pro žadatele a příjemci v rámci </w:t>
      </w:r>
      <w:r w:rsidR="00125CF7">
        <w:rPr>
          <w:i/>
        </w:rPr>
        <w:t xml:space="preserve">operačního programu </w:t>
      </w:r>
      <w:r w:rsidR="00A3345D" w:rsidRPr="00125CF7">
        <w:rPr>
          <w:i/>
        </w:rPr>
        <w:t>Z</w:t>
      </w:r>
      <w:r w:rsidR="00125CF7">
        <w:rPr>
          <w:i/>
        </w:rPr>
        <w:t>aměstnanost</w:t>
      </w:r>
      <w:r w:rsidR="00A3345D" w:rsidRPr="00172CB6">
        <w:t xml:space="preserve"> přitom musí být cíle projektu měřitelné a</w:t>
      </w:r>
      <w:r w:rsidR="00172CB6" w:rsidRPr="00172CB6">
        <w:t> </w:t>
      </w:r>
      <w:r w:rsidR="00A3345D" w:rsidRPr="00172CB6">
        <w:t xml:space="preserve">reálně dosažitelné v daném čase a za daných podmínek. MPSV proto při </w:t>
      </w:r>
      <w:r w:rsidR="00490742" w:rsidRPr="00172CB6">
        <w:t xml:space="preserve">věcném </w:t>
      </w:r>
      <w:r w:rsidR="00A3345D" w:rsidRPr="00172CB6">
        <w:t xml:space="preserve">hodnocení nezajistilo, aby cíle podpořeného projektu odpovídaly dobré praxi stanovené </w:t>
      </w:r>
      <w:r w:rsidR="00A3345D" w:rsidRPr="00125CF7">
        <w:rPr>
          <w:i/>
        </w:rPr>
        <w:t>O</w:t>
      </w:r>
      <w:r w:rsidR="00A3345D" w:rsidRPr="00B266E7">
        <w:rPr>
          <w:i/>
        </w:rPr>
        <w:t xml:space="preserve">becnou částí pravidel pro žadatele a příjemce podpory v rámci </w:t>
      </w:r>
      <w:r w:rsidR="00125CF7">
        <w:rPr>
          <w:i/>
        </w:rPr>
        <w:t xml:space="preserve">operačního programu </w:t>
      </w:r>
      <w:r w:rsidR="00A3345D" w:rsidRPr="00125CF7">
        <w:rPr>
          <w:i/>
        </w:rPr>
        <w:t>Z</w:t>
      </w:r>
      <w:r w:rsidR="00125CF7">
        <w:rPr>
          <w:i/>
        </w:rPr>
        <w:t>aměstnanost</w:t>
      </w:r>
      <w:r w:rsidR="00A3345D" w:rsidRPr="00172CB6">
        <w:t>.</w:t>
      </w:r>
      <w:r w:rsidR="00A3345D">
        <w:t xml:space="preserve"> </w:t>
      </w:r>
    </w:p>
    <w:p w14:paraId="7552E848" w14:textId="4A983464" w:rsidR="00841B29" w:rsidRDefault="0017289B" w:rsidP="00757A6C">
      <w:r>
        <w:t xml:space="preserve">NKÚ zjistil, že </w:t>
      </w:r>
      <w:r w:rsidR="00BD72FE">
        <w:t>MPSV u jednoho projektu</w:t>
      </w:r>
      <w:r w:rsidR="00C93CE6">
        <w:t xml:space="preserve"> nezajistilo arbitrážní hodnocení, které by stanovilo konečný výsledek hodnocení. Pro daný projekt</w:t>
      </w:r>
      <w:r w:rsidR="00841B29">
        <w:t xml:space="preserve"> byla </w:t>
      </w:r>
      <w:r w:rsidR="00C93CE6">
        <w:t xml:space="preserve">přitom </w:t>
      </w:r>
      <w:r w:rsidR="00841B29">
        <w:t xml:space="preserve">vypracována </w:t>
      </w:r>
      <w:r>
        <w:t xml:space="preserve">dvě věcná </w:t>
      </w:r>
      <w:r w:rsidR="00841B29">
        <w:t xml:space="preserve">hodnocení individuálních </w:t>
      </w:r>
      <w:r w:rsidR="00E73709">
        <w:t xml:space="preserve">externích </w:t>
      </w:r>
      <w:r w:rsidR="00841B29">
        <w:t xml:space="preserve">hodnotitelů, která se od sebe lišila </w:t>
      </w:r>
      <w:r>
        <w:t xml:space="preserve">o </w:t>
      </w:r>
      <w:r w:rsidR="00C93CE6">
        <w:t>více než 20</w:t>
      </w:r>
      <w:r>
        <w:t xml:space="preserve"> bodů</w:t>
      </w:r>
      <w:r w:rsidR="00C93CE6">
        <w:t>, než umožňoval stanovený limit, a zároveň jedno z nich bylo vypracováno se stanoviskem „neuspěl“.</w:t>
      </w:r>
      <w:r w:rsidR="0037371E">
        <w:t xml:space="preserve"> </w:t>
      </w:r>
      <w:r>
        <w:t xml:space="preserve">Současně </w:t>
      </w:r>
      <w:r w:rsidR="006C3BD9">
        <w:t xml:space="preserve">došlo k úpravě </w:t>
      </w:r>
      <w:r w:rsidR="00714CB4">
        <w:t xml:space="preserve">tohoto stanoviska </w:t>
      </w:r>
      <w:r w:rsidR="003E49A7">
        <w:t>na „uspěl“</w:t>
      </w:r>
      <w:r w:rsidR="004B18FA">
        <w:t xml:space="preserve">, přičemž </w:t>
      </w:r>
      <w:r w:rsidR="006C3BD9">
        <w:t xml:space="preserve">v opraveném hodnocení projektu došlo k výrazným </w:t>
      </w:r>
      <w:r w:rsidR="008F7A47">
        <w:t>změnám</w:t>
      </w:r>
      <w:r w:rsidR="006C3BD9">
        <w:t xml:space="preserve"> významu textu slovního hodnocení </w:t>
      </w:r>
      <w:r>
        <w:t xml:space="preserve">projektu a dle toho </w:t>
      </w:r>
      <w:r w:rsidR="006C3BD9">
        <w:t>i k </w:t>
      </w:r>
      <w:r>
        <w:t>navýš</w:t>
      </w:r>
      <w:r w:rsidR="006C3BD9">
        <w:t>ení celkového počtu bodů</w:t>
      </w:r>
      <w:r>
        <w:t xml:space="preserve"> v nově zpracovaném hodnocení.</w:t>
      </w:r>
      <w:r w:rsidR="0037371E">
        <w:t xml:space="preserve"> </w:t>
      </w:r>
      <w:r w:rsidR="0037371E" w:rsidRPr="00172CB6">
        <w:t xml:space="preserve">MPSV tímto jednáním nepostupovalo v souladu s dobrou praxí stanovenou </w:t>
      </w:r>
      <w:r w:rsidR="0037371E" w:rsidRPr="00CC5F02">
        <w:rPr>
          <w:i/>
        </w:rPr>
        <w:t>Metodickým pokynem pro řízení výzev, hodnocení a</w:t>
      </w:r>
      <w:r w:rsidR="00FC78CF" w:rsidRPr="00CC5F02">
        <w:rPr>
          <w:i/>
        </w:rPr>
        <w:t> </w:t>
      </w:r>
      <w:r w:rsidR="0037371E" w:rsidRPr="00CC5F02">
        <w:rPr>
          <w:i/>
        </w:rPr>
        <w:t>výběr projektů v programovém období 2014</w:t>
      </w:r>
      <w:r w:rsidR="00DB6593" w:rsidRPr="00CC5F02">
        <w:rPr>
          <w:i/>
        </w:rPr>
        <w:t>–</w:t>
      </w:r>
      <w:r w:rsidR="0037371E" w:rsidRPr="00CC5F02">
        <w:rPr>
          <w:i/>
        </w:rPr>
        <w:t>2020</w:t>
      </w:r>
      <w:r w:rsidR="0037371E" w:rsidRPr="00172CB6">
        <w:t xml:space="preserve"> a pracovním postupem pro věcné hodnocení projektů v OPZ.</w:t>
      </w:r>
    </w:p>
    <w:p w14:paraId="4437C89B" w14:textId="2B8CA007" w:rsidR="005F4C4D" w:rsidRDefault="00D375E8" w:rsidP="00757A6C">
      <w:r w:rsidRPr="00D375E8">
        <w:lastRenderedPageBreak/>
        <w:t>NKÚ dále zjistil</w:t>
      </w:r>
      <w:r w:rsidR="005C7840">
        <w:t>, že výběrová komise MPSV nevznesla u jednoho z projektů v rámci věcného hodnocení připomínku k plánovaným aktivitám zaměřeným na</w:t>
      </w:r>
      <w:r w:rsidR="0034040B">
        <w:t xml:space="preserve"> podporu</w:t>
      </w:r>
      <w:r w:rsidR="005C7840">
        <w:t xml:space="preserve"> dět</w:t>
      </w:r>
      <w:r w:rsidR="0034040B">
        <w:t>í</w:t>
      </w:r>
      <w:r w:rsidR="004F6330">
        <w:t>. Příslušná</w:t>
      </w:r>
      <w:r w:rsidR="0034040B">
        <w:t xml:space="preserve"> </w:t>
      </w:r>
      <w:r w:rsidR="005C7840">
        <w:t xml:space="preserve">výzva k předkládání žádostí o podporu </w:t>
      </w:r>
      <w:r w:rsidR="004F6330">
        <w:t xml:space="preserve">přitom </w:t>
      </w:r>
      <w:r w:rsidR="005C7840">
        <w:t xml:space="preserve">takovou podporu nepovoluje, neboť cílovou skupinou zde jsou </w:t>
      </w:r>
      <w:r w:rsidR="0032411D">
        <w:t>jen</w:t>
      </w:r>
      <w:r w:rsidR="005C7840">
        <w:t xml:space="preserve"> osoby pečující o malé děti do 15 let věku. </w:t>
      </w:r>
      <w:r w:rsidR="004F6330">
        <w:t>A</w:t>
      </w:r>
      <w:r w:rsidR="005C7840">
        <w:t>ktivity, které nesouvisely s cílovou skupinou projektu</w:t>
      </w:r>
      <w:r w:rsidR="007F357D">
        <w:t>,</w:t>
      </w:r>
      <w:r w:rsidR="005C7840">
        <w:t xml:space="preserve"> zůstaly v projektu ponechány</w:t>
      </w:r>
      <w:r w:rsidR="005C7840" w:rsidRPr="00172CB6">
        <w:t xml:space="preserve">. </w:t>
      </w:r>
      <w:r w:rsidR="009701C7" w:rsidRPr="00172CB6">
        <w:t>Dle NKÚ proto MPSV nezajistilo podmínky pro účelné vynakládání peněžních prostředků státního rozpočtu a EU na podporu dané aktivity projektu.</w:t>
      </w:r>
    </w:p>
    <w:p w14:paraId="0434A999" w14:textId="465D603B" w:rsidR="00531359" w:rsidRDefault="00531359" w:rsidP="00757A6C">
      <w:r>
        <w:t xml:space="preserve">V rámci kontroly věcného hodnocení </w:t>
      </w:r>
      <w:r w:rsidR="00EC7864">
        <w:t xml:space="preserve">totožného </w:t>
      </w:r>
      <w:r w:rsidR="004F6330">
        <w:t xml:space="preserve">nákupu </w:t>
      </w:r>
      <w:r>
        <w:t xml:space="preserve">služby u dvou vybraných projektů NKÚ zjistil, že individuální externí hodnotitelé nepostupovali stejným způsobem, když jednomu z projektů </w:t>
      </w:r>
      <w:r w:rsidR="00554049">
        <w:t xml:space="preserve">výdaje na pomůcky pro děti, které nebyly </w:t>
      </w:r>
      <w:r w:rsidR="004F6330">
        <w:t xml:space="preserve">dle výzvy </w:t>
      </w:r>
      <w:r w:rsidR="00554049">
        <w:t>cílovou skupinou, pokrátil</w:t>
      </w:r>
      <w:r w:rsidR="00C21B4F">
        <w:t>i</w:t>
      </w:r>
      <w:r w:rsidR="00554049">
        <w:t xml:space="preserve"> ze 75 000 Kč na 0 Kč, zatímco ve druhém projektu jiný hodnotitel postupoval v totožném případě odlišně a výdaje obdobné povahy v projektu ve výši 36 000 Kč ponechal</w:t>
      </w:r>
      <w:r w:rsidR="004F6330">
        <w:t>.</w:t>
      </w:r>
      <w:r w:rsidR="00554049">
        <w:t xml:space="preserve"> </w:t>
      </w:r>
      <w:r w:rsidR="004F6330">
        <w:t>V</w:t>
      </w:r>
      <w:r w:rsidR="00554049">
        <w:t xml:space="preserve">ýběrová komise takový postup schválila a rozhodnutí hodnotitelů nezvrátila. </w:t>
      </w:r>
    </w:p>
    <w:p w14:paraId="60BA3A7F" w14:textId="172CA632" w:rsidR="00A1586C" w:rsidRPr="00172CB6" w:rsidRDefault="00A1586C" w:rsidP="004D7285">
      <w:pPr>
        <w:spacing w:after="0"/>
      </w:pPr>
      <w:r w:rsidRPr="00172CB6">
        <w:t>MPSV ve třech případech u kontrolovaných projektů nezajistilo důslednou předběžnou kontrolu plánovaných a připravovaných operací v souladu s ustanovením § 26 zákona č.</w:t>
      </w:r>
      <w:r w:rsidR="00B85D8B" w:rsidRPr="00172CB6">
        <w:t> </w:t>
      </w:r>
      <w:r w:rsidRPr="00172CB6">
        <w:t>320/2001 Sb., když:</w:t>
      </w:r>
    </w:p>
    <w:p w14:paraId="0A04EAC6" w14:textId="0B092574" w:rsidR="00A1586C" w:rsidRPr="004D7285" w:rsidRDefault="00A1586C" w:rsidP="004D7285">
      <w:pPr>
        <w:pStyle w:val="Odstavecseseznamem"/>
        <w:numPr>
          <w:ilvl w:val="0"/>
          <w:numId w:val="21"/>
        </w:numPr>
        <w:ind w:left="284" w:hanging="284"/>
        <w:contextualSpacing w:val="0"/>
        <w:jc w:val="both"/>
        <w:rPr>
          <w:rFonts w:ascii="Calibri" w:hAnsi="Calibri" w:cs="Calibri"/>
        </w:rPr>
      </w:pPr>
      <w:r w:rsidRPr="004D7285">
        <w:rPr>
          <w:rFonts w:ascii="Calibri" w:hAnsi="Calibri" w:cs="Calibri"/>
        </w:rPr>
        <w:t xml:space="preserve">před vydáním rozhodnutí o poskytnutí dotace </w:t>
      </w:r>
      <w:r w:rsidR="009804FF" w:rsidRPr="004D7285">
        <w:rPr>
          <w:rFonts w:ascii="Calibri" w:hAnsi="Calibri" w:cs="Calibri"/>
        </w:rPr>
        <w:t xml:space="preserve">u jednoho projektu </w:t>
      </w:r>
      <w:r w:rsidRPr="004D7285">
        <w:rPr>
          <w:rFonts w:ascii="Calibri" w:hAnsi="Calibri" w:cs="Calibri"/>
        </w:rPr>
        <w:t>nezjistilo, že v rozhodnutí o poskytnutí dotace byly uvedeny informace vztahující se ke klíčové aktivitě, která však byla na základě rozhodnutí výběrové komise MPSV z projektu bez náhrady vyjmuta. NKÚ prověřil, že i přes ponechání těchto neplatných informací v</w:t>
      </w:r>
      <w:r w:rsidR="00B85D8B" w:rsidRPr="004D7285">
        <w:rPr>
          <w:rFonts w:ascii="Calibri" w:hAnsi="Calibri" w:cs="Calibri"/>
        </w:rPr>
        <w:t> </w:t>
      </w:r>
      <w:r w:rsidRPr="004D7285">
        <w:rPr>
          <w:rFonts w:ascii="Calibri" w:hAnsi="Calibri" w:cs="Calibri"/>
        </w:rPr>
        <w:t>rozhodnutí o poskytnutí dotace nebyla klíčová aktivita v projektu realizována, a</w:t>
      </w:r>
      <w:r w:rsidR="00D54D4A" w:rsidRPr="004D7285">
        <w:rPr>
          <w:rFonts w:ascii="Calibri" w:hAnsi="Calibri" w:cs="Calibri"/>
        </w:rPr>
        <w:t> </w:t>
      </w:r>
      <w:r w:rsidRPr="004D7285">
        <w:rPr>
          <w:rFonts w:ascii="Calibri" w:hAnsi="Calibri" w:cs="Calibri"/>
        </w:rPr>
        <w:t xml:space="preserve">tudíž ani hrazena z prostředků </w:t>
      </w:r>
      <w:r w:rsidR="001B6394" w:rsidRPr="004D7285">
        <w:rPr>
          <w:rFonts w:ascii="Calibri" w:hAnsi="Calibri" w:cs="Calibri"/>
        </w:rPr>
        <w:t xml:space="preserve">SR a </w:t>
      </w:r>
      <w:r w:rsidRPr="004D7285">
        <w:rPr>
          <w:rFonts w:ascii="Calibri" w:hAnsi="Calibri" w:cs="Calibri"/>
        </w:rPr>
        <w:t>ESF</w:t>
      </w:r>
      <w:r w:rsidR="00BB3E30" w:rsidRPr="004D7285">
        <w:rPr>
          <w:rFonts w:ascii="Calibri" w:hAnsi="Calibri" w:cs="Calibri"/>
        </w:rPr>
        <w:t>;</w:t>
      </w:r>
    </w:p>
    <w:p w14:paraId="031DE67D" w14:textId="118CB563" w:rsidR="00A1586C" w:rsidRPr="004D7285" w:rsidRDefault="00BB3E30" w:rsidP="004D7285">
      <w:pPr>
        <w:pStyle w:val="Odstavecseseznamem"/>
        <w:numPr>
          <w:ilvl w:val="0"/>
          <w:numId w:val="21"/>
        </w:numPr>
        <w:ind w:left="284" w:hanging="284"/>
        <w:contextualSpacing w:val="0"/>
        <w:jc w:val="both"/>
        <w:rPr>
          <w:rFonts w:ascii="Calibri" w:hAnsi="Calibri" w:cs="Calibri"/>
        </w:rPr>
      </w:pPr>
      <w:r w:rsidRPr="004D7285">
        <w:rPr>
          <w:rFonts w:ascii="Calibri" w:hAnsi="Calibri" w:cs="Calibri"/>
        </w:rPr>
        <w:t>nezjistilo, že žádost o platbu u jednoho z</w:t>
      </w:r>
      <w:r w:rsidR="00B85D8B" w:rsidRPr="004D7285">
        <w:rPr>
          <w:rFonts w:ascii="Calibri" w:hAnsi="Calibri" w:cs="Calibri"/>
        </w:rPr>
        <w:t> </w:t>
      </w:r>
      <w:r w:rsidRPr="004D7285">
        <w:rPr>
          <w:rFonts w:ascii="Calibri" w:hAnsi="Calibri" w:cs="Calibri"/>
        </w:rPr>
        <w:t>příjemců podpory obsahovala nezpůsobilý výdaj, který nebyl doložen fakturami nebo účetními doklady</w:t>
      </w:r>
      <w:r w:rsidR="009804FF" w:rsidRPr="004D7285">
        <w:rPr>
          <w:rFonts w:ascii="Calibri" w:hAnsi="Calibri" w:cs="Calibri"/>
        </w:rPr>
        <w:t xml:space="preserve">. </w:t>
      </w:r>
      <w:r w:rsidR="00A1586C" w:rsidRPr="004D7285">
        <w:rPr>
          <w:rFonts w:ascii="Calibri" w:hAnsi="Calibri" w:cs="Calibri"/>
        </w:rPr>
        <w:t xml:space="preserve">MPSV </w:t>
      </w:r>
      <w:r w:rsidR="009804FF" w:rsidRPr="004D7285">
        <w:rPr>
          <w:rFonts w:ascii="Calibri" w:hAnsi="Calibri" w:cs="Calibri"/>
        </w:rPr>
        <w:t xml:space="preserve">proto současně </w:t>
      </w:r>
      <w:r w:rsidR="00A1586C" w:rsidRPr="004D7285">
        <w:rPr>
          <w:rFonts w:ascii="Calibri" w:hAnsi="Calibri" w:cs="Calibri"/>
        </w:rPr>
        <w:t>nepostupovalo v souladu s ustanovením čl.</w:t>
      </w:r>
      <w:r w:rsidR="00B85D8B" w:rsidRPr="004D7285">
        <w:rPr>
          <w:rFonts w:ascii="Calibri" w:hAnsi="Calibri" w:cs="Calibri"/>
        </w:rPr>
        <w:t> </w:t>
      </w:r>
      <w:r w:rsidR="00A1586C" w:rsidRPr="004D7285">
        <w:rPr>
          <w:rFonts w:ascii="Calibri" w:hAnsi="Calibri" w:cs="Calibri"/>
        </w:rPr>
        <w:t>125, odst. 4, písm. a) nařízení Evropského parlamentu a Rady (EU) č. 1303/2013 ze dne 17.</w:t>
      </w:r>
      <w:r w:rsidR="00B85D8B" w:rsidRPr="004D7285">
        <w:rPr>
          <w:rFonts w:ascii="Calibri" w:hAnsi="Calibri" w:cs="Calibri"/>
        </w:rPr>
        <w:t> </w:t>
      </w:r>
      <w:r w:rsidR="00A1586C" w:rsidRPr="004D7285">
        <w:rPr>
          <w:rFonts w:ascii="Calibri" w:hAnsi="Calibri" w:cs="Calibri"/>
        </w:rPr>
        <w:t>12.</w:t>
      </w:r>
      <w:r w:rsidR="00B85D8B" w:rsidRPr="004D7285">
        <w:rPr>
          <w:rFonts w:ascii="Calibri" w:hAnsi="Calibri" w:cs="Calibri"/>
        </w:rPr>
        <w:t> </w:t>
      </w:r>
      <w:r w:rsidR="00A1586C" w:rsidRPr="004D7285">
        <w:rPr>
          <w:rFonts w:ascii="Calibri" w:hAnsi="Calibri" w:cs="Calibri"/>
        </w:rPr>
        <w:t>2013</w:t>
      </w:r>
      <w:r w:rsidR="009804FF" w:rsidRPr="004D7285">
        <w:rPr>
          <w:rFonts w:ascii="Calibri" w:hAnsi="Calibri" w:cs="Calibri"/>
        </w:rPr>
        <w:t>;</w:t>
      </w:r>
    </w:p>
    <w:p w14:paraId="25FE7AD6" w14:textId="7F4DA4F6" w:rsidR="009804FF" w:rsidRPr="004D7285" w:rsidRDefault="00B85D8B" w:rsidP="004D7285">
      <w:pPr>
        <w:pStyle w:val="Odstavecseseznamem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Calibri" w:hAnsi="Calibri" w:cs="Calibri"/>
        </w:rPr>
      </w:pPr>
      <w:r w:rsidRPr="004D7285">
        <w:rPr>
          <w:rFonts w:ascii="Calibri" w:hAnsi="Calibri" w:cs="Calibri"/>
        </w:rPr>
        <w:t xml:space="preserve">u tří projektů jednoho příjemce podpory </w:t>
      </w:r>
      <w:r w:rsidR="009804FF" w:rsidRPr="004D7285">
        <w:rPr>
          <w:rFonts w:ascii="Calibri" w:hAnsi="Calibri" w:cs="Calibri"/>
        </w:rPr>
        <w:t>nezjistilo nesprávně uvedený odkaz na</w:t>
      </w:r>
      <w:r w:rsidR="004D7285">
        <w:rPr>
          <w:rFonts w:ascii="Calibri" w:hAnsi="Calibri" w:cs="Calibri"/>
        </w:rPr>
        <w:t xml:space="preserve"> </w:t>
      </w:r>
      <w:r w:rsidR="009804FF" w:rsidRPr="004D7285">
        <w:rPr>
          <w:rFonts w:ascii="Calibri" w:hAnsi="Calibri" w:cs="Calibri"/>
        </w:rPr>
        <w:t>neplatnou vyhlášku</w:t>
      </w:r>
      <w:r w:rsidRPr="004D7285">
        <w:rPr>
          <w:rFonts w:ascii="Calibri" w:hAnsi="Calibri" w:cs="Calibri"/>
        </w:rPr>
        <w:t xml:space="preserve"> v právním aktu o poskytnutí/převodu podpory</w:t>
      </w:r>
      <w:r w:rsidR="009804FF" w:rsidRPr="004D7285">
        <w:rPr>
          <w:rFonts w:ascii="Calibri" w:hAnsi="Calibri" w:cs="Calibri"/>
        </w:rPr>
        <w:t xml:space="preserve">. </w:t>
      </w:r>
    </w:p>
    <w:p w14:paraId="1390FB04" w14:textId="76798007" w:rsidR="002651FB" w:rsidRPr="009804FF" w:rsidRDefault="00B90120" w:rsidP="009804FF">
      <w:pPr>
        <w:rPr>
          <w:rFonts w:cstheme="minorHAnsi"/>
        </w:rPr>
      </w:pPr>
      <w:r w:rsidRPr="002651FB">
        <w:t xml:space="preserve">MPSV v rozhodnutích o poskytnutí dotace zavázalo příjemce podpory u </w:t>
      </w:r>
      <w:r w:rsidR="004237BC">
        <w:t xml:space="preserve">kontrolovaných </w:t>
      </w:r>
      <w:r w:rsidRPr="002651FB">
        <w:t>projektů financovaných zálohově, tzv. ex ante, dotaci finančně vypořádat v souladu se</w:t>
      </w:r>
      <w:r w:rsidR="004D7285">
        <w:t xml:space="preserve"> </w:t>
      </w:r>
      <w:r w:rsidRPr="002651FB">
        <w:t>zákonem č.</w:t>
      </w:r>
      <w:r w:rsidR="00BF0BC4">
        <w:t> </w:t>
      </w:r>
      <w:r w:rsidRPr="002651FB">
        <w:t>218/2000 Sb. a vyhláškou č. 367/2015 Sb.</w:t>
      </w:r>
      <w:r w:rsidR="002651FB" w:rsidRPr="002651FB">
        <w:t xml:space="preserve"> </w:t>
      </w:r>
      <w:r w:rsidR="002651FB">
        <w:t xml:space="preserve">NKÚ však kontrolou zjistil, že v praxi </w:t>
      </w:r>
      <w:r w:rsidR="002651FB" w:rsidRPr="009804FF">
        <w:rPr>
          <w:bCs/>
        </w:rPr>
        <w:t xml:space="preserve">MPSV po příjemcích podpory zpravidla nevyžaduje </w:t>
      </w:r>
      <w:r w:rsidR="003370A6" w:rsidRPr="00172CB6">
        <w:rPr>
          <w:bCs/>
        </w:rPr>
        <w:t>finanční vypořádání dotace (</w:t>
      </w:r>
      <w:r w:rsidR="002651FB" w:rsidRPr="00172CB6">
        <w:rPr>
          <w:bCs/>
        </w:rPr>
        <w:t>vyúčtování</w:t>
      </w:r>
      <w:r w:rsidR="009750CD" w:rsidRPr="00172CB6">
        <w:rPr>
          <w:bCs/>
        </w:rPr>
        <w:t xml:space="preserve">) </w:t>
      </w:r>
      <w:r w:rsidR="002651FB" w:rsidRPr="00172CB6">
        <w:rPr>
          <w:bCs/>
        </w:rPr>
        <w:t>dle vyhlášky č.</w:t>
      </w:r>
      <w:r w:rsidR="006D71E9" w:rsidRPr="00172CB6">
        <w:t> </w:t>
      </w:r>
      <w:r w:rsidR="002651FB" w:rsidRPr="00172CB6">
        <w:rPr>
          <w:bCs/>
        </w:rPr>
        <w:t>367/2015 Sb. obsahující přehled o veškerých dotacích za</w:t>
      </w:r>
      <w:r w:rsidR="007F357D">
        <w:rPr>
          <w:bCs/>
        </w:rPr>
        <w:t xml:space="preserve"> </w:t>
      </w:r>
      <w:r w:rsidR="002651FB" w:rsidRPr="00172CB6">
        <w:rPr>
          <w:bCs/>
        </w:rPr>
        <w:t>předchozí rok</w:t>
      </w:r>
      <w:r w:rsidR="009608F4" w:rsidRPr="00172CB6">
        <w:rPr>
          <w:bCs/>
        </w:rPr>
        <w:t xml:space="preserve">. </w:t>
      </w:r>
      <w:r w:rsidR="004F6330">
        <w:t>Tím, že</w:t>
      </w:r>
      <w:r w:rsidR="004D7285">
        <w:t xml:space="preserve"> </w:t>
      </w:r>
      <w:r w:rsidR="004F6330">
        <w:t xml:space="preserve">MPSV neověřuje, zda </w:t>
      </w:r>
      <w:r w:rsidR="004F6330" w:rsidRPr="00172CB6">
        <w:rPr>
          <w:bCs/>
        </w:rPr>
        <w:t>jednotliví příjemci podpory plní povinnosti, které jim stanovuje právní akt</w:t>
      </w:r>
      <w:r w:rsidR="004F6330" w:rsidRPr="009804FF">
        <w:rPr>
          <w:bCs/>
        </w:rPr>
        <w:t xml:space="preserve"> o poskytnutí/převodu podpory, </w:t>
      </w:r>
      <w:r w:rsidR="004F6330" w:rsidRPr="00125CF7">
        <w:rPr>
          <w:bCs/>
          <w:i/>
        </w:rPr>
        <w:t>O</w:t>
      </w:r>
      <w:r w:rsidR="004F6330" w:rsidRPr="00B266E7">
        <w:rPr>
          <w:bCs/>
          <w:i/>
        </w:rPr>
        <w:t>becná část pravidel pro žadatele a příjemce v</w:t>
      </w:r>
      <w:r w:rsidR="00295308" w:rsidRPr="00B266E7">
        <w:rPr>
          <w:bCs/>
          <w:i/>
        </w:rPr>
        <w:t> </w:t>
      </w:r>
      <w:r w:rsidR="004F6330" w:rsidRPr="00B266E7">
        <w:rPr>
          <w:bCs/>
          <w:i/>
        </w:rPr>
        <w:t xml:space="preserve">rámci </w:t>
      </w:r>
      <w:r w:rsidR="00125CF7">
        <w:rPr>
          <w:bCs/>
          <w:i/>
        </w:rPr>
        <w:t xml:space="preserve">operačního programu </w:t>
      </w:r>
      <w:r w:rsidR="004F6330" w:rsidRPr="00125CF7">
        <w:rPr>
          <w:bCs/>
          <w:i/>
        </w:rPr>
        <w:t>Z</w:t>
      </w:r>
      <w:r w:rsidR="00125CF7">
        <w:rPr>
          <w:bCs/>
          <w:i/>
        </w:rPr>
        <w:t>aměstnanost</w:t>
      </w:r>
      <w:r w:rsidR="004F6330" w:rsidRPr="007F357D">
        <w:rPr>
          <w:bCs/>
        </w:rPr>
        <w:t xml:space="preserve"> </w:t>
      </w:r>
      <w:r w:rsidR="004F6330" w:rsidRPr="009804FF">
        <w:rPr>
          <w:bCs/>
        </w:rPr>
        <w:t>a vyhláška č. 367/2015 Sb.</w:t>
      </w:r>
      <w:r w:rsidR="004F6330">
        <w:rPr>
          <w:bCs/>
        </w:rPr>
        <w:t>, nepostupuje v souladu s</w:t>
      </w:r>
      <w:r w:rsidR="00B266E7">
        <w:rPr>
          <w:bCs/>
        </w:rPr>
        <w:t> </w:t>
      </w:r>
      <w:r w:rsidR="004F6330">
        <w:rPr>
          <w:bCs/>
        </w:rPr>
        <w:t>ustanovením</w:t>
      </w:r>
      <w:r w:rsidR="004F6330">
        <w:t xml:space="preserve"> </w:t>
      </w:r>
      <w:r w:rsidR="004F6330" w:rsidRPr="00172CB6">
        <w:rPr>
          <w:bCs/>
        </w:rPr>
        <w:t>§ 10 vyhlášky č.</w:t>
      </w:r>
      <w:r w:rsidR="00295308">
        <w:rPr>
          <w:bCs/>
        </w:rPr>
        <w:t> </w:t>
      </w:r>
      <w:r w:rsidR="004F6330" w:rsidRPr="00172CB6">
        <w:rPr>
          <w:bCs/>
        </w:rPr>
        <w:t>367/2015 Sb.</w:t>
      </w:r>
      <w:r w:rsidR="004F6330">
        <w:rPr>
          <w:bCs/>
        </w:rPr>
        <w:t xml:space="preserve"> Na</w:t>
      </w:r>
      <w:r w:rsidR="00D70384" w:rsidRPr="009804FF">
        <w:rPr>
          <w:bCs/>
        </w:rPr>
        <w:t xml:space="preserve"> vzorku </w:t>
      </w:r>
      <w:r w:rsidR="00333C14">
        <w:rPr>
          <w:bCs/>
        </w:rPr>
        <w:t>sedmi</w:t>
      </w:r>
      <w:r w:rsidR="00D70384" w:rsidRPr="009804FF">
        <w:rPr>
          <w:bCs/>
        </w:rPr>
        <w:t xml:space="preserve"> kontrolovaných projektů financovaných ex-ante, u kterých mělo být finanční vypořádání zasláno na MPSV, NKÚ zjistil, že celkem </w:t>
      </w:r>
      <w:r w:rsidR="007F357D">
        <w:rPr>
          <w:bCs/>
        </w:rPr>
        <w:t>čtyři</w:t>
      </w:r>
      <w:r w:rsidR="00D70384" w:rsidRPr="009804FF">
        <w:rPr>
          <w:bCs/>
        </w:rPr>
        <w:t xml:space="preserve"> příjemci podpory nepředložili formulář finančního vypořádání projektu.</w:t>
      </w:r>
    </w:p>
    <w:p w14:paraId="1DF4D3C5" w14:textId="72B2DA02" w:rsidR="0026479E" w:rsidRPr="00136B40" w:rsidRDefault="00277B27" w:rsidP="0062216A">
      <w:pPr>
        <w:pStyle w:val="Default"/>
        <w:spacing w:before="120" w:after="120"/>
        <w:jc w:val="both"/>
        <w:rPr>
          <w:rFonts w:asciiTheme="minorHAnsi" w:hAnsiTheme="minorHAnsi" w:cstheme="minorHAnsi"/>
          <w:bCs/>
        </w:rPr>
      </w:pPr>
      <w:r w:rsidRPr="00172CB6">
        <w:rPr>
          <w:rFonts w:asciiTheme="minorHAnsi" w:hAnsiTheme="minorHAnsi" w:cstheme="minorHAnsi"/>
          <w:bCs/>
        </w:rPr>
        <w:t>NKÚ</w:t>
      </w:r>
      <w:r>
        <w:rPr>
          <w:rFonts w:asciiTheme="minorHAnsi" w:hAnsiTheme="minorHAnsi" w:cstheme="minorHAnsi"/>
          <w:bCs/>
        </w:rPr>
        <w:t xml:space="preserve"> </w:t>
      </w:r>
      <w:r w:rsidR="00F30FBC">
        <w:rPr>
          <w:rFonts w:asciiTheme="minorHAnsi" w:hAnsiTheme="minorHAnsi" w:cstheme="minorHAnsi"/>
          <w:bCs/>
        </w:rPr>
        <w:t xml:space="preserve">u </w:t>
      </w:r>
      <w:r w:rsidR="00136B40">
        <w:rPr>
          <w:rFonts w:asciiTheme="minorHAnsi" w:hAnsiTheme="minorHAnsi" w:cstheme="minorHAnsi"/>
          <w:bCs/>
        </w:rPr>
        <w:t>tří projektů</w:t>
      </w:r>
      <w:r w:rsidR="00333AA8">
        <w:rPr>
          <w:rFonts w:asciiTheme="minorHAnsi" w:hAnsiTheme="minorHAnsi" w:cstheme="minorHAnsi"/>
          <w:bCs/>
        </w:rPr>
        <w:t xml:space="preserve"> realizovaných</w:t>
      </w:r>
      <w:r w:rsidR="00136B40">
        <w:rPr>
          <w:rFonts w:asciiTheme="minorHAnsi" w:hAnsiTheme="minorHAnsi" w:cstheme="minorHAnsi"/>
          <w:bCs/>
        </w:rPr>
        <w:t xml:space="preserve"> ÚP ČR zjistil, že MPSV</w:t>
      </w:r>
      <w:r w:rsidR="00136B40" w:rsidRPr="00136B40">
        <w:t xml:space="preserve"> </w:t>
      </w:r>
      <w:r w:rsidR="00136B40" w:rsidRPr="00136B40">
        <w:rPr>
          <w:rFonts w:asciiTheme="minorHAnsi" w:hAnsiTheme="minorHAnsi" w:cstheme="minorHAnsi"/>
          <w:bCs/>
        </w:rPr>
        <w:t xml:space="preserve">obdrželo od platebního a certifikačního orgánu mj. pro </w:t>
      </w:r>
      <w:r w:rsidR="00136B40">
        <w:rPr>
          <w:rFonts w:asciiTheme="minorHAnsi" w:hAnsiTheme="minorHAnsi" w:cstheme="minorHAnsi"/>
          <w:bCs/>
        </w:rPr>
        <w:t xml:space="preserve">kontrolované </w:t>
      </w:r>
      <w:r w:rsidR="00136B40" w:rsidRPr="00136B40">
        <w:rPr>
          <w:rFonts w:asciiTheme="minorHAnsi" w:hAnsiTheme="minorHAnsi" w:cstheme="minorHAnsi"/>
          <w:bCs/>
        </w:rPr>
        <w:t>projekty</w:t>
      </w:r>
      <w:r w:rsidR="00136B40">
        <w:rPr>
          <w:rFonts w:asciiTheme="minorHAnsi" w:hAnsiTheme="minorHAnsi" w:cstheme="minorHAnsi"/>
          <w:bCs/>
        </w:rPr>
        <w:t xml:space="preserve"> </w:t>
      </w:r>
      <w:r w:rsidR="00136B40" w:rsidRPr="00136B40">
        <w:rPr>
          <w:rFonts w:asciiTheme="minorHAnsi" w:hAnsiTheme="minorHAnsi" w:cstheme="minorHAnsi"/>
          <w:bCs/>
        </w:rPr>
        <w:t xml:space="preserve">výjimku z postupů </w:t>
      </w:r>
      <w:r w:rsidR="00136B40" w:rsidRPr="00CC5F02">
        <w:rPr>
          <w:rFonts w:asciiTheme="minorHAnsi" w:hAnsiTheme="minorHAnsi" w:cstheme="minorHAnsi"/>
          <w:bCs/>
          <w:i/>
        </w:rPr>
        <w:t>M</w:t>
      </w:r>
      <w:r w:rsidR="00765CA2" w:rsidRPr="00CC5F02">
        <w:rPr>
          <w:rFonts w:asciiTheme="minorHAnsi" w:hAnsiTheme="minorHAnsi" w:cstheme="minorHAnsi"/>
          <w:bCs/>
          <w:i/>
        </w:rPr>
        <w:t>etodického pokynu finančních toků</w:t>
      </w:r>
      <w:r w:rsidR="00136B40" w:rsidRPr="00CC5F02">
        <w:rPr>
          <w:rFonts w:asciiTheme="minorHAnsi" w:hAnsiTheme="minorHAnsi" w:cstheme="minorHAnsi"/>
          <w:bCs/>
          <w:i/>
        </w:rPr>
        <w:t xml:space="preserve"> </w:t>
      </w:r>
      <w:r w:rsidR="007F357D" w:rsidRPr="00CC5F02">
        <w:rPr>
          <w:rFonts w:asciiTheme="minorHAnsi" w:hAnsiTheme="minorHAnsi" w:cstheme="minorHAnsi"/>
          <w:bCs/>
          <w:i/>
        </w:rPr>
        <w:t xml:space="preserve">programů </w:t>
      </w:r>
      <w:r w:rsidR="00136B40" w:rsidRPr="00CC5F02">
        <w:rPr>
          <w:rFonts w:asciiTheme="minorHAnsi" w:hAnsiTheme="minorHAnsi" w:cstheme="minorHAnsi"/>
          <w:bCs/>
          <w:i/>
        </w:rPr>
        <w:t>2014–2020</w:t>
      </w:r>
      <w:r w:rsidR="00136B40" w:rsidRPr="00136B40">
        <w:rPr>
          <w:rFonts w:asciiTheme="minorHAnsi" w:hAnsiTheme="minorHAnsi" w:cstheme="minorHAnsi"/>
          <w:bCs/>
        </w:rPr>
        <w:t xml:space="preserve"> předkládat </w:t>
      </w:r>
      <w:r w:rsidR="0026479E">
        <w:rPr>
          <w:rFonts w:asciiTheme="minorHAnsi" w:hAnsiTheme="minorHAnsi" w:cstheme="minorHAnsi"/>
          <w:bCs/>
        </w:rPr>
        <w:t xml:space="preserve">k </w:t>
      </w:r>
      <w:r w:rsidR="00136B40" w:rsidRPr="00136B40">
        <w:rPr>
          <w:rFonts w:asciiTheme="minorHAnsi" w:hAnsiTheme="minorHAnsi" w:cstheme="minorHAnsi"/>
          <w:bCs/>
        </w:rPr>
        <w:t>žádost</w:t>
      </w:r>
      <w:r w:rsidR="0026479E">
        <w:rPr>
          <w:rFonts w:asciiTheme="minorHAnsi" w:hAnsiTheme="minorHAnsi" w:cstheme="minorHAnsi"/>
          <w:bCs/>
        </w:rPr>
        <w:t>i</w:t>
      </w:r>
      <w:r w:rsidR="00136B40" w:rsidRPr="00136B40">
        <w:rPr>
          <w:rFonts w:asciiTheme="minorHAnsi" w:hAnsiTheme="minorHAnsi" w:cstheme="minorHAnsi"/>
          <w:bCs/>
        </w:rPr>
        <w:t xml:space="preserve"> o platbu doklady</w:t>
      </w:r>
      <w:r w:rsidR="00333AA8">
        <w:rPr>
          <w:rFonts w:asciiTheme="minorHAnsi" w:hAnsiTheme="minorHAnsi" w:cstheme="minorHAnsi"/>
          <w:bCs/>
        </w:rPr>
        <w:t xml:space="preserve"> k uskutečněný</w:t>
      </w:r>
      <w:r w:rsidR="00765CA2">
        <w:rPr>
          <w:rFonts w:asciiTheme="minorHAnsi" w:hAnsiTheme="minorHAnsi" w:cstheme="minorHAnsi"/>
          <w:bCs/>
        </w:rPr>
        <w:t>m</w:t>
      </w:r>
      <w:r w:rsidR="00333AA8">
        <w:rPr>
          <w:rFonts w:asciiTheme="minorHAnsi" w:hAnsiTheme="minorHAnsi" w:cstheme="minorHAnsi"/>
          <w:bCs/>
        </w:rPr>
        <w:t xml:space="preserve"> výdajům</w:t>
      </w:r>
      <w:r w:rsidR="0026479E">
        <w:rPr>
          <w:rFonts w:asciiTheme="minorHAnsi" w:hAnsiTheme="minorHAnsi" w:cstheme="minorHAnsi"/>
          <w:bCs/>
        </w:rPr>
        <w:t xml:space="preserve">. Tuto výjimku však MPSV pro ÚP ČR již nepřeneslo do </w:t>
      </w:r>
      <w:r w:rsidR="003A4F3B">
        <w:rPr>
          <w:rFonts w:asciiTheme="minorHAnsi" w:hAnsiTheme="minorHAnsi" w:cstheme="minorHAnsi"/>
          <w:bCs/>
        </w:rPr>
        <w:t>p</w:t>
      </w:r>
      <w:r w:rsidR="0026479E">
        <w:rPr>
          <w:rFonts w:asciiTheme="minorHAnsi" w:hAnsiTheme="minorHAnsi" w:cstheme="minorHAnsi"/>
          <w:bCs/>
        </w:rPr>
        <w:t xml:space="preserve">odmínek použití podpory a informovalo </w:t>
      </w:r>
      <w:r w:rsidR="00765CA2">
        <w:rPr>
          <w:rFonts w:asciiTheme="minorHAnsi" w:hAnsiTheme="minorHAnsi" w:cstheme="minorHAnsi"/>
          <w:bCs/>
        </w:rPr>
        <w:t xml:space="preserve">ÚP ČR </w:t>
      </w:r>
      <w:r w:rsidR="0026479E">
        <w:rPr>
          <w:rFonts w:asciiTheme="minorHAnsi" w:hAnsiTheme="minorHAnsi" w:cstheme="minorHAnsi"/>
          <w:bCs/>
        </w:rPr>
        <w:t>pouze prostřednictvím e</w:t>
      </w:r>
      <w:r w:rsidR="003A4F3B">
        <w:rPr>
          <w:rFonts w:asciiTheme="minorHAnsi" w:hAnsiTheme="minorHAnsi" w:cstheme="minorHAnsi"/>
          <w:bCs/>
        </w:rPr>
        <w:t>-</w:t>
      </w:r>
      <w:r w:rsidR="0026479E">
        <w:rPr>
          <w:rFonts w:asciiTheme="minorHAnsi" w:hAnsiTheme="minorHAnsi" w:cstheme="minorHAnsi"/>
          <w:bCs/>
        </w:rPr>
        <w:t>mailové korespondence</w:t>
      </w:r>
      <w:r w:rsidR="00E01D6D">
        <w:rPr>
          <w:rFonts w:asciiTheme="minorHAnsi" w:hAnsiTheme="minorHAnsi" w:cstheme="minorHAnsi"/>
          <w:bCs/>
        </w:rPr>
        <w:t xml:space="preserve">, kde uvedlo, že výjimka se nevztahuje na výdaje rozpočtu položky 1.5 </w:t>
      </w:r>
      <w:r w:rsidR="00E01D6D" w:rsidRPr="004A16AA">
        <w:rPr>
          <w:rFonts w:asciiTheme="minorHAnsi" w:hAnsiTheme="minorHAnsi" w:cstheme="minorHAnsi"/>
          <w:bCs/>
          <w:i/>
        </w:rPr>
        <w:t xml:space="preserve">Nákup služeb </w:t>
      </w:r>
      <w:r w:rsidR="00E01D6D">
        <w:rPr>
          <w:rFonts w:asciiTheme="minorHAnsi" w:hAnsiTheme="minorHAnsi" w:cstheme="minorHAnsi"/>
          <w:bCs/>
        </w:rPr>
        <w:t>(kromě rekvalifikací)</w:t>
      </w:r>
      <w:r w:rsidR="0026479E">
        <w:rPr>
          <w:rFonts w:asciiTheme="minorHAnsi" w:hAnsiTheme="minorHAnsi" w:cstheme="minorHAnsi"/>
          <w:bCs/>
        </w:rPr>
        <w:t>. V této souvislosti NKÚ zjistil, že</w:t>
      </w:r>
      <w:r w:rsidR="003A4F3B">
        <w:rPr>
          <w:rFonts w:asciiTheme="minorHAnsi" w:hAnsiTheme="minorHAnsi" w:cstheme="minorHAnsi"/>
          <w:bCs/>
        </w:rPr>
        <w:t xml:space="preserve"> </w:t>
      </w:r>
      <w:r w:rsidR="00474203">
        <w:rPr>
          <w:rFonts w:asciiTheme="minorHAnsi" w:hAnsiTheme="minorHAnsi" w:cstheme="minorHAnsi"/>
          <w:bCs/>
        </w:rPr>
        <w:t>u jednoho</w:t>
      </w:r>
      <w:r w:rsidR="0026479E">
        <w:rPr>
          <w:rFonts w:asciiTheme="minorHAnsi" w:hAnsiTheme="minorHAnsi" w:cstheme="minorHAnsi"/>
          <w:bCs/>
        </w:rPr>
        <w:t xml:space="preserve"> z projektů ÚP ČR </w:t>
      </w:r>
      <w:r w:rsidR="00474203">
        <w:rPr>
          <w:rFonts w:asciiTheme="minorHAnsi" w:hAnsiTheme="minorHAnsi" w:cstheme="minorHAnsi"/>
          <w:bCs/>
        </w:rPr>
        <w:t>nepřiložil k</w:t>
      </w:r>
      <w:r w:rsidR="0026479E">
        <w:rPr>
          <w:rFonts w:asciiTheme="minorHAnsi" w:hAnsiTheme="minorHAnsi" w:cstheme="minorHAnsi"/>
          <w:bCs/>
        </w:rPr>
        <w:t xml:space="preserve"> žádostem o platbu č. </w:t>
      </w:r>
      <w:r w:rsidR="00172CB6">
        <w:rPr>
          <w:rFonts w:asciiTheme="minorHAnsi" w:hAnsiTheme="minorHAnsi" w:cstheme="minorHAnsi"/>
          <w:bCs/>
        </w:rPr>
        <w:t>6–10</w:t>
      </w:r>
      <w:r w:rsidR="0026479E">
        <w:rPr>
          <w:rFonts w:asciiTheme="minorHAnsi" w:hAnsiTheme="minorHAnsi" w:cstheme="minorHAnsi"/>
          <w:bCs/>
        </w:rPr>
        <w:t xml:space="preserve"> </w:t>
      </w:r>
      <w:r w:rsidR="00474203">
        <w:rPr>
          <w:rFonts w:asciiTheme="minorHAnsi" w:hAnsiTheme="minorHAnsi" w:cstheme="minorHAnsi"/>
          <w:bCs/>
        </w:rPr>
        <w:t>požadované doklady</w:t>
      </w:r>
      <w:r w:rsidR="0026479E">
        <w:rPr>
          <w:rFonts w:asciiTheme="minorHAnsi" w:hAnsiTheme="minorHAnsi" w:cstheme="minorHAnsi"/>
          <w:bCs/>
        </w:rPr>
        <w:t xml:space="preserve">. </w:t>
      </w:r>
      <w:r w:rsidR="001732BB">
        <w:rPr>
          <w:rFonts w:asciiTheme="minorHAnsi" w:hAnsiTheme="minorHAnsi" w:cstheme="minorHAnsi"/>
          <w:bCs/>
        </w:rPr>
        <w:t xml:space="preserve">S odvoláním na uvedenou výjimku MPSV </w:t>
      </w:r>
      <w:r w:rsidR="00E01D6D">
        <w:rPr>
          <w:rFonts w:asciiTheme="minorHAnsi" w:hAnsiTheme="minorHAnsi" w:cstheme="minorHAnsi"/>
          <w:bCs/>
        </w:rPr>
        <w:t xml:space="preserve">neprověřovalo, zda příjemce přiložil u položek </w:t>
      </w:r>
      <w:r w:rsidR="00E01D6D">
        <w:rPr>
          <w:rFonts w:asciiTheme="minorHAnsi" w:hAnsiTheme="minorHAnsi" w:cstheme="minorHAnsi"/>
          <w:bCs/>
        </w:rPr>
        <w:lastRenderedPageBreak/>
        <w:t>nákupu služeb, jejichž částka převýšila 10 000 Kč, kopie účetních dokladů spolu s bankovními výpisy</w:t>
      </w:r>
      <w:r w:rsidR="003A4F3B">
        <w:rPr>
          <w:rFonts w:asciiTheme="minorHAnsi" w:hAnsiTheme="minorHAnsi" w:cstheme="minorHAnsi"/>
          <w:bCs/>
        </w:rPr>
        <w:t>,</w:t>
      </w:r>
      <w:r w:rsidR="00E01D6D">
        <w:rPr>
          <w:rFonts w:asciiTheme="minorHAnsi" w:hAnsiTheme="minorHAnsi" w:cstheme="minorHAnsi"/>
          <w:bCs/>
        </w:rPr>
        <w:t xml:space="preserve"> a současně tak neověřilo, zda příjemce podpory dodržel podmínky právního aktu </w:t>
      </w:r>
      <w:r w:rsidR="00474203">
        <w:rPr>
          <w:rFonts w:asciiTheme="minorHAnsi" w:hAnsiTheme="minorHAnsi" w:cstheme="minorHAnsi"/>
          <w:bCs/>
        </w:rPr>
        <w:t>o</w:t>
      </w:r>
      <w:r w:rsidR="001732BB">
        <w:rPr>
          <w:rFonts w:asciiTheme="minorHAnsi" w:hAnsiTheme="minorHAnsi" w:cstheme="minorHAnsi"/>
          <w:bCs/>
        </w:rPr>
        <w:t> </w:t>
      </w:r>
      <w:r w:rsidR="00474203">
        <w:rPr>
          <w:rFonts w:asciiTheme="minorHAnsi" w:hAnsiTheme="minorHAnsi" w:cstheme="minorHAnsi"/>
          <w:bCs/>
        </w:rPr>
        <w:t xml:space="preserve">poskytnutí/převodu podpory </w:t>
      </w:r>
      <w:r w:rsidR="00E01D6D">
        <w:rPr>
          <w:rFonts w:asciiTheme="minorHAnsi" w:hAnsiTheme="minorHAnsi" w:cstheme="minorHAnsi"/>
          <w:bCs/>
        </w:rPr>
        <w:t>společně s pravidly OPZ</w:t>
      </w:r>
      <w:r w:rsidR="001732BB">
        <w:rPr>
          <w:rStyle w:val="Znakapoznpodarou"/>
          <w:rFonts w:asciiTheme="minorHAnsi" w:hAnsiTheme="minorHAnsi" w:cstheme="minorHAnsi"/>
          <w:bCs/>
        </w:rPr>
        <w:footnoteReference w:id="26"/>
      </w:r>
      <w:r w:rsidR="00E01D6D">
        <w:rPr>
          <w:rFonts w:asciiTheme="minorHAnsi" w:hAnsiTheme="minorHAnsi" w:cstheme="minorHAnsi"/>
          <w:bCs/>
        </w:rPr>
        <w:t>.</w:t>
      </w:r>
    </w:p>
    <w:p w14:paraId="74E91028" w14:textId="623590EA" w:rsidR="00757A6C" w:rsidRPr="00757A6C" w:rsidRDefault="00686F72" w:rsidP="00686F72">
      <w:pPr>
        <w:pStyle w:val="Nadpis2"/>
      </w:pPr>
      <w:r>
        <w:t xml:space="preserve">3. </w:t>
      </w:r>
      <w:r w:rsidR="00757A6C" w:rsidRPr="00757A6C">
        <w:t xml:space="preserve">Nedostatky </w:t>
      </w:r>
      <w:r w:rsidR="00EC0C51">
        <w:t xml:space="preserve">zjištěné </w:t>
      </w:r>
      <w:r w:rsidR="00757A6C">
        <w:t>u příjemců podpory</w:t>
      </w:r>
      <w:r w:rsidR="005A0CD8">
        <w:t xml:space="preserve"> v rámci OPZ</w:t>
      </w:r>
    </w:p>
    <w:p w14:paraId="02F65CE6" w14:textId="0F75335D" w:rsidR="0087185C" w:rsidRDefault="0087185C" w:rsidP="0087185C">
      <w:pPr>
        <w:rPr>
          <w:sz w:val="16"/>
          <w:szCs w:val="16"/>
          <w:highlight w:val="green"/>
        </w:rPr>
      </w:pPr>
      <w:r w:rsidRPr="0087185C">
        <w:t xml:space="preserve">U příjemců podpory NKÚ </w:t>
      </w:r>
      <w:r w:rsidR="00DD57EA">
        <w:t>pr</w:t>
      </w:r>
      <w:r w:rsidRPr="0087185C">
        <w:t xml:space="preserve">ověřoval, zda splnili stanovené podmínky na realizaci vybraných projektů a zda použili peněžní prostředky účelně, hospodárně a v souladu s právními předpisy. Za tímto účelem vybral NKÚ do vzorku celkem </w:t>
      </w:r>
      <w:r w:rsidR="00333C14">
        <w:t>deset</w:t>
      </w:r>
      <w:r w:rsidR="001C5E2F">
        <w:t xml:space="preserve"> </w:t>
      </w:r>
      <w:r w:rsidRPr="0087185C">
        <w:t xml:space="preserve">projektů, z nichž </w:t>
      </w:r>
      <w:r w:rsidR="00333C14">
        <w:t>sedm</w:t>
      </w:r>
      <w:r w:rsidRPr="0087185C">
        <w:t xml:space="preserve"> bylo ukončených. Celkový počet účastníků kontrolovaných projektů byl 2 999</w:t>
      </w:r>
      <w:r w:rsidR="00AE1B01">
        <w:rPr>
          <w:rStyle w:val="Znakapoznpodarou"/>
          <w:szCs w:val="24"/>
        </w:rPr>
        <w:footnoteReference w:id="27"/>
      </w:r>
      <w:r w:rsidRPr="0087185C">
        <w:t>, z toho 91 %</w:t>
      </w:r>
      <w:r w:rsidR="002341F0">
        <w:rPr>
          <w:rStyle w:val="Znakapoznpodarou"/>
        </w:rPr>
        <w:footnoteReference w:id="28"/>
      </w:r>
      <w:r w:rsidRPr="0087185C">
        <w:t xml:space="preserve"> byly ženy. Průměrné náklady na podporu každé osoby činily v kontrolovaných projektech přibližně 102 tis. Kč.</w:t>
      </w:r>
    </w:p>
    <w:p w14:paraId="40569741" w14:textId="11FA8C14" w:rsidR="0087185C" w:rsidRDefault="0087185C" w:rsidP="0087185C">
      <w:r w:rsidRPr="0087185C">
        <w:t>NKÚ zjistil dílčí nedostatky v postupu příjemců podpory při plnění stanovených podmínek OPZ</w:t>
      </w:r>
      <w:r w:rsidR="00DF1AF8">
        <w:rPr>
          <w:vertAlign w:val="superscript"/>
        </w:rPr>
        <w:t>6</w:t>
      </w:r>
      <w:r w:rsidRPr="0087185C">
        <w:t xml:space="preserve"> a právních předpisů. U jednoho příjemce</w:t>
      </w:r>
      <w:r w:rsidR="00416852">
        <w:t xml:space="preserve"> podpory</w:t>
      </w:r>
      <w:r w:rsidR="00172CB6">
        <w:t xml:space="preserve"> (ÚP ČR)</w:t>
      </w:r>
      <w:r w:rsidRPr="0087185C">
        <w:t xml:space="preserve"> NKÚ zjistil</w:t>
      </w:r>
      <w:r w:rsidR="009A6BA6">
        <w:t xml:space="preserve"> </w:t>
      </w:r>
      <w:r w:rsidR="009A6BA6" w:rsidRPr="00172CB6">
        <w:t>skutečnosti nasvědčující porušení rozpočtové kázně</w:t>
      </w:r>
      <w:r w:rsidR="009A6BA6" w:rsidRPr="00172CB6">
        <w:rPr>
          <w:rStyle w:val="Znakapoznpodarou"/>
        </w:rPr>
        <w:footnoteReference w:id="29"/>
      </w:r>
      <w:r w:rsidR="00172CB6" w:rsidRPr="00172CB6">
        <w:t>,</w:t>
      </w:r>
      <w:r w:rsidR="009A6BA6" w:rsidRPr="00172CB6">
        <w:t xml:space="preserve"> když</w:t>
      </w:r>
      <w:r w:rsidRPr="009A6BA6">
        <w:t xml:space="preserve"> </w:t>
      </w:r>
      <w:r w:rsidRPr="0087185C">
        <w:t>neoprávněně použil peněžní prostředky projektu na</w:t>
      </w:r>
      <w:r w:rsidR="00FD3DE5">
        <w:t xml:space="preserve"> </w:t>
      </w:r>
      <w:r w:rsidRPr="0087185C">
        <w:t xml:space="preserve">nezpůsobilý </w:t>
      </w:r>
      <w:r w:rsidRPr="00F518FB">
        <w:t>výdaj. U čtyř</w:t>
      </w:r>
      <w:r w:rsidRPr="0087185C">
        <w:t xml:space="preserve"> příjemců </w:t>
      </w:r>
      <w:r w:rsidR="00416852">
        <w:t xml:space="preserve">podpory </w:t>
      </w:r>
      <w:r w:rsidRPr="0087185C">
        <w:t>NKÚ zjistil, že nepostupovali v souladu s</w:t>
      </w:r>
      <w:r w:rsidR="00295308">
        <w:t> </w:t>
      </w:r>
      <w:r w:rsidRPr="0087185C">
        <w:t>rozhodnutím o poskytnutí dotace a vyhláškou č. 367/2015 Sb., když nevypracovali a nezaslali MPSV finanční vypořádání projektu. U dvou příjemců NKÚ zjistil, že při dokladování výdajů nepostupovali dle podmínek OPZ</w:t>
      </w:r>
      <w:r w:rsidR="00DF1AF8">
        <w:rPr>
          <w:vertAlign w:val="superscript"/>
        </w:rPr>
        <w:t>6</w:t>
      </w:r>
      <w:r w:rsidRPr="0087185C">
        <w:t xml:space="preserve"> a dle rozhodnutí o poskytnutí dotace, neboť nezajistili označení originálu účetního dokladu příslušným registračním číslem projektu. V této souvislosti NKÚ u jednoho z příjemců </w:t>
      </w:r>
      <w:r w:rsidR="00954F84">
        <w:t xml:space="preserve">podpory </w:t>
      </w:r>
      <w:r w:rsidRPr="0087185C">
        <w:t xml:space="preserve">současně vyhodnotil, že při výkonu řídicí kontroly nezajistil důslednou předběžnou kontrolu připravovaných operací v souladu s ustanovením § 26 zákona č. 320/2001 Sb. U jednoho z příjemců </w:t>
      </w:r>
      <w:r w:rsidR="00954F84">
        <w:t xml:space="preserve">podpory </w:t>
      </w:r>
      <w:r w:rsidRPr="0087185C">
        <w:t xml:space="preserve">NKÚ rovněž zjistil dílčí nedostatky v evidenci pracovních výkazů a v postupu při provádění průzkumu trhu možných dodavatelů služeb u zakázek malého rozsahu. </w:t>
      </w:r>
    </w:p>
    <w:p w14:paraId="54F57F31" w14:textId="1F999F03" w:rsidR="0087185C" w:rsidRPr="0087185C" w:rsidRDefault="0087185C" w:rsidP="0087185C">
      <w:r w:rsidRPr="0087185C">
        <w:t xml:space="preserve">NKÚ dále zjistil, </w:t>
      </w:r>
      <w:r w:rsidRPr="00172CB6">
        <w:t xml:space="preserve">že </w:t>
      </w:r>
      <w:r w:rsidR="00B84A0D" w:rsidRPr="00172CB6">
        <w:t xml:space="preserve">peněžní prostředky </w:t>
      </w:r>
      <w:r w:rsidR="00725C80" w:rsidRPr="00172CB6">
        <w:t xml:space="preserve">SR </w:t>
      </w:r>
      <w:r w:rsidR="00725C80">
        <w:t xml:space="preserve">a </w:t>
      </w:r>
      <w:r w:rsidR="00B84A0D" w:rsidRPr="00172CB6">
        <w:t>EU vynaložené na sedm</w:t>
      </w:r>
      <w:r w:rsidR="00AC6717" w:rsidRPr="00172CB6">
        <w:t xml:space="preserve"> ukončených </w:t>
      </w:r>
      <w:r w:rsidRPr="00172CB6">
        <w:t>kontrolovaných projektů</w:t>
      </w:r>
      <w:r w:rsidR="00B84A0D" w:rsidRPr="00172CB6">
        <w:t xml:space="preserve"> přispěly k naplňování cílů stanovených v oblasti rodinné politiky pouze částečně.</w:t>
      </w:r>
      <w:r w:rsidRPr="00172CB6">
        <w:t xml:space="preserve"> </w:t>
      </w:r>
      <w:r w:rsidR="00AC6717" w:rsidRPr="00172CB6">
        <w:t>Sedm</w:t>
      </w:r>
      <w:r w:rsidR="00AC6717">
        <w:t xml:space="preserve"> ukončených</w:t>
      </w:r>
      <w:r w:rsidRPr="0087185C">
        <w:t xml:space="preserve"> kontrolovaných projektů přispělo ke zlepšení situace cílových skupin (</w:t>
      </w:r>
      <w:r w:rsidR="000875F0">
        <w:t xml:space="preserve">tj. </w:t>
      </w:r>
      <w:r w:rsidRPr="0087185C">
        <w:t>osob pečujících o děti do 15 let a osob ohrožených sociálním vyloučením</w:t>
      </w:r>
      <w:r w:rsidRPr="00FB4326">
        <w:t xml:space="preserve">), </w:t>
      </w:r>
      <w:r w:rsidR="00AC6717" w:rsidRPr="00FB4326">
        <w:t>nikoliv však</w:t>
      </w:r>
      <w:r w:rsidRPr="00FB4326">
        <w:t xml:space="preserve"> v takové míře, kterou sami příjemci </w:t>
      </w:r>
      <w:r w:rsidR="003914FB">
        <w:t xml:space="preserve">podpory </w:t>
      </w:r>
      <w:r w:rsidRPr="00FB4326">
        <w:t>předpokládali.</w:t>
      </w:r>
      <w:r w:rsidRPr="0087185C">
        <w:t xml:space="preserve"> Dlouhodobé dopady kontrolovaných projektů jsou dle zjištění NKÚ pouze dílčí nebo nejsou prokazatelné.</w:t>
      </w:r>
    </w:p>
    <w:p w14:paraId="53C9ED8C" w14:textId="1CF8A084" w:rsidR="002F1D94" w:rsidRDefault="002F1D94" w:rsidP="002F1D94">
      <w:r w:rsidRPr="008B4F69">
        <w:t>Nastavení cílů</w:t>
      </w:r>
      <w:r w:rsidR="00B272CA" w:rsidRPr="008B4F69">
        <w:t xml:space="preserve"> nebo dílčích cílů</w:t>
      </w:r>
      <w:r w:rsidRPr="008B4F69">
        <w:t xml:space="preserve"> v žádosti o podporu, které si příjemci podpory sami stanovují, je v rámci OPZ jedním z klíčových kritérií pro výběr projektů k podpoře. Předpokladem účelného vynakládání peněžních prostředků na podporu projektů v oblasti rodinné politiky je proto dosahování těchto cílů projektu. NKÚ</w:t>
      </w:r>
      <w:r w:rsidR="00413B3A">
        <w:t xml:space="preserve"> přitom</w:t>
      </w:r>
      <w:r w:rsidRPr="008B4F69">
        <w:t xml:space="preserve"> zjistil, že u dvou kontrolovaných projektů nebylo dílčích cílů dosaženo.</w:t>
      </w:r>
    </w:p>
    <w:p w14:paraId="2AC032A4" w14:textId="5C12B324" w:rsidR="00506AAD" w:rsidRDefault="00F1604C" w:rsidP="0087185C">
      <w:r w:rsidRPr="00597B90">
        <w:rPr>
          <w:noProof/>
        </w:rPr>
        <w:lastRenderedPageBreak/>
        <mc:AlternateContent>
          <mc:Choice Requires="wps">
            <w:drawing>
              <wp:inline distT="0" distB="0" distL="0" distR="0" wp14:anchorId="546F54C1" wp14:editId="396525D5">
                <wp:extent cx="5730240" cy="5284519"/>
                <wp:effectExtent l="0" t="0" r="22860" b="1143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284519"/>
                        </a:xfrm>
                        <a:prstGeom prst="rect">
                          <a:avLst/>
                        </a:prstGeom>
                        <a:solidFill>
                          <a:srgbClr val="E5F1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60FC" w14:textId="637601D7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  <w:t xml:space="preserve">Příklad: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  <w:br/>
                              <w:t>J</w:t>
                            </w:r>
                            <w:r w:rsidRPr="00FD3DE5"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  <w:t>eden z příjemců podpory nenaplnil dílčí cíle projektu stanovené v žádosti 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  <w:t> </w:t>
                            </w:r>
                            <w:r w:rsidRPr="00FD3DE5">
                              <w:rPr>
                                <w:rFonts w:ascii="Calibri" w:hAnsi="Calibri" w:cs="Calibri"/>
                                <w:b/>
                                <w:szCs w:val="24"/>
                                <w:shd w:val="clear" w:color="auto" w:fill="E5F1FF"/>
                              </w:rPr>
                              <w:t>podporu</w:t>
                            </w:r>
                          </w:p>
                          <w:p w14:paraId="6FC8803B" w14:textId="1B1C75FE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 xml:space="preserve">U jednoho kontrolovaného projektu žadatel v žádosti o podporu stanovil tyto dílčí cíle klíčových aktivit (dále také „KA“): </w:t>
                            </w:r>
                          </w:p>
                          <w:p w14:paraId="79EC4BB8" w14:textId="41318772" w:rsidR="008647A1" w:rsidRPr="00FD3DE5" w:rsidRDefault="008647A1" w:rsidP="00793453">
                            <w:pPr>
                              <w:shd w:val="clear" w:color="auto" w:fill="E5F1FF"/>
                              <w:spacing w:before="120"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KA 1: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 xml:space="preserve">u 150 rodin mělo dojít ke zlepšení rodinné situace prostřednictvím intervence 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r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odinných asistentů,</w:t>
                            </w:r>
                          </w:p>
                          <w:p w14:paraId="7921CE72" w14:textId="2E317884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KA 2: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 xml:space="preserve">u min. 40 rodin mělo dojít ke zlepšení rodinné situace rodin s dětmi žijícími ve vybraných sociálně vyloučených lokalitách prostřednictvím 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s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ociálně aktivizačních služeb pro rodiny s dětmi,</w:t>
                            </w:r>
                          </w:p>
                          <w:p w14:paraId="20F9EE51" w14:textId="610C9520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KA 3: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>u min. 15 rodin mělo dojít k posílení a stabilizaci vztahů v rodinách a partnerském životě prostřednictvím odborných specializovaných intervencí v 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m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anželské a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 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rodinné poradně,</w:t>
                            </w:r>
                          </w:p>
                          <w:p w14:paraId="2F38597E" w14:textId="3AC1E8A2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KA 4: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>u min. 10 rodin mělo dojít ke zvládnutí konfliktní situace a uzavření dohody v 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m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ediačním centru,</w:t>
                            </w:r>
                          </w:p>
                          <w:p w14:paraId="1FCDF5DE" w14:textId="77777777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 xml:space="preserve">KA 5: 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>min. 15 rodinám mělo být umožněno asistované setkání rodiče s dětmi nebo asistované předávání dětí a zároveň měl být směřován vývoj situace k pozitivním změnám, tj. aby k setkávání docházelo v přirozeném prostředí,</w:t>
                            </w:r>
                          </w:p>
                          <w:p w14:paraId="3B5DF6E0" w14:textId="3C0659EE" w:rsidR="008647A1" w:rsidRPr="00FD3DE5" w:rsidRDefault="008647A1" w:rsidP="00FD3DE5">
                            <w:pPr>
                              <w:shd w:val="clear" w:color="auto" w:fill="E5F1FF"/>
                              <w:spacing w:after="0"/>
                              <w:ind w:left="567" w:hanging="567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 xml:space="preserve">KA 6: 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ab/>
                              <w:t xml:space="preserve">měla být vytvořena </w:t>
                            </w:r>
                            <w:r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m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etodika spolupráce prorodinných institucí na vybraném území.</w:t>
                            </w:r>
                          </w:p>
                          <w:p w14:paraId="1ED4D62E" w14:textId="42089FA9" w:rsidR="008647A1" w:rsidRPr="00FD3DE5" w:rsidRDefault="008647A1" w:rsidP="00B266E7">
                            <w:pPr>
                              <w:shd w:val="clear" w:color="auto" w:fill="E5F1FF"/>
                              <w:spacing w:before="120"/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</w:pP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>NKÚ zjistil, že v rozsahu vyšším než 40 hodin bylo u KA 1 bylo podpořeno 104 osob, u KA 2 celkem 22 osob, u KA 3 tři osoby a u KA 5 celkem 17 osob. U KA 4 se cíl vázal k podpoře v rozsahu nižším než 40 hodin. Dílčí cíle KA 1, KA 2 a KA 3 nebyly naplněny v souladu s očekávanými předpoklady žadatele. Počet podpořených osob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</w:rPr>
                              <w:t>*</w:t>
                            </w:r>
                            <w:r w:rsidRPr="00FD3DE5">
                              <w:rPr>
                                <w:rFonts w:ascii="Calibri" w:hAnsi="Calibri" w:cs="Calibri"/>
                                <w:szCs w:val="24"/>
                                <w:shd w:val="clear" w:color="auto" w:fill="E5F1FF"/>
                              </w:rPr>
                              <w:t xml:space="preserve"> v rámci jednotlivých klíčových aktivit projektu zároveň nedokládá, že došlo ke zlepšení rodinné situace. MPSV vyhodnotilo u tohoto projektu dosažení účelu dotace v plném rozsahu. </w:t>
                            </w:r>
                          </w:p>
                          <w:p w14:paraId="66295E47" w14:textId="2F0CD85D" w:rsidR="008647A1" w:rsidRPr="00A0217F" w:rsidRDefault="008647A1" w:rsidP="00FD3DE5">
                            <w:pPr>
                              <w:shd w:val="clear" w:color="auto" w:fill="E5F1FF"/>
                              <w:spacing w:before="40" w:after="40"/>
                              <w:ind w:left="284" w:hanging="284"/>
                              <w:rPr>
                                <w:shd w:val="clear" w:color="auto" w:fill="E5F1FF"/>
                              </w:rPr>
                            </w:pPr>
                            <w:r w:rsidRPr="00A0217F">
                              <w:rPr>
                                <w:sz w:val="20"/>
                              </w:rPr>
                              <w:t xml:space="preserve">* </w:t>
                            </w:r>
                            <w:r w:rsidRPr="00A0217F">
                              <w:rPr>
                                <w:sz w:val="20"/>
                              </w:rPr>
                              <w:tab/>
                            </w:r>
                            <w:r w:rsidRPr="00A0217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Žadatel uvedl v žádosti o podporu u dílčích cílů KA jako cílovou skupinu „rodiny“ místo „osob“. V rozhodnutí o poskytnutí dotace však byly v souladu s definicí indikátoru 6 00 00 uvedeny jako cílové skupiny „osoby“.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F54C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1.2pt;height:4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" fillcolor="#e5f1ff">
                <v:textbox>
                  <w:txbxContent>
                    <w:p w14:paraId="35CF60FC" w14:textId="637601D7" w:rsidR="008647A1" w:rsidRPr="00FD3DE5" w:rsidRDefault="008647A1" w:rsidP="00FD3DE5">
                      <w:pPr>
                        <w:shd w:val="clear" w:color="auto" w:fill="E5F1FF"/>
                        <w:spacing w:after="0"/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  <w:t xml:space="preserve">Příklad: 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  <w:br/>
                        <w:t>J</w:t>
                      </w:r>
                      <w:r w:rsidRPr="00FD3DE5"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  <w:t>eden z příjemců podpory nenaplnil dílčí cíle projektu stanovené v žádosti o</w:t>
                      </w:r>
                      <w:r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  <w:t> </w:t>
                      </w:r>
                      <w:r w:rsidRPr="00FD3DE5">
                        <w:rPr>
                          <w:rFonts w:ascii="Calibri" w:hAnsi="Calibri" w:cs="Calibri"/>
                          <w:b/>
                          <w:szCs w:val="24"/>
                          <w:shd w:val="clear" w:color="auto" w:fill="E5F1FF"/>
                        </w:rPr>
                        <w:t>podporu</w:t>
                      </w:r>
                    </w:p>
                    <w:p w14:paraId="6FC8803B" w14:textId="1B1C75FE" w:rsidR="008647A1" w:rsidRPr="00FD3DE5" w:rsidRDefault="008647A1" w:rsidP="00FD3DE5">
                      <w:pPr>
                        <w:shd w:val="clear" w:color="auto" w:fill="E5F1FF"/>
                        <w:spacing w:after="0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 xml:space="preserve">U jednoho kontrolovaného projektu žadatel v žádosti o podporu stanovil tyto dílčí cíle klíčových aktivit (dále také „KA“): </w:t>
                      </w:r>
                    </w:p>
                    <w:p w14:paraId="79EC4BB8" w14:textId="41318772" w:rsidR="008647A1" w:rsidRPr="00FD3DE5" w:rsidRDefault="008647A1" w:rsidP="00793453">
                      <w:pPr>
                        <w:shd w:val="clear" w:color="auto" w:fill="E5F1FF"/>
                        <w:spacing w:before="120"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KA 1: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 xml:space="preserve">u 150 rodin mělo dojít ke zlepšení rodinné situace prostřednictvím intervence 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r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odinných asistentů,</w:t>
                      </w:r>
                    </w:p>
                    <w:p w14:paraId="7921CE72" w14:textId="2E317884" w:rsidR="008647A1" w:rsidRPr="00FD3DE5" w:rsidRDefault="008647A1" w:rsidP="00FD3DE5">
                      <w:pPr>
                        <w:shd w:val="clear" w:color="auto" w:fill="E5F1FF"/>
                        <w:spacing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KA 2: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 xml:space="preserve">u min. 40 rodin mělo dojít ke zlepšení rodinné situace rodin s dětmi žijícími ve vybraných sociálně vyloučených lokalitách prostřednictvím 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s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ociálně aktivizačních služeb pro rodiny s dětmi,</w:t>
                      </w:r>
                    </w:p>
                    <w:p w14:paraId="20F9EE51" w14:textId="610C9520" w:rsidR="008647A1" w:rsidRPr="00FD3DE5" w:rsidRDefault="008647A1" w:rsidP="00FD3DE5">
                      <w:pPr>
                        <w:shd w:val="clear" w:color="auto" w:fill="E5F1FF"/>
                        <w:spacing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KA 3: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>u min. 15 rodin mělo dojít k posílení a stabilizaci vztahů v rodinách a partnerském životě prostřednictvím odborných specializovaných intervencí v 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m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anželské a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 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rodinné poradně,</w:t>
                      </w:r>
                    </w:p>
                    <w:p w14:paraId="2F38597E" w14:textId="3AC1E8A2" w:rsidR="008647A1" w:rsidRPr="00FD3DE5" w:rsidRDefault="008647A1" w:rsidP="00FD3DE5">
                      <w:pPr>
                        <w:shd w:val="clear" w:color="auto" w:fill="E5F1FF"/>
                        <w:spacing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KA 4: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>u min. 10 rodin mělo dojít ke zvládnutí konfliktní situace a uzavření dohody v 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m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ediačním centru,</w:t>
                      </w:r>
                    </w:p>
                    <w:p w14:paraId="1FCDF5DE" w14:textId="77777777" w:rsidR="008647A1" w:rsidRPr="00FD3DE5" w:rsidRDefault="008647A1" w:rsidP="00FD3DE5">
                      <w:pPr>
                        <w:shd w:val="clear" w:color="auto" w:fill="E5F1FF"/>
                        <w:spacing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 xml:space="preserve">KA 5: 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>min. 15 rodinám mělo být umožněno asistované setkání rodiče s dětmi nebo asistované předávání dětí a zároveň měl být směřován vývoj situace k pozitivním změnám, tj. aby k setkávání docházelo v přirozeném prostředí,</w:t>
                      </w:r>
                    </w:p>
                    <w:p w14:paraId="3B5DF6E0" w14:textId="3C0659EE" w:rsidR="008647A1" w:rsidRPr="00FD3DE5" w:rsidRDefault="008647A1" w:rsidP="00FD3DE5">
                      <w:pPr>
                        <w:shd w:val="clear" w:color="auto" w:fill="E5F1FF"/>
                        <w:spacing w:after="0"/>
                        <w:ind w:left="567" w:hanging="567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 xml:space="preserve">KA 6: 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ab/>
                        <w:t xml:space="preserve">měla být vytvořena </w:t>
                      </w:r>
                      <w:r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m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etodika spolupráce prorodinných institucí na vybraném území.</w:t>
                      </w:r>
                    </w:p>
                    <w:p w14:paraId="1ED4D62E" w14:textId="42089FA9" w:rsidR="008647A1" w:rsidRPr="00FD3DE5" w:rsidRDefault="008647A1" w:rsidP="00B266E7">
                      <w:pPr>
                        <w:shd w:val="clear" w:color="auto" w:fill="E5F1FF"/>
                        <w:spacing w:before="120"/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</w:pP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>NKÚ zjistil, že v rozsahu vyšším než 40 hodin bylo u KA 1 bylo podpořeno 104 osob, u KA 2 celkem 22 osob, u KA 3 tři osoby a u KA 5 celkem 17 osob. U KA 4 se cíl vázal k podpoře v rozsahu nižším než 40 hodin. Dílčí cíle KA 1, KA 2 a KA 3 nebyly naplněny v souladu s očekávanými předpoklady žadatele. Počet podpořených osob</w:t>
                      </w:r>
                      <w:r w:rsidRPr="00FD3DE5">
                        <w:rPr>
                          <w:rFonts w:ascii="Calibri" w:hAnsi="Calibri" w:cs="Calibri"/>
                          <w:szCs w:val="24"/>
                        </w:rPr>
                        <w:t>*</w:t>
                      </w:r>
                      <w:r w:rsidRPr="00FD3DE5">
                        <w:rPr>
                          <w:rFonts w:ascii="Calibri" w:hAnsi="Calibri" w:cs="Calibri"/>
                          <w:szCs w:val="24"/>
                          <w:shd w:val="clear" w:color="auto" w:fill="E5F1FF"/>
                        </w:rPr>
                        <w:t xml:space="preserve"> v rámci jednotlivých klíčových aktivit projektu zároveň nedokládá, že došlo ke zlepšení rodinné situace. MPSV vyhodnotilo u tohoto projektu dosažení účelu dotace v plném rozsahu. </w:t>
                      </w:r>
                    </w:p>
                    <w:p w14:paraId="66295E47" w14:textId="2F0CD85D" w:rsidR="008647A1" w:rsidRPr="00A0217F" w:rsidRDefault="008647A1" w:rsidP="00FD3DE5">
                      <w:pPr>
                        <w:shd w:val="clear" w:color="auto" w:fill="E5F1FF"/>
                        <w:spacing w:before="40" w:after="40"/>
                        <w:ind w:left="284" w:hanging="284"/>
                        <w:rPr>
                          <w:shd w:val="clear" w:color="auto" w:fill="E5F1FF"/>
                        </w:rPr>
                      </w:pPr>
                      <w:r w:rsidRPr="00A0217F">
                        <w:rPr>
                          <w:sz w:val="20"/>
                        </w:rPr>
                        <w:t xml:space="preserve">* </w:t>
                      </w:r>
                      <w:r w:rsidRPr="00A0217F">
                        <w:rPr>
                          <w:sz w:val="20"/>
                        </w:rPr>
                        <w:tab/>
                      </w:r>
                      <w:r w:rsidRPr="00A0217F">
                        <w:rPr>
                          <w:rFonts w:cstheme="minorHAnsi"/>
                          <w:sz w:val="20"/>
                          <w:szCs w:val="20"/>
                        </w:rPr>
                        <w:t xml:space="preserve">Žadatel uvedl v žádosti o podporu u dílčích cílů KA jako cílovou skupinu „rodiny“ místo „osob“. V rozhodnutí o poskytnutí dotace však byly v souladu s definicí </w:t>
                      </w:r>
                      <w:r w:rsidRPr="00A0217F">
                        <w:rPr>
                          <w:rFonts w:cstheme="minorHAnsi"/>
                          <w:sz w:val="20"/>
                          <w:szCs w:val="20"/>
                        </w:rPr>
                        <w:t>indikátoru 6 00 00 uvedeny jako cílové skupiny „osoby“.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1D5ED4" w14:textId="795721E4" w:rsidR="0087185C" w:rsidRDefault="0087185C" w:rsidP="0087185C">
      <w:r w:rsidRPr="00906293">
        <w:t xml:space="preserve">U dalších tří projektů navíc nebyly nastaveny konkrétní a měřitelné cíle </w:t>
      </w:r>
      <w:r w:rsidR="00C71045" w:rsidRPr="00906293">
        <w:t xml:space="preserve">nebo dílčí cíle projektu </w:t>
      </w:r>
      <w:r w:rsidRPr="00906293">
        <w:t>a</w:t>
      </w:r>
      <w:r w:rsidR="00FB04DB" w:rsidRPr="00906293">
        <w:t> </w:t>
      </w:r>
      <w:r w:rsidRPr="00906293">
        <w:t xml:space="preserve">vyhodnocení jejich dosažení je proto obtížně prokazatelné. U tří projektů NKÚ zjistil, že příjemci </w:t>
      </w:r>
      <w:r w:rsidR="003772A8" w:rsidRPr="00906293">
        <w:t xml:space="preserve">podpory </w:t>
      </w:r>
      <w:r w:rsidRPr="00906293">
        <w:t>realizovali klíčové aktivity projektu v jiném rozsahu, než jaký si stanovili v žádosti o</w:t>
      </w:r>
      <w:r w:rsidR="00FB04DB" w:rsidRPr="00906293">
        <w:t> </w:t>
      </w:r>
      <w:r w:rsidRPr="00906293">
        <w:t>podporu. U pěti příjemců podpory NKÚ zjistil, že porušili rozhodnutí o</w:t>
      </w:r>
      <w:r w:rsidR="00317626">
        <w:t> </w:t>
      </w:r>
      <w:r w:rsidRPr="00906293">
        <w:t>poskytnutí dotace tím, že zcela nenaplnili cílové hodnoty u jednoho či více závazných indikátorů, byť ne v míře, která by zároveň znamenala porušení rozpočtové kázně.</w:t>
      </w:r>
      <w:r w:rsidR="00992EC7" w:rsidRPr="00906293">
        <w:t xml:space="preserve"> </w:t>
      </w:r>
      <w:r w:rsidR="00906293" w:rsidRPr="00906293">
        <w:t>Pět</w:t>
      </w:r>
      <w:r w:rsidRPr="00906293">
        <w:t xml:space="preserve"> příjemc</w:t>
      </w:r>
      <w:r w:rsidR="00906293" w:rsidRPr="00906293">
        <w:t>ů</w:t>
      </w:r>
      <w:r w:rsidRPr="00906293">
        <w:t xml:space="preserve"> </w:t>
      </w:r>
      <w:r w:rsidR="003772A8" w:rsidRPr="00906293">
        <w:t xml:space="preserve">podpory </w:t>
      </w:r>
      <w:r w:rsidRPr="00906293">
        <w:t>dosáhl</w:t>
      </w:r>
      <w:r w:rsidR="00906293" w:rsidRPr="00906293">
        <w:t>o</w:t>
      </w:r>
      <w:r w:rsidRPr="00906293">
        <w:t xml:space="preserve"> alespoň částečného udržení realizovaných aktivit po ukončení projektu</w:t>
      </w:r>
      <w:r w:rsidR="003914FB">
        <w:t>. J</w:t>
      </w:r>
      <w:r w:rsidRPr="00906293">
        <w:t xml:space="preserve">en tři příjemci </w:t>
      </w:r>
      <w:r w:rsidR="002C2932" w:rsidRPr="00906293">
        <w:t xml:space="preserve">podpory </w:t>
      </w:r>
      <w:r w:rsidRPr="00906293">
        <w:t>sledovali situaci podpořených osob po ukončení projektu i</w:t>
      </w:r>
      <w:r w:rsidR="00317626">
        <w:t> </w:t>
      </w:r>
      <w:r w:rsidRPr="00906293">
        <w:t>ve střednědobém horizontu.</w:t>
      </w:r>
      <w:r w:rsidRPr="0087185C">
        <w:t xml:space="preserve">   </w:t>
      </w:r>
    </w:p>
    <w:p w14:paraId="4FDCA816" w14:textId="3AE9300D" w:rsidR="00E81CC8" w:rsidRPr="00172CB6" w:rsidRDefault="00AA448C" w:rsidP="00E81CC8">
      <w:r w:rsidRPr="00172CB6">
        <w:t xml:space="preserve">NKÚ </w:t>
      </w:r>
      <w:r w:rsidR="003914FB">
        <w:t xml:space="preserve">zjistil </w:t>
      </w:r>
      <w:r w:rsidRPr="00172CB6">
        <w:t>u jednoho projekt</w:t>
      </w:r>
      <w:r w:rsidR="00572AB1">
        <w:t>u</w:t>
      </w:r>
      <w:r w:rsidR="00273489" w:rsidRPr="00172CB6">
        <w:rPr>
          <w:rStyle w:val="Znakapoznpodarou"/>
        </w:rPr>
        <w:footnoteReference w:id="30"/>
      </w:r>
      <w:r w:rsidRPr="00172CB6">
        <w:t xml:space="preserve"> ÚP ČR, který</w:t>
      </w:r>
      <w:r w:rsidR="004051AF" w:rsidRPr="00172CB6">
        <w:t xml:space="preserve"> měl přispět ke zvýšení uplatnitelnosti osob na</w:t>
      </w:r>
      <w:r w:rsidR="00B67E13">
        <w:t xml:space="preserve"> </w:t>
      </w:r>
      <w:r w:rsidR="004051AF" w:rsidRPr="00172CB6">
        <w:t>trhu práce, že návratnost těchto osob do evidence ÚP ČR činila 15,9 %.</w:t>
      </w:r>
      <w:r w:rsidR="001D0343" w:rsidRPr="00172CB6">
        <w:t xml:space="preserve"> </w:t>
      </w:r>
    </w:p>
    <w:p w14:paraId="01969E62" w14:textId="6EA56A18" w:rsidR="0087185C" w:rsidRPr="0087185C" w:rsidRDefault="0087185C" w:rsidP="00E81CC8">
      <w:r w:rsidRPr="0087185C">
        <w:t xml:space="preserve">NKÚ dále zjistil, že příjemci podpory při realizaci veřejných zakázek a při vynakládání peněžních prostředků na služby a </w:t>
      </w:r>
      <w:r w:rsidRPr="00172CB6">
        <w:t>mzdy</w:t>
      </w:r>
      <w:r w:rsidR="00B84A0D" w:rsidRPr="00172CB6">
        <w:t xml:space="preserve"> postupovali hospodárně a</w:t>
      </w:r>
      <w:r w:rsidRPr="0087185C">
        <w:t xml:space="preserve"> respektovali zásad</w:t>
      </w:r>
      <w:r w:rsidR="003914FB">
        <w:t>u</w:t>
      </w:r>
      <w:r w:rsidRPr="0087185C">
        <w:t xml:space="preserve"> cen v daném místě a čase obvyklých. </w:t>
      </w:r>
    </w:p>
    <w:p w14:paraId="69D3E4BD" w14:textId="2B7F5EA3" w:rsidR="005A0CD8" w:rsidRPr="00757A6C" w:rsidRDefault="00686F72" w:rsidP="00686F72">
      <w:pPr>
        <w:pStyle w:val="Nadpis2"/>
      </w:pPr>
      <w:r>
        <w:lastRenderedPageBreak/>
        <w:t xml:space="preserve">4. </w:t>
      </w:r>
      <w:r w:rsidR="005A0CD8" w:rsidRPr="00757A6C">
        <w:t xml:space="preserve">Nedostatky </w:t>
      </w:r>
      <w:r w:rsidR="005A0CD8">
        <w:t xml:space="preserve">v nastavení podpory v rámci </w:t>
      </w:r>
      <w:r w:rsidR="00D205D4">
        <w:t>n</w:t>
      </w:r>
      <w:r w:rsidR="005A0CD8">
        <w:t xml:space="preserve">árodního dotačního titulu </w:t>
      </w:r>
      <w:r w:rsidR="005A0CD8" w:rsidRPr="004A16AA">
        <w:rPr>
          <w:i/>
        </w:rPr>
        <w:t>Rodina</w:t>
      </w:r>
    </w:p>
    <w:p w14:paraId="0F45DDCD" w14:textId="11A1794F" w:rsidR="00C223B0" w:rsidRPr="00C223B0" w:rsidRDefault="00C223B0" w:rsidP="00C223B0">
      <w:r w:rsidRPr="00C223B0">
        <w:t xml:space="preserve">NKÚ prověřoval, zda MPSV nastavilo NDT </w:t>
      </w:r>
      <w:r w:rsidRPr="004A16AA">
        <w:rPr>
          <w:i/>
        </w:rPr>
        <w:t>Rodina</w:t>
      </w:r>
      <w:r w:rsidRPr="00C223B0">
        <w:t xml:space="preserve"> takovým způsobem, aby vytvářel </w:t>
      </w:r>
      <w:r w:rsidR="003914FB">
        <w:t>podmínky pro účelné vynakládání peněžních prostředků SR na naplňování stanovených cílů rodinné politiky.</w:t>
      </w:r>
      <w:r w:rsidRPr="00C223B0">
        <w:t xml:space="preserve"> V této souvislosti se NKÚ zaměřil především na stanovení podmínek a kritérií pro výběr projektů a na nastavení cílů a indikátorů pro sledování a vyhodnocování přínosů poskytnuté peněžní podpory.   </w:t>
      </w:r>
    </w:p>
    <w:p w14:paraId="065AB3C1" w14:textId="42F179FA" w:rsidR="00C223B0" w:rsidRPr="00FA44AD" w:rsidRDefault="00C223B0" w:rsidP="00C223B0">
      <w:pPr>
        <w:rPr>
          <w:szCs w:val="24"/>
        </w:rPr>
      </w:pPr>
      <w:r w:rsidRPr="00C223B0">
        <w:t xml:space="preserve">NKÚ zjistil, že MPSV neprovádělo systematické vyhodnocování dopadů NDT </w:t>
      </w:r>
      <w:r w:rsidRPr="004A16AA">
        <w:rPr>
          <w:i/>
        </w:rPr>
        <w:t>Rodina</w:t>
      </w:r>
      <w:r w:rsidRPr="00C223B0">
        <w:t xml:space="preserve"> jako celku, ale omezilo se jen na hodnocení plnění cílů jednotlivých projektů, které si příjemci </w:t>
      </w:r>
      <w:r w:rsidR="00E52BAF">
        <w:t>dotace</w:t>
      </w:r>
      <w:r w:rsidRPr="00C223B0">
        <w:t xml:space="preserve"> stanovili v žádostech o dotace. </w:t>
      </w:r>
      <w:r w:rsidRPr="00FA44AD">
        <w:t xml:space="preserve">MPSV v rámci NDT </w:t>
      </w:r>
      <w:r w:rsidRPr="004A16AA">
        <w:rPr>
          <w:i/>
        </w:rPr>
        <w:t>Rodina</w:t>
      </w:r>
      <w:r w:rsidRPr="00FA44AD">
        <w:t xml:space="preserve"> sice stanovilo cíle v souladu s Koncepcí, tyto cíle však nejsou konkrétní a míru jejich plnění nelze kvůli chybějícím indikátorům sledovat a prokazatelně vyhodnocovat. </w:t>
      </w:r>
      <w:r w:rsidR="00256B4D" w:rsidRPr="00FA44AD">
        <w:rPr>
          <w:rFonts w:cstheme="minorHAnsi"/>
        </w:rPr>
        <w:t xml:space="preserve">Není proto ani zřejmé, v jaké míře NDT </w:t>
      </w:r>
      <w:r w:rsidR="00256B4D" w:rsidRPr="004A16AA">
        <w:rPr>
          <w:rFonts w:cstheme="minorHAnsi"/>
          <w:i/>
        </w:rPr>
        <w:t>Rodina</w:t>
      </w:r>
      <w:r w:rsidR="00256B4D" w:rsidRPr="00FA44AD">
        <w:rPr>
          <w:rFonts w:cstheme="minorHAnsi"/>
        </w:rPr>
        <w:t xml:space="preserve"> napomáhá k naplňování strategických cílů stanovených pro oblast rodinné politiky.</w:t>
      </w:r>
      <w:r w:rsidR="00256B4D" w:rsidRPr="00FA44AD">
        <w:rPr>
          <w:szCs w:val="24"/>
        </w:rPr>
        <w:t xml:space="preserve"> </w:t>
      </w:r>
      <w:r w:rsidR="00151E85" w:rsidRPr="00172CB6">
        <w:t xml:space="preserve">MPSV </w:t>
      </w:r>
      <w:r w:rsidR="00C172BD">
        <w:t>tak</w:t>
      </w:r>
      <w:r w:rsidR="00151E85" w:rsidRPr="00172CB6">
        <w:t xml:space="preserve"> dle NKÚ </w:t>
      </w:r>
      <w:r w:rsidR="00151E85" w:rsidRPr="00172CB6">
        <w:rPr>
          <w:rFonts w:cstheme="minorHAnsi"/>
        </w:rPr>
        <w:t xml:space="preserve">nenastavilo NDT </w:t>
      </w:r>
      <w:r w:rsidR="00151E85" w:rsidRPr="004A16AA">
        <w:rPr>
          <w:rFonts w:cstheme="minorHAnsi"/>
          <w:i/>
        </w:rPr>
        <w:t>Rodina</w:t>
      </w:r>
      <w:r w:rsidR="00151E85" w:rsidRPr="00172CB6">
        <w:rPr>
          <w:rFonts w:cstheme="minorHAnsi"/>
        </w:rPr>
        <w:t xml:space="preserve"> takovým způsobem, aby vytvořilo podmínky pro účelné vynakládání peněžních prostředků ze státního rozpočtu.</w:t>
      </w:r>
      <w:r w:rsidR="003914FB">
        <w:rPr>
          <w:rFonts w:cstheme="minorHAnsi"/>
        </w:rPr>
        <w:t xml:space="preserve"> </w:t>
      </w:r>
      <w:r w:rsidR="00CE310A" w:rsidRPr="00FA44AD">
        <w:rPr>
          <w:szCs w:val="24"/>
        </w:rPr>
        <w:t xml:space="preserve">Tím, že </w:t>
      </w:r>
      <w:r w:rsidR="008E0F5B" w:rsidRPr="00FA44AD">
        <w:rPr>
          <w:szCs w:val="24"/>
        </w:rPr>
        <w:t xml:space="preserve">MPSV </w:t>
      </w:r>
      <w:r w:rsidR="00CE310A" w:rsidRPr="00FA44AD">
        <w:rPr>
          <w:szCs w:val="24"/>
        </w:rPr>
        <w:t>soustavně nesledovalo a nevyhodnocovalo efektivnost a účelnost vynakládání peněžních prostředků na</w:t>
      </w:r>
      <w:r w:rsidR="0052012B">
        <w:rPr>
          <w:szCs w:val="24"/>
        </w:rPr>
        <w:t xml:space="preserve"> </w:t>
      </w:r>
      <w:r w:rsidR="00CE310A" w:rsidRPr="00FA44AD">
        <w:rPr>
          <w:szCs w:val="24"/>
        </w:rPr>
        <w:t xml:space="preserve">podporu projektů v rámci NDT Rodina ze své rozpočtové kapitoly, </w:t>
      </w:r>
      <w:r w:rsidR="008E0F5B" w:rsidRPr="00FA44AD">
        <w:rPr>
          <w:szCs w:val="24"/>
        </w:rPr>
        <w:t>nepostupovalo dle ustanovení § 39 odst. 3 zákona č. 218/2000 Sb.</w:t>
      </w:r>
    </w:p>
    <w:p w14:paraId="60AEA204" w14:textId="33657D7A" w:rsidR="00C223B0" w:rsidRDefault="00C223B0" w:rsidP="00C223B0">
      <w:r w:rsidRPr="00C223B0">
        <w:t xml:space="preserve">NKÚ rovněž zjistil, že MPSV při výkonu finanční kontroly neuplatnilo postupy dle </w:t>
      </w:r>
      <w:r w:rsidR="00F518FB">
        <w:t xml:space="preserve">ustanovení </w:t>
      </w:r>
      <w:r w:rsidRPr="00C223B0">
        <w:t>§</w:t>
      </w:r>
      <w:r w:rsidR="00FB04DB">
        <w:t> </w:t>
      </w:r>
      <w:r w:rsidRPr="00C223B0">
        <w:t>6 odst.</w:t>
      </w:r>
      <w:r w:rsidR="0052012B">
        <w:t> </w:t>
      </w:r>
      <w:r w:rsidRPr="00C223B0">
        <w:t>2 písm. a) zákona č.</w:t>
      </w:r>
      <w:r w:rsidR="0052012B">
        <w:t> </w:t>
      </w:r>
      <w:r w:rsidRPr="00C223B0">
        <w:t>320/2001 Sb. a zároveň porušilo ustanovení §</w:t>
      </w:r>
      <w:r w:rsidR="0052012B">
        <w:t> </w:t>
      </w:r>
      <w:r w:rsidRPr="00C223B0">
        <w:t>26 odst.</w:t>
      </w:r>
      <w:r w:rsidR="0052012B">
        <w:t> </w:t>
      </w:r>
      <w:r w:rsidRPr="00C223B0">
        <w:t>1 zákona č.</w:t>
      </w:r>
      <w:r w:rsidR="0052012B">
        <w:t> </w:t>
      </w:r>
      <w:r w:rsidRPr="00C223B0">
        <w:t xml:space="preserve">320/2001 Sb. tím, že minimálně u tří projektů podpořených v rámci NDT </w:t>
      </w:r>
      <w:r w:rsidRPr="004A16AA">
        <w:rPr>
          <w:i/>
        </w:rPr>
        <w:t>Rodina</w:t>
      </w:r>
      <w:r w:rsidRPr="00C223B0">
        <w:t xml:space="preserve"> neprovedlo předběžnou řídicí kontrolu před vydáním rozhodnutí o poskytnutí dotace a před vydáním peněžních prostředků. MPSV rovněž nepostupovalo v souladu s ustanovením §</w:t>
      </w:r>
      <w:r w:rsidR="0052012B">
        <w:t> </w:t>
      </w:r>
      <w:r w:rsidRPr="00C223B0">
        <w:t>14j odst.</w:t>
      </w:r>
      <w:r w:rsidR="0052012B">
        <w:t> </w:t>
      </w:r>
      <w:r w:rsidRPr="00C223B0">
        <w:t>1 zákona č.</w:t>
      </w:r>
      <w:r w:rsidR="0052012B">
        <w:t> </w:t>
      </w:r>
      <w:r w:rsidRPr="00C223B0">
        <w:t xml:space="preserve">218/2000 Sb. když v roce 2020 v rámci NDT </w:t>
      </w:r>
      <w:r w:rsidRPr="004A16AA">
        <w:rPr>
          <w:i/>
        </w:rPr>
        <w:t>Rodina</w:t>
      </w:r>
      <w:r w:rsidRPr="00C223B0">
        <w:t xml:space="preserve"> nezpřístupnilo příjemcům</w:t>
      </w:r>
      <w:r w:rsidR="00E52BAF">
        <w:t xml:space="preserve"> dotace</w:t>
      </w:r>
      <w:r w:rsidRPr="00C223B0">
        <w:t xml:space="preserve"> obsah výzvy </w:t>
      </w:r>
      <w:r w:rsidR="00685F7C" w:rsidRPr="00172CB6">
        <w:t>nejméně 30 dnů</w:t>
      </w:r>
      <w:r w:rsidRPr="00C223B0">
        <w:t xml:space="preserve"> před uplynutím lhůty pro podání žádostí. </w:t>
      </w:r>
    </w:p>
    <w:p w14:paraId="485F09B7" w14:textId="241F43D3" w:rsidR="00AA4D92" w:rsidRPr="00757A6C" w:rsidRDefault="00686F72" w:rsidP="00686F72">
      <w:pPr>
        <w:pStyle w:val="Nadpis2"/>
      </w:pPr>
      <w:r>
        <w:t xml:space="preserve">5. </w:t>
      </w:r>
      <w:r w:rsidR="00AA4D92" w:rsidRPr="00757A6C">
        <w:t>Nedostatky ve strategickém řízení podpory rodinné politiky</w:t>
      </w:r>
    </w:p>
    <w:p w14:paraId="188EC733" w14:textId="664A4723" w:rsidR="0068219E" w:rsidRPr="0068219E" w:rsidRDefault="0068219E" w:rsidP="00AA4D92">
      <w:pPr>
        <w:rPr>
          <w:strike/>
        </w:rPr>
      </w:pPr>
      <w:r w:rsidRPr="00172CB6">
        <w:t>NKÚ prověřoval, zda MPSV při přípravě Koncepce rodinné politiky a při plnění úkolů souvisejících s Koncepcí, které mu uložila vláda ČR</w:t>
      </w:r>
      <w:r w:rsidRPr="00172CB6">
        <w:rPr>
          <w:rStyle w:val="Znakapoznpodarou"/>
        </w:rPr>
        <w:footnoteReference w:id="31"/>
      </w:r>
      <w:r w:rsidRPr="00172CB6">
        <w:t xml:space="preserve">, postupovalo takovým způsobem, aby vytvářelo podmínky pro účelné vynakládání peněžních prostředků státního rozpočtu a EU v oblasti podpory rodinné politiky. V této souvislosti NKÚ kontroloval, zda MPSV vycházelo při přípravě Koncepce z doporučení </w:t>
      </w:r>
      <w:r w:rsidRPr="004A16AA">
        <w:rPr>
          <w:i/>
        </w:rPr>
        <w:t xml:space="preserve">Metodiky přípravy veřejných strategií </w:t>
      </w:r>
      <w:r w:rsidRPr="00172CB6">
        <w:t>v souladu s usnesením vlády České republiky ze dne 2. května 2013 č. 318</w:t>
      </w:r>
      <w:r w:rsidR="0052012B">
        <w:t>,</w:t>
      </w:r>
      <w:r w:rsidRPr="00172CB6">
        <w:t xml:space="preserve"> </w:t>
      </w:r>
      <w:r w:rsidRPr="004A16AA">
        <w:rPr>
          <w:i/>
        </w:rPr>
        <w:t>k Metodice přípravy veřejných strategií,</w:t>
      </w:r>
      <w:r w:rsidRPr="00172CB6">
        <w:t xml:space="preserve"> zda nastavilo konkrétní, měřitelné, dosažitelné, realistické a časově ohraničené cíle a</w:t>
      </w:r>
      <w:r w:rsidR="00295308">
        <w:t> </w:t>
      </w:r>
      <w:r w:rsidRPr="00172CB6">
        <w:t xml:space="preserve">opatření a zda </w:t>
      </w:r>
      <w:r w:rsidR="003914FB">
        <w:t>stano</w:t>
      </w:r>
      <w:r w:rsidRPr="00172CB6">
        <w:t>vilo indikátory, které umožní stanovené cíle systematicky a objektivně vyhodnocovat.</w:t>
      </w:r>
    </w:p>
    <w:p w14:paraId="27F6E83A" w14:textId="051BFF5D" w:rsidR="00AA4D92" w:rsidRPr="006A3DFD" w:rsidRDefault="00045E44" w:rsidP="00045E44">
      <w:pPr>
        <w:spacing w:after="160" w:line="259" w:lineRule="auto"/>
        <w:rPr>
          <w:rFonts w:cstheme="minorHAnsi"/>
        </w:rPr>
      </w:pPr>
      <w:r w:rsidRPr="00172CB6">
        <w:rPr>
          <w:rFonts w:cstheme="minorHAnsi"/>
        </w:rPr>
        <w:t xml:space="preserve">Přestože došlo ve strategickém řízení podpory rodinné politiky díky schválení Koncepce v roce 2017 a díky přípravě a realizaci vybraných prorodinných opatření </w:t>
      </w:r>
      <w:r w:rsidR="000D452F" w:rsidRPr="00172CB6">
        <w:rPr>
          <w:rFonts w:cstheme="minorHAnsi"/>
        </w:rPr>
        <w:t>oproti předešlému období k</w:t>
      </w:r>
      <w:r w:rsidR="004D0ACA">
        <w:rPr>
          <w:rFonts w:cstheme="minorHAnsi"/>
        </w:rPr>
        <w:t> </w:t>
      </w:r>
      <w:r w:rsidR="000D452F" w:rsidRPr="00172CB6">
        <w:rPr>
          <w:rFonts w:cstheme="minorHAnsi"/>
        </w:rPr>
        <w:t xml:space="preserve">pozitivnímu posunu </w:t>
      </w:r>
      <w:r w:rsidRPr="00172CB6">
        <w:rPr>
          <w:rFonts w:cstheme="minorHAnsi"/>
        </w:rPr>
        <w:t>(např. zpřístupnění denní péče prostřednictvím podpory dětských skupin, zavedení tzv. náhradního výživného, zavedení dávky tzv. otcovské poporodní péče, navýšení rodičovského příspěvku), provázejí jej i nadále významné nedostatky.</w:t>
      </w:r>
      <w:r w:rsidR="00AA4D92" w:rsidRPr="006A3DFD">
        <w:t xml:space="preserve"> </w:t>
      </w:r>
    </w:p>
    <w:p w14:paraId="4637CCD7" w14:textId="71F0635F" w:rsidR="00AA4D92" w:rsidRDefault="00AA4D92" w:rsidP="00AA4D92">
      <w:r>
        <w:lastRenderedPageBreak/>
        <w:t xml:space="preserve">NKÚ zjistil, že </w:t>
      </w:r>
      <w:r w:rsidRPr="00F95F94">
        <w:t xml:space="preserve">MPSV </w:t>
      </w:r>
      <w:r>
        <w:t xml:space="preserve">zajistilo dostatečnou věcnou provázanost </w:t>
      </w:r>
      <w:r w:rsidR="006A3DFD" w:rsidRPr="00172CB6">
        <w:t>Koncepce s dalšími</w:t>
      </w:r>
      <w:r w:rsidRPr="00172CB6">
        <w:t xml:space="preserve"> strategickým</w:t>
      </w:r>
      <w:r w:rsidR="006A3DFD" w:rsidRPr="00172CB6">
        <w:t>i</w:t>
      </w:r>
      <w:r w:rsidRPr="00172CB6">
        <w:t xml:space="preserve"> dokument</w:t>
      </w:r>
      <w:r w:rsidR="006A3DFD" w:rsidRPr="00172CB6">
        <w:t>y</w:t>
      </w:r>
      <w:r w:rsidRPr="00172CB6">
        <w:t xml:space="preserve">, které jsou relevantní pro oblast rodinné politiky (např. </w:t>
      </w:r>
      <w:r w:rsidRPr="00B51C98">
        <w:rPr>
          <w:i/>
        </w:rPr>
        <w:t>Strategie boje proti sociálnímu vyloučení 2016</w:t>
      </w:r>
      <w:r w:rsidR="007F0AFC" w:rsidRPr="00B51C98">
        <w:rPr>
          <w:i/>
        </w:rPr>
        <w:t>–</w:t>
      </w:r>
      <w:r w:rsidRPr="00B51C98">
        <w:rPr>
          <w:i/>
        </w:rPr>
        <w:t>2020</w:t>
      </w:r>
      <w:r w:rsidRPr="00172CB6">
        <w:t xml:space="preserve">). Ve vztahu ke Koncepci coby ke strategickému dokumentu obecnější povahy nicméně MPSV nenavrhlo žádné prováděcí akční plány, které by dále umožnily upřesnit cíle (milníky) a současně operativně </w:t>
      </w:r>
      <w:r w:rsidR="003D34FE" w:rsidRPr="00172CB6">
        <w:t>přizpůsobovat</w:t>
      </w:r>
      <w:r w:rsidRPr="00172CB6">
        <w:t xml:space="preserve"> opatření</w:t>
      </w:r>
      <w:r>
        <w:t xml:space="preserve"> a postupy při jejich naplňování a vyhodnocování v konkrétním časovém období. </w:t>
      </w:r>
    </w:p>
    <w:p w14:paraId="0FBA3A07" w14:textId="5A1BAD8D" w:rsidR="00B965D9" w:rsidRDefault="00B965D9" w:rsidP="00B965D9">
      <w:r w:rsidRPr="00B965D9">
        <w:t xml:space="preserve">MPSV vymezilo v Koncepci principy směřování rodinné politiky, stanovilo </w:t>
      </w:r>
      <w:r w:rsidR="007F0AFC">
        <w:t>pět</w:t>
      </w:r>
      <w:r w:rsidRPr="00B965D9">
        <w:t xml:space="preserve"> základních cílů a navrhlo celkem 39 opatření, která měla vést ke zlepšení situace rodin v ČR. V Koncepci stanovené cíle rodinné politiky však svou povahou a mírou obecnosti odpovídají spíše dlouhodobým vizím, nejsou konkrétní, měřitelné, nebyl stanoven časový harmonogram jejich naplnění</w:t>
      </w:r>
      <w:r w:rsidR="007F0AFC">
        <w:t>,</w:t>
      </w:r>
      <w:r w:rsidRPr="00B965D9">
        <w:t xml:space="preserve"> a nejsou proto navrženy v souladu s doporučením </w:t>
      </w:r>
      <w:r w:rsidRPr="00B51C98">
        <w:rPr>
          <w:i/>
        </w:rPr>
        <w:t>Metodiky přípravy veřejných strategií</w:t>
      </w:r>
      <w:r w:rsidRPr="00B965D9">
        <w:t>.</w:t>
      </w:r>
      <w:r w:rsidRPr="00DA7953">
        <w:t xml:space="preserve"> V Koncepci jsou zároveň stanovena i opatření, která jsou vymezena velmi neurčitě, mají pouze přípravný charakter, nebo u nich není zcela zřejmé, kdo zodpovídá za jejich plnění, případně opatření, která nebudou</w:t>
      </w:r>
      <w:r w:rsidR="003914FB">
        <w:t xml:space="preserve"> </w:t>
      </w:r>
      <w:r w:rsidR="003914FB" w:rsidRPr="008B1057">
        <w:t xml:space="preserve">dle </w:t>
      </w:r>
      <w:r w:rsidR="008B1057">
        <w:t>z</w:t>
      </w:r>
      <w:r w:rsidR="003914FB" w:rsidRPr="008B1057">
        <w:t xml:space="preserve">práv o plnění </w:t>
      </w:r>
      <w:r w:rsidR="003914FB" w:rsidRPr="008B1057">
        <w:rPr>
          <w:i/>
        </w:rPr>
        <w:t>Koncepce rodinné politiky</w:t>
      </w:r>
      <w:r w:rsidRPr="00DA7953">
        <w:t xml:space="preserve"> realizována.</w:t>
      </w:r>
      <w:r>
        <w:t xml:space="preserve"> </w:t>
      </w:r>
    </w:p>
    <w:p w14:paraId="2829EFE1" w14:textId="736E05F8" w:rsidR="00AA4D92" w:rsidRPr="00C274DB" w:rsidRDefault="00AA4D92" w:rsidP="00AA4D92">
      <w:pPr>
        <w:rPr>
          <w:rFonts w:cstheme="minorHAnsi"/>
          <w:bCs/>
        </w:rPr>
      </w:pPr>
      <w:r w:rsidRPr="00C274DB">
        <w:rPr>
          <w:rFonts w:cstheme="minorHAnsi"/>
          <w:bCs/>
        </w:rPr>
        <w:t xml:space="preserve">NKÚ dále </w:t>
      </w:r>
      <w:r w:rsidR="00107753">
        <w:rPr>
          <w:rFonts w:cstheme="minorHAnsi"/>
          <w:bCs/>
        </w:rPr>
        <w:t xml:space="preserve">zjistil </w:t>
      </w:r>
      <w:r w:rsidRPr="00C274DB">
        <w:rPr>
          <w:rFonts w:cstheme="minorHAnsi"/>
          <w:bCs/>
        </w:rPr>
        <w:t>nedostatky v monitoringu a hodnocení dosahování cílů a</w:t>
      </w:r>
      <w:r w:rsidR="008134E3">
        <w:rPr>
          <w:rFonts w:cstheme="minorHAnsi"/>
          <w:bCs/>
        </w:rPr>
        <w:t> </w:t>
      </w:r>
      <w:r w:rsidRPr="00C274DB">
        <w:rPr>
          <w:rFonts w:cstheme="minorHAnsi"/>
          <w:bCs/>
        </w:rPr>
        <w:t xml:space="preserve">plnění opatření stanovených v Koncepci. </w:t>
      </w:r>
      <w:r>
        <w:t xml:space="preserve">MPSV pro jednotlivé cíle a opatření v Koncepci nestanovilo žádné indikátory, které by umožnily systematicky sledovat a vyhodnocovat dosahování stanovených cílů a plnění opatření. </w:t>
      </w:r>
      <w:r w:rsidRPr="00C274DB">
        <w:rPr>
          <w:rFonts w:cstheme="minorHAnsi"/>
          <w:bCs/>
        </w:rPr>
        <w:t xml:space="preserve">Indikátory přitom MPSV nedefinovalo ani v návrzích aktualizace Koncepce z let 2019 a 2021.  </w:t>
      </w:r>
    </w:p>
    <w:p w14:paraId="6BE46519" w14:textId="51CC2016" w:rsidR="00AA4D92" w:rsidRPr="00C274DB" w:rsidRDefault="00AA4D92" w:rsidP="00AA4D92">
      <w:pPr>
        <w:rPr>
          <w:rFonts w:cstheme="minorHAnsi"/>
          <w:bCs/>
        </w:rPr>
      </w:pPr>
      <w:r w:rsidRPr="00C274DB">
        <w:rPr>
          <w:rFonts w:cstheme="minorHAnsi"/>
          <w:bCs/>
        </w:rPr>
        <w:t xml:space="preserve">MPSV ve </w:t>
      </w:r>
      <w:r w:rsidR="007F0AFC" w:rsidRPr="006F0A08">
        <w:rPr>
          <w:rFonts w:cstheme="minorHAnsi"/>
          <w:bCs/>
        </w:rPr>
        <w:t>z</w:t>
      </w:r>
      <w:r w:rsidRPr="006F0A08">
        <w:rPr>
          <w:rFonts w:cstheme="minorHAnsi"/>
          <w:bCs/>
        </w:rPr>
        <w:t>právách o plnění Koncepce</w:t>
      </w:r>
      <w:r w:rsidRPr="00C274DB">
        <w:rPr>
          <w:rFonts w:cstheme="minorHAnsi"/>
          <w:bCs/>
        </w:rPr>
        <w:t xml:space="preserve"> uvedlo, že k roku 2020 bylo průběžně plněno celkem 25</w:t>
      </w:r>
      <w:r w:rsidR="00BC5737">
        <w:rPr>
          <w:rFonts w:cstheme="minorHAnsi"/>
          <w:bCs/>
        </w:rPr>
        <w:t> </w:t>
      </w:r>
      <w:r w:rsidRPr="00C274DB">
        <w:rPr>
          <w:rFonts w:cstheme="minorHAnsi"/>
          <w:bCs/>
        </w:rPr>
        <w:t xml:space="preserve">opatření, </w:t>
      </w:r>
      <w:r w:rsidR="007F0AFC">
        <w:rPr>
          <w:rFonts w:cstheme="minorHAnsi"/>
          <w:bCs/>
        </w:rPr>
        <w:t>sedm</w:t>
      </w:r>
      <w:r w:rsidRPr="00C274DB">
        <w:rPr>
          <w:rFonts w:cstheme="minorHAnsi"/>
          <w:bCs/>
        </w:rPr>
        <w:t xml:space="preserve"> opatření bylo již splněno, </w:t>
      </w:r>
      <w:r w:rsidR="007F0AFC">
        <w:rPr>
          <w:rFonts w:cstheme="minorHAnsi"/>
          <w:bCs/>
        </w:rPr>
        <w:t>dvě</w:t>
      </w:r>
      <w:r w:rsidRPr="00C274DB">
        <w:rPr>
          <w:rFonts w:cstheme="minorHAnsi"/>
          <w:bCs/>
        </w:rPr>
        <w:t xml:space="preserve"> opatření byla plněna jinak, </w:t>
      </w:r>
      <w:r w:rsidR="007F0AFC">
        <w:rPr>
          <w:rFonts w:cstheme="minorHAnsi"/>
          <w:bCs/>
        </w:rPr>
        <w:t>dvě</w:t>
      </w:r>
      <w:r w:rsidRPr="00C274DB">
        <w:rPr>
          <w:rFonts w:cstheme="minorHAnsi"/>
          <w:bCs/>
        </w:rPr>
        <w:t xml:space="preserve"> opatření byla plněna částečně a </w:t>
      </w:r>
      <w:r w:rsidR="007F0AFC">
        <w:rPr>
          <w:rFonts w:cstheme="minorHAnsi"/>
          <w:bCs/>
        </w:rPr>
        <w:t>tři</w:t>
      </w:r>
      <w:r w:rsidRPr="00C274DB">
        <w:rPr>
          <w:rFonts w:cstheme="minorHAnsi"/>
          <w:bCs/>
        </w:rPr>
        <w:t xml:space="preserve"> opatření plněna </w:t>
      </w:r>
      <w:r w:rsidRPr="00FA44AD">
        <w:rPr>
          <w:rFonts w:cstheme="minorHAnsi"/>
          <w:bCs/>
        </w:rPr>
        <w:t xml:space="preserve">nebyla. NKÚ však zjistil, že u </w:t>
      </w:r>
      <w:r w:rsidR="007F0AFC">
        <w:rPr>
          <w:rFonts w:cstheme="minorHAnsi"/>
          <w:bCs/>
        </w:rPr>
        <w:t>šesti</w:t>
      </w:r>
      <w:r w:rsidRPr="00FA44AD">
        <w:rPr>
          <w:rFonts w:cstheme="minorHAnsi"/>
          <w:bCs/>
        </w:rPr>
        <w:t xml:space="preserve"> opatření neodpovídá vyhodnocení MPSV skutečnému stavu věci, protože daná opatření buď prokazatelně plněna nebyla</w:t>
      </w:r>
      <w:r w:rsidRPr="00C274DB">
        <w:rPr>
          <w:rFonts w:cstheme="minorHAnsi"/>
          <w:bCs/>
        </w:rPr>
        <w:t xml:space="preserve">, nebo byla plněna jiným způsobem a v jiném rozsahu, než jaký stanovila Koncepce. </w:t>
      </w:r>
    </w:p>
    <w:p w14:paraId="51DB77DA" w14:textId="1EF7C4B6" w:rsidR="00A20979" w:rsidRDefault="00AA4D92" w:rsidP="00A20979">
      <w:pPr>
        <w:spacing w:before="240"/>
        <w:rPr>
          <w:rFonts w:cstheme="minorHAnsi"/>
        </w:rPr>
      </w:pPr>
      <w:r w:rsidRPr="00006C29">
        <w:rPr>
          <w:rFonts w:cstheme="minorHAnsi"/>
        </w:rPr>
        <w:t>NKÚ rovněž zjistil, že pouze u 12 z 39 opatření uvedlo MPSV v Koncepci konkrétní údaj o</w:t>
      </w:r>
      <w:r w:rsidR="00327F7C" w:rsidRPr="00006C29">
        <w:rPr>
          <w:rFonts w:cstheme="minorHAnsi"/>
        </w:rPr>
        <w:t> </w:t>
      </w:r>
      <w:r w:rsidRPr="00006C29">
        <w:rPr>
          <w:rFonts w:cstheme="minorHAnsi"/>
        </w:rPr>
        <w:t>finančním dopadu na</w:t>
      </w:r>
      <w:r w:rsidR="00107753" w:rsidRPr="00006C29">
        <w:rPr>
          <w:rFonts w:cstheme="minorHAnsi"/>
        </w:rPr>
        <w:t xml:space="preserve"> státní rozpočet</w:t>
      </w:r>
      <w:r w:rsidRPr="00006C29">
        <w:rPr>
          <w:rFonts w:cstheme="minorHAnsi"/>
        </w:rPr>
        <w:t xml:space="preserve">. Ve </w:t>
      </w:r>
      <w:r w:rsidR="007F0AFC" w:rsidRPr="006F0A08">
        <w:rPr>
          <w:rFonts w:cstheme="minorHAnsi"/>
        </w:rPr>
        <w:t>z</w:t>
      </w:r>
      <w:r w:rsidRPr="006F0A08">
        <w:rPr>
          <w:rFonts w:cstheme="minorHAnsi"/>
        </w:rPr>
        <w:t>právách o plnění Koncepce</w:t>
      </w:r>
      <w:r w:rsidRPr="00006C29">
        <w:rPr>
          <w:rFonts w:cstheme="minorHAnsi"/>
        </w:rPr>
        <w:t xml:space="preserve"> jsou údaje o</w:t>
      </w:r>
      <w:r w:rsidR="00327F7C" w:rsidRPr="00006C29">
        <w:rPr>
          <w:rFonts w:cstheme="minorHAnsi"/>
        </w:rPr>
        <w:t> </w:t>
      </w:r>
      <w:r w:rsidRPr="00006C29">
        <w:rPr>
          <w:rFonts w:cstheme="minorHAnsi"/>
        </w:rPr>
        <w:t>financování plněných opatření, a to včetně opatření, za jejichž plnění MPSV zodpovídalo, značně omezené a neurčité.</w:t>
      </w:r>
    </w:p>
    <w:p w14:paraId="4D4BE3C8" w14:textId="1594B173" w:rsidR="00AA4D92" w:rsidRDefault="00AA4D92" w:rsidP="00AA4D92">
      <w:pPr>
        <w:rPr>
          <w:rFonts w:cstheme="minorHAnsi"/>
        </w:rPr>
      </w:pPr>
      <w:r w:rsidRPr="00FA44AD">
        <w:rPr>
          <w:rFonts w:cstheme="minorHAnsi"/>
        </w:rPr>
        <w:t>NKÚ dále zjistil, že MPSV v souladu s </w:t>
      </w:r>
      <w:r w:rsidR="001236B9" w:rsidRPr="00FA44AD">
        <w:rPr>
          <w:rFonts w:cstheme="minorHAnsi"/>
        </w:rPr>
        <w:t>usnesením</w:t>
      </w:r>
      <w:r w:rsidRPr="00FA44AD">
        <w:rPr>
          <w:rFonts w:cstheme="minorHAnsi"/>
        </w:rPr>
        <w:t xml:space="preserve"> vlády Č</w:t>
      </w:r>
      <w:r w:rsidR="00781783">
        <w:rPr>
          <w:rFonts w:cstheme="minorHAnsi"/>
        </w:rPr>
        <w:t>eské republiky</w:t>
      </w:r>
      <w:r w:rsidRPr="00FA44AD">
        <w:rPr>
          <w:rFonts w:cstheme="minorHAnsi"/>
        </w:rPr>
        <w:t xml:space="preserve"> ze dne 18. září 2017 č.</w:t>
      </w:r>
      <w:r w:rsidR="00ED5A05">
        <w:rPr>
          <w:rFonts w:cstheme="minorHAnsi"/>
        </w:rPr>
        <w:t> </w:t>
      </w:r>
      <w:r w:rsidRPr="00FA44AD">
        <w:rPr>
          <w:rFonts w:cstheme="minorHAnsi"/>
        </w:rPr>
        <w:t>654</w:t>
      </w:r>
      <w:r w:rsidR="007F0AFC">
        <w:rPr>
          <w:rFonts w:cstheme="minorHAnsi"/>
        </w:rPr>
        <w:t>,</w:t>
      </w:r>
      <w:r w:rsidR="0030781D">
        <w:rPr>
          <w:rFonts w:cstheme="minorHAnsi"/>
        </w:rPr>
        <w:t xml:space="preserve"> </w:t>
      </w:r>
      <w:r w:rsidR="0030781D" w:rsidRPr="00B17572">
        <w:rPr>
          <w:rFonts w:cstheme="minorHAnsi"/>
          <w:i/>
        </w:rPr>
        <w:t>o Koncepci rodinné politiky</w:t>
      </w:r>
      <w:r w:rsidR="007F0AFC">
        <w:rPr>
          <w:rFonts w:cstheme="minorHAnsi"/>
        </w:rPr>
        <w:t>,</w:t>
      </w:r>
      <w:r w:rsidRPr="00DA7953">
        <w:rPr>
          <w:rFonts w:cstheme="minorHAnsi"/>
        </w:rPr>
        <w:t xml:space="preserve"> </w:t>
      </w:r>
      <w:r w:rsidR="00AC546B" w:rsidRPr="00DA7953">
        <w:rPr>
          <w:rFonts w:cstheme="minorHAnsi"/>
        </w:rPr>
        <w:t xml:space="preserve">vynaložilo z vlastní rozpočtové kapitoly peněžní prostředky v přibližné výši 11,5 mil. Kč a ve spolupráci s VÚPSV připravilo komplexní výzkum o situaci rodin a seniorů a promítlo jeho výstupy do přípravy </w:t>
      </w:r>
      <w:r w:rsidR="006F0A08" w:rsidRPr="006F0A08">
        <w:rPr>
          <w:rFonts w:cstheme="minorHAnsi"/>
        </w:rPr>
        <w:t>z</w:t>
      </w:r>
      <w:r w:rsidR="00AC546B" w:rsidRPr="00022A72">
        <w:rPr>
          <w:rFonts w:cstheme="minorHAnsi"/>
        </w:rPr>
        <w:t>právy o rodině</w:t>
      </w:r>
      <w:r w:rsidR="00AC546B" w:rsidRPr="00DA7953">
        <w:rPr>
          <w:rFonts w:cstheme="minorHAnsi"/>
        </w:rPr>
        <w:t>, resp. do návrhu aktualizace Koncepce. Výstupy z komplexního výzkumu však doposud plnohodnotně nepřispěly k realizaci koncepčních opatření v oblasti rodinné politiky, neboť vláda ČR v roce 2021 neprojednala a</w:t>
      </w:r>
      <w:r w:rsidR="002313D0">
        <w:rPr>
          <w:rFonts w:cstheme="minorHAnsi"/>
        </w:rPr>
        <w:t> </w:t>
      </w:r>
      <w:r w:rsidR="00AC546B" w:rsidRPr="00DA7953">
        <w:rPr>
          <w:rFonts w:cstheme="minorHAnsi"/>
        </w:rPr>
        <w:t>neschválila návrh MPSV na aktualizaci Koncepce, který se opíral i o aktuální data vzešlá z komplexního výzkumu. Výstupy z komplexního výzkumu tak doposud MPSV využilo jen u</w:t>
      </w:r>
      <w:r w:rsidR="002313D0">
        <w:rPr>
          <w:rFonts w:cstheme="minorHAnsi"/>
        </w:rPr>
        <w:t> </w:t>
      </w:r>
      <w:r w:rsidR="00AC546B" w:rsidRPr="00DA7953">
        <w:rPr>
          <w:rFonts w:cstheme="minorHAnsi"/>
        </w:rPr>
        <w:t>jednorázových opatření uskutečňovaných mimo Koncepci (např. novela zákona o dětských skupinách, podpora rodin aktuálně zasažených tzv. energetickou krizí).</w:t>
      </w:r>
    </w:p>
    <w:p w14:paraId="7C1EB7D0" w14:textId="4AC2A32F" w:rsidR="006069F6" w:rsidRDefault="006069F6" w:rsidP="009C5E58">
      <w:pPr>
        <w:pStyle w:val="Nadpis1"/>
        <w:keepLines w:val="0"/>
        <w:spacing w:before="480" w:after="0"/>
        <w:jc w:val="both"/>
      </w:pPr>
      <w:r>
        <w:lastRenderedPageBreak/>
        <w:t xml:space="preserve">Seznam zkratek </w:t>
      </w:r>
    </w:p>
    <w:p w14:paraId="417E9ADA" w14:textId="3E85F8A3" w:rsidR="006069F6" w:rsidRDefault="006069F6" w:rsidP="00CE0693">
      <w:pPr>
        <w:keepNext/>
        <w:ind w:left="1418" w:hanging="1418"/>
        <w:jc w:val="left"/>
      </w:pPr>
      <w:r>
        <w:t>ČSÚ</w:t>
      </w:r>
      <w:r>
        <w:tab/>
        <w:t>Český statistický úřad</w:t>
      </w:r>
    </w:p>
    <w:p w14:paraId="31077370" w14:textId="34A062A7" w:rsidR="006069F6" w:rsidRDefault="006069F6" w:rsidP="00CE0693">
      <w:pPr>
        <w:keepNext/>
        <w:ind w:left="1418" w:hanging="1418"/>
        <w:jc w:val="left"/>
      </w:pPr>
      <w:r>
        <w:t>EP</w:t>
      </w:r>
      <w:r>
        <w:tab/>
        <w:t>Evropský parlament</w:t>
      </w:r>
    </w:p>
    <w:p w14:paraId="05E46C27" w14:textId="07F5678E" w:rsidR="006069F6" w:rsidRDefault="006069F6" w:rsidP="00CE0693">
      <w:pPr>
        <w:keepNext/>
        <w:ind w:left="1418" w:hanging="1418"/>
        <w:jc w:val="left"/>
      </w:pPr>
      <w:r>
        <w:t>ESF</w:t>
      </w:r>
      <w:r>
        <w:tab/>
        <w:t>Evropský sociální fond</w:t>
      </w:r>
    </w:p>
    <w:p w14:paraId="2715CD31" w14:textId="6C925F9E" w:rsidR="006069F6" w:rsidRDefault="006069F6" w:rsidP="00CE0693">
      <w:pPr>
        <w:keepNext/>
        <w:ind w:left="1418" w:hanging="1418"/>
        <w:jc w:val="left"/>
      </w:pPr>
      <w:r>
        <w:t>EU</w:t>
      </w:r>
      <w:r>
        <w:tab/>
        <w:t>Evropská unie</w:t>
      </w:r>
    </w:p>
    <w:p w14:paraId="00E74472" w14:textId="466B109B" w:rsidR="00D46A2C" w:rsidRDefault="00D46A2C" w:rsidP="00CE0693">
      <w:pPr>
        <w:keepNext/>
        <w:ind w:left="1418" w:hanging="1418"/>
        <w:jc w:val="left"/>
      </w:pPr>
      <w:r>
        <w:t>KA</w:t>
      </w:r>
      <w:r>
        <w:tab/>
        <w:t>klíčová aktivita realizovaná v projektu</w:t>
      </w:r>
    </w:p>
    <w:p w14:paraId="0A6D8D0C" w14:textId="77777777" w:rsidR="006069F6" w:rsidRDefault="006069F6" w:rsidP="00CE0693">
      <w:pPr>
        <w:keepNext/>
        <w:ind w:left="1418" w:hanging="1418"/>
        <w:jc w:val="left"/>
      </w:pPr>
      <w:r>
        <w:t>Koncepce</w:t>
      </w:r>
      <w:r>
        <w:tab/>
      </w:r>
      <w:proofErr w:type="spellStart"/>
      <w:r w:rsidRPr="00B17572">
        <w:rPr>
          <w:i/>
        </w:rPr>
        <w:t>Koncepce</w:t>
      </w:r>
      <w:proofErr w:type="spellEnd"/>
      <w:r w:rsidRPr="00B17572">
        <w:rPr>
          <w:i/>
        </w:rPr>
        <w:t xml:space="preserve"> rodinné politiky</w:t>
      </w:r>
      <w:r>
        <w:t xml:space="preserve"> z roku 2017</w:t>
      </w:r>
    </w:p>
    <w:p w14:paraId="27C8BA56" w14:textId="1468ECD8" w:rsidR="006069F6" w:rsidRDefault="006069F6" w:rsidP="00CE0693">
      <w:pPr>
        <w:keepNext/>
        <w:ind w:left="1418" w:hanging="1418"/>
        <w:jc w:val="left"/>
      </w:pPr>
      <w:r>
        <w:t>OPZ</w:t>
      </w:r>
      <w:r>
        <w:tab/>
      </w:r>
      <w:r w:rsidR="00231F6D">
        <w:t>o</w:t>
      </w:r>
      <w:r>
        <w:t xml:space="preserve">perační program </w:t>
      </w:r>
      <w:r w:rsidRPr="00B17572">
        <w:rPr>
          <w:i/>
        </w:rPr>
        <w:t>Zaměstnanost 2014</w:t>
      </w:r>
      <w:r w:rsidR="00DB6593" w:rsidRPr="00B17572">
        <w:rPr>
          <w:i/>
        </w:rPr>
        <w:t>–</w:t>
      </w:r>
      <w:r w:rsidRPr="00B17572">
        <w:rPr>
          <w:i/>
        </w:rPr>
        <w:t>2020</w:t>
      </w:r>
    </w:p>
    <w:p w14:paraId="5AA138D4" w14:textId="1852C87A" w:rsidR="006069F6" w:rsidRDefault="006069F6" w:rsidP="00CE0693">
      <w:pPr>
        <w:keepNext/>
        <w:ind w:left="1418" w:hanging="1418"/>
        <w:jc w:val="left"/>
      </w:pPr>
      <w:r>
        <w:t>PO</w:t>
      </w:r>
      <w:r>
        <w:tab/>
        <w:t>prioritní osa</w:t>
      </w:r>
    </w:p>
    <w:p w14:paraId="760DF0B5" w14:textId="77777777" w:rsidR="006069F6" w:rsidRDefault="006069F6" w:rsidP="00CE0693">
      <w:pPr>
        <w:keepNext/>
        <w:ind w:left="1418" w:hanging="1418"/>
        <w:jc w:val="left"/>
      </w:pPr>
      <w:r>
        <w:t>Metodika</w:t>
      </w:r>
      <w:r>
        <w:tab/>
      </w:r>
      <w:proofErr w:type="spellStart"/>
      <w:r w:rsidRPr="00B17572">
        <w:rPr>
          <w:i/>
        </w:rPr>
        <w:t>Metodika</w:t>
      </w:r>
      <w:proofErr w:type="spellEnd"/>
      <w:r w:rsidRPr="00B17572">
        <w:rPr>
          <w:i/>
        </w:rPr>
        <w:t xml:space="preserve"> přípravy veřejných strategií </w:t>
      </w:r>
    </w:p>
    <w:p w14:paraId="0FD84BD7" w14:textId="488557CC" w:rsidR="006069F6" w:rsidRDefault="006069F6" w:rsidP="00CE0693">
      <w:pPr>
        <w:keepNext/>
        <w:ind w:left="1418" w:hanging="1418"/>
        <w:jc w:val="left"/>
      </w:pPr>
      <w:r>
        <w:t>MPSV</w:t>
      </w:r>
      <w:r>
        <w:tab/>
        <w:t>Ministerstvo práce a sociálních věcí</w:t>
      </w:r>
    </w:p>
    <w:p w14:paraId="77E222C9" w14:textId="7043209E" w:rsidR="006069F6" w:rsidRDefault="006069F6" w:rsidP="00CE0693">
      <w:pPr>
        <w:keepNext/>
        <w:ind w:left="1418" w:hanging="1418"/>
      </w:pPr>
      <w:r>
        <w:t>MS2014+</w:t>
      </w:r>
      <w:r>
        <w:tab/>
      </w:r>
      <w:r w:rsidR="00231F6D">
        <w:t>i</w:t>
      </w:r>
      <w:r>
        <w:t xml:space="preserve">nformační systém – </w:t>
      </w:r>
      <w:r w:rsidR="00FF07C3">
        <w:t>m</w:t>
      </w:r>
      <w:r>
        <w:t>onitorovací systém evropských fondů 2014+ (pro</w:t>
      </w:r>
      <w:r w:rsidR="00231F6D">
        <w:t xml:space="preserve"> </w:t>
      </w:r>
      <w:r>
        <w:t>programové období 2014</w:t>
      </w:r>
      <w:r w:rsidR="00DB6593">
        <w:t>–</w:t>
      </w:r>
      <w:r>
        <w:t>2020)</w:t>
      </w:r>
    </w:p>
    <w:p w14:paraId="395D7540" w14:textId="769E57CB" w:rsidR="006069F6" w:rsidRDefault="006069F6" w:rsidP="00CE0693">
      <w:pPr>
        <w:keepNext/>
        <w:ind w:left="1418" w:hanging="1418"/>
        <w:jc w:val="left"/>
      </w:pPr>
      <w:r>
        <w:t>NDT</w:t>
      </w:r>
      <w:r w:rsidR="00B17572">
        <w:tab/>
      </w:r>
      <w:r w:rsidR="00D205D4">
        <w:t>n</w:t>
      </w:r>
      <w:r>
        <w:t>árodní dotační titul</w:t>
      </w:r>
    </w:p>
    <w:p w14:paraId="5167F862" w14:textId="339B0E98" w:rsidR="006069F6" w:rsidRDefault="006069F6" w:rsidP="00CE0693">
      <w:pPr>
        <w:keepNext/>
        <w:ind w:left="1418" w:hanging="1418"/>
        <w:jc w:val="left"/>
      </w:pPr>
      <w:r>
        <w:t>NKÚ</w:t>
      </w:r>
      <w:r>
        <w:tab/>
        <w:t>Nejvyšší kontrolní úřad</w:t>
      </w:r>
    </w:p>
    <w:p w14:paraId="73E7EB12" w14:textId="5E8B9CD5" w:rsidR="00A32810" w:rsidRDefault="00A32810" w:rsidP="00CE0693">
      <w:pPr>
        <w:keepNext/>
        <w:ind w:left="1418" w:hanging="1418"/>
        <w:jc w:val="left"/>
      </w:pPr>
      <w:r>
        <w:t>ŘO</w:t>
      </w:r>
      <w:r>
        <w:tab/>
        <w:t>řídicí orgán</w:t>
      </w:r>
    </w:p>
    <w:p w14:paraId="3F705AC0" w14:textId="2D0C7963" w:rsidR="006069F6" w:rsidRDefault="006069F6" w:rsidP="00CE0693">
      <w:pPr>
        <w:keepNext/>
        <w:ind w:left="1418" w:hanging="1418"/>
        <w:jc w:val="left"/>
      </w:pPr>
      <w:r>
        <w:t>SR</w:t>
      </w:r>
      <w:r>
        <w:tab/>
        <w:t>státní rozpočet</w:t>
      </w:r>
    </w:p>
    <w:p w14:paraId="54563F15" w14:textId="529994EB" w:rsidR="006069F6" w:rsidRDefault="006069F6" w:rsidP="00CE0693">
      <w:pPr>
        <w:keepNext/>
        <w:ind w:left="1418" w:hanging="1418"/>
        <w:jc w:val="left"/>
      </w:pPr>
      <w:r>
        <w:t>VÚPSV</w:t>
      </w:r>
      <w:r>
        <w:tab/>
        <w:t>Výzkumný ústav práce a sociálních věcí, v. v. i.</w:t>
      </w:r>
    </w:p>
    <w:p w14:paraId="0BBEDF79" w14:textId="68F2DFEC" w:rsidR="006069F6" w:rsidRDefault="006069F6" w:rsidP="00CE0693">
      <w:pPr>
        <w:keepNext/>
        <w:ind w:left="1418" w:hanging="1418"/>
        <w:jc w:val="left"/>
      </w:pPr>
      <w:r>
        <w:t>ÚP ČR</w:t>
      </w:r>
      <w:r>
        <w:tab/>
        <w:t>Úřad práce České republiky</w:t>
      </w:r>
    </w:p>
    <w:p w14:paraId="35800440" w14:textId="77777777" w:rsidR="00847667" w:rsidRPr="00847667" w:rsidRDefault="00847667" w:rsidP="008526AD">
      <w:pPr>
        <w:pStyle w:val="Nadpis1"/>
      </w:pPr>
      <w:r w:rsidRPr="00A008E6">
        <w:br w:type="page"/>
      </w:r>
      <w:r w:rsidRPr="0097353A">
        <w:lastRenderedPageBreak/>
        <w:t>Definice pojmů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39"/>
        <w:gridCol w:w="7023"/>
      </w:tblGrid>
      <w:tr w:rsidR="00847667" w:rsidRPr="009C5E58" w14:paraId="60E5A2A9" w14:textId="77777777" w:rsidTr="009C5E58">
        <w:tc>
          <w:tcPr>
            <w:tcW w:w="1125" w:type="pct"/>
            <w:vAlign w:val="center"/>
          </w:tcPr>
          <w:p w14:paraId="0DC9ABBE" w14:textId="137A4D27" w:rsidR="00847667" w:rsidRPr="009C5E58" w:rsidRDefault="00847667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Alokace</w:t>
            </w:r>
          </w:p>
        </w:tc>
        <w:tc>
          <w:tcPr>
            <w:tcW w:w="3875" w:type="pct"/>
            <w:vAlign w:val="center"/>
          </w:tcPr>
          <w:p w14:paraId="0CCE497B" w14:textId="01785357" w:rsidR="00847667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Objem finančních prostředků z ESI fondů a zdrojů vnitrostátního spolufinancování určený pro členský stát, cíl, program či jeho součást, rok, případně výzvu.</w:t>
            </w:r>
          </w:p>
        </w:tc>
      </w:tr>
      <w:tr w:rsidR="00AB0C28" w:rsidRPr="009C5E58" w14:paraId="0A3F6EC2" w14:textId="77777777" w:rsidTr="009C5E58">
        <w:tc>
          <w:tcPr>
            <w:tcW w:w="1125" w:type="pct"/>
            <w:vAlign w:val="center"/>
          </w:tcPr>
          <w:p w14:paraId="6CE156A4" w14:textId="49ED8C9F" w:rsidR="00AB0C28" w:rsidRPr="009C5E58" w:rsidRDefault="00AB0C28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Arbitrážní hodnocení</w:t>
            </w:r>
          </w:p>
        </w:tc>
        <w:tc>
          <w:tcPr>
            <w:tcW w:w="3875" w:type="pct"/>
            <w:vAlign w:val="center"/>
          </w:tcPr>
          <w:p w14:paraId="1BC5B1B7" w14:textId="52E8E60E" w:rsidR="00AB0C28" w:rsidRPr="009C5E58" w:rsidRDefault="00D61B7E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 xml:space="preserve">Musí být zajištěno, pokud se obě věcná hodnocení zpracovaná zapojenými </w:t>
            </w:r>
            <w:r w:rsidR="00194ED4">
              <w:rPr>
                <w:rFonts w:ascii="Calibri" w:hAnsi="Calibri" w:cs="Calibri"/>
                <w:sz w:val="20"/>
                <w:szCs w:val="20"/>
              </w:rPr>
              <w:t>dvěma</w:t>
            </w:r>
            <w:r w:rsidRPr="009C5E58">
              <w:rPr>
                <w:rFonts w:ascii="Calibri" w:hAnsi="Calibri" w:cs="Calibri"/>
                <w:sz w:val="20"/>
                <w:szCs w:val="20"/>
              </w:rPr>
              <w:t xml:space="preserve"> hodnotiteli </w:t>
            </w:r>
            <w:r w:rsidRPr="006F0A08">
              <w:rPr>
                <w:rFonts w:ascii="Calibri" w:hAnsi="Calibri" w:cs="Calibri"/>
                <w:sz w:val="20"/>
                <w:szCs w:val="20"/>
              </w:rPr>
              <w:t xml:space="preserve">liší </w:t>
            </w:r>
            <w:r w:rsidR="00194ED4" w:rsidRPr="006F0A08">
              <w:rPr>
                <w:rFonts w:ascii="Calibri" w:hAnsi="Calibri" w:cs="Calibri"/>
                <w:sz w:val="20"/>
                <w:szCs w:val="20"/>
              </w:rPr>
              <w:t xml:space="preserve">od </w:t>
            </w:r>
            <w:r w:rsidRPr="006F0A08">
              <w:rPr>
                <w:rFonts w:ascii="Calibri" w:hAnsi="Calibri" w:cs="Calibri"/>
                <w:sz w:val="20"/>
                <w:szCs w:val="20"/>
              </w:rPr>
              <w:t>stanoven</w:t>
            </w:r>
            <w:r w:rsidR="00194ED4" w:rsidRPr="006F0A08">
              <w:rPr>
                <w:rFonts w:ascii="Calibri" w:hAnsi="Calibri" w:cs="Calibri"/>
                <w:sz w:val="20"/>
                <w:szCs w:val="20"/>
              </w:rPr>
              <w:t>ého</w:t>
            </w:r>
            <w:r w:rsidRPr="006F0A08">
              <w:rPr>
                <w:rFonts w:ascii="Calibri" w:hAnsi="Calibri" w:cs="Calibri"/>
                <w:sz w:val="20"/>
                <w:szCs w:val="20"/>
              </w:rPr>
              <w:t xml:space="preserve"> limit</w:t>
            </w:r>
            <w:r w:rsidR="00194ED4" w:rsidRPr="006F0A08">
              <w:rPr>
                <w:rFonts w:ascii="Calibri" w:hAnsi="Calibri" w:cs="Calibri"/>
                <w:sz w:val="20"/>
                <w:szCs w:val="20"/>
              </w:rPr>
              <w:t>u</w:t>
            </w:r>
            <w:r w:rsidRPr="009C5E58">
              <w:rPr>
                <w:rFonts w:ascii="Calibri" w:hAnsi="Calibri" w:cs="Calibri"/>
                <w:sz w:val="20"/>
                <w:szCs w:val="20"/>
              </w:rPr>
              <w:t>. Jedná se o v pořadí třetí rozhodující hodnocení.</w:t>
            </w:r>
          </w:p>
        </w:tc>
      </w:tr>
      <w:tr w:rsidR="00BF0BC4" w:rsidRPr="009C5E58" w14:paraId="35902E36" w14:textId="77777777" w:rsidTr="009C5E58">
        <w:tc>
          <w:tcPr>
            <w:tcW w:w="1125" w:type="pct"/>
            <w:vAlign w:val="center"/>
          </w:tcPr>
          <w:p w14:paraId="78A67AA4" w14:textId="6E018530" w:rsidR="00BF0BC4" w:rsidRPr="009C5E58" w:rsidRDefault="00BF0BC4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Cílová hodnota indikátoru</w:t>
            </w:r>
          </w:p>
        </w:tc>
        <w:tc>
          <w:tcPr>
            <w:tcW w:w="3875" w:type="pct"/>
            <w:vAlign w:val="center"/>
          </w:tcPr>
          <w:p w14:paraId="25BBED6D" w14:textId="4092A4D8" w:rsidR="00BF0BC4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Na úrovni projektů je definována cílová hodnota jako plán indikátoru, k jehož dosažení se žadatel o podporu zavázal vůči poskytovateli podpory</w:t>
            </w:r>
            <w:r w:rsidR="00194ED4">
              <w:rPr>
                <w:rFonts w:ascii="Calibri" w:hAnsi="Calibri" w:cs="Calibri"/>
                <w:sz w:val="20"/>
                <w:szCs w:val="20"/>
              </w:rPr>
              <w:t>,</w:t>
            </w:r>
            <w:r w:rsidRPr="009C5E58">
              <w:rPr>
                <w:rFonts w:ascii="Calibri" w:hAnsi="Calibri" w:cs="Calibri"/>
                <w:sz w:val="20"/>
                <w:szCs w:val="20"/>
              </w:rPr>
              <w:t xml:space="preserve"> včetně data, kdy má být hodnoty dosaženo.</w:t>
            </w:r>
          </w:p>
        </w:tc>
      </w:tr>
      <w:tr w:rsidR="00847667" w:rsidRPr="009C5E58" w14:paraId="1229BB3D" w14:textId="77777777" w:rsidTr="009C5E58">
        <w:tc>
          <w:tcPr>
            <w:tcW w:w="1125" w:type="pct"/>
            <w:vAlign w:val="center"/>
          </w:tcPr>
          <w:p w14:paraId="649E2953" w14:textId="6A3E81C9" w:rsidR="00847667" w:rsidRPr="009C5E58" w:rsidRDefault="00847667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Cílová skupina</w:t>
            </w:r>
          </w:p>
        </w:tc>
        <w:tc>
          <w:tcPr>
            <w:tcW w:w="3875" w:type="pct"/>
            <w:vAlign w:val="center"/>
          </w:tcPr>
          <w:p w14:paraId="22A43FA1" w14:textId="3EF9BF91" w:rsidR="00847667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Skupina subjektů nebo osob, na kterou je program/projekt zaměřen a má z něj užitek po dobu jeho realizace včetně případné doby udržitelnosti (např. účastníci rekvalifikačních kurzů, turisté, etnické menšiny, podnikatelé, zdravotně postižení, neúplné rodiny, obce apod.).</w:t>
            </w:r>
          </w:p>
        </w:tc>
      </w:tr>
      <w:tr w:rsidR="00BF0BC4" w:rsidRPr="009C5E58" w14:paraId="416FCDA0" w14:textId="77777777" w:rsidTr="009C5E58">
        <w:tc>
          <w:tcPr>
            <w:tcW w:w="1125" w:type="pct"/>
            <w:vAlign w:val="center"/>
          </w:tcPr>
          <w:p w14:paraId="7BA18EE3" w14:textId="2A711A93" w:rsidR="00BF0BC4" w:rsidRPr="009C5E58" w:rsidRDefault="00BF0BC4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Dosažená hodnota indikátoru</w:t>
            </w:r>
          </w:p>
        </w:tc>
        <w:tc>
          <w:tcPr>
            <w:tcW w:w="3875" w:type="pct"/>
            <w:vAlign w:val="center"/>
          </w:tcPr>
          <w:p w14:paraId="7FF3A78D" w14:textId="1C4B5EFE" w:rsidR="00BF0BC4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Hodnota naplnění indikátoru (a to v průběhu či po ukončení realizace programu/projektu). Dosažená hodnota je kumulativní údaj od začátku realizace projektu nebo přírůstkový údaj dle povahy indikátoru a jeho definice. U hodnoty naplnění indikátoru se sleduje také datum, k němuž byly naměřené hodnoty indikátorů platné. V rámci dosažené hodnoty indikátoru je vyjma výsledkových indikátorů Evropského sociálního fondu zohledněna výchozí hodnota indikátoru. U</w:t>
            </w:r>
            <w:r w:rsidR="00512A49" w:rsidRPr="009C5E58">
              <w:rPr>
                <w:rFonts w:ascii="Calibri" w:hAnsi="Calibri" w:cs="Calibri"/>
                <w:sz w:val="20"/>
                <w:szCs w:val="20"/>
              </w:rPr>
              <w:t> </w:t>
            </w:r>
            <w:r w:rsidRPr="009C5E58">
              <w:rPr>
                <w:rFonts w:ascii="Calibri" w:hAnsi="Calibri" w:cs="Calibri"/>
                <w:sz w:val="20"/>
                <w:szCs w:val="20"/>
              </w:rPr>
              <w:t>indikátorů Evropského sociálního fondu, kde je výchozí hodnota definována jako referenční</w:t>
            </w:r>
            <w:r w:rsidR="00DA7953" w:rsidRPr="009C5E58">
              <w:rPr>
                <w:rFonts w:ascii="Calibri" w:hAnsi="Calibri" w:cs="Calibri"/>
                <w:sz w:val="20"/>
                <w:szCs w:val="20"/>
              </w:rPr>
              <w:t>,</w:t>
            </w:r>
            <w:r w:rsidRPr="009C5E58">
              <w:rPr>
                <w:rFonts w:ascii="Calibri" w:hAnsi="Calibri" w:cs="Calibri"/>
                <w:sz w:val="20"/>
                <w:szCs w:val="20"/>
              </w:rPr>
              <w:t xml:space="preserve"> resp. srovnávací, nedochází k jejímu započítávání do cílové ani dosažené hodnoty. Pro přehlednost a správnou interpretaci musí být v rámci programů referenční hodnoty vždy řádně označeny.</w:t>
            </w:r>
          </w:p>
        </w:tc>
      </w:tr>
      <w:tr w:rsidR="00BF0BC4" w:rsidRPr="009C5E58" w14:paraId="52F7D625" w14:textId="77777777" w:rsidTr="009C5E58">
        <w:tc>
          <w:tcPr>
            <w:tcW w:w="1125" w:type="pct"/>
            <w:vAlign w:val="center"/>
          </w:tcPr>
          <w:p w14:paraId="38F2AA4F" w14:textId="0F61FEB0" w:rsidR="00BF0BC4" w:rsidRPr="009C5E58" w:rsidRDefault="00BF0BC4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Hodnocení projektů</w:t>
            </w:r>
          </w:p>
        </w:tc>
        <w:tc>
          <w:tcPr>
            <w:tcW w:w="3875" w:type="pct"/>
            <w:vAlign w:val="center"/>
          </w:tcPr>
          <w:p w14:paraId="507C7DED" w14:textId="672B15A4" w:rsidR="00BF0BC4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Část procesu schvalování projektů, která zahrnuje fáze: kontrola formálních náležitostí, hodnocení přijatelnosti, věcné hodnocení a analýza rizik.</w:t>
            </w:r>
          </w:p>
        </w:tc>
      </w:tr>
      <w:tr w:rsidR="00BF0BC4" w:rsidRPr="009C5E58" w14:paraId="1CBE5DDC" w14:textId="77777777" w:rsidTr="009C5E58">
        <w:tc>
          <w:tcPr>
            <w:tcW w:w="1125" w:type="pct"/>
            <w:vAlign w:val="center"/>
          </w:tcPr>
          <w:p w14:paraId="2841B78B" w14:textId="780BF55D" w:rsidR="00BF0BC4" w:rsidRPr="009C5E58" w:rsidRDefault="00BF0BC4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Indikátor</w:t>
            </w:r>
          </w:p>
        </w:tc>
        <w:tc>
          <w:tcPr>
            <w:tcW w:w="3875" w:type="pct"/>
            <w:vAlign w:val="center"/>
          </w:tcPr>
          <w:p w14:paraId="7C2B1B2C" w14:textId="37348D2C" w:rsidR="00BF0BC4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Nástroj pro měření cíle/plánu, postupu či dosažených efektů jednotlivých úrovní implementace. Indikátor musí být přesně definován a tvoří jej kód, název, jasná definice, měrná jednotka včetně popisu způsobu měření, zdroj údajů, výchozí, cílová a dosažená hodnota. Pojem „indikátor“ má stejný význam jako jeho český ekvivalent „ukazatel“.</w:t>
            </w:r>
          </w:p>
        </w:tc>
      </w:tr>
      <w:tr w:rsidR="00847667" w:rsidRPr="009C5E58" w14:paraId="6581A1FB" w14:textId="77777777" w:rsidTr="009C5E58">
        <w:tc>
          <w:tcPr>
            <w:tcW w:w="1125" w:type="pct"/>
            <w:vAlign w:val="center"/>
          </w:tcPr>
          <w:p w14:paraId="6600CC07" w14:textId="357C7F28" w:rsidR="00847667" w:rsidRPr="009C5E58" w:rsidRDefault="00847667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Podpora</w:t>
            </w:r>
          </w:p>
        </w:tc>
        <w:tc>
          <w:tcPr>
            <w:tcW w:w="3875" w:type="pct"/>
            <w:vAlign w:val="center"/>
          </w:tcPr>
          <w:p w14:paraId="47A02393" w14:textId="39E1944E" w:rsidR="00847667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Pojem, který vyjadřuje obecně příspěvek příjemci z EU (fondů ESI) a národních zdrojů</w:t>
            </w:r>
            <w:r w:rsidR="00194ED4">
              <w:rPr>
                <w:rFonts w:ascii="Calibri" w:hAnsi="Calibri" w:cs="Calibri"/>
                <w:sz w:val="20"/>
                <w:szCs w:val="20"/>
              </w:rPr>
              <w:t>;</w:t>
            </w:r>
            <w:r w:rsidRPr="009C5E58">
              <w:rPr>
                <w:rFonts w:ascii="Calibri" w:hAnsi="Calibri" w:cs="Calibri"/>
                <w:sz w:val="20"/>
                <w:szCs w:val="20"/>
              </w:rPr>
              <w:t xml:space="preserve"> dále se dělí na návratnou podporu (rizikový kapitál, půjčky, záruky atd.) a</w:t>
            </w:r>
            <w:r w:rsidR="00512A49" w:rsidRPr="009C5E58">
              <w:rPr>
                <w:rFonts w:ascii="Calibri" w:hAnsi="Calibri" w:cs="Calibri"/>
                <w:sz w:val="20"/>
                <w:szCs w:val="20"/>
              </w:rPr>
              <w:t> </w:t>
            </w:r>
            <w:r w:rsidRPr="009C5E58">
              <w:rPr>
                <w:rFonts w:ascii="Calibri" w:hAnsi="Calibri" w:cs="Calibri"/>
                <w:sz w:val="20"/>
                <w:szCs w:val="20"/>
              </w:rPr>
              <w:t>nenávratnou podporu. Tato podpora se dále člení dle zdrojů financování, zastoupení jednotlivých zdrojů financování pak určují poměry financování.</w:t>
            </w:r>
          </w:p>
        </w:tc>
      </w:tr>
      <w:tr w:rsidR="00847667" w:rsidRPr="009C5E58" w14:paraId="20805F2C" w14:textId="77777777" w:rsidTr="009C5E58">
        <w:tc>
          <w:tcPr>
            <w:tcW w:w="1125" w:type="pct"/>
            <w:vAlign w:val="center"/>
          </w:tcPr>
          <w:p w14:paraId="39300362" w14:textId="269827FC" w:rsidR="00847667" w:rsidRPr="009C5E58" w:rsidRDefault="00847667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Právní akt o</w:t>
            </w:r>
            <w:r w:rsidR="00770921" w:rsidRPr="009C5E58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poskytnutí/převodu podpory</w:t>
            </w:r>
          </w:p>
        </w:tc>
        <w:tc>
          <w:tcPr>
            <w:tcW w:w="3875" w:type="pct"/>
            <w:vAlign w:val="center"/>
          </w:tcPr>
          <w:p w14:paraId="01FEA158" w14:textId="36719032" w:rsidR="00847667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Právní akt, ve kterém je stvrzeno poskytnutí/převod podpory subjektem poskytujícím podporu vůči příjemci. Blíže specifikuje podmínky poskytnutí/převodu podpory. Dle vztahu a charakteru poskytovatele podpory a příjemce může mít různou formu, např. rozhodnutí o poskytnutí dotace, stanovení výdajů, smlouva o</w:t>
            </w:r>
            <w:r w:rsidR="00B26027" w:rsidRPr="009C5E58">
              <w:rPr>
                <w:rFonts w:ascii="Calibri" w:hAnsi="Calibri" w:cs="Calibri"/>
                <w:sz w:val="20"/>
                <w:szCs w:val="20"/>
              </w:rPr>
              <w:t> </w:t>
            </w:r>
            <w:r w:rsidRPr="009C5E58">
              <w:rPr>
                <w:rFonts w:ascii="Calibri" w:hAnsi="Calibri" w:cs="Calibri"/>
                <w:sz w:val="20"/>
                <w:szCs w:val="20"/>
              </w:rPr>
              <w:t>financování, dohoda o financování.</w:t>
            </w:r>
          </w:p>
        </w:tc>
      </w:tr>
      <w:tr w:rsidR="00847667" w:rsidRPr="009C5E58" w14:paraId="655F52C0" w14:textId="77777777" w:rsidTr="009C5E58">
        <w:tc>
          <w:tcPr>
            <w:tcW w:w="1125" w:type="pct"/>
            <w:vAlign w:val="center"/>
          </w:tcPr>
          <w:p w14:paraId="77CFE949" w14:textId="2972F8F8" w:rsidR="00847667" w:rsidRPr="009C5E58" w:rsidRDefault="00847667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Příjemce podpory</w:t>
            </w:r>
          </w:p>
        </w:tc>
        <w:tc>
          <w:tcPr>
            <w:tcW w:w="3875" w:type="pct"/>
            <w:vAlign w:val="center"/>
          </w:tcPr>
          <w:p w14:paraId="7E357F3D" w14:textId="2033E937" w:rsidR="00847667" w:rsidRPr="009C5E58" w:rsidRDefault="00BF0BC4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 xml:space="preserve">Veřejný nebo soukromý subjekt zodpovědný za zahájení, realizaci či udržení operace spolufinancované z ESI fondů, který na základě právního aktu o poskytnutí podpory a při splnění v něm stanovených podmínek předkládá </w:t>
            </w:r>
            <w:r w:rsidR="00D141AA" w:rsidRPr="009C5E58">
              <w:rPr>
                <w:rFonts w:ascii="Calibri" w:hAnsi="Calibri" w:cs="Calibri"/>
                <w:sz w:val="20"/>
                <w:szCs w:val="20"/>
              </w:rPr>
              <w:t>ŘO</w:t>
            </w:r>
            <w:r w:rsidRPr="009C5E58">
              <w:rPr>
                <w:rFonts w:ascii="Calibri" w:hAnsi="Calibri" w:cs="Calibri"/>
                <w:sz w:val="20"/>
                <w:szCs w:val="20"/>
              </w:rPr>
              <w:t xml:space="preserve"> nebo zprostředkujícímu subjektu nebo platební agentuře žádost o platbu (resp. jednotnou žádost nebo žádost o dotaci) a přijímá nárokované finanční prostředky z veřejných rozpočtů.</w:t>
            </w:r>
          </w:p>
        </w:tc>
      </w:tr>
      <w:tr w:rsidR="00847667" w:rsidRPr="009C5E58" w14:paraId="0825EACA" w14:textId="77777777" w:rsidTr="009C5E58">
        <w:tc>
          <w:tcPr>
            <w:tcW w:w="1125" w:type="pct"/>
            <w:vAlign w:val="center"/>
          </w:tcPr>
          <w:p w14:paraId="7DC02CE9" w14:textId="2C120472" w:rsidR="00847667" w:rsidRPr="009C5E58" w:rsidRDefault="0097353A" w:rsidP="009C5E58">
            <w:pPr>
              <w:spacing w:before="20" w:after="20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9C5E58">
              <w:rPr>
                <w:rFonts w:ascii="Calibri" w:hAnsi="Calibri" w:cs="Calibri"/>
                <w:b/>
                <w:sz w:val="20"/>
                <w:szCs w:val="20"/>
              </w:rPr>
              <w:t>Žadatel</w:t>
            </w:r>
          </w:p>
        </w:tc>
        <w:tc>
          <w:tcPr>
            <w:tcW w:w="3875" w:type="pct"/>
            <w:vAlign w:val="center"/>
          </w:tcPr>
          <w:p w14:paraId="5087E340" w14:textId="1020481B" w:rsidR="00847667" w:rsidRPr="009C5E58" w:rsidRDefault="0097353A" w:rsidP="009C5E58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9C5E58">
              <w:rPr>
                <w:rFonts w:ascii="Calibri" w:hAnsi="Calibri" w:cs="Calibri"/>
                <w:sz w:val="20"/>
                <w:szCs w:val="20"/>
              </w:rPr>
              <w:t>Konkrétní subjekt ze skupiny oprávněných žadatelů, který podal žádost o podporu. Žadatel přestává být žadatelem v okamžiku, kdy se stane příjemcem, nebo když je jeho žádost o podporu vyloučena z procesu schvalování operací.</w:t>
            </w:r>
          </w:p>
        </w:tc>
      </w:tr>
    </w:tbl>
    <w:p w14:paraId="229AFA1E" w14:textId="05B6D073" w:rsidR="00847667" w:rsidRPr="00CA57DF" w:rsidRDefault="00CA57DF" w:rsidP="009C5E58">
      <w:pPr>
        <w:spacing w:before="40"/>
        <w:rPr>
          <w:sz w:val="20"/>
        </w:rPr>
      </w:pPr>
      <w:r w:rsidRPr="006F0A08">
        <w:rPr>
          <w:b/>
          <w:sz w:val="20"/>
        </w:rPr>
        <w:t>Zdroj:</w:t>
      </w:r>
      <w:r w:rsidRPr="006F0A08">
        <w:rPr>
          <w:sz w:val="20"/>
        </w:rPr>
        <w:t xml:space="preserve"> </w:t>
      </w:r>
      <w:r w:rsidR="00231F6D" w:rsidRPr="006F0A08">
        <w:rPr>
          <w:i/>
          <w:sz w:val="20"/>
        </w:rPr>
        <w:t>O</w:t>
      </w:r>
      <w:r w:rsidRPr="00022A72">
        <w:rPr>
          <w:i/>
          <w:sz w:val="20"/>
        </w:rPr>
        <w:t xml:space="preserve">becná část pravidel pro žadatele a příjemce v rámci </w:t>
      </w:r>
      <w:r w:rsidR="00231F6D" w:rsidRPr="00022A72">
        <w:rPr>
          <w:i/>
          <w:sz w:val="20"/>
        </w:rPr>
        <w:t>o</w:t>
      </w:r>
      <w:r w:rsidRPr="00022A72">
        <w:rPr>
          <w:i/>
          <w:sz w:val="20"/>
        </w:rPr>
        <w:t xml:space="preserve">peračního programu </w:t>
      </w:r>
      <w:r w:rsidRPr="006F0A08">
        <w:rPr>
          <w:i/>
          <w:sz w:val="20"/>
        </w:rPr>
        <w:t>Zaměstnanost</w:t>
      </w:r>
      <w:r w:rsidRPr="006F0A08">
        <w:rPr>
          <w:sz w:val="20"/>
        </w:rPr>
        <w:t>.</w:t>
      </w:r>
    </w:p>
    <w:p w14:paraId="0B288DC6" w14:textId="1B65706B" w:rsidR="006069F6" w:rsidRPr="0073496A" w:rsidRDefault="006069F6" w:rsidP="009C5E58">
      <w:pPr>
        <w:spacing w:before="240" w:after="0"/>
        <w:jc w:val="left"/>
        <w:rPr>
          <w:b/>
        </w:rPr>
      </w:pPr>
      <w:r>
        <w:rPr>
          <w:b/>
        </w:rPr>
        <w:t>Seznam</w:t>
      </w:r>
      <w:r w:rsidRPr="0073496A">
        <w:rPr>
          <w:b/>
        </w:rPr>
        <w:t xml:space="preserve"> příloh ke kontrolnímu závěru</w:t>
      </w:r>
    </w:p>
    <w:p w14:paraId="2DD391AA" w14:textId="353AC15E" w:rsidR="006069F6" w:rsidRDefault="006069F6" w:rsidP="009C5E58">
      <w:pPr>
        <w:spacing w:after="0"/>
        <w:jc w:val="left"/>
      </w:pPr>
      <w:r>
        <w:t>Příloha č. 1 – Přehled všech kontrolovaných projektů z</w:t>
      </w:r>
      <w:r w:rsidR="005157DB">
        <w:t> </w:t>
      </w:r>
      <w:r>
        <w:t>OPZ</w:t>
      </w:r>
      <w:r w:rsidR="005157DB">
        <w:t xml:space="preserve"> v rámci podpory rodinné politiky</w:t>
      </w:r>
      <w:r w:rsidR="00231F6D">
        <w:t>.</w:t>
      </w:r>
    </w:p>
    <w:p w14:paraId="5672D1EE" w14:textId="5C0FF7BC" w:rsidR="003D3F8F" w:rsidRPr="003D3F8F" w:rsidRDefault="006069F6" w:rsidP="009C5E58">
      <w:pPr>
        <w:spacing w:after="0"/>
        <w:jc w:val="left"/>
        <w:sectPr w:rsidR="003D3F8F" w:rsidRPr="003D3F8F" w:rsidSect="00C23355">
          <w:footerReference w:type="default" r:id="rId23"/>
          <w:footnotePr>
            <w:numStart w:val="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B169A">
        <w:t xml:space="preserve">Příloha č. 2 </w:t>
      </w:r>
      <w:r w:rsidR="00F1604C" w:rsidRPr="00AB169A">
        <w:t xml:space="preserve">– </w:t>
      </w:r>
      <w:r w:rsidR="005157DB" w:rsidRPr="005157DB">
        <w:t>Vynakládání peněžních prostředků na podporu rodin v</w:t>
      </w:r>
      <w:r w:rsidR="00231F6D">
        <w:t> </w:t>
      </w:r>
      <w:r w:rsidR="005157DB" w:rsidRPr="005157DB">
        <w:t>ČR</w:t>
      </w:r>
      <w:r w:rsidR="00231F6D">
        <w:t>.</w:t>
      </w:r>
    </w:p>
    <w:p w14:paraId="55A9D3F8" w14:textId="7496C0E4" w:rsidR="003D3F8F" w:rsidRDefault="003D3F8F" w:rsidP="00022A72">
      <w:pPr>
        <w:spacing w:after="0"/>
        <w:jc w:val="right"/>
        <w:rPr>
          <w:b/>
          <w:szCs w:val="25"/>
        </w:rPr>
      </w:pPr>
      <w:r w:rsidRPr="00085530">
        <w:rPr>
          <w:b/>
          <w:szCs w:val="25"/>
        </w:rPr>
        <w:lastRenderedPageBreak/>
        <w:t xml:space="preserve">Příloha č. </w:t>
      </w:r>
      <w:r>
        <w:rPr>
          <w:b/>
          <w:szCs w:val="25"/>
        </w:rPr>
        <w:t>1</w:t>
      </w:r>
    </w:p>
    <w:p w14:paraId="3DD9B7EA" w14:textId="1BB1668A" w:rsidR="00E15880" w:rsidRPr="00085530" w:rsidRDefault="00E15880" w:rsidP="00E15880">
      <w:pPr>
        <w:jc w:val="left"/>
        <w:rPr>
          <w:b/>
          <w:szCs w:val="25"/>
        </w:rPr>
      </w:pPr>
      <w:r w:rsidRPr="00085530">
        <w:rPr>
          <w:b/>
          <w:szCs w:val="25"/>
        </w:rPr>
        <w:t>Přehled kontrolovaných projektů OPZ v rámci podpory rodinné politiky</w:t>
      </w:r>
      <w:r w:rsidR="002932A4" w:rsidRPr="00A25ADB">
        <w:rPr>
          <w:b/>
          <w:szCs w:val="25"/>
        </w:rPr>
        <w:t xml:space="preserve"> – ukončené projekty (</w:t>
      </w:r>
      <w:r w:rsidR="006F0A08" w:rsidRPr="00A25ADB">
        <w:rPr>
          <w:b/>
          <w:szCs w:val="25"/>
        </w:rPr>
        <w:t xml:space="preserve">stav </w:t>
      </w:r>
      <w:r w:rsidR="002932A4" w:rsidRPr="00A25ADB">
        <w:rPr>
          <w:b/>
          <w:i/>
          <w:szCs w:val="25"/>
        </w:rPr>
        <w:t>PP43 Projekt finálně uzavřen</w:t>
      </w:r>
      <w:r w:rsidR="002932A4" w:rsidRPr="00A25ADB">
        <w:rPr>
          <w:b/>
          <w:szCs w:val="25"/>
        </w:rPr>
        <w:t>)</w:t>
      </w:r>
    </w:p>
    <w:tbl>
      <w:tblPr>
        <w:tblW w:w="142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304"/>
        <w:gridCol w:w="822"/>
        <w:gridCol w:w="1417"/>
        <w:gridCol w:w="992"/>
        <w:gridCol w:w="794"/>
        <w:gridCol w:w="964"/>
        <w:gridCol w:w="1191"/>
        <w:gridCol w:w="1020"/>
        <w:gridCol w:w="1077"/>
        <w:gridCol w:w="1069"/>
        <w:gridCol w:w="1077"/>
        <w:gridCol w:w="1099"/>
      </w:tblGrid>
      <w:tr w:rsidR="002932A4" w:rsidRPr="00B56758" w14:paraId="49E8F9B8" w14:textId="77777777" w:rsidTr="00C54BE9">
        <w:trPr>
          <w:trHeight w:val="12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033671B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F0760FB" w14:textId="77777777" w:rsidR="002932A4" w:rsidRPr="00B56758" w:rsidRDefault="002932A4" w:rsidP="00022A7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Název prioritní osy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92065C9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Specifický cíl projektu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AED9960" w14:textId="77777777" w:rsidR="002932A4" w:rsidRPr="00B56758" w:rsidRDefault="002932A4" w:rsidP="00C54BE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821CB0B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Příjemce podpory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37756AA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444805D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Datum zahájení fyzické operace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2FD49FF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Předpokládané datum ukončení fyzické realizace operace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A0CB027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Skutečné datum ukončení fyzické realizace operace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3CE8CF4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Celkové způsobilé výdaje </w:t>
            </w: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6023CBD" w14:textId="2E82671C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Celkové způsobilé </w:t>
            </w:r>
            <w:r w:rsidR="006F0A08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výdaje – příspěvek</w:t>
            </w: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EU (Kč)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EE0FF2A" w14:textId="73D6E93A" w:rsidR="002932A4" w:rsidRPr="00B56758" w:rsidRDefault="006F0A08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Proplaceno – CZV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* 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8A9ECAA" w14:textId="4FDDE8B9" w:rsidR="002932A4" w:rsidRPr="00B56758" w:rsidRDefault="006F0A08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Proplaceno – příspěvek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EU* 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</w:tr>
      <w:tr w:rsidR="002932A4" w:rsidRPr="00B56758" w14:paraId="3E8D796A" w14:textId="77777777" w:rsidTr="00C54BE9">
        <w:trPr>
          <w:trHeight w:val="5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805" w14:textId="77777777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CZ.03.2.60/0.0/0.0/16_064/0006440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8EE" w14:textId="7F0B5498" w:rsidR="002932A4" w:rsidRPr="00B56758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03.2</w:t>
            </w:r>
            <w:r w:rsidR="006F0A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Sociální začleňování a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boj s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662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F1DC" w14:textId="77777777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Učí (se) celá rodina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70F8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Aufori</w:t>
            </w:r>
            <w:proofErr w:type="spellEnd"/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, o.p.s.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B115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1582241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E6A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01.09.2017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EA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8F90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65CC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12 578 928,00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1ED2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10 692 088,80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4B8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12 564 567,83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5E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10 679 882,64</w:t>
            </w:r>
          </w:p>
        </w:tc>
      </w:tr>
      <w:tr w:rsidR="002932A4" w:rsidRPr="00B56758" w14:paraId="323AAC5F" w14:textId="77777777" w:rsidTr="00C54BE9">
        <w:trPr>
          <w:trHeight w:val="67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BE4F" w14:textId="77777777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CZ.03.2.60/0.0/0.0/16_064/0006257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BEA2" w14:textId="5ACEABAE" w:rsidR="002932A4" w:rsidRPr="00B56758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03.2 Sociální začleňování a</w:t>
            </w:r>
            <w:r w:rsidR="00511D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boj s</w:t>
            </w:r>
            <w:r w:rsidR="00511D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FD7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D6C" w14:textId="72B0C9E2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Komplexní podpora ohrožených rodin v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lokalitách Chrudim, Prachovice, Hrochův Týnec a</w:t>
            </w:r>
            <w:r w:rsidR="008A60C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Chrast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7231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Šance pro Tebe, </w:t>
            </w:r>
            <w:proofErr w:type="spellStart"/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B738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68246277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84A8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01.10.2017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0C67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B06B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F361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7 959 725,00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A97B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6 765 766,25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3F9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6 581 037,79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B73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5 593 882,10</w:t>
            </w:r>
          </w:p>
        </w:tc>
      </w:tr>
      <w:tr w:rsidR="002932A4" w:rsidRPr="00B56758" w14:paraId="4705F3A8" w14:textId="77777777" w:rsidTr="00C54BE9">
        <w:trPr>
          <w:trHeight w:val="74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A14" w14:textId="77777777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CZ.03.2.60/0.0/0.0/16_052/0007788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246" w14:textId="4FF27BAB" w:rsidR="002932A4" w:rsidRPr="00B56758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03.2 Sociální začleňování a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boj s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2F7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2.1.1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2.1.2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5AA" w14:textId="5A5AFB3B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Podpora stabilizace ohrožených rodin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C9F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Statutární město Brno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DCA4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44992785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40FE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01.03.2018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19B3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E887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7096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16 076 860,80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19E9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13 665 331,67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DD4E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13 976 438,63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51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11 879 972,78</w:t>
            </w:r>
          </w:p>
        </w:tc>
      </w:tr>
      <w:tr w:rsidR="002932A4" w:rsidRPr="00B56758" w14:paraId="6DBE221C" w14:textId="77777777" w:rsidTr="00C54BE9">
        <w:trPr>
          <w:trHeight w:val="94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55D" w14:textId="77777777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CZ.03.2.63/0.0/0.0/15_007/0005680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8C1" w14:textId="770420A5" w:rsidR="002932A4" w:rsidRPr="00B56758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03.2 Sociální začleňování a</w:t>
            </w:r>
            <w:r w:rsidR="00511D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boj s</w:t>
            </w:r>
            <w:r w:rsidR="00511D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B108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2.2.1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D3C" w14:textId="77777777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Podpora a rozvoj náhradní rodinné péče v Kraji Vysočina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BBA8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Kraj Vysočina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31A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70890749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E278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01.01.2017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EE02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074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A8D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11 529 108,88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917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9 799 742,54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7756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9 949 260,75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124E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8 456 871,60</w:t>
            </w:r>
          </w:p>
        </w:tc>
      </w:tr>
      <w:tr w:rsidR="002932A4" w:rsidRPr="00B56758" w14:paraId="04709CA5" w14:textId="77777777" w:rsidTr="00C54BE9">
        <w:trPr>
          <w:trHeight w:val="69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7BF7" w14:textId="77777777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CZ.03.1.48/0.0/0.0/16_046/0006939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8CDE" w14:textId="3F24E217" w:rsidR="002932A4" w:rsidRPr="00B56758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03.1 Podpora zaměstnanosti a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adaptability pracovní síly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E32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5D11" w14:textId="77777777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Hladce do 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4B43" w14:textId="7FB76D6F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Centrum Kašpar, </w:t>
            </w:r>
            <w:r w:rsidR="006F0A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z. s.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2D5F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26994445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5BCB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01.08.2017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631E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7713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36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12 483 957,50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9D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10 611 363,87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CE5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12 003 650,06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DF77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10 203 102,53</w:t>
            </w:r>
          </w:p>
        </w:tc>
      </w:tr>
      <w:tr w:rsidR="002932A4" w:rsidRPr="00B56758" w14:paraId="1C89340F" w14:textId="77777777" w:rsidTr="00C54BE9">
        <w:trPr>
          <w:trHeight w:val="69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1332" w14:textId="77777777" w:rsidR="002932A4" w:rsidRPr="005C48ED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CZ.03.2.60/0.0/0.0/16_064/0006456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5A48" w14:textId="2713DF98" w:rsidR="002932A4" w:rsidRPr="005C48ED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03.2 Sociální začleňování a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 </w:t>
            </w: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boj s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 </w:t>
            </w: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2C09" w14:textId="77777777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31BC" w14:textId="77777777" w:rsidR="002932A4" w:rsidRPr="005C48ED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Centrum DOBRÉ RODINNÉ péče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B251" w14:textId="77777777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Dobrá rodina o.p.s.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B009" w14:textId="77777777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24286664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FE3F" w14:textId="77777777" w:rsidR="002932A4" w:rsidRPr="005C48ED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01.09.2017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7A78" w14:textId="77777777" w:rsidR="002932A4" w:rsidRPr="005C48ED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31.08.2019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47A6" w14:textId="77777777" w:rsidR="002932A4" w:rsidRPr="005C48ED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cs-CZ"/>
              </w:rPr>
              <w:t>31.08.2019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A776" w14:textId="77777777" w:rsidR="002932A4" w:rsidRPr="0022611E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9 433 750,00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32E2" w14:textId="77777777" w:rsidR="002932A4" w:rsidRPr="0022611E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8 018 687,50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D9D8" w14:textId="77777777" w:rsidR="002932A4" w:rsidRPr="0022611E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8 678 426,78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3A31" w14:textId="77777777" w:rsidR="002932A4" w:rsidRPr="0022611E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7 376 662,74</w:t>
            </w:r>
          </w:p>
        </w:tc>
      </w:tr>
      <w:tr w:rsidR="002932A4" w:rsidRPr="00B56758" w14:paraId="76E8F56D" w14:textId="77777777" w:rsidTr="00C54BE9">
        <w:trPr>
          <w:trHeight w:val="69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D726" w14:textId="77777777" w:rsidR="002932A4" w:rsidRPr="005C48ED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CZ.03.2.60/0.0/0.0/15_022/0001397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B362" w14:textId="76EDE120" w:rsidR="002932A4" w:rsidRPr="005C48ED" w:rsidRDefault="002932A4" w:rsidP="00022A7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03.2 Sociální začleňování a</w:t>
            </w:r>
            <w:r w:rsidR="00511D3E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 </w:t>
            </w: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boj s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 </w:t>
            </w: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chudobou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83A0" w14:textId="77777777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2.1.1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86D6" w14:textId="77777777" w:rsidR="002932A4" w:rsidRPr="005C48ED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Tři klíče k silné rodině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74B" w14:textId="7ABBA99C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 xml:space="preserve">APERIO </w:t>
            </w:r>
            <w:r w:rsidR="00C54BE9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–</w:t>
            </w: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 xml:space="preserve"> Společnost pro zdravé rodičovství, </w:t>
            </w:r>
            <w:proofErr w:type="spellStart"/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z.s</w:t>
            </w:r>
            <w:proofErr w:type="spellEnd"/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C322" w14:textId="77777777" w:rsidR="002932A4" w:rsidRPr="005C48ED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26528215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D5DB" w14:textId="77777777" w:rsidR="002932A4" w:rsidRPr="005C48ED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01.09.2016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F89E" w14:textId="77777777" w:rsidR="002932A4" w:rsidRPr="005C48ED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</w:pPr>
            <w:r w:rsidRPr="005C48ED"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cs-CZ"/>
              </w:rPr>
              <w:t>31.08.2019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98DF" w14:textId="77777777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2611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63D3" w14:textId="77777777" w:rsidR="002932A4" w:rsidRPr="0022611E" w:rsidRDefault="002932A4" w:rsidP="002932A4">
            <w:pPr>
              <w:jc w:val="right"/>
              <w:rPr>
                <w:sz w:val="16"/>
                <w:szCs w:val="16"/>
              </w:rPr>
            </w:pPr>
            <w:r w:rsidRPr="0022611E">
              <w:rPr>
                <w:sz w:val="16"/>
                <w:szCs w:val="16"/>
              </w:rPr>
              <w:t>10 069 743,75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7410" w14:textId="77777777" w:rsidR="002932A4" w:rsidRPr="0022611E" w:rsidRDefault="002932A4" w:rsidP="002932A4">
            <w:pPr>
              <w:jc w:val="right"/>
              <w:rPr>
                <w:sz w:val="16"/>
                <w:szCs w:val="16"/>
              </w:rPr>
            </w:pPr>
            <w:r w:rsidRPr="0022611E">
              <w:rPr>
                <w:sz w:val="16"/>
                <w:szCs w:val="16"/>
              </w:rPr>
              <w:t>8 559 282,18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E8E" w14:textId="77777777" w:rsidR="002932A4" w:rsidRPr="0022611E" w:rsidRDefault="002932A4" w:rsidP="002932A4">
            <w:pPr>
              <w:jc w:val="right"/>
              <w:rPr>
                <w:sz w:val="16"/>
                <w:szCs w:val="16"/>
              </w:rPr>
            </w:pPr>
            <w:r w:rsidRPr="0022611E">
              <w:rPr>
                <w:sz w:val="16"/>
                <w:szCs w:val="16"/>
              </w:rPr>
              <w:t>10 069 743,72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5822" w14:textId="77777777" w:rsidR="002932A4" w:rsidRPr="0022611E" w:rsidRDefault="002932A4" w:rsidP="002932A4">
            <w:pPr>
              <w:jc w:val="right"/>
              <w:rPr>
                <w:sz w:val="16"/>
                <w:szCs w:val="16"/>
              </w:rPr>
            </w:pPr>
            <w:r w:rsidRPr="0022611E">
              <w:rPr>
                <w:sz w:val="16"/>
                <w:szCs w:val="16"/>
              </w:rPr>
              <w:t>8 559 282,13</w:t>
            </w:r>
          </w:p>
        </w:tc>
      </w:tr>
    </w:tbl>
    <w:p w14:paraId="1A996531" w14:textId="74DF0031" w:rsidR="002932A4" w:rsidRPr="00A25ADB" w:rsidRDefault="002932A4" w:rsidP="00CA7C3B">
      <w:pPr>
        <w:spacing w:before="40" w:after="0"/>
        <w:rPr>
          <w:sz w:val="20"/>
          <w:szCs w:val="20"/>
        </w:rPr>
      </w:pPr>
      <w:r w:rsidRPr="00A25ADB">
        <w:rPr>
          <w:b/>
          <w:sz w:val="20"/>
          <w:szCs w:val="20"/>
        </w:rPr>
        <w:t>Zdroj:</w:t>
      </w:r>
      <w:r w:rsidRPr="00A25ADB">
        <w:rPr>
          <w:sz w:val="20"/>
          <w:szCs w:val="20"/>
        </w:rPr>
        <w:t xml:space="preserve"> </w:t>
      </w:r>
      <w:r w:rsidR="00E1024B" w:rsidRPr="00A25ADB">
        <w:rPr>
          <w:sz w:val="20"/>
          <w:szCs w:val="20"/>
        </w:rPr>
        <w:t>s</w:t>
      </w:r>
      <w:r w:rsidRPr="00A25ADB">
        <w:rPr>
          <w:sz w:val="20"/>
          <w:szCs w:val="20"/>
        </w:rPr>
        <w:t>eznam operací (příjemců) dostupn</w:t>
      </w:r>
      <w:r w:rsidR="00E1024B" w:rsidRPr="00A25ADB">
        <w:rPr>
          <w:sz w:val="20"/>
          <w:szCs w:val="20"/>
        </w:rPr>
        <w:t>ý</w:t>
      </w:r>
      <w:r w:rsidRPr="00A25ADB">
        <w:rPr>
          <w:sz w:val="20"/>
          <w:szCs w:val="20"/>
        </w:rPr>
        <w:t xml:space="preserve"> na: </w:t>
      </w:r>
      <w:hyperlink r:id="rId24" w:history="1">
        <w:r w:rsidRPr="00A25ADB">
          <w:rPr>
            <w:rStyle w:val="Hypertextovodkaz"/>
            <w:sz w:val="20"/>
            <w:szCs w:val="20"/>
          </w:rPr>
          <w:t>https://www.dotaceeu.cz/cs/statistiky-a-analyzy/seznamy-prijemcu</w:t>
        </w:r>
      </w:hyperlink>
      <w:r w:rsidRPr="00A25ADB">
        <w:rPr>
          <w:sz w:val="20"/>
          <w:szCs w:val="20"/>
        </w:rPr>
        <w:t>.</w:t>
      </w:r>
    </w:p>
    <w:p w14:paraId="09CBCCB0" w14:textId="5D9D5F3D" w:rsidR="00A25ADB" w:rsidRDefault="002932A4" w:rsidP="002932A4">
      <w:pPr>
        <w:spacing w:after="0"/>
        <w:rPr>
          <w:sz w:val="20"/>
          <w:szCs w:val="20"/>
        </w:rPr>
      </w:pPr>
      <w:r w:rsidRPr="00A25ADB">
        <w:rPr>
          <w:sz w:val="20"/>
          <w:szCs w:val="20"/>
        </w:rPr>
        <w:t xml:space="preserve">* </w:t>
      </w:r>
      <w:r w:rsidR="00E1024B" w:rsidRPr="00A25ADB">
        <w:rPr>
          <w:sz w:val="20"/>
          <w:szCs w:val="20"/>
        </w:rPr>
        <w:t>N</w:t>
      </w:r>
      <w:r w:rsidRPr="00A25ADB">
        <w:rPr>
          <w:sz w:val="20"/>
          <w:szCs w:val="20"/>
        </w:rPr>
        <w:t>ezahrnuje případné vratky</w:t>
      </w:r>
      <w:r w:rsidR="00E1024B" w:rsidRPr="00A25ADB">
        <w:rPr>
          <w:sz w:val="20"/>
          <w:szCs w:val="20"/>
        </w:rPr>
        <w:t>.</w:t>
      </w:r>
    </w:p>
    <w:p w14:paraId="795B9BBF" w14:textId="77777777" w:rsidR="00A25ADB" w:rsidRDefault="00A25ADB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E110790" w14:textId="6C066DB3" w:rsidR="00D8115D" w:rsidRDefault="002932A4" w:rsidP="00A25ADB">
      <w:pPr>
        <w:jc w:val="left"/>
      </w:pPr>
      <w:r w:rsidRPr="00085530">
        <w:rPr>
          <w:b/>
          <w:szCs w:val="25"/>
        </w:rPr>
        <w:lastRenderedPageBreak/>
        <w:t>Přehled kontrolovaných projektů OPZ v rámci podpory rodinné politiky</w:t>
      </w:r>
      <w:r>
        <w:rPr>
          <w:b/>
          <w:szCs w:val="25"/>
        </w:rPr>
        <w:t xml:space="preserve"> </w:t>
      </w:r>
      <w:r w:rsidRPr="00A25ADB">
        <w:rPr>
          <w:b/>
          <w:szCs w:val="25"/>
        </w:rPr>
        <w:t xml:space="preserve">– </w:t>
      </w:r>
      <w:r w:rsidR="00F66635" w:rsidRPr="00A25ADB">
        <w:rPr>
          <w:b/>
          <w:szCs w:val="25"/>
        </w:rPr>
        <w:t>projekt</w:t>
      </w:r>
      <w:r w:rsidR="004C4C0B">
        <w:rPr>
          <w:b/>
          <w:szCs w:val="25"/>
        </w:rPr>
        <w:t>y</w:t>
      </w:r>
      <w:r w:rsidR="00F66635" w:rsidRPr="00A25ADB">
        <w:rPr>
          <w:b/>
          <w:szCs w:val="25"/>
        </w:rPr>
        <w:t xml:space="preserve"> v realizaci</w:t>
      </w:r>
      <w:r w:rsidRPr="00A25ADB">
        <w:rPr>
          <w:b/>
          <w:szCs w:val="25"/>
        </w:rPr>
        <w:t xml:space="preserve"> </w:t>
      </w:r>
      <w:r w:rsidR="00A25ADB">
        <w:rPr>
          <w:b/>
          <w:szCs w:val="25"/>
        </w:rPr>
        <w:br/>
      </w:r>
      <w:r w:rsidRPr="00A25ADB">
        <w:rPr>
          <w:b/>
          <w:szCs w:val="25"/>
        </w:rPr>
        <w:t>(</w:t>
      </w:r>
      <w:r w:rsidR="00F66635" w:rsidRPr="00A25ADB">
        <w:rPr>
          <w:b/>
          <w:szCs w:val="25"/>
        </w:rPr>
        <w:t xml:space="preserve">stav </w:t>
      </w:r>
      <w:r w:rsidRPr="00A25ADB">
        <w:rPr>
          <w:b/>
          <w:i/>
          <w:szCs w:val="25"/>
        </w:rPr>
        <w:t>PP37 Projekt v plné (fyzické i finanční) realizaci</w:t>
      </w:r>
      <w:r w:rsidRPr="00A25ADB">
        <w:rPr>
          <w:b/>
          <w:szCs w:val="25"/>
        </w:rPr>
        <w:t>)</w:t>
      </w:r>
    </w:p>
    <w:tbl>
      <w:tblPr>
        <w:tblW w:w="1407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850"/>
        <w:gridCol w:w="1361"/>
        <w:gridCol w:w="992"/>
        <w:gridCol w:w="851"/>
        <w:gridCol w:w="992"/>
        <w:gridCol w:w="1276"/>
        <w:gridCol w:w="835"/>
        <w:gridCol w:w="1077"/>
        <w:gridCol w:w="1069"/>
        <w:gridCol w:w="1064"/>
        <w:gridCol w:w="1157"/>
      </w:tblGrid>
      <w:tr w:rsidR="002932A4" w:rsidRPr="00B56758" w14:paraId="64AB8111" w14:textId="77777777" w:rsidTr="001576B3">
        <w:trPr>
          <w:trHeight w:val="126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BBCCF2D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Registrační číslo projektu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564EF14" w14:textId="77777777" w:rsidR="002932A4" w:rsidRPr="00B56758" w:rsidRDefault="002932A4" w:rsidP="00C54BE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Název prioritní osy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C34A450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Specifický cíl projektu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A9066EF" w14:textId="77777777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0C99872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Příjemce podpory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0EA1B0A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01C2F5D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Datum zahájení fyzické operace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0451EFBC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Předpokládané datum ukončení fyzické realizace operace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666B6F8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Skutečné datum ukončení fyzické realizace operace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D86205C" w14:textId="7777777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Celkové způsobilé výdaje </w:t>
            </w: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D944236" w14:textId="2C8DBFCB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Celkové způsobilé </w:t>
            </w:r>
            <w:r w:rsidR="00F66635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výdaje – příspěvek</w:t>
            </w: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EU (Kč)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BBCF4D3" w14:textId="6C647BC4" w:rsidR="002932A4" w:rsidRPr="00B56758" w:rsidRDefault="00F66635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Proplaceno – CZV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* 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B090903" w14:textId="4FED18F2" w:rsidR="002932A4" w:rsidRPr="00B56758" w:rsidRDefault="00F66635" w:rsidP="002932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Proplaceno – příspěvek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EU* </w:t>
            </w:r>
            <w:r w:rsidR="002932A4" w:rsidRPr="00B5675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br/>
              <w:t>(Kč)</w:t>
            </w:r>
          </w:p>
        </w:tc>
      </w:tr>
      <w:tr w:rsidR="002932A4" w:rsidRPr="00B56758" w14:paraId="18DE4F0D" w14:textId="77777777" w:rsidTr="001576B3">
        <w:trPr>
          <w:trHeight w:val="55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663C" w14:textId="19A72D38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CZ.03.1.48/0.0/0.0/15_010/0000030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C558" w14:textId="3D7E7684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03.1 Podpora zaměstnanosti a adaptability pracovní síly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87A0" w14:textId="37957022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1.1.1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E9FB" w14:textId="7AFB9B72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Mámo, táto neseďte doma!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865" w14:textId="1A45DAAE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Úřad práce České republiky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C5BC" w14:textId="04E301AF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72496991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9C3C" w14:textId="13C43A18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01.02.2016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6298" w14:textId="69F561F0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30.04.2023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2EEB" w14:textId="05BB2F60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D512" w14:textId="0873965C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90 613 336,61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FC5D" w14:textId="555C0264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77 021 336,11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5A0C" w14:textId="45D48E4B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64 108 377,51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452B" w14:textId="0663B688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54 492 120,83</w:t>
            </w:r>
          </w:p>
        </w:tc>
      </w:tr>
      <w:tr w:rsidR="002932A4" w:rsidRPr="00B56758" w14:paraId="054DDFAA" w14:textId="77777777" w:rsidTr="001576B3">
        <w:trPr>
          <w:trHeight w:val="67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63B1" w14:textId="21874F1D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CZ.03.1.48/0.0/0.0/15_010/0000024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918" w14:textId="5EF2D82F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03.1 Podpora zaměstnanosti a adaptability pracovní síly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259B" w14:textId="255C7C4F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1.1.1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ADFC" w14:textId="6819B87D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Péče a příležitost ve Zlínském kraji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6DFE" w14:textId="79151AA9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Úřad práce České republiky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41F" w14:textId="39ACCCB7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72496991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43DA" w14:textId="3536641E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01.02.2016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CCD4" w14:textId="02ABB25C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30.04.2023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9131" w14:textId="0FE636A3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FD22" w14:textId="3A5E265F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96 545 000,00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F69E" w14:textId="48F2CF5F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82 063 250,00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C936" w14:textId="260A4695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63 049 039,54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1734" w14:textId="73427826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53 591 683,56</w:t>
            </w:r>
          </w:p>
        </w:tc>
      </w:tr>
      <w:tr w:rsidR="002932A4" w:rsidRPr="00B56758" w14:paraId="5BA4D11E" w14:textId="77777777" w:rsidTr="001576B3">
        <w:trPr>
          <w:trHeight w:val="74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31F6" w14:textId="3DC792CA" w:rsidR="002932A4" w:rsidRPr="00B56758" w:rsidRDefault="002932A4" w:rsidP="002932A4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CZ.03.1.48/0.0/0.0/15_010/0000048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5C7F" w14:textId="2C572122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03.1 Podpora zaměstnanosti a adaptability pracovní síly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3B77" w14:textId="259ECF59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1.1.1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170" w14:textId="20603150" w:rsidR="002932A4" w:rsidRPr="00B56758" w:rsidRDefault="002932A4" w:rsidP="00C54BE9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sz w:val="16"/>
                <w:szCs w:val="16"/>
              </w:rPr>
              <w:t>Rodiče na trhu práce v</w:t>
            </w:r>
            <w:r w:rsidR="00820A5B">
              <w:rPr>
                <w:sz w:val="16"/>
                <w:szCs w:val="16"/>
              </w:rPr>
              <w:t> </w:t>
            </w:r>
            <w:r w:rsidRPr="002932A4">
              <w:rPr>
                <w:sz w:val="16"/>
                <w:szCs w:val="16"/>
              </w:rPr>
              <w:t>Libereckém kraji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2D2B" w14:textId="0DCABC13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Úřad práce České republiky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AF67" w14:textId="359DD981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72496991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C1A9" w14:textId="03ADF0F9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01.09.2016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2F8F" w14:textId="43024265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30.04.2023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5F83" w14:textId="48B9F089" w:rsidR="002932A4" w:rsidRPr="00B56758" w:rsidRDefault="002932A4" w:rsidP="002932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E0E9" w14:textId="58084895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36 300 000,00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0696" w14:textId="50D562DB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30 855 000,00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8E52" w14:textId="253E4686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15 717 036,13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B3DC" w14:textId="612449C9" w:rsidR="002932A4" w:rsidRPr="00B56758" w:rsidRDefault="002932A4" w:rsidP="002932A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932A4">
              <w:rPr>
                <w:rFonts w:ascii="Calibri" w:hAnsi="Calibri" w:cs="Calibri"/>
                <w:color w:val="000000"/>
                <w:sz w:val="16"/>
                <w:szCs w:val="16"/>
              </w:rPr>
              <w:t>13 359 480,72</w:t>
            </w:r>
          </w:p>
        </w:tc>
      </w:tr>
    </w:tbl>
    <w:p w14:paraId="1275DC5C" w14:textId="682F4E39" w:rsidR="002932A4" w:rsidRPr="00CA7C3B" w:rsidRDefault="002932A4" w:rsidP="002932A4">
      <w:pPr>
        <w:spacing w:before="120" w:after="0"/>
        <w:rPr>
          <w:b/>
          <w:sz w:val="18"/>
        </w:rPr>
      </w:pPr>
      <w:r w:rsidRPr="00CA7C3B">
        <w:rPr>
          <w:b/>
          <w:sz w:val="18"/>
        </w:rPr>
        <w:t>Údaje o proplacení u neukončených projektů:</w:t>
      </w:r>
    </w:p>
    <w:p w14:paraId="4E937E54" w14:textId="28DCDBC6" w:rsidR="002932A4" w:rsidRPr="009863FC" w:rsidRDefault="002932A4" w:rsidP="002932A4">
      <w:pPr>
        <w:spacing w:after="0"/>
        <w:rPr>
          <w:sz w:val="18"/>
        </w:rPr>
      </w:pPr>
      <w:r w:rsidRPr="009863FC">
        <w:rPr>
          <w:sz w:val="18"/>
        </w:rPr>
        <w:t>CZ.03.1.48/0.0/0.0/15_010/0000030</w:t>
      </w:r>
      <w:r w:rsidR="00CA7C3B">
        <w:rPr>
          <w:sz w:val="18"/>
        </w:rPr>
        <w:t xml:space="preserve"> </w:t>
      </w:r>
      <w:r w:rsidRPr="009863FC">
        <w:rPr>
          <w:sz w:val="18"/>
        </w:rPr>
        <w:t>–</w:t>
      </w:r>
      <w:r w:rsidR="00CA7C3B">
        <w:rPr>
          <w:sz w:val="18"/>
        </w:rPr>
        <w:t xml:space="preserve"> </w:t>
      </w:r>
      <w:r w:rsidRPr="009863FC">
        <w:rPr>
          <w:sz w:val="18"/>
        </w:rPr>
        <w:t>k 31. 1. 2022</w:t>
      </w:r>
      <w:r w:rsidR="003F54A3">
        <w:rPr>
          <w:sz w:val="18"/>
        </w:rPr>
        <w:t>,</w:t>
      </w:r>
    </w:p>
    <w:p w14:paraId="0B622C3E" w14:textId="3BE80A94" w:rsidR="002932A4" w:rsidRPr="009863FC" w:rsidRDefault="002932A4" w:rsidP="002932A4">
      <w:pPr>
        <w:spacing w:after="0"/>
        <w:rPr>
          <w:sz w:val="18"/>
        </w:rPr>
      </w:pPr>
      <w:r w:rsidRPr="009863FC">
        <w:rPr>
          <w:sz w:val="18"/>
        </w:rPr>
        <w:t>CZ.03.1.48/0.0/0.0/15_010/0000024</w:t>
      </w:r>
      <w:r w:rsidR="00CA7C3B">
        <w:rPr>
          <w:sz w:val="18"/>
        </w:rPr>
        <w:t xml:space="preserve"> </w:t>
      </w:r>
      <w:r w:rsidRPr="009863FC">
        <w:rPr>
          <w:sz w:val="18"/>
        </w:rPr>
        <w:t>–</w:t>
      </w:r>
      <w:r w:rsidR="00CA7C3B">
        <w:rPr>
          <w:sz w:val="18"/>
        </w:rPr>
        <w:t xml:space="preserve"> </w:t>
      </w:r>
      <w:r w:rsidRPr="009863FC">
        <w:rPr>
          <w:sz w:val="18"/>
        </w:rPr>
        <w:t>k 31. 1. 2022</w:t>
      </w:r>
      <w:r w:rsidR="003F54A3">
        <w:rPr>
          <w:sz w:val="18"/>
        </w:rPr>
        <w:t>,</w:t>
      </w:r>
    </w:p>
    <w:p w14:paraId="6D31911D" w14:textId="4FEAACD3" w:rsidR="001576B3" w:rsidRDefault="002932A4" w:rsidP="001576B3">
      <w:pPr>
        <w:spacing w:after="0"/>
        <w:rPr>
          <w:sz w:val="18"/>
        </w:rPr>
      </w:pPr>
      <w:r w:rsidRPr="009863FC">
        <w:rPr>
          <w:sz w:val="18"/>
        </w:rPr>
        <w:t>CZ.03.1.48/0.0/0.0/15_010/0000048</w:t>
      </w:r>
      <w:r w:rsidR="003F54A3">
        <w:rPr>
          <w:sz w:val="18"/>
        </w:rPr>
        <w:t xml:space="preserve"> </w:t>
      </w:r>
      <w:r w:rsidRPr="009863FC">
        <w:rPr>
          <w:sz w:val="18"/>
        </w:rPr>
        <w:t>–</w:t>
      </w:r>
      <w:r w:rsidR="003F54A3">
        <w:rPr>
          <w:sz w:val="18"/>
        </w:rPr>
        <w:t xml:space="preserve"> </w:t>
      </w:r>
      <w:r w:rsidRPr="009863FC">
        <w:rPr>
          <w:sz w:val="18"/>
        </w:rPr>
        <w:t>k 30. 11. 2021</w:t>
      </w:r>
      <w:r w:rsidR="003F54A3">
        <w:rPr>
          <w:sz w:val="18"/>
        </w:rPr>
        <w:t>.</w:t>
      </w:r>
    </w:p>
    <w:p w14:paraId="66BBCE1D" w14:textId="2195AFC7" w:rsidR="002932A4" w:rsidRPr="002932A4" w:rsidRDefault="002932A4" w:rsidP="001576B3">
      <w:pPr>
        <w:spacing w:before="40" w:after="0"/>
        <w:rPr>
          <w:sz w:val="20"/>
        </w:rPr>
      </w:pPr>
      <w:r w:rsidRPr="00F66635">
        <w:rPr>
          <w:b/>
          <w:sz w:val="20"/>
        </w:rPr>
        <w:t>Zdroj:</w:t>
      </w:r>
      <w:r w:rsidRPr="002932A4">
        <w:rPr>
          <w:sz w:val="20"/>
        </w:rPr>
        <w:t xml:space="preserve"> </w:t>
      </w:r>
      <w:r w:rsidR="00E1024B">
        <w:rPr>
          <w:sz w:val="20"/>
        </w:rPr>
        <w:t>s</w:t>
      </w:r>
      <w:r w:rsidRPr="002932A4">
        <w:rPr>
          <w:sz w:val="20"/>
        </w:rPr>
        <w:t>eznam operací (příjemců) dostupn</w:t>
      </w:r>
      <w:r w:rsidR="00E1024B">
        <w:rPr>
          <w:sz w:val="20"/>
        </w:rPr>
        <w:t>ý</w:t>
      </w:r>
      <w:r w:rsidRPr="002932A4">
        <w:rPr>
          <w:sz w:val="20"/>
        </w:rPr>
        <w:t xml:space="preserve"> na: </w:t>
      </w:r>
      <w:hyperlink r:id="rId25" w:history="1">
        <w:r w:rsidRPr="002932A4">
          <w:rPr>
            <w:rStyle w:val="Hypertextovodkaz"/>
            <w:sz w:val="20"/>
          </w:rPr>
          <w:t>https://www.dotaceeu.cz/cs/statistiky-a-analyzy/seznamy-prijemcu</w:t>
        </w:r>
      </w:hyperlink>
      <w:r w:rsidR="00E1024B">
        <w:rPr>
          <w:sz w:val="20"/>
        </w:rPr>
        <w:t>.</w:t>
      </w:r>
    </w:p>
    <w:p w14:paraId="4F115D57" w14:textId="77777777" w:rsidR="00E1024B" w:rsidRDefault="002932A4" w:rsidP="00E1024B">
      <w:pPr>
        <w:spacing w:after="0"/>
        <w:rPr>
          <w:sz w:val="20"/>
        </w:rPr>
      </w:pPr>
      <w:r w:rsidRPr="002932A4">
        <w:rPr>
          <w:sz w:val="20"/>
        </w:rPr>
        <w:t xml:space="preserve">* </w:t>
      </w:r>
      <w:r w:rsidR="00E1024B">
        <w:rPr>
          <w:sz w:val="20"/>
        </w:rPr>
        <w:t>N</w:t>
      </w:r>
      <w:r w:rsidRPr="002932A4">
        <w:rPr>
          <w:sz w:val="20"/>
        </w:rPr>
        <w:t>ezahrnuje případné vratky</w:t>
      </w:r>
      <w:r w:rsidR="00E1024B">
        <w:rPr>
          <w:sz w:val="20"/>
        </w:rPr>
        <w:t>.</w:t>
      </w:r>
    </w:p>
    <w:p w14:paraId="170EE5BB" w14:textId="77777777" w:rsidR="00E1024B" w:rsidRDefault="00E1024B">
      <w:pPr>
        <w:spacing w:after="160" w:line="259" w:lineRule="auto"/>
        <w:jc w:val="left"/>
        <w:rPr>
          <w:sz w:val="20"/>
        </w:rPr>
      </w:pPr>
      <w:r>
        <w:rPr>
          <w:sz w:val="20"/>
        </w:rPr>
        <w:br w:type="page"/>
      </w:r>
    </w:p>
    <w:p w14:paraId="7C98C7DA" w14:textId="6C209657" w:rsidR="00E1024B" w:rsidRDefault="00E1024B" w:rsidP="00CA7C3B">
      <w:pPr>
        <w:spacing w:after="0"/>
        <w:rPr>
          <w:b/>
          <w:szCs w:val="25"/>
        </w:rPr>
      </w:pPr>
    </w:p>
    <w:p w14:paraId="4DDF1509" w14:textId="68345CD9" w:rsidR="002932A4" w:rsidRPr="002932A4" w:rsidRDefault="00E1024B" w:rsidP="00E1024B">
      <w:pPr>
        <w:rPr>
          <w:sz w:val="20"/>
        </w:rPr>
      </w:pPr>
      <w:r w:rsidRPr="00085530">
        <w:rPr>
          <w:b/>
          <w:szCs w:val="25"/>
        </w:rPr>
        <w:t>Přehled kontrolovaných projektů OPZ v rámci podpory rodinné politiky</w:t>
      </w:r>
      <w:r w:rsidRPr="00A25ADB">
        <w:rPr>
          <w:b/>
          <w:szCs w:val="25"/>
        </w:rPr>
        <w:t xml:space="preserve"> – shrnující informace ke kontrolovaným projektům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386"/>
        <w:gridCol w:w="1276"/>
        <w:gridCol w:w="5917"/>
      </w:tblGrid>
      <w:tr w:rsidR="00BE511A" w:rsidRPr="00E1024B" w14:paraId="474D50C0" w14:textId="77777777" w:rsidTr="00CE0693">
        <w:trPr>
          <w:trHeight w:val="1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F8D64D9" w14:textId="77777777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Název projektu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E62DB49" w14:textId="77777777" w:rsidR="00E1024B" w:rsidRPr="00E1024B" w:rsidRDefault="00E1024B" w:rsidP="00CA7C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Shrnutí operace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1833C23" w14:textId="77777777" w:rsidR="00E1024B" w:rsidRPr="00E1024B" w:rsidRDefault="00E1024B" w:rsidP="00CA7C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Název projektu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2A6E288" w14:textId="77777777" w:rsidR="00E1024B" w:rsidRPr="00E1024B" w:rsidRDefault="00E1024B" w:rsidP="00CA7C3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b/>
                <w:bCs/>
                <w:sz w:val="17"/>
                <w:szCs w:val="17"/>
                <w:lang w:eastAsia="cs-CZ"/>
              </w:rPr>
              <w:t>Shrnutí operace</w:t>
            </w:r>
          </w:p>
        </w:tc>
      </w:tr>
      <w:tr w:rsidR="00F61BCC" w:rsidRPr="00E1024B" w14:paraId="10AEDFD6" w14:textId="77777777" w:rsidTr="00CE0693">
        <w:trPr>
          <w:trHeight w:val="84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AB51" w14:textId="77777777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Učí (se) celá rodina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CE6" w14:textId="1C58F2B9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Pomáháme rodinám ohroženým chudobou při obnově jejich narušených funkcí s</w:t>
            </w:r>
            <w:r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cílem stabilizovat rodinnou situaci za její aktivní účasti. Podporujeme to, aby 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děti mohly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vyrůstat ve svých rodinách a aby se zlepšily jejich šance na</w:t>
            </w:r>
            <w:r w:rsidR="009863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uplatnění ve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společnosti. Rodinám asistujeme při domácí přípravě do</w:t>
            </w:r>
            <w:r w:rsidR="009863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školy, při hospodaření a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péči o děti. Projekt je koncipován jako komplexní program podpory ohrožených rodin, které se potýkají s problémy související s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chudobou a které nezvládají řešit vlastními silami.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1BE" w14:textId="77777777" w:rsidR="00E1024B" w:rsidRPr="00E1024B" w:rsidRDefault="00E1024B" w:rsidP="00E1024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Centrum DOBRÉ RODINNÉ péče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4CAD" w14:textId="77777777" w:rsidR="00CA7C3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Centrum DOBRÉ RODINNÉ péče se zaměřuje na rodiny se svěřenými dětmi, </w:t>
            </w:r>
            <w:r w:rsidR="00F61BCC"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rodiny,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kde hrozí odebrání dítěte </w:t>
            </w:r>
            <w:r w:rsidR="00F61BCC"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anebo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bylo dítě již odebráno.</w:t>
            </w:r>
          </w:p>
          <w:p w14:paraId="140B28D9" w14:textId="77777777" w:rsidR="00CA7C3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CEDR poskytuje tři druhy služeb:</w:t>
            </w:r>
          </w:p>
          <w:p w14:paraId="251ABBB5" w14:textId="77777777" w:rsidR="00CA7C3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1) Nepřetržitá telefonická podpora, v podobě odborných hot-line pracovníků;</w:t>
            </w:r>
          </w:p>
          <w:p w14:paraId="2C8035B7" w14:textId="77777777" w:rsidR="00CA7C3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2) Zajištění právního poradenství, zejména řešení a pomoc v situacích, které si vyžadují znalost specifické oblasti právního systému;</w:t>
            </w:r>
          </w:p>
          <w:p w14:paraId="1573A5DE" w14:textId="48DEF595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3) Psychologická a terapeutická činnost a odborná pomoc a poradenství při zajišťování kontaktu dítěte s rodinou.</w:t>
            </w:r>
          </w:p>
        </w:tc>
      </w:tr>
      <w:tr w:rsidR="00F61BCC" w:rsidRPr="00E1024B" w14:paraId="44B4DF3B" w14:textId="77777777" w:rsidTr="00CE0693">
        <w:trPr>
          <w:trHeight w:val="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D256" w14:textId="60360333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Komplexní podpora ohrožených rodin v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lokalitách Chrudim, Prachovice, Hrochův Týnec a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Chrast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C8F" w14:textId="139423ED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Předkládaný projekt řeší komplexní podporu ohrožených rodin i jednotlivců ve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vyloučených lokalitách Chrudim, Prachovice a okolí, Hrochův Týnec a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okolí, a to v jejich přirozeném prostředí. Rodiny žijící v těchto lokalitách se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potýkají s celou škálou sociálních problémů, které vedou svým charakterem k sociálnímu vyloučení. Projekt má za cíl odbornou podporou a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metodickým 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podchycením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služeb 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zkompetentnit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rodiny k samostatnému fungování ve většinové společnosti.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015" w14:textId="77777777" w:rsidR="00E1024B" w:rsidRPr="00E1024B" w:rsidRDefault="00E1024B" w:rsidP="00E1024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Tři klíče k silné rodině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3012" w14:textId="39585C8A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Tři klíče k silné </w:t>
            </w:r>
            <w:r w:rsidR="00F61BCC"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rodině – dlouhodobé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vzdělávání, poradenství a provázení (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koučink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, 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mentoring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) - mají za cíl zvýšit dovednosti a informovanost sólo rodičů a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znevýhodněných osob pečujících o malé děti v oblasti rodičovství, osobní efektivity a začlenění na trh práce. Program je založený na zkušenostech a metodikách spolku APERIO a zahraničních organizací, se kterými APERIO spolupracuje. Podpoříme celkem 120 účastníků/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ic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z celé ČR; dalších 160 osob obdrží bagatelní podporu (poradenství).</w:t>
            </w:r>
          </w:p>
        </w:tc>
      </w:tr>
      <w:tr w:rsidR="00F61BCC" w:rsidRPr="00E1024B" w14:paraId="09CB2C34" w14:textId="77777777" w:rsidTr="00CE0693">
        <w:trPr>
          <w:trHeight w:val="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937" w14:textId="28AECC22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Podpora stabilizace ohrožených rodin</w:t>
            </w:r>
            <w:r w:rsidR="00CE06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II.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6A92" w14:textId="571465DB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Smyslem projektu je stabilizace rodin prostřednictvím posilování roviny vztahové, emocionální, výchovné i sociální. Rodiny budou směřovány k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udržování a vytváření zdravého rodinného prostředí a v souvislosti s tím bude snižován počet dětí odebíraných z péče rodičů a budou posilovány podmínky pro jejich návrat do rodin, bude-li to v zájmu dítěte. Zároveň bude zefektivněn systém práce s rodinou, rozšířena nabídka/kapacita služeb a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dojde k jejich zpřístupnění dané cílové skupině.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129F" w14:textId="77777777" w:rsidR="00E1024B" w:rsidRPr="00E1024B" w:rsidRDefault="00E1024B" w:rsidP="00E1024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Mámo, táto neseďte doma!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1E59" w14:textId="4605F7C5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Hlavním cílem projektu je zvýšení 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zaměstnanosti a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aktivizace uchazečů o zaměstnání, kteří pečují o dítě (děti) do 15 let věku, pomocí jednotlivých aktivit projektu. Do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projektu mohou vstoupit uchazeči o zaměstnání bez ohledu na jejich dosažené vzdělání a pracovní praxi. Uvedená cílová skupina je z pohledu uplatnění na trhu práce problematická. Dochází u ní ke kumulaci překážek bránících nástupu do</w:t>
            </w:r>
            <w:r w:rsidR="009863F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zaměstnání: vzdělání, péče o dítě, absence praxe, časový odstup od posledního zaměstnání.  </w:t>
            </w:r>
          </w:p>
        </w:tc>
      </w:tr>
      <w:tr w:rsidR="00F61BCC" w:rsidRPr="00E1024B" w14:paraId="7600ADB2" w14:textId="77777777" w:rsidTr="00CE0693">
        <w:trPr>
          <w:trHeight w:val="7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1A2" w14:textId="77777777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Podpora a rozvoj náhradní rodinné péče v Kraji Vysočina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D48" w14:textId="0A6A4993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Projekt se zaměřuje na rozvoj systému kvality v sociálně-právní ochraně dětí (SPOD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); rozvoj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 systému supervizí; na podporu aktivit k rozvíjení a zkvalitnění výkonu činností SPOD; zvyšování kompetencí soc. pracovníků veřejné správy zejm. formou vzdělávání, metodických podpor a na osvětová a metodická opatření v oblasti SPOD. Cílem projektu je podpora žadatelů o náhradní rodinnou péči (NRP), šíření povědomí o možnostech NRP v Kraji Vysočina a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rozvoj kvality.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612" w14:textId="6E9FDBE0" w:rsidR="00E1024B" w:rsidRPr="00E1024B" w:rsidRDefault="00E1024B" w:rsidP="00E1024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Péče a</w:t>
            </w:r>
            <w:r w:rsidR="00CE069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příležitost ve Zlínském kraji</w:t>
            </w:r>
          </w:p>
        </w:tc>
        <w:tc>
          <w:tcPr>
            <w:tcW w:w="5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731A" w14:textId="1173E399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Projekt je zaměřen na podporu osob pečujících o děti ve věku do 15 let a osob pečujících o závislého člena rodiny. Potřeba realizovat daný projekt vychází z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podrobné analýzy situace a ze specifik regionu Zlínského kraje, kdy byla zjištěna zvýšená poptávka v oblasti zaměstnávání cílové skupiny.   Stěžejním úkolem projektu je snížení nezaměstnanosti osob z cílové skupiny, jejich začlenění zpět na trh práce a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nalezení přijatelné cesty k harmonii mezi pracovním a rodinným životem.</w:t>
            </w:r>
          </w:p>
        </w:tc>
      </w:tr>
      <w:tr w:rsidR="00F61BCC" w:rsidRPr="00E1024B" w14:paraId="191E82F3" w14:textId="77777777" w:rsidTr="00CE0693">
        <w:trPr>
          <w:trHeight w:val="73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C3E" w14:textId="77777777" w:rsidR="00E1024B" w:rsidRPr="00E1024B" w:rsidRDefault="00E1024B" w:rsidP="00CE0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Hladce do práce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53A1" w14:textId="77777777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 xml:space="preserve">Projekt reaguje na problém disparity na TP a problém růstu míry 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nezam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., které byly identifikovány v IPRÚ Liberec-Jablonec nad Nisou. Konkrétně pomůžeme 300 rodičům malých dětí překonat hendikepy a nástrahy, které na ně na TP číhají. Pomůžeme zhodnotit jejich silné a slabé stránky a sladit je s aktuálními požadavky místních firem, naučíme je efektivně hledat práci. Pro 110 z nich najdeme zaměstnání. Aktivizujeme zaměstnavatele a přispějeme k navýšení FFOP podporujících slaďování práce a rodiny.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F771" w14:textId="6FE3C58C" w:rsidR="00E1024B" w:rsidRPr="00E1024B" w:rsidRDefault="00E1024B" w:rsidP="00E1024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Rodiče na trhu práce v</w:t>
            </w:r>
            <w:r w:rsidR="00CA7C3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Libereckém kraji</w:t>
            </w:r>
          </w:p>
        </w:tc>
        <w:tc>
          <w:tcPr>
            <w:tcW w:w="5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D7C" w14:textId="3CC5D522" w:rsidR="00E1024B" w:rsidRPr="00E1024B" w:rsidRDefault="00E1024B" w:rsidP="00CA7C3B">
            <w:pPr>
              <w:spacing w:after="0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</w:pP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Projekt je určen pro uchazeče o zaměstnání v evidenci Krajské pobočky ÚP ČR v</w:t>
            </w:r>
            <w:r w:rsid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Liberci (</w:t>
            </w:r>
            <w:proofErr w:type="spellStart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KrP</w:t>
            </w:r>
            <w:proofErr w:type="spellEnd"/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) vracející se na trh práce po mateřské/rodičovské dovolené nebo pečující o děti do 15 let věku. Účastníci projdou souborem aktivit (motivační aktivity, skupinové a</w:t>
            </w:r>
            <w:r w:rsidR="00BE511A" w:rsidRPr="00F61BCC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 </w:t>
            </w:r>
            <w:r w:rsidRPr="00E1024B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cs-CZ"/>
              </w:rPr>
              <w:t>individuální poradenství, diagnostiky, odborná školení, rekvalifikační kurzy, řízená praxe, SÚPM). V projektu bude podpořeno minimálně 1000 osob.</w:t>
            </w:r>
          </w:p>
        </w:tc>
      </w:tr>
    </w:tbl>
    <w:p w14:paraId="386EE784" w14:textId="2C6F4FB0" w:rsidR="009C5E58" w:rsidRPr="00F61BCC" w:rsidRDefault="00E1024B" w:rsidP="00CE0693">
      <w:pPr>
        <w:spacing w:before="40"/>
        <w:rPr>
          <w:sz w:val="20"/>
        </w:rPr>
      </w:pPr>
      <w:r w:rsidRPr="000D4DC1">
        <w:rPr>
          <w:b/>
          <w:sz w:val="20"/>
        </w:rPr>
        <w:t>Zdroj:</w:t>
      </w:r>
      <w:r w:rsidRPr="002932A4">
        <w:rPr>
          <w:sz w:val="20"/>
        </w:rPr>
        <w:t xml:space="preserve"> </w:t>
      </w:r>
      <w:r>
        <w:rPr>
          <w:sz w:val="20"/>
        </w:rPr>
        <w:t>s</w:t>
      </w:r>
      <w:r w:rsidRPr="002932A4">
        <w:rPr>
          <w:sz w:val="20"/>
        </w:rPr>
        <w:t>eznam operací (příjemců) dostupn</w:t>
      </w:r>
      <w:r>
        <w:rPr>
          <w:sz w:val="20"/>
        </w:rPr>
        <w:t>ý</w:t>
      </w:r>
      <w:r w:rsidRPr="002932A4">
        <w:rPr>
          <w:sz w:val="20"/>
        </w:rPr>
        <w:t xml:space="preserve"> na: </w:t>
      </w:r>
      <w:hyperlink r:id="rId26" w:history="1">
        <w:r w:rsidRPr="002932A4">
          <w:rPr>
            <w:rStyle w:val="Hypertextovodkaz"/>
            <w:sz w:val="20"/>
          </w:rPr>
          <w:t>https://www.dotaceeu.cz/cs/statistiky-a-analyzy/seznamy-prijemcu</w:t>
        </w:r>
      </w:hyperlink>
      <w:r>
        <w:rPr>
          <w:sz w:val="20"/>
        </w:rPr>
        <w:t>.</w:t>
      </w:r>
      <w:r w:rsidR="009C5E58">
        <w:br w:type="page"/>
      </w:r>
    </w:p>
    <w:p w14:paraId="790B2A2C" w14:textId="77777777" w:rsidR="007D1272" w:rsidRPr="00F2524E" w:rsidRDefault="007D1272" w:rsidP="003F54A3">
      <w:pPr>
        <w:jc w:val="right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  <w:bookmarkStart w:id="1" w:name="RANGE!A1"/>
      <w:r w:rsidRPr="00F2524E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lastRenderedPageBreak/>
        <w:t>Příloha č. 2</w:t>
      </w:r>
    </w:p>
    <w:p w14:paraId="048DA27E" w14:textId="77777777" w:rsidR="003F54A3" w:rsidRDefault="003F54A3" w:rsidP="003F54A3">
      <w:pPr>
        <w:rPr>
          <w:rFonts w:cstheme="minorHAnsi"/>
          <w:b/>
        </w:rPr>
      </w:pPr>
      <w:r w:rsidRPr="001576B3">
        <w:rPr>
          <w:rFonts w:cstheme="minorHAnsi"/>
          <w:b/>
        </w:rPr>
        <w:t xml:space="preserve">Interaktivní zobrazení dat obsažených v kontrolním závěru a dat doplňujících kontrolní závěr z kontrolní akce č. 21/29 je dostupné </w:t>
      </w:r>
      <w:r w:rsidRPr="001576B3">
        <w:rPr>
          <w:b/>
        </w:rPr>
        <w:t xml:space="preserve">na: </w:t>
      </w:r>
      <w:hyperlink r:id="rId27" w:history="1">
        <w:r w:rsidRPr="001576B3">
          <w:rPr>
            <w:rStyle w:val="Hypertextovodkaz"/>
            <w:rFonts w:cstheme="minorHAnsi"/>
            <w:b/>
          </w:rPr>
          <w:t>https://www.nku.cz/scripts/detail.php?id=12728</w:t>
        </w:r>
      </w:hyperlink>
      <w:r w:rsidRPr="001576B3">
        <w:rPr>
          <w:rFonts w:cstheme="minorHAnsi"/>
          <w:b/>
        </w:rPr>
        <w:t>.</w:t>
      </w:r>
    </w:p>
    <w:p w14:paraId="25F7AD62" w14:textId="77777777" w:rsidR="003F54A3" w:rsidRDefault="003F54A3" w:rsidP="003F54A3">
      <w:pP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</w:p>
    <w:p w14:paraId="6E296BE9" w14:textId="3405A756" w:rsidR="007D1272" w:rsidRPr="00A25ADB" w:rsidRDefault="007D1272" w:rsidP="003F54A3">
      <w:pP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  <w:r w:rsidRPr="00F2524E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>Vynakládání peněžních prostředků na podporu rodin v ČR</w:t>
      </w:r>
      <w:r w:rsidRPr="00A25AD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</w:t>
      </w:r>
      <w:r w:rsidR="00F66635" w:rsidRPr="00A25AD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– </w:t>
      </w:r>
      <w:r w:rsidR="00F66635" w:rsidRPr="00A25ADB">
        <w:rPr>
          <w:rFonts w:ascii="Calibri" w:eastAsia="Times New Roman" w:hAnsi="Calibri" w:cs="Calibri"/>
          <w:b/>
          <w:color w:val="000000"/>
          <w:szCs w:val="24"/>
          <w:lang w:eastAsia="cs-CZ"/>
        </w:rPr>
        <w:t>c</w:t>
      </w:r>
      <w:r w:rsidRPr="00A25ADB">
        <w:rPr>
          <w:rFonts w:ascii="Calibri" w:eastAsia="Times New Roman" w:hAnsi="Calibri" w:cs="Calibri"/>
          <w:b/>
          <w:color w:val="000000"/>
          <w:szCs w:val="24"/>
          <w:lang w:eastAsia="cs-CZ"/>
        </w:rPr>
        <w:t>elkové proplacené výdaje na podporu rodinné politiky za období 2015 až 2021</w:t>
      </w:r>
    </w:p>
    <w:bookmarkEnd w:id="1"/>
    <w:tbl>
      <w:tblPr>
        <w:tblpPr w:leftFromText="141" w:rightFromText="141" w:vertAnchor="page" w:horzAnchor="margin" w:tblpY="3312"/>
        <w:tblW w:w="140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5"/>
        <w:gridCol w:w="1636"/>
        <w:gridCol w:w="1417"/>
        <w:gridCol w:w="3656"/>
      </w:tblGrid>
      <w:tr w:rsidR="003F54A3" w:rsidRPr="001F7DB4" w14:paraId="266967BB" w14:textId="77777777" w:rsidTr="003F54A3">
        <w:trPr>
          <w:trHeight w:val="255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65DC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048D4FE3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Výdaje (v mld. 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C3E7C53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příjemců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4345338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</w:t>
            </w: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ednotka</w:t>
            </w:r>
          </w:p>
        </w:tc>
      </w:tr>
      <w:tr w:rsidR="003F54A3" w:rsidRPr="001F7DB4" w14:paraId="25C4086A" w14:textId="77777777" w:rsidTr="003F54A3">
        <w:trPr>
          <w:trHeight w:val="255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5F1FF"/>
            <w:noWrap/>
            <w:vAlign w:val="center"/>
            <w:hideMark/>
          </w:tcPr>
          <w:p w14:paraId="34BD495A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Dávky státní sociální podpory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C20F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266,42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9469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D9D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růměrný počet příjemců podpory (v tis.)</w:t>
            </w:r>
          </w:p>
        </w:tc>
      </w:tr>
      <w:tr w:rsidR="003F54A3" w:rsidRPr="001F7DB4" w14:paraId="59AA5499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F08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řídavek na dítě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C69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4E35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F45D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růměrný počet příjemců podpory (v tis.)</w:t>
            </w:r>
          </w:p>
        </w:tc>
      </w:tr>
      <w:tr w:rsidR="003F54A3" w:rsidRPr="001F7DB4" w14:paraId="24401145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4FFD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Porodné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9805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C13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10F3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růměrný počet příjemců podpory (v tis.)</w:t>
            </w:r>
          </w:p>
        </w:tc>
      </w:tr>
      <w:tr w:rsidR="003F54A3" w:rsidRPr="001F7DB4" w14:paraId="06AAAE56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97C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Rodičovský příspěvek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C695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87C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D52B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růměrný počet příjemců podpory (v tis.)</w:t>
            </w:r>
          </w:p>
        </w:tc>
      </w:tr>
      <w:tr w:rsidR="003F54A3" w:rsidRPr="001F7DB4" w14:paraId="2034CEE9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D94E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Příspěvek na bydlení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6AC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9EF9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D42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růměrný počet příjemců podpory (v tis.)</w:t>
            </w:r>
          </w:p>
        </w:tc>
      </w:tr>
      <w:tr w:rsidR="003F54A3" w:rsidRPr="001F7DB4" w14:paraId="2E6BBA64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4F283A2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Peněžní prostředky OPZ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02B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3B95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922D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27C2C660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5DA5356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F2524E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>PO 1 – Podpora</w:t>
            </w:r>
            <w:r w:rsidRPr="001F7DB4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 xml:space="preserve"> zaměstnanosti a adaptability pracovní síly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EF3F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1807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1253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C413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23189D37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090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 1.1 Přístup k zaměstnání pro osoby hledající zaměstnání a neaktivní osoby, včetně místních iniciativ na podporu zaměstnanosti a mobility pracovníků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4D4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5C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9247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27491B35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FE48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 1.2 Rovnost žen a mužů a sladění pracovního a soukromého života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594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AC2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94F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0F5FE37F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AA579E0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F2524E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>PO 2 – Sociální</w:t>
            </w:r>
            <w:r w:rsidRPr="001F7DB4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 xml:space="preserve"> začleňování a boj s chudobou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3FF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64BB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568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46F4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5732A0CA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57E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I.P 2.1 Aktivní začleňování, zejména za účelem zvyšování zaměstnatelnosti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21D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6FBD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9381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0C976ACD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8EC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I.P 2.2 Zlepšování přístupu k dostupným, udržitelným a vysoce kvalitním službám, včetně zdravotnictví a sociálních služeb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306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2620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7542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6A4DB14F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FDD6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I.P 2.3 Strategie pro místní rozvoj s vedoucí úlohou komunit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B989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787D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455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74D9211D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1981B23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F2524E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>PO 3 – Sociální</w:t>
            </w:r>
            <w:r w:rsidRPr="001F7DB4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cs-CZ"/>
              </w:rPr>
              <w:t xml:space="preserve"> inovace a mezinárodní spolupráce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D5B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E30A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F63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11BDE10D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1CE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IP 3.1 Sociální inovace a mezinárodní spolupráce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67CF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039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43F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1A81D94D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C6F733C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Národní dotační titul Rodina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9187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B85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0EFC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1F7D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očet příjemců dotace</w:t>
            </w:r>
          </w:p>
        </w:tc>
      </w:tr>
      <w:tr w:rsidR="003F54A3" w:rsidRPr="001F7DB4" w14:paraId="5BA949FB" w14:textId="77777777" w:rsidTr="003F54A3">
        <w:trPr>
          <w:trHeight w:val="255"/>
        </w:trPr>
        <w:tc>
          <w:tcPr>
            <w:tcW w:w="7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2D47" w14:textId="77777777" w:rsidR="003F54A3" w:rsidRPr="001F7DB4" w:rsidRDefault="003F54A3" w:rsidP="003F54A3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elkem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A927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275,73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0507" w14:textId="77777777" w:rsidR="003F54A3" w:rsidRPr="001F7DB4" w:rsidRDefault="003F54A3" w:rsidP="003F54A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7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AF70" w14:textId="77777777" w:rsidR="003F54A3" w:rsidRPr="001F7DB4" w:rsidRDefault="003F54A3" w:rsidP="003F54A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</w:tbl>
    <w:p w14:paraId="5A2414BB" w14:textId="77777777" w:rsidR="00F66635" w:rsidRPr="00F2524E" w:rsidRDefault="00F66635" w:rsidP="004D72CA">
      <w:pPr>
        <w:spacing w:before="40"/>
        <w:rPr>
          <w:sz w:val="20"/>
        </w:rPr>
      </w:pPr>
      <w:r w:rsidRPr="00F66635">
        <w:rPr>
          <w:rFonts w:ascii="Calibri" w:eastAsia="Times New Roman" w:hAnsi="Calibri" w:cs="Calibri"/>
          <w:b/>
          <w:color w:val="000000"/>
          <w:sz w:val="20"/>
          <w:lang w:eastAsia="cs-CZ"/>
        </w:rPr>
        <w:t>Zdroj:</w:t>
      </w:r>
      <w:r w:rsidRPr="001F7DB4">
        <w:rPr>
          <w:rFonts w:ascii="Calibri" w:eastAsia="Times New Roman" w:hAnsi="Calibri" w:cs="Calibri"/>
          <w:iCs/>
          <w:color w:val="000000"/>
          <w:sz w:val="20"/>
          <w:lang w:eastAsia="cs-CZ"/>
        </w:rPr>
        <w:t xml:space="preserve"> </w:t>
      </w:r>
      <w:r>
        <w:rPr>
          <w:rFonts w:ascii="Calibri" w:eastAsia="Times New Roman" w:hAnsi="Calibri" w:cs="Calibri"/>
          <w:iCs/>
          <w:color w:val="000000"/>
          <w:sz w:val="20"/>
          <w:lang w:eastAsia="cs-CZ"/>
        </w:rPr>
        <w:t>vypracoval NKÚ dle dat z</w:t>
      </w:r>
      <w:r w:rsidRPr="001F7DB4">
        <w:rPr>
          <w:rFonts w:ascii="Calibri" w:eastAsia="Times New Roman" w:hAnsi="Calibri" w:cs="Calibri"/>
          <w:iCs/>
          <w:color w:val="000000"/>
          <w:sz w:val="20"/>
          <w:lang w:eastAsia="cs-CZ"/>
        </w:rPr>
        <w:t xml:space="preserve"> IS </w:t>
      </w:r>
      <w:r w:rsidRPr="001F7DB4">
        <w:rPr>
          <w:rFonts w:ascii="Calibri" w:eastAsia="Times New Roman" w:hAnsi="Calibri" w:cs="Calibri"/>
          <w:i/>
          <w:iCs/>
          <w:color w:val="000000"/>
          <w:sz w:val="20"/>
          <w:lang w:eastAsia="cs-CZ"/>
        </w:rPr>
        <w:t>Monitor</w:t>
      </w:r>
      <w:r w:rsidRPr="001F7DB4">
        <w:rPr>
          <w:rFonts w:ascii="Calibri" w:eastAsia="Times New Roman" w:hAnsi="Calibri" w:cs="Calibri"/>
          <w:iCs/>
          <w:color w:val="000000"/>
          <w:sz w:val="20"/>
          <w:lang w:eastAsia="cs-CZ"/>
        </w:rPr>
        <w:t xml:space="preserve">, </w:t>
      </w:r>
      <w:r w:rsidRPr="001F7DB4">
        <w:rPr>
          <w:rFonts w:ascii="Calibri" w:eastAsia="Times New Roman" w:hAnsi="Calibri" w:cs="Calibri"/>
          <w:i/>
          <w:iCs/>
          <w:color w:val="000000"/>
          <w:sz w:val="20"/>
          <w:lang w:eastAsia="cs-CZ"/>
        </w:rPr>
        <w:t>MS2014+</w:t>
      </w:r>
      <w:r w:rsidRPr="001F7DB4">
        <w:rPr>
          <w:rFonts w:ascii="Calibri" w:eastAsia="Times New Roman" w:hAnsi="Calibri" w:cs="Calibri"/>
          <w:iCs/>
          <w:color w:val="000000"/>
          <w:sz w:val="20"/>
          <w:lang w:eastAsia="cs-CZ"/>
        </w:rPr>
        <w:t>, MPSV</w:t>
      </w:r>
      <w:r>
        <w:rPr>
          <w:rFonts w:ascii="Calibri" w:eastAsia="Times New Roman" w:hAnsi="Calibri" w:cs="Calibri"/>
          <w:iCs/>
          <w:color w:val="000000"/>
          <w:sz w:val="20"/>
          <w:lang w:eastAsia="cs-CZ"/>
        </w:rPr>
        <w:t>.</w:t>
      </w:r>
    </w:p>
    <w:p w14:paraId="1E6915B5" w14:textId="335C5B75" w:rsidR="007D1272" w:rsidRDefault="007D1272" w:rsidP="00F61BCC">
      <w:pPr>
        <w:spacing w:after="0"/>
        <w:jc w:val="left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</w:p>
    <w:p w14:paraId="08D9979C" w14:textId="77777777" w:rsidR="00F61BCC" w:rsidRDefault="00F61BCC">
      <w:pPr>
        <w:spacing w:after="160" w:line="259" w:lineRule="auto"/>
        <w:jc w:val="left"/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br w:type="page"/>
      </w:r>
    </w:p>
    <w:p w14:paraId="5C7596B1" w14:textId="7D2DBCAD" w:rsidR="007D1272" w:rsidRPr="001576B3" w:rsidRDefault="00F66635" w:rsidP="001576B3">
      <w:pPr>
        <w:rPr>
          <w:u w:val="single"/>
        </w:rPr>
      </w:pPr>
      <w:r w:rsidRPr="00F2524E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lastRenderedPageBreak/>
        <w:t>Vynakládání peněžních prostředků na podporu rodin v ČR</w:t>
      </w:r>
      <w:r w:rsidRPr="00A25AD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– i</w:t>
      </w:r>
      <w:r w:rsidR="007D1272" w:rsidRPr="00A25ADB">
        <w:rPr>
          <w:b/>
        </w:rPr>
        <w:t>nformace o podpoře rodinné politiky v rámci OPZ</w:t>
      </w:r>
    </w:p>
    <w:tbl>
      <w:tblPr>
        <w:tblW w:w="14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822"/>
        <w:gridCol w:w="916"/>
        <w:gridCol w:w="1313"/>
        <w:gridCol w:w="1150"/>
        <w:gridCol w:w="1289"/>
        <w:gridCol w:w="1150"/>
        <w:gridCol w:w="1054"/>
        <w:gridCol w:w="1150"/>
        <w:gridCol w:w="1054"/>
        <w:gridCol w:w="1304"/>
      </w:tblGrid>
      <w:tr w:rsidR="007D1272" w:rsidRPr="00FE0877" w14:paraId="4CDFCF34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622F871" w14:textId="7D4286A0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6A1CF5C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Počet projektů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FB5A97A" w14:textId="3F73846F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Počet účastníků </w:t>
            </w:r>
            <w:r w:rsidRPr="004D72C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indikátor </w:t>
            </w:r>
            <w:r w:rsidR="004D72CA" w:rsidRPr="004D72C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br/>
            </w:r>
            <w:r w:rsidRPr="004D72C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6 00 00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733709C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Výdaje proplacené k</w:t>
            </w:r>
            <w:r w:rsidRPr="00A44629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31.12.2021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2B73C87F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1.1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3DF6FFB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1.2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DD79A5D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2.1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349EC1A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2.2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55F38746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2.3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7A995C7F" w14:textId="77777777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IP 3.1 (Kč)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51CCC8B" w14:textId="2CD2DE55" w:rsidR="007D1272" w:rsidRPr="00FE0877" w:rsidRDefault="007D1272" w:rsidP="004D72C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 xml:space="preserve">Proplacené výdaje na dosažení jednotky indikátoru </w:t>
            </w:r>
            <w:r w:rsidR="004D72C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br/>
            </w: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6 00 00 (údaje v</w:t>
            </w:r>
            <w:r w:rsidR="004D72C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Kč/os.)</w:t>
            </w:r>
          </w:p>
        </w:tc>
      </w:tr>
      <w:tr w:rsidR="007D1272" w:rsidRPr="00FE0877" w14:paraId="084FC2D5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EE82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Hlavní město Praha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B4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BC7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12 364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C7E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800 834 951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6B8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8 966 988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74A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772 202 166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87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10 069 744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ED5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B9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838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9 596 054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96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93 222</w:t>
            </w:r>
          </w:p>
        </w:tc>
      </w:tr>
      <w:tr w:rsidR="007D1272" w:rsidRPr="00FE0877" w14:paraId="324BBF1E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3C2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Jihočeský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40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F6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1D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433 968 266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555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15 955 873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664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353 191 212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DA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10 206 575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3D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4 879 499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52F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49 735 108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F0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50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71 284</w:t>
            </w:r>
          </w:p>
        </w:tc>
      </w:tr>
      <w:tr w:rsidR="007D1272" w:rsidRPr="00FE0877" w14:paraId="5E598B02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4B2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Jihomoravský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DF7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B8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23 048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1B4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1 315 221 507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A2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49 733 902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67A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1 170 830 809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F7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36 693 522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1F7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4 218 873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A0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47 975 334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D7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5 769 067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20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101 788</w:t>
            </w:r>
          </w:p>
        </w:tc>
      </w:tr>
      <w:tr w:rsidR="007D1272" w:rsidRPr="00FE0877" w14:paraId="26DA3D35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077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Karlovarský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6EE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77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2 442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83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147 811 693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68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75 109 469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BA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58 322 346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AD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2 708 476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00B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E0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11 671 401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032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A78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72 967</w:t>
            </w:r>
          </w:p>
        </w:tc>
      </w:tr>
      <w:tr w:rsidR="007D1272" w:rsidRPr="00FE0877" w14:paraId="601516C5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F452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Kraj Vysočina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AE0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296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4 041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0A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188 292 860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C46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20 780 912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7F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145 762 075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9F0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2 371 738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22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8E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19 378 135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9D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3BB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62 999</w:t>
            </w:r>
          </w:p>
        </w:tc>
      </w:tr>
      <w:tr w:rsidR="007D1272" w:rsidRPr="00FE0877" w14:paraId="31EF3844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6E31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Královéhradecký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37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530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8 376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7C0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392 881 366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B4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95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329 581 894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CA2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15 021 963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FD7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2 413 404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95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45 864 106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B5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29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87 375</w:t>
            </w:r>
          </w:p>
        </w:tc>
      </w:tr>
      <w:tr w:rsidR="007D1272" w:rsidRPr="00FE0877" w14:paraId="78566B9C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482B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Liberecký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DB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F18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90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360 162 780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D2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52 955 877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E8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277 442 499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1B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A1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B9F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29 764 404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A34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9CE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78 523</w:t>
            </w:r>
          </w:p>
        </w:tc>
      </w:tr>
      <w:tr w:rsidR="007D1272" w:rsidRPr="00FE0877" w14:paraId="5B932E57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F20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Moravskoslezský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876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0B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15 709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C2D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712 383 063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B1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26 450 858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1B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606 816 419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067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27 797 358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9B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7 343 326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A33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43 975 102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E3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2FD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83 110</w:t>
            </w:r>
          </w:p>
        </w:tc>
      </w:tr>
      <w:tr w:rsidR="007D1272" w:rsidRPr="00FE0877" w14:paraId="56583178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9F84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Olomoucký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19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B28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9 933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AB4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462 708 336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97A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80 608 876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6F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322 824 210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0E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5 285 518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88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2AB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53 989 731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A3D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9A2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81 662</w:t>
            </w:r>
          </w:p>
        </w:tc>
      </w:tr>
      <w:tr w:rsidR="007D1272" w:rsidRPr="00FE0877" w14:paraId="439C6471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BE4F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Pardubický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DE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85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8 035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AB3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413 813 416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99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9 175 918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130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338 472 685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2E6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17 236 853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72C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7 187 733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13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33 905 905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851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7 834 322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E0A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92 515</w:t>
            </w:r>
          </w:p>
        </w:tc>
      </w:tr>
      <w:tr w:rsidR="007D1272" w:rsidRPr="00FE0877" w14:paraId="48DAB65A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8BA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Plzeňský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541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A9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5 712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C1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321 421 126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8D4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54 516 311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2F0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251 528 683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6B3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425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D29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15 376 133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8E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FFA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120 527</w:t>
            </w:r>
          </w:p>
        </w:tc>
      </w:tr>
      <w:tr w:rsidR="007D1272" w:rsidRPr="00FE0877" w14:paraId="06FE3600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5FF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Středočeský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3F4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1F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24 597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898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1 376 533 019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969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11 696 397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8E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1 264 835 506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78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13 862 659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6E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2 582 737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4D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83 555 721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14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49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78 898</w:t>
            </w:r>
          </w:p>
        </w:tc>
      </w:tr>
      <w:tr w:rsidR="007D1272" w:rsidRPr="00FE0877" w14:paraId="2063C11C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51B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Ústecký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51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70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12 610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81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811 118 875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53F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202 055 014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47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549 013 500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5A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23 358 527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C44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12E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28 931 732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1C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7 760 101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B7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99 205</w:t>
            </w:r>
          </w:p>
        </w:tc>
      </w:tr>
      <w:tr w:rsidR="007D1272" w:rsidRPr="00FE0877" w14:paraId="28A84358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9BA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Cs/>
                <w:color w:val="000000"/>
                <w:sz w:val="19"/>
                <w:szCs w:val="19"/>
                <w:lang w:eastAsia="cs-CZ"/>
              </w:rPr>
              <w:t>Zlínský kraj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42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958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8 419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74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459 646 427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FE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63 049 040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CFD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355 849 119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A0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C25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70DB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40 748 269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2E96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71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106 291</w:t>
            </w:r>
          </w:p>
        </w:tc>
      </w:tr>
      <w:tr w:rsidR="007D1272" w:rsidRPr="00FE0877" w14:paraId="5BC6CE1B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B56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Nadregionální/mezikrajské projekty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E04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06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7 336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8D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370 500 186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36C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104 670 301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847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203 913 046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130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37 309 220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001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13 327 656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C75D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8 406 522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30C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2 873 441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1B4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109 035</w:t>
            </w:r>
          </w:p>
        </w:tc>
      </w:tr>
      <w:tr w:rsidR="007D1272" w:rsidRPr="00FE0877" w14:paraId="4FC6052B" w14:textId="77777777" w:rsidTr="004D72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4DDD50C" w14:textId="77777777" w:rsidR="007D1272" w:rsidRPr="00FE0877" w:rsidRDefault="007D1272" w:rsidP="004D72C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D43152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18EA93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159 965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28FEAA87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8 567 297 871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4CE0C712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775 725 735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641E90F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7 000 586 168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0996D765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201 922 153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7AD1E33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41 953 226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1072859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513 277 602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6AA3B6F8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33 832 986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25AF43BA" w14:textId="77777777" w:rsidR="007D1272" w:rsidRPr="00FE0877" w:rsidRDefault="007D1272" w:rsidP="004D72CA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E0877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cs-CZ"/>
              </w:rPr>
              <w:t>89 413</w:t>
            </w:r>
          </w:p>
        </w:tc>
      </w:tr>
    </w:tbl>
    <w:p w14:paraId="7AC13136" w14:textId="77777777" w:rsidR="007D1272" w:rsidRPr="00A44629" w:rsidRDefault="007D1272" w:rsidP="001576B3">
      <w:pPr>
        <w:spacing w:before="40" w:after="0"/>
        <w:rPr>
          <w:sz w:val="20"/>
        </w:rPr>
      </w:pPr>
      <w:r w:rsidRPr="00F66635">
        <w:rPr>
          <w:b/>
          <w:sz w:val="20"/>
        </w:rPr>
        <w:t>Zdroj:</w:t>
      </w:r>
      <w:r w:rsidRPr="00A44629">
        <w:rPr>
          <w:sz w:val="20"/>
        </w:rPr>
        <w:t xml:space="preserve"> </w:t>
      </w:r>
      <w:r>
        <w:rPr>
          <w:sz w:val="20"/>
        </w:rPr>
        <w:t>vypracoval NKÚ dle dat z</w:t>
      </w:r>
      <w:r w:rsidRPr="00A44629">
        <w:rPr>
          <w:sz w:val="20"/>
        </w:rPr>
        <w:t xml:space="preserve"> </w:t>
      </w:r>
      <w:r w:rsidRPr="00964665">
        <w:rPr>
          <w:i/>
          <w:sz w:val="20"/>
        </w:rPr>
        <w:t>MS2014+</w:t>
      </w:r>
      <w:r>
        <w:rPr>
          <w:sz w:val="20"/>
        </w:rPr>
        <w:t>.</w:t>
      </w:r>
    </w:p>
    <w:p w14:paraId="6089E8B7" w14:textId="77777777" w:rsidR="007D1272" w:rsidRPr="00A44629" w:rsidRDefault="007D1272" w:rsidP="00F61BCC">
      <w:pPr>
        <w:spacing w:before="120" w:after="0"/>
        <w:rPr>
          <w:b/>
          <w:sz w:val="20"/>
        </w:rPr>
      </w:pPr>
      <w:r w:rsidRPr="00A44629">
        <w:rPr>
          <w:b/>
          <w:sz w:val="20"/>
        </w:rPr>
        <w:t>Investiční priority:</w:t>
      </w:r>
    </w:p>
    <w:p w14:paraId="25B19750" w14:textId="77777777" w:rsidR="007D1272" w:rsidRPr="00A44629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1.1 Přístup k zaměstnání pro osoby hledající zaměstnání a neaktivní osoby, včetně místních iniciativ na podporu zaměstnanosti a mobility pracovníků</w:t>
      </w:r>
    </w:p>
    <w:p w14:paraId="2906A1F2" w14:textId="77777777" w:rsidR="007D1272" w:rsidRPr="00A44629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1.2 Rovnost žen a mužů a sladění pracovního a soukromého života</w:t>
      </w:r>
    </w:p>
    <w:p w14:paraId="7E7F7822" w14:textId="77777777" w:rsidR="007D1272" w:rsidRPr="00A44629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2.1 Aktivní začleňování, zejména za účelem zvyšování zaměstnatelnosti</w:t>
      </w:r>
    </w:p>
    <w:p w14:paraId="7B30AB88" w14:textId="77777777" w:rsidR="007D1272" w:rsidRPr="00A44629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2.2 Zlepšování přístupu k dostupným, udržitelným a vysoce kvalitním službám, včetně zdravotnictví a sociálních služeb</w:t>
      </w:r>
    </w:p>
    <w:p w14:paraId="153171ED" w14:textId="77777777" w:rsidR="007D1272" w:rsidRPr="00A44629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2.3 Strategie pro místní rozvoj s vedoucí úlohou komunit</w:t>
      </w:r>
    </w:p>
    <w:p w14:paraId="24EC4BC5" w14:textId="77777777" w:rsidR="007D1272" w:rsidRPr="0023157F" w:rsidRDefault="007D1272" w:rsidP="007D1272">
      <w:pPr>
        <w:spacing w:after="0"/>
        <w:rPr>
          <w:sz w:val="20"/>
        </w:rPr>
      </w:pPr>
      <w:r w:rsidRPr="00A44629">
        <w:rPr>
          <w:sz w:val="20"/>
        </w:rPr>
        <w:t>IP 3.1 Sociální inovace a mezinárodní spolupráce</w:t>
      </w:r>
      <w:r>
        <w:rPr>
          <w:u w:val="single"/>
        </w:rPr>
        <w:br w:type="page"/>
      </w:r>
    </w:p>
    <w:p w14:paraId="250BA0CC" w14:textId="55B8A0F5" w:rsidR="007D1272" w:rsidRPr="001576B3" w:rsidRDefault="00F66635" w:rsidP="00F61BCC">
      <w:pPr>
        <w:rPr>
          <w:u w:val="single"/>
        </w:rPr>
      </w:pPr>
      <w:r w:rsidRPr="00F2524E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lastRenderedPageBreak/>
        <w:t>Vynakládání peněžních prostředků na podporu rodin v ČR</w:t>
      </w:r>
      <w:r w:rsidRPr="00A25ADB">
        <w:rPr>
          <w:rFonts w:ascii="Calibri" w:eastAsia="Times New Roman" w:hAnsi="Calibri" w:cs="Calibri"/>
          <w:b/>
          <w:bCs/>
          <w:color w:val="000000"/>
          <w:szCs w:val="24"/>
          <w:lang w:eastAsia="cs-CZ"/>
        </w:rPr>
        <w:t xml:space="preserve"> – </w:t>
      </w:r>
      <w:r w:rsidRPr="00A25ADB">
        <w:rPr>
          <w:b/>
        </w:rPr>
        <w:t>i</w:t>
      </w:r>
      <w:r w:rsidR="007D1272" w:rsidRPr="00A25ADB">
        <w:rPr>
          <w:b/>
        </w:rPr>
        <w:t>nformace o podpoře osob z cílové skupiny u kontrolovaných projektů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991"/>
        <w:gridCol w:w="993"/>
        <w:gridCol w:w="1416"/>
        <w:gridCol w:w="1276"/>
        <w:gridCol w:w="991"/>
        <w:gridCol w:w="993"/>
        <w:gridCol w:w="1416"/>
        <w:gridCol w:w="1139"/>
        <w:gridCol w:w="991"/>
        <w:gridCol w:w="991"/>
        <w:gridCol w:w="1525"/>
      </w:tblGrid>
      <w:tr w:rsidR="007D1272" w:rsidRPr="008F1295" w14:paraId="7426AB1F" w14:textId="77777777" w:rsidTr="00F66635">
        <w:trPr>
          <w:trHeight w:val="283"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A247DF0" w14:textId="663A5626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5003321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Celkový počet účastníků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3B67C1D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Průměrné CZV na osobu 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5F1FF"/>
            <w:vAlign w:val="center"/>
            <w:hideMark/>
          </w:tcPr>
          <w:p w14:paraId="2AC43995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Souhrnné výdaje na podporu osob v daném okresu (Kč)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44E1C2D3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3FBED40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Celkový počet účastníků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2C96680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Průměrné CZV na osobu 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5F1FF"/>
            <w:vAlign w:val="center"/>
            <w:hideMark/>
          </w:tcPr>
          <w:p w14:paraId="536E0375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Souhrnné výdaje na podporu osob v daném okresu (Kč)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E8779DE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E5B15BC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Celkový počet účastníků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375DB034" w14:textId="77777777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Průměrné CZV na osobu </w:t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  <w:t>&gt; 40 hod.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203D8BBE" w14:textId="07EC064B" w:rsidR="007D1272" w:rsidRPr="008F1295" w:rsidRDefault="007D1272" w:rsidP="008F1295">
            <w:pPr>
              <w:spacing w:after="0" w:line="214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Souhrnné výdaje na podporu osob </w:t>
            </w:r>
            <w:r w:rsidR="008F1295"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 w:rsidRPr="008F129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v daném okresu (Kč)</w:t>
            </w:r>
          </w:p>
        </w:tc>
      </w:tr>
      <w:tr w:rsidR="007D1272" w:rsidRPr="008F1295" w14:paraId="3C6E619C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BFD2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A2F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E3F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123 737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9073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742 419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BC2C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DE5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AEE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720 569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2EB6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4 323 416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72B7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A03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074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178 103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98C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18 878 935</w:t>
            </w:r>
          </w:p>
        </w:tc>
      </w:tr>
      <w:tr w:rsidR="007D1272" w:rsidRPr="008F1295" w14:paraId="00971C82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5F62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17E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E8F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B907D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B0D4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A56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724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110 115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02E6E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110 115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6AEA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46A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947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50 405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440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151 216</w:t>
            </w:r>
          </w:p>
        </w:tc>
      </w:tr>
      <w:tr w:rsidR="007D1272" w:rsidRPr="008F1295" w14:paraId="466211CB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4C8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358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865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97 731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9370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390 925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102E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A75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FE1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123 956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17C7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247 912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BF6A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BB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B5A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34 631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1EB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6 406 759</w:t>
            </w:r>
          </w:p>
        </w:tc>
      </w:tr>
      <w:tr w:rsidR="007D1272" w:rsidRPr="008F1295" w14:paraId="7C33946C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8551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Brno-město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55D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AB5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111 529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71FB3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15 390 977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8768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887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BF8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49BC7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96 824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CE38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Praha-východ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06D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77C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118 223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783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945 788</w:t>
            </w:r>
          </w:p>
        </w:tc>
      </w:tr>
      <w:tr w:rsidR="007D1272" w:rsidRPr="008F1295" w14:paraId="541090D2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263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Brno-venkov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A33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753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120 354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E083D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1 203 535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A63F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A25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D8B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47 281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14BAE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141 843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A130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Praha-západ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3C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653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99 843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262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399 374</w:t>
            </w:r>
          </w:p>
        </w:tc>
      </w:tr>
      <w:tr w:rsidR="007D1272" w:rsidRPr="008F1295" w14:paraId="6002EBF9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A787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945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FDE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164 904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53BCD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1 484 140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8535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1AE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987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151 088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4B57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13 144 624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84E6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504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D29D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179 145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945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23 288 794</w:t>
            </w:r>
          </w:p>
        </w:tc>
      </w:tr>
      <w:tr w:rsidR="007D1272" w:rsidRPr="008F1295" w14:paraId="47850E98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95A8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44F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B59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157 533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F8DB6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472 600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3386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02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E18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115 212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99BF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806 485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F9E3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600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530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171 523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DC8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171 523</w:t>
            </w:r>
          </w:p>
        </w:tc>
      </w:tr>
      <w:tr w:rsidR="007D1272" w:rsidRPr="008F1295" w14:paraId="18C7B4C0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B81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CCA5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251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35 038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7EE9B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10 195 999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921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1A9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365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A66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47 482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3F3A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17 331 094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131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0CE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09E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106 501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A78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1 171 510</w:t>
            </w:r>
          </w:p>
        </w:tc>
      </w:tr>
      <w:tr w:rsidR="007D1272" w:rsidRPr="008F1295" w14:paraId="60EACEE2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EC23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D20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61A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48361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AB8E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3DF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8B8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100 850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3F51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302 549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4F0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F8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60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180 354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1DC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17 133 592</w:t>
            </w:r>
          </w:p>
        </w:tc>
      </w:tr>
      <w:tr w:rsidR="007D1272" w:rsidRPr="008F1295" w14:paraId="3606859A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A1A7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3D3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2DA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48 268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9AB1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434 414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97C0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5BC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59A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1475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774 596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D537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Teplice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06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C2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102 226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9B6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511 130</w:t>
            </w:r>
          </w:p>
        </w:tc>
      </w:tr>
      <w:tr w:rsidR="007D1272" w:rsidRPr="008F1295" w14:paraId="08F6159C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2E00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93A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962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60501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FD25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260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574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54 036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5E0C1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216 144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61F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A5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F4E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106 942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1A5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1 497 189</w:t>
            </w:r>
          </w:p>
        </w:tc>
      </w:tr>
      <w:tr w:rsidR="007D1272" w:rsidRPr="008F1295" w14:paraId="75ADAC14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B645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628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0A1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C4286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1B42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7CC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DB4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57 232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3E55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286 161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384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535D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08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372 060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F79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4 092 656</w:t>
            </w:r>
          </w:p>
        </w:tc>
      </w:tr>
      <w:tr w:rsidR="007D1272" w:rsidRPr="008F1295" w14:paraId="224ECA93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7301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AB0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183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720 569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5D1C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3 602 847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F361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896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4B5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59 970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D824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3 478 284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9596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82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265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150 350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0D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26 311 273</w:t>
            </w:r>
          </w:p>
        </w:tc>
      </w:tr>
      <w:tr w:rsidR="007D1272" w:rsidRPr="008F1295" w14:paraId="3742952B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B26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Hlavní město Praha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012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725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82 056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525FD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902 620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2A57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ED6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38D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4FB72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AF28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6C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D99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88 427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CB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1 326 400</w:t>
            </w:r>
          </w:p>
        </w:tc>
      </w:tr>
      <w:tr w:rsidR="007D1272" w:rsidRPr="008F1295" w14:paraId="6513DF3C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608D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11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0EE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121 866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ACB9A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487 465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A85D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F06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23C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34044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290 473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EAD9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376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9F6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113 735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862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1 592 288</w:t>
            </w:r>
          </w:p>
        </w:tc>
      </w:tr>
      <w:tr w:rsidR="007D1272" w:rsidRPr="008F1295" w14:paraId="21E95FFD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E2CE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C2C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A3F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61 936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AFEE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8 856 832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5FF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8EB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A30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164 292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1A0A6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23 822 285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A4E5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EE1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966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150 253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155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23 890 299</w:t>
            </w:r>
          </w:p>
        </w:tc>
      </w:tr>
      <w:tr w:rsidR="007D1272" w:rsidRPr="008F1295" w14:paraId="31033362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02A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2A80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D3EE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171 523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9344ED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171 523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0E6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DBF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617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171 523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65BC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686 091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95F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77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EB50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84 311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46E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168 622</w:t>
            </w:r>
          </w:p>
        </w:tc>
      </w:tr>
      <w:tr w:rsidR="007D1272" w:rsidRPr="008F1295" w14:paraId="7EF908C8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0F2A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B2E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DA7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A825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E4AE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Ostrava-město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B835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B0A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124 561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1CE9F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622 803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3100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Zlín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BFA3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CF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150 979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309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33 366 259</w:t>
            </w:r>
          </w:p>
        </w:tc>
      </w:tr>
      <w:tr w:rsidR="007D1272" w:rsidRPr="008F1295" w14:paraId="28799DA8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E641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05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2D9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49 134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08786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6 338 300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4915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64C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47E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67 952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66FC9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1 019 279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706D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98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431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E3BD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543 727</w:t>
            </w:r>
          </w:p>
        </w:tc>
      </w:tr>
      <w:tr w:rsidR="007D1272" w:rsidRPr="008F1295" w14:paraId="2C2ADE35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0142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28E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FD4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40 889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69AB6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10 672 159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1EFCE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73B2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66E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B093B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40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DD18" w14:textId="77777777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BDC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AE1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415 342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AB6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830 685</w:t>
            </w:r>
          </w:p>
        </w:tc>
      </w:tr>
      <w:tr w:rsidR="007D1272" w:rsidRPr="008F1295" w14:paraId="3B9F24A2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54ED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A80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89D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181 242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4364E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13 049 439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D86B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Plzeň-jih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6D4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A9B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96 824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31B8A8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96 824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385E385" w14:textId="699476B2" w:rsidR="001265B0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2761AAB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2 999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E9D22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102 121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0313A87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306 260 411</w:t>
            </w:r>
          </w:p>
        </w:tc>
      </w:tr>
      <w:tr w:rsidR="007D1272" w:rsidRPr="008F1295" w14:paraId="6EFE5558" w14:textId="77777777" w:rsidTr="00F66635">
        <w:trPr>
          <w:trHeight w:val="283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41A7" w14:textId="32E94C49" w:rsidR="007D1272" w:rsidRPr="008F1295" w:rsidRDefault="008F1295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Jičí</w:t>
            </w:r>
            <w:r w:rsidR="007D1272"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859A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27E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52 896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4EBE24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423 167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150A" w14:textId="77777777" w:rsidR="007D1272" w:rsidRPr="008F1295" w:rsidRDefault="007D1272" w:rsidP="008F1295">
            <w:pPr>
              <w:spacing w:after="0" w:line="214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Plzeň-sever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EFA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D841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34 202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FFA9F" w14:textId="77777777" w:rsidR="007D1272" w:rsidRPr="008F1295" w:rsidRDefault="007D1272" w:rsidP="008F1295">
            <w:pPr>
              <w:spacing w:after="0" w:line="214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8F129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34 202</w:t>
            </w:r>
          </w:p>
        </w:tc>
        <w:tc>
          <w:tcPr>
            <w:tcW w:w="1660" w:type="pct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5E8AC4" w14:textId="20F4D00A" w:rsidR="007D1272" w:rsidRPr="008F1295" w:rsidRDefault="007D1272" w:rsidP="008F1295">
            <w:pPr>
              <w:spacing w:after="0" w:line="214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3CEE27C5" w14:textId="6ADDE293" w:rsidR="008F1295" w:rsidRPr="001576B3" w:rsidRDefault="008F1295" w:rsidP="00A25ADB">
      <w:pPr>
        <w:spacing w:before="40" w:after="0"/>
        <w:jc w:val="left"/>
        <w:rPr>
          <w:sz w:val="28"/>
          <w:u w:val="single"/>
        </w:rPr>
      </w:pPr>
      <w:r w:rsidRPr="00F66635">
        <w:rPr>
          <w:rFonts w:eastAsia="Times New Roman" w:cs="Times New Roman"/>
          <w:b/>
          <w:color w:val="000000"/>
          <w:sz w:val="20"/>
          <w:szCs w:val="18"/>
          <w:lang w:eastAsia="cs-CZ"/>
        </w:rPr>
        <w:t>Zdroj:</w:t>
      </w:r>
      <w:r w:rsidRPr="001265B0">
        <w:rPr>
          <w:rFonts w:eastAsia="Times New Roman" w:cs="Times New Roman"/>
          <w:color w:val="000000"/>
          <w:sz w:val="20"/>
          <w:szCs w:val="18"/>
          <w:lang w:eastAsia="cs-CZ"/>
        </w:rPr>
        <w:t xml:space="preserve"> vypracoval NKÚ dle dat z </w:t>
      </w:r>
      <w:r w:rsidRPr="001265B0">
        <w:rPr>
          <w:rFonts w:eastAsia="Times New Roman" w:cs="Times New Roman"/>
          <w:i/>
          <w:color w:val="000000"/>
          <w:sz w:val="20"/>
          <w:szCs w:val="18"/>
          <w:lang w:eastAsia="cs-CZ"/>
        </w:rPr>
        <w:t>MS2014+</w:t>
      </w:r>
      <w:r w:rsidRPr="001265B0">
        <w:rPr>
          <w:rFonts w:eastAsia="Times New Roman" w:cs="Times New Roman"/>
          <w:color w:val="000000"/>
          <w:sz w:val="20"/>
          <w:szCs w:val="18"/>
          <w:lang w:eastAsia="cs-CZ"/>
        </w:rPr>
        <w:t xml:space="preserve"> a IS </w:t>
      </w:r>
      <w:r w:rsidRPr="001265B0">
        <w:rPr>
          <w:rFonts w:eastAsia="Times New Roman" w:cs="Times New Roman"/>
          <w:i/>
          <w:color w:val="000000"/>
          <w:sz w:val="20"/>
          <w:szCs w:val="18"/>
          <w:lang w:eastAsia="cs-CZ"/>
        </w:rPr>
        <w:t>ESF 2014+</w:t>
      </w:r>
      <w:r w:rsidRPr="001265B0">
        <w:rPr>
          <w:rFonts w:eastAsia="Times New Roman" w:cs="Times New Roman"/>
          <w:color w:val="000000"/>
          <w:sz w:val="20"/>
          <w:szCs w:val="18"/>
          <w:lang w:eastAsia="cs-CZ"/>
        </w:rPr>
        <w:t>.</w:t>
      </w:r>
    </w:p>
    <w:sectPr w:rsidR="008F1295" w:rsidRPr="001576B3" w:rsidSect="002F0B3A">
      <w:footnotePr>
        <w:numStart w:val="2"/>
      </w:foot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3932" w14:textId="77777777" w:rsidR="008647A1" w:rsidRDefault="008647A1" w:rsidP="007B1D57">
      <w:pPr>
        <w:spacing w:after="0"/>
      </w:pPr>
      <w:r>
        <w:separator/>
      </w:r>
    </w:p>
  </w:endnote>
  <w:endnote w:type="continuationSeparator" w:id="0">
    <w:p w14:paraId="6B96082A" w14:textId="77777777" w:rsidR="008647A1" w:rsidRDefault="008647A1" w:rsidP="007B1D57">
      <w:pPr>
        <w:spacing w:after="0"/>
      </w:pPr>
      <w:r>
        <w:continuationSeparator/>
      </w:r>
    </w:p>
  </w:endnote>
  <w:endnote w:type="continuationNotice" w:id="1">
    <w:p w14:paraId="5423315D" w14:textId="77777777" w:rsidR="008647A1" w:rsidRDefault="008647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376387548"/>
      <w:docPartObj>
        <w:docPartGallery w:val="Page Numbers (Bottom of Page)"/>
        <w:docPartUnique/>
      </w:docPartObj>
    </w:sdtPr>
    <w:sdtEndPr>
      <w:rPr>
        <w:color w:val="000000" w:themeColor="text1"/>
        <w:sz w:val="24"/>
      </w:rPr>
    </w:sdtEndPr>
    <w:sdtContent>
      <w:p w14:paraId="20553BAA" w14:textId="460ACF37" w:rsidR="008647A1" w:rsidRPr="00410B6A" w:rsidRDefault="008647A1" w:rsidP="007C22B0">
        <w:pPr>
          <w:pStyle w:val="Zpat"/>
          <w:jc w:val="center"/>
          <w:rPr>
            <w:color w:val="000000" w:themeColor="text1"/>
          </w:rPr>
        </w:pPr>
        <w:r w:rsidRPr="00410B6A">
          <w:rPr>
            <w:color w:val="000000" w:themeColor="text1"/>
          </w:rPr>
          <w:fldChar w:fldCharType="begin"/>
        </w:r>
        <w:r w:rsidRPr="00410B6A">
          <w:rPr>
            <w:color w:val="000000" w:themeColor="text1"/>
          </w:rPr>
          <w:instrText>PAGE   \* MERGEFORMAT</w:instrText>
        </w:r>
        <w:r w:rsidRPr="00410B6A">
          <w:rPr>
            <w:color w:val="000000" w:themeColor="text1"/>
          </w:rPr>
          <w:fldChar w:fldCharType="separate"/>
        </w:r>
        <w:r w:rsidRPr="00410B6A">
          <w:rPr>
            <w:color w:val="000000" w:themeColor="text1"/>
          </w:rPr>
          <w:t>2</w:t>
        </w:r>
        <w:r w:rsidRPr="00410B6A">
          <w:rPr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CCF1" w14:textId="77777777" w:rsidR="008647A1" w:rsidRDefault="008647A1" w:rsidP="007B1D57">
      <w:pPr>
        <w:spacing w:after="0"/>
      </w:pPr>
      <w:r>
        <w:separator/>
      </w:r>
    </w:p>
  </w:footnote>
  <w:footnote w:type="continuationSeparator" w:id="0">
    <w:p w14:paraId="62CD345E" w14:textId="77777777" w:rsidR="008647A1" w:rsidRDefault="008647A1" w:rsidP="007B1D57">
      <w:pPr>
        <w:spacing w:after="0"/>
      </w:pPr>
      <w:r>
        <w:continuationSeparator/>
      </w:r>
    </w:p>
  </w:footnote>
  <w:footnote w:type="continuationNotice" w:id="1">
    <w:p w14:paraId="3728D21B" w14:textId="77777777" w:rsidR="008647A1" w:rsidRDefault="008647A1">
      <w:pPr>
        <w:spacing w:after="0"/>
      </w:pPr>
    </w:p>
  </w:footnote>
  <w:footnote w:id="2">
    <w:p w14:paraId="4CA7F9FA" w14:textId="3548B4F0" w:rsidR="008647A1" w:rsidRPr="009709A2" w:rsidRDefault="008647A1" w:rsidP="00B33DF5">
      <w:pPr>
        <w:pStyle w:val="Textpoznpodarou"/>
        <w:spacing w:line="214" w:lineRule="auto"/>
        <w:ind w:left="284" w:hanging="284"/>
      </w:pPr>
      <w:r w:rsidRPr="009709A2">
        <w:rPr>
          <w:rStyle w:val="Znakapoznpodarou"/>
        </w:rPr>
        <w:footnoteRef/>
      </w:r>
      <w:r w:rsidRPr="009709A2">
        <w:t xml:space="preserve"> </w:t>
      </w:r>
      <w:r>
        <w:tab/>
      </w:r>
      <w:r w:rsidRPr="009709A2">
        <w:t xml:space="preserve">Zákon č. 218/2000 Sb., o rozpočtových pravidlech </w:t>
      </w:r>
      <w:r w:rsidRPr="009709A2">
        <w:rPr>
          <w:rFonts w:cs="Calibri"/>
        </w:rPr>
        <w:t>a o změně některých souvisejících zákonů (rozpočtová pravidla).</w:t>
      </w:r>
    </w:p>
  </w:footnote>
  <w:footnote w:id="3">
    <w:p w14:paraId="2272D358" w14:textId="12041EB9" w:rsidR="008647A1" w:rsidRPr="009709A2" w:rsidRDefault="008647A1" w:rsidP="00B33DF5">
      <w:pPr>
        <w:pStyle w:val="Textpoznpodarou"/>
        <w:spacing w:line="214" w:lineRule="auto"/>
        <w:ind w:left="284" w:hanging="284"/>
      </w:pPr>
      <w:r w:rsidRPr="009709A2">
        <w:rPr>
          <w:rStyle w:val="Znakapoznpodarou"/>
        </w:rPr>
        <w:footnoteRef/>
      </w:r>
      <w:r w:rsidRPr="009709A2">
        <w:t xml:space="preserve"> </w:t>
      </w:r>
      <w:r>
        <w:tab/>
      </w:r>
      <w:r w:rsidRPr="009709A2">
        <w:t>Zákon č. 320/2001 Sb., o finanční kontrole ve veřejné správě a o změně některých zákonů (zákon o finanční kontrole).</w:t>
      </w:r>
    </w:p>
  </w:footnote>
  <w:footnote w:id="4">
    <w:p w14:paraId="3BEA50D3" w14:textId="488B56F4" w:rsidR="008647A1" w:rsidRPr="009709A2" w:rsidRDefault="008647A1" w:rsidP="00B33DF5">
      <w:pPr>
        <w:pStyle w:val="Textpoznpodarou"/>
        <w:spacing w:line="214" w:lineRule="auto"/>
        <w:ind w:left="284" w:hanging="284"/>
        <w:rPr>
          <w:sz w:val="22"/>
        </w:rPr>
      </w:pPr>
      <w:r w:rsidRPr="009709A2">
        <w:rPr>
          <w:rStyle w:val="Znakapoznpodarou"/>
        </w:rPr>
        <w:footnoteRef/>
      </w:r>
      <w:r w:rsidRPr="009709A2">
        <w:t xml:space="preserve"> </w:t>
      </w:r>
      <w:r>
        <w:tab/>
      </w:r>
      <w:r w:rsidRPr="009709A2">
        <w:t xml:space="preserve">Nařízení Evropského parlamentu a Rady (EU) </w:t>
      </w:r>
      <w:r w:rsidRPr="009709A2">
        <w:rPr>
          <w:rFonts w:eastAsia="Calibri" w:cs="Calibri"/>
        </w:rPr>
        <w:t>č. 1304/2013 ze dne 17. prosince 2013</w:t>
      </w:r>
      <w:r w:rsidR="00B33DF5">
        <w:rPr>
          <w:rFonts w:eastAsia="Calibri" w:cs="Calibri"/>
        </w:rPr>
        <w:t>,</w:t>
      </w:r>
      <w:r w:rsidRPr="009709A2">
        <w:rPr>
          <w:rFonts w:eastAsia="Calibri" w:cs="Calibri"/>
        </w:rPr>
        <w:t xml:space="preserve"> o Evropském sociálním fondu a o zrušení nařízení Rady (ES) č. 1081/2006.</w:t>
      </w:r>
    </w:p>
  </w:footnote>
  <w:footnote w:id="5">
    <w:p w14:paraId="64D792CA" w14:textId="3F99180A" w:rsidR="008647A1" w:rsidRPr="00410B6A" w:rsidRDefault="008647A1" w:rsidP="00410B6A">
      <w:pPr>
        <w:pStyle w:val="Textpoznpodarou"/>
        <w:spacing w:line="216" w:lineRule="auto"/>
        <w:ind w:left="284" w:hanging="284"/>
        <w:rPr>
          <w:szCs w:val="19"/>
        </w:rPr>
      </w:pPr>
      <w:r w:rsidRPr="00410B6A">
        <w:rPr>
          <w:rStyle w:val="Znakapoznpodarou"/>
          <w:szCs w:val="19"/>
        </w:rPr>
        <w:footnoteRef/>
      </w:r>
      <w:r w:rsidRPr="00410B6A">
        <w:rPr>
          <w:szCs w:val="19"/>
        </w:rPr>
        <w:t xml:space="preserve"> </w:t>
      </w:r>
      <w:r>
        <w:rPr>
          <w:szCs w:val="19"/>
        </w:rPr>
        <w:tab/>
      </w:r>
      <w:r w:rsidRPr="00410B6A">
        <w:rPr>
          <w:szCs w:val="19"/>
        </w:rPr>
        <w:t>Vyhláška č. 367/2015 Sb., o zásadách a lhůtách finančního vypořádání vztahů se státním rozpočtem, státními finančními aktivy a Národním fondem (vyhláška o finančním vypořádání).</w:t>
      </w:r>
    </w:p>
  </w:footnote>
  <w:footnote w:id="6">
    <w:p w14:paraId="5A77E6C9" w14:textId="51C9F04D" w:rsidR="008647A1" w:rsidRPr="00410B6A" w:rsidRDefault="008647A1" w:rsidP="00410B6A">
      <w:pPr>
        <w:pStyle w:val="Textpoznpodarou"/>
        <w:spacing w:line="216" w:lineRule="auto"/>
        <w:ind w:left="284" w:hanging="284"/>
        <w:rPr>
          <w:szCs w:val="19"/>
        </w:rPr>
      </w:pPr>
      <w:r w:rsidRPr="00410B6A">
        <w:rPr>
          <w:rStyle w:val="Znakapoznpodarou"/>
          <w:szCs w:val="19"/>
        </w:rPr>
        <w:footnoteRef/>
      </w:r>
      <w:r w:rsidRPr="00410B6A">
        <w:rPr>
          <w:szCs w:val="19"/>
        </w:rPr>
        <w:t xml:space="preserve"> </w:t>
      </w:r>
      <w:r>
        <w:rPr>
          <w:szCs w:val="19"/>
        </w:rPr>
        <w:tab/>
      </w:r>
      <w:r w:rsidRPr="00B33DF5">
        <w:rPr>
          <w:i/>
          <w:szCs w:val="19"/>
        </w:rPr>
        <w:t xml:space="preserve">Obecná část pravidel pro žadatele a příjemce v rámci operačního programu </w:t>
      </w:r>
      <w:r w:rsidRPr="00950ACB">
        <w:rPr>
          <w:i/>
          <w:szCs w:val="19"/>
        </w:rPr>
        <w:t>Zaměstnanost</w:t>
      </w:r>
      <w:r w:rsidRPr="00410B6A">
        <w:rPr>
          <w:szCs w:val="19"/>
        </w:rPr>
        <w:t xml:space="preserve">, </w:t>
      </w:r>
      <w:r w:rsidRPr="00B33DF5">
        <w:rPr>
          <w:i/>
          <w:szCs w:val="19"/>
        </w:rPr>
        <w:t>Specifická část pravidel pro žadatele a příjemce v rámci OPZ pro projekty se skutečně vzniklými výdaji a případně také s nepřímými náklady</w:t>
      </w:r>
      <w:r w:rsidRPr="00410B6A">
        <w:rPr>
          <w:szCs w:val="19"/>
        </w:rPr>
        <w:t>.</w:t>
      </w:r>
    </w:p>
  </w:footnote>
  <w:footnote w:id="7">
    <w:p w14:paraId="0734947F" w14:textId="5A5B65CF" w:rsidR="008647A1" w:rsidRPr="00410B6A" w:rsidRDefault="008647A1" w:rsidP="00410B6A">
      <w:pPr>
        <w:pStyle w:val="Textpoznpodarou"/>
        <w:ind w:left="284" w:hanging="284"/>
        <w:rPr>
          <w:rFonts w:ascii="Calibri" w:hAnsi="Calibri" w:cs="Calibri"/>
        </w:rPr>
      </w:pPr>
      <w:r w:rsidRPr="00410B6A">
        <w:rPr>
          <w:rStyle w:val="Znakapoznpodarou"/>
          <w:rFonts w:ascii="Calibri" w:hAnsi="Calibri" w:cs="Calibri"/>
        </w:rPr>
        <w:footnoteRef/>
      </w:r>
      <w:r w:rsidRPr="00410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10B6A">
        <w:rPr>
          <w:rFonts w:ascii="Calibri" w:hAnsi="Calibri" w:cs="Calibri"/>
        </w:rPr>
        <w:t>Dle ustanovení § 9 zákona České národní rady č. 2/1969 Sb., o zřízení ministerstev a jiných ústředních orgánů státní správy České republiky, je MPSV ústředním orgánem státní správy zodpovědným mj. za oblast péče o rodinu a děti.</w:t>
      </w:r>
    </w:p>
  </w:footnote>
  <w:footnote w:id="8">
    <w:p w14:paraId="6AE00645" w14:textId="7DABF321" w:rsidR="008647A1" w:rsidRPr="00410B6A" w:rsidRDefault="008647A1" w:rsidP="00410B6A">
      <w:pPr>
        <w:pStyle w:val="Textpoznpodarou"/>
        <w:ind w:left="284" w:hanging="284"/>
        <w:rPr>
          <w:rFonts w:ascii="Calibri" w:hAnsi="Calibri" w:cs="Calibri"/>
        </w:rPr>
      </w:pPr>
      <w:r w:rsidRPr="00410B6A">
        <w:rPr>
          <w:rStyle w:val="Znakapoznpodarou"/>
          <w:rFonts w:ascii="Calibri" w:hAnsi="Calibri" w:cs="Calibri"/>
        </w:rPr>
        <w:footnoteRef/>
      </w:r>
      <w:r w:rsidRPr="00410B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10B6A">
        <w:rPr>
          <w:rFonts w:ascii="Calibri" w:hAnsi="Calibri" w:cs="Calibri"/>
        </w:rPr>
        <w:t xml:space="preserve">Výdaje na obyvatele v eurech Eurostat kvůli srovnatelnosti průběžně přepočítává na stálé ceny za rok 2010. Data jsou dostupná na: </w:t>
      </w:r>
      <w:hyperlink r:id="rId1" w:history="1">
        <w:r w:rsidRPr="00410B6A">
          <w:rPr>
            <w:rStyle w:val="Hypertextovodkaz"/>
            <w:rFonts w:ascii="Calibri" w:hAnsi="Calibri" w:cs="Calibri"/>
          </w:rPr>
          <w:t>https://ec.europa.eu/eurostat/databrowser/bookmark/81897c95-eefd-4cde-b0fd-87076ace15d9?lang=en</w:t>
        </w:r>
      </w:hyperlink>
      <w:r w:rsidRPr="00410B6A">
        <w:rPr>
          <w:rFonts w:ascii="Calibri" w:hAnsi="Calibri" w:cs="Calibri"/>
        </w:rPr>
        <w:t>, ověřeno ke dni 22. 6. 2022. K převodu byl využit kurz devizového trhu dle ČNB platný ke dni 22. 6. 2022: 24,71 Kč/</w:t>
      </w:r>
      <w:r>
        <w:rPr>
          <w:rFonts w:ascii="Calibri" w:hAnsi="Calibri" w:cs="Calibri"/>
        </w:rPr>
        <w:t>€</w:t>
      </w:r>
      <w:r w:rsidRPr="00410B6A">
        <w:rPr>
          <w:rFonts w:ascii="Calibri" w:hAnsi="Calibri" w:cs="Calibri"/>
        </w:rPr>
        <w:t>.</w:t>
      </w:r>
    </w:p>
  </w:footnote>
  <w:footnote w:id="9">
    <w:p w14:paraId="47876E35" w14:textId="4950EE81" w:rsidR="008647A1" w:rsidRPr="00F15299" w:rsidRDefault="008647A1" w:rsidP="00410B6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C1AC1">
        <w:t>Sdělení Komise</w:t>
      </w:r>
      <w:r>
        <w:t>:</w:t>
      </w:r>
      <w:r w:rsidRPr="008C1AC1">
        <w:t xml:space="preserve"> </w:t>
      </w:r>
      <w:r w:rsidRPr="005D50C6">
        <w:rPr>
          <w:i/>
        </w:rPr>
        <w:t>Evropa 2020, Strategie pro inteligentní a udržitelný růst podporující začlenění</w:t>
      </w:r>
      <w:r w:rsidRPr="008C1AC1">
        <w:t xml:space="preserve"> KOM</w:t>
      </w:r>
      <w:r>
        <w:t xml:space="preserve"> </w:t>
      </w:r>
      <w:r w:rsidRPr="008C1AC1">
        <w:t>(2010)</w:t>
      </w:r>
      <w:r>
        <w:t xml:space="preserve"> </w:t>
      </w:r>
      <w:r w:rsidRPr="008C1AC1">
        <w:t>2020 ze dne 3. března 2010</w:t>
      </w:r>
      <w:r>
        <w:t>.</w:t>
      </w:r>
    </w:p>
  </w:footnote>
  <w:footnote w:id="10">
    <w:p w14:paraId="2957C097" w14:textId="42D3B213" w:rsidR="008647A1" w:rsidRPr="00410B6A" w:rsidRDefault="008647A1" w:rsidP="00410B6A">
      <w:pPr>
        <w:pStyle w:val="Textpoznpodarou"/>
        <w:spacing w:line="216" w:lineRule="auto"/>
        <w:ind w:left="284" w:hanging="284"/>
      </w:pPr>
      <w:r w:rsidRPr="00410B6A">
        <w:rPr>
          <w:rStyle w:val="Znakapoznpodarou"/>
        </w:rPr>
        <w:footnoteRef/>
      </w:r>
      <w:r w:rsidRPr="00410B6A">
        <w:t xml:space="preserve"> </w:t>
      </w:r>
      <w:r>
        <w:tab/>
      </w:r>
      <w:r w:rsidRPr="00410B6A">
        <w:t>K převodu byl využit kurz devizového trhu dle ČNB platný ke dni 18. 12. 2020: 26,14 Kč/</w:t>
      </w:r>
      <w:r>
        <w:t>€</w:t>
      </w:r>
      <w:r w:rsidRPr="00410B6A">
        <w:t>.</w:t>
      </w:r>
    </w:p>
  </w:footnote>
  <w:footnote w:id="11">
    <w:p w14:paraId="19C63712" w14:textId="4E6364D5" w:rsidR="008647A1" w:rsidRPr="00410B6A" w:rsidRDefault="008647A1" w:rsidP="00410B6A">
      <w:pPr>
        <w:pStyle w:val="Textpoznpodarou"/>
        <w:spacing w:line="216" w:lineRule="auto"/>
        <w:ind w:left="284" w:hanging="284"/>
      </w:pPr>
      <w:r w:rsidRPr="00410B6A">
        <w:rPr>
          <w:rStyle w:val="Znakapoznpodarou"/>
        </w:rPr>
        <w:footnoteRef/>
      </w:r>
      <w:r w:rsidRPr="00410B6A">
        <w:t xml:space="preserve"> </w:t>
      </w:r>
      <w:r>
        <w:tab/>
      </w:r>
      <w:r w:rsidRPr="00410B6A">
        <w:t>K převodu byl využit kurz devizového trhu dle ČNB platný ke dni 31. 12. 2020: 26,245 Kč/</w:t>
      </w:r>
      <w:r>
        <w:t>€</w:t>
      </w:r>
      <w:r w:rsidRPr="00410B6A">
        <w:t>.</w:t>
      </w:r>
    </w:p>
  </w:footnote>
  <w:footnote w:id="12">
    <w:p w14:paraId="32FFCEB6" w14:textId="7FB77FD8" w:rsidR="008647A1" w:rsidRPr="00410B6A" w:rsidRDefault="008647A1" w:rsidP="00410B6A">
      <w:pPr>
        <w:pStyle w:val="Textpoznpodarou"/>
        <w:spacing w:line="216" w:lineRule="auto"/>
        <w:ind w:left="284" w:hanging="284"/>
      </w:pPr>
      <w:r w:rsidRPr="00410B6A">
        <w:rPr>
          <w:rStyle w:val="Znakapoznpodarou"/>
        </w:rPr>
        <w:footnoteRef/>
      </w:r>
      <w:r w:rsidRPr="00410B6A">
        <w:t xml:space="preserve"> </w:t>
      </w:r>
      <w:r>
        <w:tab/>
      </w:r>
      <w:r w:rsidRPr="00410B6A">
        <w:t>Pravidlo n+3 znamená, že finanční prostředky alokované pro členský stát např. pro rok 2018 musí být reálně vyčerpány nejpozději do tří let, tj. do konce roku 2021.</w:t>
      </w:r>
    </w:p>
  </w:footnote>
  <w:footnote w:id="13">
    <w:p w14:paraId="12E09B08" w14:textId="6C6C804F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 w:rsidRPr="0036018F">
        <w:tab/>
        <w:t xml:space="preserve">Údaje indikátoru 6 00 00 </w:t>
      </w:r>
      <w:r w:rsidRPr="0036018F">
        <w:rPr>
          <w:i/>
        </w:rPr>
        <w:t>Celkový počet účastníků</w:t>
      </w:r>
      <w:r w:rsidRPr="0036018F">
        <w:t xml:space="preserve"> (podpora účastníků nad 40 hodin) za všechny projekty OPZ od stavu fyzické realizace projektu (stav PP36), z toho počet účastníků v ukončených projektech byl 92 009.</w:t>
      </w:r>
    </w:p>
  </w:footnote>
  <w:footnote w:id="14">
    <w:p w14:paraId="69705595" w14:textId="047FAC1E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 w:rsidRPr="0036018F">
        <w:tab/>
      </w:r>
      <w:r w:rsidRPr="0036018F">
        <w:rPr>
          <w:rFonts w:cstheme="minorHAnsi"/>
        </w:rPr>
        <w:t>V seznamu těchto projektů podpořených z OPZ se zaměřením na rodinnou politiku nejsou zahrnuty projekty se</w:t>
      </w:r>
      <w:r>
        <w:rPr>
          <w:rFonts w:cstheme="minorHAnsi"/>
        </w:rPr>
        <w:t xml:space="preserve"> </w:t>
      </w:r>
      <w:r w:rsidRPr="0036018F">
        <w:rPr>
          <w:rFonts w:cstheme="minorHAnsi"/>
        </w:rPr>
        <w:t>zaměřením např. na</w:t>
      </w:r>
      <w:r>
        <w:rPr>
          <w:rFonts w:cstheme="minorHAnsi"/>
        </w:rPr>
        <w:t xml:space="preserve"> </w:t>
      </w:r>
      <w:r w:rsidRPr="0036018F">
        <w:rPr>
          <w:rFonts w:cstheme="minorHAnsi"/>
        </w:rPr>
        <w:t>ochranu práv dětí či náhradní rodinnou péči, neboť MPSV vede tyto projekty odděleně.</w:t>
      </w:r>
    </w:p>
  </w:footnote>
  <w:footnote w:id="15">
    <w:p w14:paraId="5481897C" w14:textId="2C5E53AB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 w:rsidRPr="0036018F">
        <w:tab/>
        <w:t xml:space="preserve">Jedná se o subjekty podpořené v NDT Rodina. Termín se používá v jednotlivých </w:t>
      </w:r>
      <w:r>
        <w:t>r</w:t>
      </w:r>
      <w:r w:rsidRPr="0036018F">
        <w:t>ozhodnutích o poskytnutí dotace u projektů podpořených v NDT Rodina.</w:t>
      </w:r>
    </w:p>
  </w:footnote>
  <w:footnote w:id="16">
    <w:p w14:paraId="2C5AC1C2" w14:textId="71268A4F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</w:r>
      <w:r w:rsidRPr="0036018F">
        <w:t xml:space="preserve">V případě mezd/platů v OPZ se NKÚ řídil dokumentem </w:t>
      </w:r>
      <w:r w:rsidRPr="0036018F">
        <w:rPr>
          <w:i/>
        </w:rPr>
        <w:t>Obvyklé mzdy/platy pro Operační program Zaměstnanost</w:t>
      </w:r>
      <w:r w:rsidRPr="0036018F">
        <w:t xml:space="preserve"> – viz </w:t>
      </w:r>
      <w:hyperlink r:id="rId2" w:history="1">
        <w:r w:rsidRPr="0036018F">
          <w:rPr>
            <w:rStyle w:val="Hypertextovodkaz"/>
          </w:rPr>
          <w:t>https://www.esfcr.cz/obvykle-ceny-a-mzdy-platy-opz/-/dokument/799359</w:t>
        </w:r>
      </w:hyperlink>
      <w:r w:rsidRPr="0036018F">
        <w:t>.</w:t>
      </w:r>
    </w:p>
  </w:footnote>
  <w:footnote w:id="17">
    <w:p w14:paraId="042E07D6" w14:textId="5338C6CB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</w:r>
      <w:r w:rsidRPr="0036018F">
        <w:t>Koncepce byla schválena usnesením vlády České republiky ze dne 18. září 2017 č. 654</w:t>
      </w:r>
      <w:r>
        <w:t>,</w:t>
      </w:r>
      <w:r w:rsidRPr="0036018F">
        <w:t xml:space="preserve"> </w:t>
      </w:r>
      <w:r w:rsidRPr="00401345">
        <w:rPr>
          <w:i/>
        </w:rPr>
        <w:t>o Koncepci rodinné politiky</w:t>
      </w:r>
      <w:r w:rsidRPr="0036018F">
        <w:t>, ve kterém vláda ČR dále uložila MPSV související úkoly (viz část II. tohoto kontrolního závěru).</w:t>
      </w:r>
    </w:p>
  </w:footnote>
  <w:footnote w:id="18">
    <w:p w14:paraId="4B0752F6" w14:textId="1023BA1E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</w:r>
      <w:r w:rsidRPr="0036018F">
        <w:t>Evropský sociální fond.</w:t>
      </w:r>
    </w:p>
  </w:footnote>
  <w:footnote w:id="19">
    <w:p w14:paraId="58CE1E53" w14:textId="5F3E51A6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</w:r>
      <w:r w:rsidRPr="0036018F">
        <w:t>Zákon č. 108/2006 Sb., o sociálních službách.</w:t>
      </w:r>
    </w:p>
  </w:footnote>
  <w:footnote w:id="20">
    <w:p w14:paraId="4A98C07A" w14:textId="3C292691" w:rsidR="008647A1" w:rsidRPr="004372BE" w:rsidRDefault="008647A1" w:rsidP="0036018F">
      <w:pPr>
        <w:pStyle w:val="Textpoznpodarou"/>
        <w:ind w:left="284" w:hanging="284"/>
        <w:rPr>
          <w:rFonts w:eastAsia="Calibri" w:cs="Calibri"/>
          <w:color w:val="000000" w:themeColor="text1"/>
          <w:u w:val="single"/>
        </w:rPr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  <w:t xml:space="preserve">Dokument </w:t>
      </w:r>
      <w:r w:rsidRPr="0036018F">
        <w:rPr>
          <w:i/>
        </w:rPr>
        <w:t>2. průběžné v</w:t>
      </w:r>
      <w:r w:rsidRPr="0036018F">
        <w:rPr>
          <w:rFonts w:eastAsia="Calibri" w:cs="Calibri"/>
          <w:i/>
        </w:rPr>
        <w:t>yhodnocení dotazníku zpráv o realizaci</w:t>
      </w:r>
      <w:r w:rsidRPr="0036018F">
        <w:rPr>
          <w:rStyle w:val="Znakapoznpodarou"/>
          <w:rFonts w:eastAsia="Calibri" w:cs="Calibri"/>
        </w:rPr>
        <w:footnoteRef/>
      </w:r>
      <w:r w:rsidRPr="0036018F">
        <w:rPr>
          <w:rFonts w:eastAsia="Calibri" w:cs="Calibri"/>
        </w:rPr>
        <w:t xml:space="preserve"> je dostupn</w:t>
      </w:r>
      <w:r>
        <w:rPr>
          <w:rFonts w:eastAsia="Calibri" w:cs="Calibri"/>
        </w:rPr>
        <w:t>ý</w:t>
      </w:r>
      <w:r w:rsidRPr="0036018F">
        <w:rPr>
          <w:rFonts w:eastAsia="Calibri" w:cs="Calibri"/>
        </w:rPr>
        <w:t xml:space="preserve"> na </w:t>
      </w:r>
      <w:hyperlink r:id="rId3" w:history="1">
        <w:r w:rsidRPr="0036018F">
          <w:rPr>
            <w:rStyle w:val="Hypertextovodkaz"/>
            <w:rFonts w:eastAsia="Calibri" w:cs="Calibri"/>
          </w:rPr>
          <w:t>www.esfcr.cz</w:t>
        </w:r>
      </w:hyperlink>
      <w:r w:rsidRPr="004372BE">
        <w:rPr>
          <w:color w:val="000000" w:themeColor="text1"/>
        </w:rPr>
        <w:t>.</w:t>
      </w:r>
    </w:p>
  </w:footnote>
  <w:footnote w:id="21">
    <w:p w14:paraId="611CDC8A" w14:textId="026C5C76" w:rsidR="008647A1" w:rsidRPr="0036018F" w:rsidRDefault="008647A1" w:rsidP="0036018F">
      <w:pPr>
        <w:pStyle w:val="Textpoznpodarou"/>
        <w:ind w:left="284" w:hanging="284"/>
      </w:pPr>
      <w:r w:rsidRPr="0036018F">
        <w:rPr>
          <w:rStyle w:val="Znakapoznpodarou"/>
        </w:rPr>
        <w:footnoteRef/>
      </w:r>
      <w:r w:rsidRPr="0036018F">
        <w:t xml:space="preserve"> </w:t>
      </w:r>
      <w:r>
        <w:tab/>
      </w:r>
      <w:r w:rsidRPr="0036018F">
        <w:t>P</w:t>
      </w:r>
      <w:r w:rsidRPr="0036018F">
        <w:rPr>
          <w:rFonts w:cstheme="minorHAnsi"/>
        </w:rPr>
        <w:t xml:space="preserve">říklady indikátorů, které by mohlo MPSV sledovat, zahrnuje např. </w:t>
      </w:r>
      <w:r w:rsidRPr="004372BE">
        <w:rPr>
          <w:rFonts w:cstheme="minorHAnsi"/>
          <w:i/>
        </w:rPr>
        <w:t>Metodika indikátorů komplexního výzkumu o situaci rodin s dětmi</w:t>
      </w:r>
      <w:r w:rsidRPr="0036018F">
        <w:rPr>
          <w:rFonts w:cstheme="minorHAnsi"/>
        </w:rPr>
        <w:t xml:space="preserve"> z roku 2021, kterou zpracoval VÚPSV. </w:t>
      </w:r>
    </w:p>
  </w:footnote>
  <w:footnote w:id="22">
    <w:p w14:paraId="12798872" w14:textId="6243BB83" w:rsidR="008647A1" w:rsidRPr="004D7285" w:rsidRDefault="008647A1" w:rsidP="004D7285">
      <w:pPr>
        <w:pStyle w:val="Textpoznpodarou"/>
        <w:ind w:left="284" w:hanging="284"/>
        <w:rPr>
          <w:rFonts w:cstheme="minorHAnsi"/>
          <w:bCs/>
          <w:color w:val="000000" w:themeColor="text1"/>
          <w:u w:val="single"/>
        </w:rPr>
      </w:pPr>
      <w:r w:rsidRPr="004D7285">
        <w:rPr>
          <w:rStyle w:val="Znakapoznpodarou"/>
        </w:rPr>
        <w:footnoteRef/>
      </w:r>
      <w:r w:rsidRPr="004D7285">
        <w:t xml:space="preserve"> </w:t>
      </w:r>
      <w:r>
        <w:tab/>
      </w:r>
      <w:r w:rsidRPr="004D7285">
        <w:rPr>
          <w:rFonts w:cstheme="minorHAnsi"/>
          <w:bCs/>
        </w:rPr>
        <w:t xml:space="preserve">Evaluační zprávy OPZ dostupné na </w:t>
      </w:r>
      <w:hyperlink r:id="rId4" w:history="1">
        <w:r w:rsidRPr="004D7285">
          <w:rPr>
            <w:rStyle w:val="Hypertextovodkaz"/>
            <w:rFonts w:cstheme="minorHAnsi"/>
            <w:bCs/>
          </w:rPr>
          <w:t>www.esfcr.cz</w:t>
        </w:r>
      </w:hyperlink>
      <w:r w:rsidRPr="004D7285">
        <w:rPr>
          <w:color w:val="000000" w:themeColor="text1"/>
        </w:rPr>
        <w:t>.</w:t>
      </w:r>
    </w:p>
  </w:footnote>
  <w:footnote w:id="23">
    <w:p w14:paraId="0E9198E2" w14:textId="65D510CA" w:rsidR="008647A1" w:rsidRPr="004D7285" w:rsidRDefault="008647A1" w:rsidP="004D7285">
      <w:pPr>
        <w:pStyle w:val="Textpoznpodarou"/>
        <w:ind w:left="284" w:hanging="284"/>
      </w:pPr>
      <w:r w:rsidRPr="004D7285">
        <w:rPr>
          <w:rStyle w:val="Znakapoznpodarou"/>
        </w:rPr>
        <w:footnoteRef/>
      </w:r>
      <w:r w:rsidRPr="004D7285">
        <w:t xml:space="preserve"> </w:t>
      </w:r>
      <w:r>
        <w:tab/>
      </w:r>
      <w:r w:rsidRPr="004D7285">
        <w:t>Za relevantní byly považovány cíle, které jsou konkrétní, jasně definované, měřitelné, dosažitelné ve</w:t>
      </w:r>
      <w:r w:rsidR="00B266E7">
        <w:t xml:space="preserve"> </w:t>
      </w:r>
      <w:r w:rsidRPr="004D7285">
        <w:t>stanoveném čase, realistické a jsou v souladu s cíli Koncepce a programového dokumentu OPZ.</w:t>
      </w:r>
    </w:p>
  </w:footnote>
  <w:footnote w:id="24">
    <w:p w14:paraId="1C7D3E0B" w14:textId="32C898D4" w:rsidR="008647A1" w:rsidRPr="004D7285" w:rsidRDefault="008647A1" w:rsidP="004D7285">
      <w:pPr>
        <w:pStyle w:val="Textpoznpodarou"/>
        <w:ind w:left="284" w:hanging="284"/>
      </w:pPr>
      <w:r w:rsidRPr="004D7285">
        <w:rPr>
          <w:rStyle w:val="Znakapoznpodarou"/>
        </w:rPr>
        <w:footnoteRef/>
      </w:r>
      <w:r w:rsidRPr="004D7285">
        <w:rPr>
          <w:i/>
        </w:rPr>
        <w:t xml:space="preserve"> </w:t>
      </w:r>
      <w:r>
        <w:rPr>
          <w:i/>
        </w:rPr>
        <w:tab/>
      </w:r>
      <w:r w:rsidRPr="004D7285">
        <w:t xml:space="preserve">Cíl jednoho z kontrolovaných projektů byl v žádosti o podporu definován následujícím způsobem: </w:t>
      </w:r>
      <w:r w:rsidRPr="004D7285">
        <w:rPr>
          <w:i/>
        </w:rPr>
        <w:t xml:space="preserve">Cílem projektu dle metody SMART </w:t>
      </w:r>
      <w:r>
        <w:rPr>
          <w:i/>
        </w:rPr>
        <w:t>–</w:t>
      </w:r>
      <w:r w:rsidRPr="004D7285">
        <w:rPr>
          <w:i/>
        </w:rPr>
        <w:t xml:space="preserve"> </w:t>
      </w:r>
      <w:r>
        <w:rPr>
          <w:i/>
        </w:rPr>
        <w:t>(</w:t>
      </w:r>
      <w:r w:rsidRPr="004D7285">
        <w:rPr>
          <w:i/>
        </w:rPr>
        <w:t>...</w:t>
      </w:r>
      <w:r>
        <w:rPr>
          <w:i/>
        </w:rPr>
        <w:t xml:space="preserve">) </w:t>
      </w:r>
      <w:r w:rsidRPr="004D7285">
        <w:rPr>
          <w:i/>
        </w:rPr>
        <w:t>vytvořit a udržet komplexní systém odborných služeb pro sociálně vyloučené rodiny ve vybraných lokalitách</w:t>
      </w:r>
      <w:r w:rsidRPr="004D7285">
        <w:t>.</w:t>
      </w:r>
    </w:p>
  </w:footnote>
  <w:footnote w:id="25">
    <w:p w14:paraId="484409F4" w14:textId="6EF20906" w:rsidR="008647A1" w:rsidRPr="004D7285" w:rsidRDefault="008647A1" w:rsidP="004D7285">
      <w:pPr>
        <w:pStyle w:val="Textpoznpodarou"/>
        <w:ind w:left="284" w:hanging="284"/>
      </w:pPr>
      <w:r w:rsidRPr="004D7285">
        <w:rPr>
          <w:rStyle w:val="Znakapoznpodarou"/>
        </w:rPr>
        <w:footnoteRef/>
      </w:r>
      <w:r w:rsidRPr="004D7285">
        <w:t xml:space="preserve"> </w:t>
      </w:r>
      <w:r>
        <w:tab/>
      </w:r>
      <w:r w:rsidRPr="004D7285">
        <w:t>SMART – konkrétní, měřitelný, dosažitelný, realistický a v čase ohraničený cíl.</w:t>
      </w:r>
    </w:p>
  </w:footnote>
  <w:footnote w:id="26">
    <w:p w14:paraId="2C4927D4" w14:textId="6C92C619" w:rsidR="008647A1" w:rsidRPr="004D7285" w:rsidRDefault="008647A1" w:rsidP="004D7285">
      <w:pPr>
        <w:pStyle w:val="Textpoznpodarou"/>
        <w:spacing w:line="217" w:lineRule="auto"/>
        <w:ind w:left="284" w:hanging="284"/>
      </w:pPr>
      <w:r w:rsidRPr="004D7285">
        <w:rPr>
          <w:rStyle w:val="Znakapoznpodarou"/>
        </w:rPr>
        <w:footnoteRef/>
      </w:r>
      <w:r w:rsidRPr="004D7285">
        <w:t xml:space="preserve"> </w:t>
      </w:r>
      <w:r>
        <w:tab/>
      </w:r>
      <w:r w:rsidRPr="00A0217F">
        <w:rPr>
          <w:i/>
        </w:rPr>
        <w:t>Specifická část pravidel pro žadatele a příjemce v rámci OPZ pro projekty se skutečně vzniklými výdaji a případně také s nepřímými náklady</w:t>
      </w:r>
      <w:r w:rsidRPr="004D7285">
        <w:t>.</w:t>
      </w:r>
    </w:p>
  </w:footnote>
  <w:footnote w:id="27">
    <w:p w14:paraId="2B60787A" w14:textId="7489C28B" w:rsidR="008647A1" w:rsidRPr="00FD3DE5" w:rsidRDefault="008647A1" w:rsidP="00FD3DE5">
      <w:pPr>
        <w:pStyle w:val="Textpoznpodarou"/>
        <w:spacing w:line="217" w:lineRule="auto"/>
        <w:ind w:left="284" w:hanging="284"/>
        <w:rPr>
          <w:rFonts w:ascii="Calibri" w:hAnsi="Calibri" w:cs="Calibri"/>
        </w:rPr>
      </w:pPr>
      <w:r w:rsidRPr="00FD3DE5">
        <w:rPr>
          <w:rStyle w:val="Znakapoznpodarou"/>
          <w:rFonts w:ascii="Calibri" w:hAnsi="Calibri" w:cs="Calibri"/>
        </w:rPr>
        <w:footnoteRef/>
      </w:r>
      <w:r w:rsidRPr="00FD3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3DE5">
        <w:rPr>
          <w:rFonts w:ascii="Calibri" w:hAnsi="Calibri" w:cs="Calibri"/>
        </w:rPr>
        <w:t xml:space="preserve">Účastníci, kteří překročili hranici tzv. bagatelní podpory, tj. získali v rámci projektu podporu vyšší než 40 hodin. Počet účastníků kontrolovaných projektů včetně osob, jejichž podpora byla nižší než 40 hodin byl 4 394.  </w:t>
      </w:r>
    </w:p>
  </w:footnote>
  <w:footnote w:id="28">
    <w:p w14:paraId="0A211BF9" w14:textId="63F937EB" w:rsidR="008647A1" w:rsidRPr="00FD3DE5" w:rsidRDefault="008647A1" w:rsidP="00FD3DE5">
      <w:pPr>
        <w:pStyle w:val="Textpoznpodarou"/>
        <w:spacing w:line="217" w:lineRule="auto"/>
        <w:ind w:left="284" w:hanging="284"/>
        <w:rPr>
          <w:rFonts w:ascii="Calibri" w:hAnsi="Calibri" w:cs="Calibri"/>
        </w:rPr>
      </w:pPr>
      <w:r w:rsidRPr="00FD3DE5">
        <w:rPr>
          <w:rStyle w:val="Znakapoznpodarou"/>
          <w:rFonts w:ascii="Calibri" w:hAnsi="Calibri" w:cs="Calibri"/>
        </w:rPr>
        <w:footnoteRef/>
      </w:r>
      <w:r w:rsidRPr="00FD3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3DE5">
        <w:rPr>
          <w:rFonts w:ascii="Calibri" w:hAnsi="Calibri" w:cs="Calibri"/>
        </w:rPr>
        <w:t>Z počtu 2 999 osob bylo podpořeno v kontrolovaných projektech 2 726 žen.</w:t>
      </w:r>
    </w:p>
  </w:footnote>
  <w:footnote w:id="29">
    <w:p w14:paraId="2237DC29" w14:textId="6AE32216" w:rsidR="008647A1" w:rsidRPr="00FD3DE5" w:rsidRDefault="008647A1" w:rsidP="00FD3DE5">
      <w:pPr>
        <w:pStyle w:val="Textpoznpodarou"/>
        <w:spacing w:line="217" w:lineRule="auto"/>
        <w:ind w:left="284" w:hanging="284"/>
        <w:rPr>
          <w:rFonts w:ascii="Calibri" w:hAnsi="Calibri" w:cs="Calibri"/>
        </w:rPr>
      </w:pPr>
      <w:r w:rsidRPr="00FD3DE5">
        <w:rPr>
          <w:rStyle w:val="Znakapoznpodarou"/>
          <w:rFonts w:ascii="Calibri" w:hAnsi="Calibri" w:cs="Calibri"/>
        </w:rPr>
        <w:footnoteRef/>
      </w:r>
      <w:r w:rsidRPr="00FD3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3DE5">
        <w:rPr>
          <w:rFonts w:ascii="Calibri" w:hAnsi="Calibri" w:cs="Calibri"/>
        </w:rPr>
        <w:t>Dle ustanovení § 44 odst. 1 písm. a) a b) zákona č. 218/2000 Sb.</w:t>
      </w:r>
    </w:p>
  </w:footnote>
  <w:footnote w:id="30">
    <w:p w14:paraId="06359002" w14:textId="68913348" w:rsidR="008647A1" w:rsidRPr="00FD3DE5" w:rsidRDefault="008647A1" w:rsidP="00FD3DE5">
      <w:pPr>
        <w:pStyle w:val="Textpoznpodarou"/>
        <w:ind w:left="284" w:hanging="284"/>
        <w:rPr>
          <w:rFonts w:ascii="Calibri" w:hAnsi="Calibri" w:cs="Calibri"/>
        </w:rPr>
      </w:pPr>
      <w:r w:rsidRPr="00FD3DE5">
        <w:rPr>
          <w:rStyle w:val="Znakapoznpodarou"/>
          <w:rFonts w:ascii="Calibri" w:hAnsi="Calibri" w:cs="Calibri"/>
        </w:rPr>
        <w:footnoteRef/>
      </w:r>
      <w:r w:rsidRPr="00FD3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3DE5">
        <w:rPr>
          <w:rFonts w:ascii="Calibri" w:hAnsi="Calibri" w:cs="Calibri"/>
        </w:rPr>
        <w:t>Jedná se o neukončený projekt ÚP ČR, který k 30. 11. 2021 podpořil celkem 1 317 osob.</w:t>
      </w:r>
    </w:p>
  </w:footnote>
  <w:footnote w:id="31">
    <w:p w14:paraId="4345E898" w14:textId="1A66F187" w:rsidR="008647A1" w:rsidRPr="009C5E58" w:rsidRDefault="008647A1" w:rsidP="009C5E58">
      <w:pPr>
        <w:pStyle w:val="Textpoznpodarou"/>
        <w:ind w:left="284" w:hanging="284"/>
        <w:rPr>
          <w:rFonts w:ascii="Calibri" w:hAnsi="Calibri" w:cs="Calibri"/>
        </w:rPr>
      </w:pPr>
      <w:r w:rsidRPr="009C5E58">
        <w:rPr>
          <w:rStyle w:val="Znakapoznpodarou"/>
          <w:rFonts w:ascii="Calibri" w:hAnsi="Calibri" w:cs="Calibri"/>
        </w:rPr>
        <w:footnoteRef/>
      </w:r>
      <w:r w:rsidRPr="009C5E5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9C5E58">
        <w:rPr>
          <w:rFonts w:ascii="Calibri" w:hAnsi="Calibri" w:cs="Calibri"/>
        </w:rPr>
        <w:t>Koncepce byla schválena usnesením vlády ČR ze dne 18. září 2017 č. 654, ve kterém vláda ČR dále uložila MPSV související úkoly (viz část II</w:t>
      </w:r>
      <w:r>
        <w:rPr>
          <w:rFonts w:ascii="Calibri" w:hAnsi="Calibri" w:cs="Calibri"/>
        </w:rPr>
        <w:t>.</w:t>
      </w:r>
      <w:r w:rsidRPr="009C5E58">
        <w:rPr>
          <w:rFonts w:ascii="Calibri" w:hAnsi="Calibri" w:cs="Calibri"/>
        </w:rPr>
        <w:t xml:space="preserve"> tohoto kontrolního závěru).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CFC"/>
    <w:multiLevelType w:val="multilevel"/>
    <w:tmpl w:val="0FC4382E"/>
    <w:lvl w:ilvl="0">
      <w:start w:val="1"/>
      <w:numFmt w:val="decimal"/>
      <w:lvlText w:val="1.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E5E76"/>
    <w:multiLevelType w:val="hybridMultilevel"/>
    <w:tmpl w:val="48DA6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8BF"/>
    <w:multiLevelType w:val="hybridMultilevel"/>
    <w:tmpl w:val="8354A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46BA"/>
    <w:multiLevelType w:val="hybridMultilevel"/>
    <w:tmpl w:val="06F06C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2C8"/>
    <w:multiLevelType w:val="hybridMultilevel"/>
    <w:tmpl w:val="D88879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175"/>
    <w:multiLevelType w:val="hybridMultilevel"/>
    <w:tmpl w:val="10F252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413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144F63"/>
    <w:multiLevelType w:val="hybridMultilevel"/>
    <w:tmpl w:val="6C6CC586"/>
    <w:lvl w:ilvl="0" w:tplc="548A84A0">
      <w:start w:val="1"/>
      <w:numFmt w:val="decimal"/>
      <w:lvlText w:val="2.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4390"/>
    <w:multiLevelType w:val="hybridMultilevel"/>
    <w:tmpl w:val="711E10B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7D73DB"/>
    <w:multiLevelType w:val="hybridMultilevel"/>
    <w:tmpl w:val="E3E2E5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D49F7"/>
    <w:multiLevelType w:val="hybridMultilevel"/>
    <w:tmpl w:val="429A5B44"/>
    <w:lvl w:ilvl="0" w:tplc="816EEF20">
      <w:start w:val="1"/>
      <w:numFmt w:val="decimal"/>
      <w:lvlText w:val="4.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C2F8E"/>
    <w:multiLevelType w:val="hybridMultilevel"/>
    <w:tmpl w:val="36221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4702"/>
    <w:multiLevelType w:val="hybridMultilevel"/>
    <w:tmpl w:val="56DC8B96"/>
    <w:lvl w:ilvl="0" w:tplc="5B844D1A">
      <w:start w:val="1"/>
      <w:numFmt w:val="decimal"/>
      <w:lvlText w:val="3.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868E2"/>
    <w:multiLevelType w:val="multilevel"/>
    <w:tmpl w:val="C1C06EF6"/>
    <w:lvl w:ilvl="0">
      <w:start w:val="1"/>
      <w:numFmt w:val="decimal"/>
      <w:lvlText w:val="1.%1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75179A"/>
    <w:multiLevelType w:val="hybridMultilevel"/>
    <w:tmpl w:val="3EE8C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D6D69"/>
    <w:multiLevelType w:val="hybridMultilevel"/>
    <w:tmpl w:val="DFE4BD24"/>
    <w:lvl w:ilvl="0" w:tplc="5AD06CD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7B44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A7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86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3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04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80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A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8D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B0762"/>
    <w:multiLevelType w:val="hybridMultilevel"/>
    <w:tmpl w:val="0B12EE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A4F9B"/>
    <w:multiLevelType w:val="hybridMultilevel"/>
    <w:tmpl w:val="4A8C7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2684C"/>
    <w:multiLevelType w:val="hybridMultilevel"/>
    <w:tmpl w:val="EAA6946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68513BBA"/>
    <w:multiLevelType w:val="hybridMultilevel"/>
    <w:tmpl w:val="F8D8F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0173"/>
    <w:multiLevelType w:val="hybridMultilevel"/>
    <w:tmpl w:val="C5D4DD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843B8"/>
    <w:multiLevelType w:val="hybridMultilevel"/>
    <w:tmpl w:val="3490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833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22"/>
  </w:num>
  <w:num w:numId="9">
    <w:abstractNumId w:val="0"/>
  </w:num>
  <w:num w:numId="10">
    <w:abstractNumId w:val="7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  <w:num w:numId="15">
    <w:abstractNumId w:val="2"/>
  </w:num>
  <w:num w:numId="16">
    <w:abstractNumId w:val="21"/>
  </w:num>
  <w:num w:numId="17">
    <w:abstractNumId w:val="19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E2"/>
    <w:rsid w:val="0000072C"/>
    <w:rsid w:val="000031B2"/>
    <w:rsid w:val="00003646"/>
    <w:rsid w:val="000041B7"/>
    <w:rsid w:val="00006C29"/>
    <w:rsid w:val="000078E6"/>
    <w:rsid w:val="00007B5A"/>
    <w:rsid w:val="000104C4"/>
    <w:rsid w:val="00012895"/>
    <w:rsid w:val="000132EC"/>
    <w:rsid w:val="000138F7"/>
    <w:rsid w:val="000152DF"/>
    <w:rsid w:val="00015ABE"/>
    <w:rsid w:val="000202B1"/>
    <w:rsid w:val="00022A72"/>
    <w:rsid w:val="0002326E"/>
    <w:rsid w:val="000233F9"/>
    <w:rsid w:val="00024627"/>
    <w:rsid w:val="0002692B"/>
    <w:rsid w:val="00030EBD"/>
    <w:rsid w:val="00031A2E"/>
    <w:rsid w:val="00031CB1"/>
    <w:rsid w:val="0003245D"/>
    <w:rsid w:val="00032FCB"/>
    <w:rsid w:val="00033C2E"/>
    <w:rsid w:val="00034B1D"/>
    <w:rsid w:val="00037F6F"/>
    <w:rsid w:val="0004071A"/>
    <w:rsid w:val="0004183F"/>
    <w:rsid w:val="000419DD"/>
    <w:rsid w:val="000450FA"/>
    <w:rsid w:val="00045E44"/>
    <w:rsid w:val="000524DA"/>
    <w:rsid w:val="00053671"/>
    <w:rsid w:val="00054027"/>
    <w:rsid w:val="00055AAE"/>
    <w:rsid w:val="00061102"/>
    <w:rsid w:val="00063342"/>
    <w:rsid w:val="000638F6"/>
    <w:rsid w:val="00067988"/>
    <w:rsid w:val="0007583C"/>
    <w:rsid w:val="000767CB"/>
    <w:rsid w:val="00081A6C"/>
    <w:rsid w:val="000831A8"/>
    <w:rsid w:val="00083624"/>
    <w:rsid w:val="00083E8F"/>
    <w:rsid w:val="00085335"/>
    <w:rsid w:val="000860C5"/>
    <w:rsid w:val="000875F0"/>
    <w:rsid w:val="00087D1A"/>
    <w:rsid w:val="00090033"/>
    <w:rsid w:val="00090C94"/>
    <w:rsid w:val="00091A08"/>
    <w:rsid w:val="000925B3"/>
    <w:rsid w:val="00092A54"/>
    <w:rsid w:val="00092BD2"/>
    <w:rsid w:val="00092C07"/>
    <w:rsid w:val="00093AA0"/>
    <w:rsid w:val="000A07EB"/>
    <w:rsid w:val="000A09B9"/>
    <w:rsid w:val="000A70B1"/>
    <w:rsid w:val="000A7B19"/>
    <w:rsid w:val="000A7CCC"/>
    <w:rsid w:val="000B0728"/>
    <w:rsid w:val="000B0F11"/>
    <w:rsid w:val="000B2E32"/>
    <w:rsid w:val="000B3039"/>
    <w:rsid w:val="000B3094"/>
    <w:rsid w:val="000B55C6"/>
    <w:rsid w:val="000B7838"/>
    <w:rsid w:val="000C0F8B"/>
    <w:rsid w:val="000C27AD"/>
    <w:rsid w:val="000C75A1"/>
    <w:rsid w:val="000D019B"/>
    <w:rsid w:val="000D2BEA"/>
    <w:rsid w:val="000D452F"/>
    <w:rsid w:val="000D4DC1"/>
    <w:rsid w:val="000D5873"/>
    <w:rsid w:val="000F01C4"/>
    <w:rsid w:val="000F415A"/>
    <w:rsid w:val="000F45C3"/>
    <w:rsid w:val="000F629A"/>
    <w:rsid w:val="000F7102"/>
    <w:rsid w:val="00101B9F"/>
    <w:rsid w:val="00104748"/>
    <w:rsid w:val="00107753"/>
    <w:rsid w:val="00112FAC"/>
    <w:rsid w:val="00116610"/>
    <w:rsid w:val="00117453"/>
    <w:rsid w:val="00121877"/>
    <w:rsid w:val="001232B0"/>
    <w:rsid w:val="001236B9"/>
    <w:rsid w:val="001237F5"/>
    <w:rsid w:val="00123A09"/>
    <w:rsid w:val="00125141"/>
    <w:rsid w:val="001254E8"/>
    <w:rsid w:val="00125CF7"/>
    <w:rsid w:val="001265B0"/>
    <w:rsid w:val="00133C77"/>
    <w:rsid w:val="00136178"/>
    <w:rsid w:val="00136B40"/>
    <w:rsid w:val="00136D51"/>
    <w:rsid w:val="001439C9"/>
    <w:rsid w:val="00144E3D"/>
    <w:rsid w:val="00147012"/>
    <w:rsid w:val="00147D36"/>
    <w:rsid w:val="00151E85"/>
    <w:rsid w:val="001541C4"/>
    <w:rsid w:val="00155D30"/>
    <w:rsid w:val="00156D4E"/>
    <w:rsid w:val="0015738B"/>
    <w:rsid w:val="001576B3"/>
    <w:rsid w:val="00161DEC"/>
    <w:rsid w:val="00163304"/>
    <w:rsid w:val="00163D83"/>
    <w:rsid w:val="00165B72"/>
    <w:rsid w:val="00166B3E"/>
    <w:rsid w:val="00167C0F"/>
    <w:rsid w:val="00171F58"/>
    <w:rsid w:val="0017217D"/>
    <w:rsid w:val="001724F5"/>
    <w:rsid w:val="0017289B"/>
    <w:rsid w:val="00172B52"/>
    <w:rsid w:val="00172CB6"/>
    <w:rsid w:val="001732BB"/>
    <w:rsid w:val="00174C2B"/>
    <w:rsid w:val="00174C7A"/>
    <w:rsid w:val="0017529E"/>
    <w:rsid w:val="00176429"/>
    <w:rsid w:val="001813D8"/>
    <w:rsid w:val="00184FC0"/>
    <w:rsid w:val="00185640"/>
    <w:rsid w:val="00187B5D"/>
    <w:rsid w:val="0019099E"/>
    <w:rsid w:val="00192949"/>
    <w:rsid w:val="00192A29"/>
    <w:rsid w:val="0019366C"/>
    <w:rsid w:val="00193B97"/>
    <w:rsid w:val="00194ED4"/>
    <w:rsid w:val="00196669"/>
    <w:rsid w:val="001A2F0A"/>
    <w:rsid w:val="001A3807"/>
    <w:rsid w:val="001A42A0"/>
    <w:rsid w:val="001A440F"/>
    <w:rsid w:val="001A479F"/>
    <w:rsid w:val="001A6048"/>
    <w:rsid w:val="001A7C96"/>
    <w:rsid w:val="001B17B1"/>
    <w:rsid w:val="001B1F61"/>
    <w:rsid w:val="001B3B07"/>
    <w:rsid w:val="001B6394"/>
    <w:rsid w:val="001B64E0"/>
    <w:rsid w:val="001B674B"/>
    <w:rsid w:val="001C1E06"/>
    <w:rsid w:val="001C24D6"/>
    <w:rsid w:val="001C370E"/>
    <w:rsid w:val="001C3A4B"/>
    <w:rsid w:val="001C41A7"/>
    <w:rsid w:val="001C5E2F"/>
    <w:rsid w:val="001C6BA7"/>
    <w:rsid w:val="001C7A31"/>
    <w:rsid w:val="001D0343"/>
    <w:rsid w:val="001D2AC2"/>
    <w:rsid w:val="001E0E04"/>
    <w:rsid w:val="001E2833"/>
    <w:rsid w:val="001E2D17"/>
    <w:rsid w:val="001E5B75"/>
    <w:rsid w:val="001E77AB"/>
    <w:rsid w:val="001F13D2"/>
    <w:rsid w:val="001F30AD"/>
    <w:rsid w:val="001F4AD8"/>
    <w:rsid w:val="001F5691"/>
    <w:rsid w:val="001F7035"/>
    <w:rsid w:val="001F727B"/>
    <w:rsid w:val="002004E4"/>
    <w:rsid w:val="0020089A"/>
    <w:rsid w:val="00203D78"/>
    <w:rsid w:val="00205350"/>
    <w:rsid w:val="00205F5E"/>
    <w:rsid w:val="002064CC"/>
    <w:rsid w:val="002073AD"/>
    <w:rsid w:val="0021431C"/>
    <w:rsid w:val="00214979"/>
    <w:rsid w:val="00215B60"/>
    <w:rsid w:val="00215C64"/>
    <w:rsid w:val="002171FB"/>
    <w:rsid w:val="00222504"/>
    <w:rsid w:val="0022445E"/>
    <w:rsid w:val="00224A4F"/>
    <w:rsid w:val="002255AD"/>
    <w:rsid w:val="00225817"/>
    <w:rsid w:val="002262E9"/>
    <w:rsid w:val="00227673"/>
    <w:rsid w:val="002313D0"/>
    <w:rsid w:val="00231F6D"/>
    <w:rsid w:val="002341F0"/>
    <w:rsid w:val="0023462C"/>
    <w:rsid w:val="00234755"/>
    <w:rsid w:val="00237484"/>
    <w:rsid w:val="00240AB9"/>
    <w:rsid w:val="00241F29"/>
    <w:rsid w:val="00247389"/>
    <w:rsid w:val="0025418F"/>
    <w:rsid w:val="002544AC"/>
    <w:rsid w:val="00254DAF"/>
    <w:rsid w:val="00256B4D"/>
    <w:rsid w:val="00262553"/>
    <w:rsid w:val="002645E8"/>
    <w:rsid w:val="00264609"/>
    <w:rsid w:val="0026479E"/>
    <w:rsid w:val="00264E9F"/>
    <w:rsid w:val="002651FB"/>
    <w:rsid w:val="002663B8"/>
    <w:rsid w:val="00267C6A"/>
    <w:rsid w:val="00273489"/>
    <w:rsid w:val="002747FD"/>
    <w:rsid w:val="00274E98"/>
    <w:rsid w:val="002760AE"/>
    <w:rsid w:val="00277B27"/>
    <w:rsid w:val="0028192F"/>
    <w:rsid w:val="00281EFD"/>
    <w:rsid w:val="002822B9"/>
    <w:rsid w:val="00285AD3"/>
    <w:rsid w:val="002863B0"/>
    <w:rsid w:val="0028796A"/>
    <w:rsid w:val="00287D7A"/>
    <w:rsid w:val="00292189"/>
    <w:rsid w:val="002932A4"/>
    <w:rsid w:val="0029345B"/>
    <w:rsid w:val="00295043"/>
    <w:rsid w:val="00295308"/>
    <w:rsid w:val="002954E9"/>
    <w:rsid w:val="00295D16"/>
    <w:rsid w:val="00296660"/>
    <w:rsid w:val="0029761F"/>
    <w:rsid w:val="002A1F0B"/>
    <w:rsid w:val="002A2F2E"/>
    <w:rsid w:val="002A3DBB"/>
    <w:rsid w:val="002A6AC6"/>
    <w:rsid w:val="002A6CCB"/>
    <w:rsid w:val="002B3692"/>
    <w:rsid w:val="002B36ED"/>
    <w:rsid w:val="002B4C29"/>
    <w:rsid w:val="002B5574"/>
    <w:rsid w:val="002B5D77"/>
    <w:rsid w:val="002B60B1"/>
    <w:rsid w:val="002B625E"/>
    <w:rsid w:val="002C031B"/>
    <w:rsid w:val="002C2860"/>
    <w:rsid w:val="002C2932"/>
    <w:rsid w:val="002C2B2D"/>
    <w:rsid w:val="002C37BB"/>
    <w:rsid w:val="002C3CAE"/>
    <w:rsid w:val="002C49BD"/>
    <w:rsid w:val="002C559B"/>
    <w:rsid w:val="002C6627"/>
    <w:rsid w:val="002C7361"/>
    <w:rsid w:val="002C7922"/>
    <w:rsid w:val="002D2A1A"/>
    <w:rsid w:val="002D39F3"/>
    <w:rsid w:val="002D5D32"/>
    <w:rsid w:val="002D6694"/>
    <w:rsid w:val="002E40DF"/>
    <w:rsid w:val="002E46E0"/>
    <w:rsid w:val="002E62FF"/>
    <w:rsid w:val="002F0AF5"/>
    <w:rsid w:val="002F0B3A"/>
    <w:rsid w:val="002F1D94"/>
    <w:rsid w:val="002F4B84"/>
    <w:rsid w:val="002F5F05"/>
    <w:rsid w:val="00300D1B"/>
    <w:rsid w:val="00301022"/>
    <w:rsid w:val="003027A1"/>
    <w:rsid w:val="00303EBA"/>
    <w:rsid w:val="0030781D"/>
    <w:rsid w:val="003142FE"/>
    <w:rsid w:val="003148AD"/>
    <w:rsid w:val="00315240"/>
    <w:rsid w:val="00316C34"/>
    <w:rsid w:val="00317626"/>
    <w:rsid w:val="0032411D"/>
    <w:rsid w:val="003241CF"/>
    <w:rsid w:val="0032564E"/>
    <w:rsid w:val="0032680F"/>
    <w:rsid w:val="00326919"/>
    <w:rsid w:val="00326B6F"/>
    <w:rsid w:val="00326D09"/>
    <w:rsid w:val="00326E2D"/>
    <w:rsid w:val="00327DF0"/>
    <w:rsid w:val="00327F7C"/>
    <w:rsid w:val="003304EA"/>
    <w:rsid w:val="00331326"/>
    <w:rsid w:val="00332575"/>
    <w:rsid w:val="00333AA8"/>
    <w:rsid w:val="00333C14"/>
    <w:rsid w:val="0033618F"/>
    <w:rsid w:val="003370A6"/>
    <w:rsid w:val="00337E3A"/>
    <w:rsid w:val="0034040B"/>
    <w:rsid w:val="00343B44"/>
    <w:rsid w:val="00343CA6"/>
    <w:rsid w:val="003446BF"/>
    <w:rsid w:val="00345A8D"/>
    <w:rsid w:val="00346538"/>
    <w:rsid w:val="00352633"/>
    <w:rsid w:val="00353B6A"/>
    <w:rsid w:val="0035479A"/>
    <w:rsid w:val="0036018F"/>
    <w:rsid w:val="003611BE"/>
    <w:rsid w:val="00361427"/>
    <w:rsid w:val="00362D4C"/>
    <w:rsid w:val="00362D4E"/>
    <w:rsid w:val="00364C0D"/>
    <w:rsid w:val="0036577F"/>
    <w:rsid w:val="00365F5F"/>
    <w:rsid w:val="00366D82"/>
    <w:rsid w:val="003679EE"/>
    <w:rsid w:val="00371265"/>
    <w:rsid w:val="00372B8F"/>
    <w:rsid w:val="00373159"/>
    <w:rsid w:val="0037371E"/>
    <w:rsid w:val="00375A2C"/>
    <w:rsid w:val="003772A8"/>
    <w:rsid w:val="00377D76"/>
    <w:rsid w:val="00380AFB"/>
    <w:rsid w:val="003824F8"/>
    <w:rsid w:val="003825FF"/>
    <w:rsid w:val="003842E6"/>
    <w:rsid w:val="00390AF6"/>
    <w:rsid w:val="003914FB"/>
    <w:rsid w:val="00391959"/>
    <w:rsid w:val="003922F0"/>
    <w:rsid w:val="0039509F"/>
    <w:rsid w:val="00396645"/>
    <w:rsid w:val="003A019D"/>
    <w:rsid w:val="003A1A11"/>
    <w:rsid w:val="003A2833"/>
    <w:rsid w:val="003A3064"/>
    <w:rsid w:val="003A4F3B"/>
    <w:rsid w:val="003A544D"/>
    <w:rsid w:val="003A79C1"/>
    <w:rsid w:val="003A7B3B"/>
    <w:rsid w:val="003A7D5C"/>
    <w:rsid w:val="003B024A"/>
    <w:rsid w:val="003B2FE2"/>
    <w:rsid w:val="003B3031"/>
    <w:rsid w:val="003B5A92"/>
    <w:rsid w:val="003B5DC8"/>
    <w:rsid w:val="003B5FB3"/>
    <w:rsid w:val="003B6E8C"/>
    <w:rsid w:val="003C0BD7"/>
    <w:rsid w:val="003C10D0"/>
    <w:rsid w:val="003C41DF"/>
    <w:rsid w:val="003C4583"/>
    <w:rsid w:val="003C4DFE"/>
    <w:rsid w:val="003C56BA"/>
    <w:rsid w:val="003C6805"/>
    <w:rsid w:val="003C73A4"/>
    <w:rsid w:val="003D1851"/>
    <w:rsid w:val="003D34FE"/>
    <w:rsid w:val="003D388D"/>
    <w:rsid w:val="003D3B2D"/>
    <w:rsid w:val="003D3F8F"/>
    <w:rsid w:val="003D4F96"/>
    <w:rsid w:val="003D61A9"/>
    <w:rsid w:val="003D67AD"/>
    <w:rsid w:val="003E02AB"/>
    <w:rsid w:val="003E0ED6"/>
    <w:rsid w:val="003E49A7"/>
    <w:rsid w:val="003F05A4"/>
    <w:rsid w:val="003F109F"/>
    <w:rsid w:val="003F54A3"/>
    <w:rsid w:val="00401345"/>
    <w:rsid w:val="00401985"/>
    <w:rsid w:val="0040272D"/>
    <w:rsid w:val="004027C1"/>
    <w:rsid w:val="00402AE1"/>
    <w:rsid w:val="004034AB"/>
    <w:rsid w:val="00403EE0"/>
    <w:rsid w:val="00404810"/>
    <w:rsid w:val="00404BFB"/>
    <w:rsid w:val="004051AF"/>
    <w:rsid w:val="00405848"/>
    <w:rsid w:val="0041077B"/>
    <w:rsid w:val="00410B6A"/>
    <w:rsid w:val="004120B8"/>
    <w:rsid w:val="00413B3A"/>
    <w:rsid w:val="004140AB"/>
    <w:rsid w:val="004147D2"/>
    <w:rsid w:val="00416852"/>
    <w:rsid w:val="00417CAA"/>
    <w:rsid w:val="0042125E"/>
    <w:rsid w:val="00421B58"/>
    <w:rsid w:val="004237BC"/>
    <w:rsid w:val="00423893"/>
    <w:rsid w:val="004238C0"/>
    <w:rsid w:val="0042509B"/>
    <w:rsid w:val="00427BB4"/>
    <w:rsid w:val="0043148C"/>
    <w:rsid w:val="00434CBF"/>
    <w:rsid w:val="00436874"/>
    <w:rsid w:val="0043710F"/>
    <w:rsid w:val="004372BE"/>
    <w:rsid w:val="00440114"/>
    <w:rsid w:val="004405A5"/>
    <w:rsid w:val="0044070B"/>
    <w:rsid w:val="00441717"/>
    <w:rsid w:val="004426E2"/>
    <w:rsid w:val="00442AD5"/>
    <w:rsid w:val="00442C31"/>
    <w:rsid w:val="00443321"/>
    <w:rsid w:val="00445AFB"/>
    <w:rsid w:val="00447387"/>
    <w:rsid w:val="00447D49"/>
    <w:rsid w:val="0045296C"/>
    <w:rsid w:val="0045381B"/>
    <w:rsid w:val="0045431F"/>
    <w:rsid w:val="00454902"/>
    <w:rsid w:val="00455144"/>
    <w:rsid w:val="00455F69"/>
    <w:rsid w:val="00457753"/>
    <w:rsid w:val="00460AEB"/>
    <w:rsid w:val="00462DF1"/>
    <w:rsid w:val="0046612B"/>
    <w:rsid w:val="0046631A"/>
    <w:rsid w:val="00471516"/>
    <w:rsid w:val="00474203"/>
    <w:rsid w:val="004752A7"/>
    <w:rsid w:val="004754CE"/>
    <w:rsid w:val="004756A2"/>
    <w:rsid w:val="0047581A"/>
    <w:rsid w:val="00475CE9"/>
    <w:rsid w:val="00490742"/>
    <w:rsid w:val="00491703"/>
    <w:rsid w:val="004939FB"/>
    <w:rsid w:val="004951FC"/>
    <w:rsid w:val="00495ECD"/>
    <w:rsid w:val="00495F55"/>
    <w:rsid w:val="004A16AA"/>
    <w:rsid w:val="004A3017"/>
    <w:rsid w:val="004A397A"/>
    <w:rsid w:val="004B081E"/>
    <w:rsid w:val="004B18FA"/>
    <w:rsid w:val="004B2E46"/>
    <w:rsid w:val="004B3AC2"/>
    <w:rsid w:val="004B4811"/>
    <w:rsid w:val="004B7923"/>
    <w:rsid w:val="004C0897"/>
    <w:rsid w:val="004C29F3"/>
    <w:rsid w:val="004C3AE4"/>
    <w:rsid w:val="004C4C0B"/>
    <w:rsid w:val="004C4E72"/>
    <w:rsid w:val="004C708C"/>
    <w:rsid w:val="004D0ACA"/>
    <w:rsid w:val="004D1402"/>
    <w:rsid w:val="004D7285"/>
    <w:rsid w:val="004D72CA"/>
    <w:rsid w:val="004E0DBA"/>
    <w:rsid w:val="004E35F2"/>
    <w:rsid w:val="004E6E72"/>
    <w:rsid w:val="004F04DC"/>
    <w:rsid w:val="004F3B77"/>
    <w:rsid w:val="004F6330"/>
    <w:rsid w:val="00502B39"/>
    <w:rsid w:val="0050327A"/>
    <w:rsid w:val="00503CBF"/>
    <w:rsid w:val="005061EE"/>
    <w:rsid w:val="00506AAD"/>
    <w:rsid w:val="00507051"/>
    <w:rsid w:val="00510A99"/>
    <w:rsid w:val="00511D3E"/>
    <w:rsid w:val="005125DA"/>
    <w:rsid w:val="00512A49"/>
    <w:rsid w:val="005141E8"/>
    <w:rsid w:val="005154F3"/>
    <w:rsid w:val="005157DB"/>
    <w:rsid w:val="0051642F"/>
    <w:rsid w:val="0052012B"/>
    <w:rsid w:val="00522F4B"/>
    <w:rsid w:val="005245DA"/>
    <w:rsid w:val="00524A05"/>
    <w:rsid w:val="0052529F"/>
    <w:rsid w:val="00530BBC"/>
    <w:rsid w:val="00531359"/>
    <w:rsid w:val="005317A4"/>
    <w:rsid w:val="00535239"/>
    <w:rsid w:val="005417D0"/>
    <w:rsid w:val="00541A0F"/>
    <w:rsid w:val="00541C73"/>
    <w:rsid w:val="00541D6E"/>
    <w:rsid w:val="00542CEE"/>
    <w:rsid w:val="005430A2"/>
    <w:rsid w:val="00545E18"/>
    <w:rsid w:val="00554049"/>
    <w:rsid w:val="00556DBF"/>
    <w:rsid w:val="005577D7"/>
    <w:rsid w:val="00561351"/>
    <w:rsid w:val="005615B2"/>
    <w:rsid w:val="00563894"/>
    <w:rsid w:val="00564AD1"/>
    <w:rsid w:val="0056540C"/>
    <w:rsid w:val="005668AC"/>
    <w:rsid w:val="00566BB6"/>
    <w:rsid w:val="00570941"/>
    <w:rsid w:val="00570C64"/>
    <w:rsid w:val="00572AB1"/>
    <w:rsid w:val="00572DF6"/>
    <w:rsid w:val="00572E08"/>
    <w:rsid w:val="00573498"/>
    <w:rsid w:val="00573D2F"/>
    <w:rsid w:val="00573F98"/>
    <w:rsid w:val="00575AB0"/>
    <w:rsid w:val="00580588"/>
    <w:rsid w:val="005822E8"/>
    <w:rsid w:val="005826B9"/>
    <w:rsid w:val="00584816"/>
    <w:rsid w:val="005902C5"/>
    <w:rsid w:val="005914B5"/>
    <w:rsid w:val="0059382B"/>
    <w:rsid w:val="00594F07"/>
    <w:rsid w:val="005959BA"/>
    <w:rsid w:val="00596F97"/>
    <w:rsid w:val="005A0223"/>
    <w:rsid w:val="005A0CD8"/>
    <w:rsid w:val="005A19A0"/>
    <w:rsid w:val="005A1C3B"/>
    <w:rsid w:val="005A386C"/>
    <w:rsid w:val="005B19C6"/>
    <w:rsid w:val="005B33CF"/>
    <w:rsid w:val="005B3BC8"/>
    <w:rsid w:val="005B402B"/>
    <w:rsid w:val="005B5705"/>
    <w:rsid w:val="005B63D8"/>
    <w:rsid w:val="005C27A7"/>
    <w:rsid w:val="005C3135"/>
    <w:rsid w:val="005C58FC"/>
    <w:rsid w:val="005C7840"/>
    <w:rsid w:val="005C7AA0"/>
    <w:rsid w:val="005D02E8"/>
    <w:rsid w:val="005D3FAB"/>
    <w:rsid w:val="005D48C0"/>
    <w:rsid w:val="005D50C6"/>
    <w:rsid w:val="005D5A5C"/>
    <w:rsid w:val="005E2E3F"/>
    <w:rsid w:val="005E795D"/>
    <w:rsid w:val="005F0D35"/>
    <w:rsid w:val="005F0DDE"/>
    <w:rsid w:val="005F4C4D"/>
    <w:rsid w:val="0060281F"/>
    <w:rsid w:val="0060456B"/>
    <w:rsid w:val="006069F6"/>
    <w:rsid w:val="00611E1C"/>
    <w:rsid w:val="00617C64"/>
    <w:rsid w:val="006201CF"/>
    <w:rsid w:val="006205DC"/>
    <w:rsid w:val="0062216A"/>
    <w:rsid w:val="006225F1"/>
    <w:rsid w:val="0062511A"/>
    <w:rsid w:val="006261D8"/>
    <w:rsid w:val="006268B7"/>
    <w:rsid w:val="006276AE"/>
    <w:rsid w:val="0063067B"/>
    <w:rsid w:val="00630702"/>
    <w:rsid w:val="00634B43"/>
    <w:rsid w:val="006357EF"/>
    <w:rsid w:val="00637EEF"/>
    <w:rsid w:val="00640020"/>
    <w:rsid w:val="00640D99"/>
    <w:rsid w:val="00641012"/>
    <w:rsid w:val="00646872"/>
    <w:rsid w:val="00650F5B"/>
    <w:rsid w:val="0065226F"/>
    <w:rsid w:val="0065284B"/>
    <w:rsid w:val="0065418B"/>
    <w:rsid w:val="006566C6"/>
    <w:rsid w:val="00660269"/>
    <w:rsid w:val="00662417"/>
    <w:rsid w:val="00662ECF"/>
    <w:rsid w:val="006643FE"/>
    <w:rsid w:val="00666F93"/>
    <w:rsid w:val="00670FC0"/>
    <w:rsid w:val="006719C1"/>
    <w:rsid w:val="0067434F"/>
    <w:rsid w:val="00676E41"/>
    <w:rsid w:val="0068002B"/>
    <w:rsid w:val="0068102E"/>
    <w:rsid w:val="00681080"/>
    <w:rsid w:val="0068219E"/>
    <w:rsid w:val="0068242B"/>
    <w:rsid w:val="0068298E"/>
    <w:rsid w:val="00682CCB"/>
    <w:rsid w:val="006841A7"/>
    <w:rsid w:val="006842FB"/>
    <w:rsid w:val="00685E9C"/>
    <w:rsid w:val="00685F7C"/>
    <w:rsid w:val="006864D7"/>
    <w:rsid w:val="00686F72"/>
    <w:rsid w:val="00687036"/>
    <w:rsid w:val="00693E75"/>
    <w:rsid w:val="006956AF"/>
    <w:rsid w:val="00696F80"/>
    <w:rsid w:val="006A14FD"/>
    <w:rsid w:val="006A3DFD"/>
    <w:rsid w:val="006A5E11"/>
    <w:rsid w:val="006A6669"/>
    <w:rsid w:val="006B06F9"/>
    <w:rsid w:val="006B0DC9"/>
    <w:rsid w:val="006B21DC"/>
    <w:rsid w:val="006B2FCD"/>
    <w:rsid w:val="006B43E6"/>
    <w:rsid w:val="006B59CE"/>
    <w:rsid w:val="006B79DE"/>
    <w:rsid w:val="006C0A31"/>
    <w:rsid w:val="006C1F33"/>
    <w:rsid w:val="006C3BD9"/>
    <w:rsid w:val="006C4002"/>
    <w:rsid w:val="006C4794"/>
    <w:rsid w:val="006C6298"/>
    <w:rsid w:val="006C6379"/>
    <w:rsid w:val="006C6A45"/>
    <w:rsid w:val="006D01C2"/>
    <w:rsid w:val="006D62DA"/>
    <w:rsid w:val="006D71E9"/>
    <w:rsid w:val="006E1852"/>
    <w:rsid w:val="006E1FB7"/>
    <w:rsid w:val="006E333A"/>
    <w:rsid w:val="006E3BD8"/>
    <w:rsid w:val="006E3C0C"/>
    <w:rsid w:val="006E5287"/>
    <w:rsid w:val="006E5596"/>
    <w:rsid w:val="006E7CFF"/>
    <w:rsid w:val="006F0A08"/>
    <w:rsid w:val="006F2DBF"/>
    <w:rsid w:val="006F38EF"/>
    <w:rsid w:val="006F421E"/>
    <w:rsid w:val="006F4707"/>
    <w:rsid w:val="006F6272"/>
    <w:rsid w:val="00702760"/>
    <w:rsid w:val="00703856"/>
    <w:rsid w:val="00703EBF"/>
    <w:rsid w:val="007051F0"/>
    <w:rsid w:val="0071248B"/>
    <w:rsid w:val="00714CB4"/>
    <w:rsid w:val="007215D9"/>
    <w:rsid w:val="00721914"/>
    <w:rsid w:val="00724C90"/>
    <w:rsid w:val="00725C80"/>
    <w:rsid w:val="00725F1E"/>
    <w:rsid w:val="00730D47"/>
    <w:rsid w:val="007315CA"/>
    <w:rsid w:val="007325DF"/>
    <w:rsid w:val="00733CC3"/>
    <w:rsid w:val="0073496A"/>
    <w:rsid w:val="00736258"/>
    <w:rsid w:val="007374D7"/>
    <w:rsid w:val="007425DE"/>
    <w:rsid w:val="00742A01"/>
    <w:rsid w:val="007475B7"/>
    <w:rsid w:val="00752A87"/>
    <w:rsid w:val="00753269"/>
    <w:rsid w:val="007542DB"/>
    <w:rsid w:val="007556B8"/>
    <w:rsid w:val="007568F0"/>
    <w:rsid w:val="00756AAA"/>
    <w:rsid w:val="00757A6C"/>
    <w:rsid w:val="007658DC"/>
    <w:rsid w:val="00765CA2"/>
    <w:rsid w:val="00770921"/>
    <w:rsid w:val="00773002"/>
    <w:rsid w:val="007739A8"/>
    <w:rsid w:val="0077602F"/>
    <w:rsid w:val="00776309"/>
    <w:rsid w:val="00777EF9"/>
    <w:rsid w:val="00781783"/>
    <w:rsid w:val="00782BAA"/>
    <w:rsid w:val="00783F8E"/>
    <w:rsid w:val="00784164"/>
    <w:rsid w:val="00786CE7"/>
    <w:rsid w:val="00793453"/>
    <w:rsid w:val="00793A61"/>
    <w:rsid w:val="007948B2"/>
    <w:rsid w:val="00795D51"/>
    <w:rsid w:val="007968C0"/>
    <w:rsid w:val="00797613"/>
    <w:rsid w:val="007A0870"/>
    <w:rsid w:val="007A122D"/>
    <w:rsid w:val="007A17F2"/>
    <w:rsid w:val="007A3531"/>
    <w:rsid w:val="007A462F"/>
    <w:rsid w:val="007A4C48"/>
    <w:rsid w:val="007A580F"/>
    <w:rsid w:val="007A5CED"/>
    <w:rsid w:val="007A5DC2"/>
    <w:rsid w:val="007B0E36"/>
    <w:rsid w:val="007B1D57"/>
    <w:rsid w:val="007B65B7"/>
    <w:rsid w:val="007C11A7"/>
    <w:rsid w:val="007C1280"/>
    <w:rsid w:val="007C22B0"/>
    <w:rsid w:val="007C4563"/>
    <w:rsid w:val="007C46FA"/>
    <w:rsid w:val="007D1272"/>
    <w:rsid w:val="007D1870"/>
    <w:rsid w:val="007D23F1"/>
    <w:rsid w:val="007D3789"/>
    <w:rsid w:val="007D558E"/>
    <w:rsid w:val="007D5FDE"/>
    <w:rsid w:val="007D60E5"/>
    <w:rsid w:val="007D6D77"/>
    <w:rsid w:val="007D7B6B"/>
    <w:rsid w:val="007E5451"/>
    <w:rsid w:val="007F0AFC"/>
    <w:rsid w:val="007F1016"/>
    <w:rsid w:val="007F30C9"/>
    <w:rsid w:val="007F357D"/>
    <w:rsid w:val="007F38BE"/>
    <w:rsid w:val="007F7339"/>
    <w:rsid w:val="007F7803"/>
    <w:rsid w:val="008127D1"/>
    <w:rsid w:val="008134E3"/>
    <w:rsid w:val="00814358"/>
    <w:rsid w:val="008162F3"/>
    <w:rsid w:val="008178D2"/>
    <w:rsid w:val="00820A5B"/>
    <w:rsid w:val="00820F53"/>
    <w:rsid w:val="008253E0"/>
    <w:rsid w:val="00826588"/>
    <w:rsid w:val="00826BEC"/>
    <w:rsid w:val="00830220"/>
    <w:rsid w:val="008304DA"/>
    <w:rsid w:val="00830C94"/>
    <w:rsid w:val="008352F3"/>
    <w:rsid w:val="0083554E"/>
    <w:rsid w:val="00837041"/>
    <w:rsid w:val="008400FB"/>
    <w:rsid w:val="00840275"/>
    <w:rsid w:val="00841B29"/>
    <w:rsid w:val="008421DD"/>
    <w:rsid w:val="008435A0"/>
    <w:rsid w:val="00844E3A"/>
    <w:rsid w:val="0084718F"/>
    <w:rsid w:val="008473B9"/>
    <w:rsid w:val="00847667"/>
    <w:rsid w:val="00850854"/>
    <w:rsid w:val="00850F57"/>
    <w:rsid w:val="008526AD"/>
    <w:rsid w:val="008533F0"/>
    <w:rsid w:val="008556E8"/>
    <w:rsid w:val="00855991"/>
    <w:rsid w:val="00857E6B"/>
    <w:rsid w:val="00863851"/>
    <w:rsid w:val="00863CF9"/>
    <w:rsid w:val="008647A1"/>
    <w:rsid w:val="0087185C"/>
    <w:rsid w:val="00871B6C"/>
    <w:rsid w:val="008723A0"/>
    <w:rsid w:val="008733E0"/>
    <w:rsid w:val="00873ABC"/>
    <w:rsid w:val="008811BD"/>
    <w:rsid w:val="00881B80"/>
    <w:rsid w:val="00882B36"/>
    <w:rsid w:val="00883C3B"/>
    <w:rsid w:val="00884C92"/>
    <w:rsid w:val="008854EC"/>
    <w:rsid w:val="00891634"/>
    <w:rsid w:val="008928D9"/>
    <w:rsid w:val="00893932"/>
    <w:rsid w:val="008963C7"/>
    <w:rsid w:val="008A1D2C"/>
    <w:rsid w:val="008A2FAD"/>
    <w:rsid w:val="008A4213"/>
    <w:rsid w:val="008A4D56"/>
    <w:rsid w:val="008A5956"/>
    <w:rsid w:val="008A60C0"/>
    <w:rsid w:val="008A7269"/>
    <w:rsid w:val="008B1057"/>
    <w:rsid w:val="008B2531"/>
    <w:rsid w:val="008B4CA2"/>
    <w:rsid w:val="008B4F69"/>
    <w:rsid w:val="008C00C6"/>
    <w:rsid w:val="008C0F9B"/>
    <w:rsid w:val="008C4225"/>
    <w:rsid w:val="008C6BEC"/>
    <w:rsid w:val="008D0F2B"/>
    <w:rsid w:val="008D6025"/>
    <w:rsid w:val="008D6296"/>
    <w:rsid w:val="008E0F5B"/>
    <w:rsid w:val="008E1449"/>
    <w:rsid w:val="008E41B5"/>
    <w:rsid w:val="008E5CED"/>
    <w:rsid w:val="008E5E21"/>
    <w:rsid w:val="008E6AB4"/>
    <w:rsid w:val="008F1295"/>
    <w:rsid w:val="008F284F"/>
    <w:rsid w:val="008F52D7"/>
    <w:rsid w:val="008F68E7"/>
    <w:rsid w:val="008F759A"/>
    <w:rsid w:val="008F79EB"/>
    <w:rsid w:val="008F7A47"/>
    <w:rsid w:val="008F7C85"/>
    <w:rsid w:val="00903AB2"/>
    <w:rsid w:val="009043A1"/>
    <w:rsid w:val="00906293"/>
    <w:rsid w:val="00911B07"/>
    <w:rsid w:val="0091272E"/>
    <w:rsid w:val="009136B9"/>
    <w:rsid w:val="0091588E"/>
    <w:rsid w:val="00916171"/>
    <w:rsid w:val="00920B9C"/>
    <w:rsid w:val="0092173C"/>
    <w:rsid w:val="00922E98"/>
    <w:rsid w:val="0092408F"/>
    <w:rsid w:val="00925F7F"/>
    <w:rsid w:val="00930268"/>
    <w:rsid w:val="00931156"/>
    <w:rsid w:val="009314C4"/>
    <w:rsid w:val="00934264"/>
    <w:rsid w:val="00934C39"/>
    <w:rsid w:val="00943184"/>
    <w:rsid w:val="00946601"/>
    <w:rsid w:val="00946A38"/>
    <w:rsid w:val="00946C93"/>
    <w:rsid w:val="00950ACB"/>
    <w:rsid w:val="009523A5"/>
    <w:rsid w:val="00954D47"/>
    <w:rsid w:val="00954F84"/>
    <w:rsid w:val="0095773D"/>
    <w:rsid w:val="00957E44"/>
    <w:rsid w:val="00957FC7"/>
    <w:rsid w:val="009608F4"/>
    <w:rsid w:val="00961041"/>
    <w:rsid w:val="00966495"/>
    <w:rsid w:val="0096688B"/>
    <w:rsid w:val="00967212"/>
    <w:rsid w:val="00967AB5"/>
    <w:rsid w:val="009701C7"/>
    <w:rsid w:val="009709A2"/>
    <w:rsid w:val="0097353A"/>
    <w:rsid w:val="00973CA3"/>
    <w:rsid w:val="009750CD"/>
    <w:rsid w:val="009764F9"/>
    <w:rsid w:val="009804FF"/>
    <w:rsid w:val="00980E69"/>
    <w:rsid w:val="0098212C"/>
    <w:rsid w:val="0098252C"/>
    <w:rsid w:val="00983469"/>
    <w:rsid w:val="00984694"/>
    <w:rsid w:val="009851EE"/>
    <w:rsid w:val="0098639A"/>
    <w:rsid w:val="009863FC"/>
    <w:rsid w:val="009905B1"/>
    <w:rsid w:val="009908E8"/>
    <w:rsid w:val="00990CF9"/>
    <w:rsid w:val="009923D3"/>
    <w:rsid w:val="00992BF3"/>
    <w:rsid w:val="00992EC7"/>
    <w:rsid w:val="009A110F"/>
    <w:rsid w:val="009A19BE"/>
    <w:rsid w:val="009A4C99"/>
    <w:rsid w:val="009A5423"/>
    <w:rsid w:val="009A6BA6"/>
    <w:rsid w:val="009A783C"/>
    <w:rsid w:val="009A7D20"/>
    <w:rsid w:val="009A7E5A"/>
    <w:rsid w:val="009B1E17"/>
    <w:rsid w:val="009B718A"/>
    <w:rsid w:val="009B738B"/>
    <w:rsid w:val="009B7549"/>
    <w:rsid w:val="009B7F58"/>
    <w:rsid w:val="009C1E16"/>
    <w:rsid w:val="009C34D8"/>
    <w:rsid w:val="009C5E58"/>
    <w:rsid w:val="009C6740"/>
    <w:rsid w:val="009C739A"/>
    <w:rsid w:val="009C7454"/>
    <w:rsid w:val="009D1181"/>
    <w:rsid w:val="009D2BA5"/>
    <w:rsid w:val="009D356B"/>
    <w:rsid w:val="009D4382"/>
    <w:rsid w:val="009D45AD"/>
    <w:rsid w:val="009D74B5"/>
    <w:rsid w:val="009E21FD"/>
    <w:rsid w:val="009E29E8"/>
    <w:rsid w:val="009E4339"/>
    <w:rsid w:val="009E4C4A"/>
    <w:rsid w:val="009E4F86"/>
    <w:rsid w:val="009E5ECE"/>
    <w:rsid w:val="009E69DA"/>
    <w:rsid w:val="009E6EB1"/>
    <w:rsid w:val="009F110E"/>
    <w:rsid w:val="009F1F51"/>
    <w:rsid w:val="009F2622"/>
    <w:rsid w:val="009F56D4"/>
    <w:rsid w:val="00A008E6"/>
    <w:rsid w:val="00A01C3D"/>
    <w:rsid w:val="00A0217F"/>
    <w:rsid w:val="00A0259D"/>
    <w:rsid w:val="00A02829"/>
    <w:rsid w:val="00A0658E"/>
    <w:rsid w:val="00A102A6"/>
    <w:rsid w:val="00A1191B"/>
    <w:rsid w:val="00A121ED"/>
    <w:rsid w:val="00A12315"/>
    <w:rsid w:val="00A13FF6"/>
    <w:rsid w:val="00A1586C"/>
    <w:rsid w:val="00A1772A"/>
    <w:rsid w:val="00A20979"/>
    <w:rsid w:val="00A24AD2"/>
    <w:rsid w:val="00A25ADB"/>
    <w:rsid w:val="00A30A4B"/>
    <w:rsid w:val="00A31123"/>
    <w:rsid w:val="00A31ABB"/>
    <w:rsid w:val="00A327D0"/>
    <w:rsid w:val="00A32810"/>
    <w:rsid w:val="00A3345D"/>
    <w:rsid w:val="00A33D04"/>
    <w:rsid w:val="00A358B0"/>
    <w:rsid w:val="00A40321"/>
    <w:rsid w:val="00A40387"/>
    <w:rsid w:val="00A40F48"/>
    <w:rsid w:val="00A41E53"/>
    <w:rsid w:val="00A47C6C"/>
    <w:rsid w:val="00A51CCB"/>
    <w:rsid w:val="00A522FC"/>
    <w:rsid w:val="00A56129"/>
    <w:rsid w:val="00A57ED7"/>
    <w:rsid w:val="00A6057E"/>
    <w:rsid w:val="00A61002"/>
    <w:rsid w:val="00A61265"/>
    <w:rsid w:val="00A62424"/>
    <w:rsid w:val="00A629BA"/>
    <w:rsid w:val="00A63424"/>
    <w:rsid w:val="00A63C44"/>
    <w:rsid w:val="00A659FC"/>
    <w:rsid w:val="00A67BD5"/>
    <w:rsid w:val="00A738EF"/>
    <w:rsid w:val="00A73CAA"/>
    <w:rsid w:val="00A7417B"/>
    <w:rsid w:val="00A74240"/>
    <w:rsid w:val="00A74542"/>
    <w:rsid w:val="00A7495C"/>
    <w:rsid w:val="00A76B56"/>
    <w:rsid w:val="00A810A7"/>
    <w:rsid w:val="00A8172D"/>
    <w:rsid w:val="00A81D52"/>
    <w:rsid w:val="00A82C7E"/>
    <w:rsid w:val="00A86A60"/>
    <w:rsid w:val="00A87C31"/>
    <w:rsid w:val="00A87FA4"/>
    <w:rsid w:val="00A92EBF"/>
    <w:rsid w:val="00A97889"/>
    <w:rsid w:val="00AA036A"/>
    <w:rsid w:val="00AA29D4"/>
    <w:rsid w:val="00AA2DD2"/>
    <w:rsid w:val="00AA448C"/>
    <w:rsid w:val="00AA4D92"/>
    <w:rsid w:val="00AA56A1"/>
    <w:rsid w:val="00AA59BA"/>
    <w:rsid w:val="00AB0C28"/>
    <w:rsid w:val="00AB0D2D"/>
    <w:rsid w:val="00AB169A"/>
    <w:rsid w:val="00AB1A5C"/>
    <w:rsid w:val="00AB32AF"/>
    <w:rsid w:val="00AB450F"/>
    <w:rsid w:val="00AB4DC1"/>
    <w:rsid w:val="00AB54AB"/>
    <w:rsid w:val="00AB6A3D"/>
    <w:rsid w:val="00AC3B50"/>
    <w:rsid w:val="00AC4B16"/>
    <w:rsid w:val="00AC4E34"/>
    <w:rsid w:val="00AC531C"/>
    <w:rsid w:val="00AC5339"/>
    <w:rsid w:val="00AC546B"/>
    <w:rsid w:val="00AC6717"/>
    <w:rsid w:val="00AC6D18"/>
    <w:rsid w:val="00AC712B"/>
    <w:rsid w:val="00AD105B"/>
    <w:rsid w:val="00AD1F02"/>
    <w:rsid w:val="00AD2CB3"/>
    <w:rsid w:val="00AD387F"/>
    <w:rsid w:val="00AD3DC7"/>
    <w:rsid w:val="00AD4066"/>
    <w:rsid w:val="00AD62C8"/>
    <w:rsid w:val="00AE1B01"/>
    <w:rsid w:val="00AE2E27"/>
    <w:rsid w:val="00AE5853"/>
    <w:rsid w:val="00AE6382"/>
    <w:rsid w:val="00AE77BC"/>
    <w:rsid w:val="00AF237F"/>
    <w:rsid w:val="00AF3CC2"/>
    <w:rsid w:val="00AF5456"/>
    <w:rsid w:val="00AF7571"/>
    <w:rsid w:val="00AF7D23"/>
    <w:rsid w:val="00B00D42"/>
    <w:rsid w:val="00B014CD"/>
    <w:rsid w:val="00B02F0A"/>
    <w:rsid w:val="00B03E7F"/>
    <w:rsid w:val="00B03FEE"/>
    <w:rsid w:val="00B05CAD"/>
    <w:rsid w:val="00B06D18"/>
    <w:rsid w:val="00B11393"/>
    <w:rsid w:val="00B11B09"/>
    <w:rsid w:val="00B12164"/>
    <w:rsid w:val="00B13CA8"/>
    <w:rsid w:val="00B13CC0"/>
    <w:rsid w:val="00B16C6A"/>
    <w:rsid w:val="00B16CD0"/>
    <w:rsid w:val="00B17572"/>
    <w:rsid w:val="00B2123D"/>
    <w:rsid w:val="00B26027"/>
    <w:rsid w:val="00B266E7"/>
    <w:rsid w:val="00B272CA"/>
    <w:rsid w:val="00B3263E"/>
    <w:rsid w:val="00B32DC1"/>
    <w:rsid w:val="00B33804"/>
    <w:rsid w:val="00B33D57"/>
    <w:rsid w:val="00B33DF5"/>
    <w:rsid w:val="00B341AF"/>
    <w:rsid w:val="00B36E43"/>
    <w:rsid w:val="00B42BB6"/>
    <w:rsid w:val="00B45740"/>
    <w:rsid w:val="00B46B52"/>
    <w:rsid w:val="00B47BB6"/>
    <w:rsid w:val="00B51C98"/>
    <w:rsid w:val="00B52C1F"/>
    <w:rsid w:val="00B53DDE"/>
    <w:rsid w:val="00B54116"/>
    <w:rsid w:val="00B6205C"/>
    <w:rsid w:val="00B62745"/>
    <w:rsid w:val="00B6350F"/>
    <w:rsid w:val="00B652B8"/>
    <w:rsid w:val="00B65D26"/>
    <w:rsid w:val="00B668C9"/>
    <w:rsid w:val="00B67E13"/>
    <w:rsid w:val="00B72D67"/>
    <w:rsid w:val="00B73E5F"/>
    <w:rsid w:val="00B73EA9"/>
    <w:rsid w:val="00B753DD"/>
    <w:rsid w:val="00B7692A"/>
    <w:rsid w:val="00B77F7D"/>
    <w:rsid w:val="00B811B9"/>
    <w:rsid w:val="00B815C5"/>
    <w:rsid w:val="00B83890"/>
    <w:rsid w:val="00B848B4"/>
    <w:rsid w:val="00B84A0D"/>
    <w:rsid w:val="00B85613"/>
    <w:rsid w:val="00B85A69"/>
    <w:rsid w:val="00B85D8B"/>
    <w:rsid w:val="00B90120"/>
    <w:rsid w:val="00B912D7"/>
    <w:rsid w:val="00B932CB"/>
    <w:rsid w:val="00B93BB3"/>
    <w:rsid w:val="00B946C0"/>
    <w:rsid w:val="00B965D9"/>
    <w:rsid w:val="00B968B4"/>
    <w:rsid w:val="00B975C5"/>
    <w:rsid w:val="00BA13E6"/>
    <w:rsid w:val="00BA284B"/>
    <w:rsid w:val="00BA2DB0"/>
    <w:rsid w:val="00BA3EAD"/>
    <w:rsid w:val="00BA6217"/>
    <w:rsid w:val="00BA650F"/>
    <w:rsid w:val="00BA73DE"/>
    <w:rsid w:val="00BB276A"/>
    <w:rsid w:val="00BB2850"/>
    <w:rsid w:val="00BB32F9"/>
    <w:rsid w:val="00BB3E30"/>
    <w:rsid w:val="00BB6020"/>
    <w:rsid w:val="00BB7185"/>
    <w:rsid w:val="00BC0C74"/>
    <w:rsid w:val="00BC291B"/>
    <w:rsid w:val="00BC2F0E"/>
    <w:rsid w:val="00BC5737"/>
    <w:rsid w:val="00BC6BFE"/>
    <w:rsid w:val="00BC7983"/>
    <w:rsid w:val="00BC7A3B"/>
    <w:rsid w:val="00BD043B"/>
    <w:rsid w:val="00BD08B8"/>
    <w:rsid w:val="00BD0E68"/>
    <w:rsid w:val="00BD72FE"/>
    <w:rsid w:val="00BD748C"/>
    <w:rsid w:val="00BD7FA5"/>
    <w:rsid w:val="00BE19CF"/>
    <w:rsid w:val="00BE1D05"/>
    <w:rsid w:val="00BE49B9"/>
    <w:rsid w:val="00BE4DC5"/>
    <w:rsid w:val="00BE511A"/>
    <w:rsid w:val="00BE59C4"/>
    <w:rsid w:val="00BE6AC4"/>
    <w:rsid w:val="00BE6C3D"/>
    <w:rsid w:val="00BE7A8C"/>
    <w:rsid w:val="00BE7CAA"/>
    <w:rsid w:val="00BF0BC4"/>
    <w:rsid w:val="00BF6C4E"/>
    <w:rsid w:val="00C00E3F"/>
    <w:rsid w:val="00C011C2"/>
    <w:rsid w:val="00C04516"/>
    <w:rsid w:val="00C071ED"/>
    <w:rsid w:val="00C07FDC"/>
    <w:rsid w:val="00C10653"/>
    <w:rsid w:val="00C10AA3"/>
    <w:rsid w:val="00C11DC1"/>
    <w:rsid w:val="00C14A0E"/>
    <w:rsid w:val="00C14E23"/>
    <w:rsid w:val="00C152AC"/>
    <w:rsid w:val="00C172BD"/>
    <w:rsid w:val="00C20037"/>
    <w:rsid w:val="00C20724"/>
    <w:rsid w:val="00C21B4F"/>
    <w:rsid w:val="00C223B0"/>
    <w:rsid w:val="00C23355"/>
    <w:rsid w:val="00C2341A"/>
    <w:rsid w:val="00C25D50"/>
    <w:rsid w:val="00C272DA"/>
    <w:rsid w:val="00C274DB"/>
    <w:rsid w:val="00C35B66"/>
    <w:rsid w:val="00C40089"/>
    <w:rsid w:val="00C41577"/>
    <w:rsid w:val="00C42BFC"/>
    <w:rsid w:val="00C43D21"/>
    <w:rsid w:val="00C44454"/>
    <w:rsid w:val="00C44A5A"/>
    <w:rsid w:val="00C46B7B"/>
    <w:rsid w:val="00C472A6"/>
    <w:rsid w:val="00C50418"/>
    <w:rsid w:val="00C504BA"/>
    <w:rsid w:val="00C5050B"/>
    <w:rsid w:val="00C50A8B"/>
    <w:rsid w:val="00C54428"/>
    <w:rsid w:val="00C54A39"/>
    <w:rsid w:val="00C54BE9"/>
    <w:rsid w:val="00C60FFC"/>
    <w:rsid w:val="00C617FB"/>
    <w:rsid w:val="00C6290D"/>
    <w:rsid w:val="00C63858"/>
    <w:rsid w:val="00C66EF5"/>
    <w:rsid w:val="00C67F97"/>
    <w:rsid w:val="00C71045"/>
    <w:rsid w:val="00C729AC"/>
    <w:rsid w:val="00C74956"/>
    <w:rsid w:val="00C756E2"/>
    <w:rsid w:val="00C75886"/>
    <w:rsid w:val="00C76730"/>
    <w:rsid w:val="00C76F42"/>
    <w:rsid w:val="00C7751A"/>
    <w:rsid w:val="00C833A6"/>
    <w:rsid w:val="00C85CBE"/>
    <w:rsid w:val="00C865FC"/>
    <w:rsid w:val="00C90299"/>
    <w:rsid w:val="00C91451"/>
    <w:rsid w:val="00C93CE6"/>
    <w:rsid w:val="00C96313"/>
    <w:rsid w:val="00C964C2"/>
    <w:rsid w:val="00C97979"/>
    <w:rsid w:val="00CA11C9"/>
    <w:rsid w:val="00CA1847"/>
    <w:rsid w:val="00CA2202"/>
    <w:rsid w:val="00CA3309"/>
    <w:rsid w:val="00CA4180"/>
    <w:rsid w:val="00CA57DF"/>
    <w:rsid w:val="00CA73E1"/>
    <w:rsid w:val="00CA7C3B"/>
    <w:rsid w:val="00CB0930"/>
    <w:rsid w:val="00CB0940"/>
    <w:rsid w:val="00CB1720"/>
    <w:rsid w:val="00CB31F4"/>
    <w:rsid w:val="00CB43D6"/>
    <w:rsid w:val="00CB44C7"/>
    <w:rsid w:val="00CB5B85"/>
    <w:rsid w:val="00CB72F5"/>
    <w:rsid w:val="00CC4805"/>
    <w:rsid w:val="00CC5F02"/>
    <w:rsid w:val="00CC76DD"/>
    <w:rsid w:val="00CD2863"/>
    <w:rsid w:val="00CD4303"/>
    <w:rsid w:val="00CD4F56"/>
    <w:rsid w:val="00CD6433"/>
    <w:rsid w:val="00CD7499"/>
    <w:rsid w:val="00CE0693"/>
    <w:rsid w:val="00CE0D66"/>
    <w:rsid w:val="00CE2FAC"/>
    <w:rsid w:val="00CE310A"/>
    <w:rsid w:val="00CE425B"/>
    <w:rsid w:val="00CE5C6B"/>
    <w:rsid w:val="00CF3AC7"/>
    <w:rsid w:val="00CF5250"/>
    <w:rsid w:val="00CF6902"/>
    <w:rsid w:val="00CF790F"/>
    <w:rsid w:val="00CF79A4"/>
    <w:rsid w:val="00D00483"/>
    <w:rsid w:val="00D009A3"/>
    <w:rsid w:val="00D037AA"/>
    <w:rsid w:val="00D079DB"/>
    <w:rsid w:val="00D135C3"/>
    <w:rsid w:val="00D13CC9"/>
    <w:rsid w:val="00D13DDD"/>
    <w:rsid w:val="00D141AA"/>
    <w:rsid w:val="00D17FF9"/>
    <w:rsid w:val="00D205D4"/>
    <w:rsid w:val="00D20FE0"/>
    <w:rsid w:val="00D22383"/>
    <w:rsid w:val="00D223EC"/>
    <w:rsid w:val="00D23668"/>
    <w:rsid w:val="00D25429"/>
    <w:rsid w:val="00D26EA2"/>
    <w:rsid w:val="00D33378"/>
    <w:rsid w:val="00D338CD"/>
    <w:rsid w:val="00D339A3"/>
    <w:rsid w:val="00D34383"/>
    <w:rsid w:val="00D375E8"/>
    <w:rsid w:val="00D412E7"/>
    <w:rsid w:val="00D42112"/>
    <w:rsid w:val="00D46A2C"/>
    <w:rsid w:val="00D52AF2"/>
    <w:rsid w:val="00D53126"/>
    <w:rsid w:val="00D540B3"/>
    <w:rsid w:val="00D547C4"/>
    <w:rsid w:val="00D54D4A"/>
    <w:rsid w:val="00D57C25"/>
    <w:rsid w:val="00D60B7E"/>
    <w:rsid w:val="00D61B7E"/>
    <w:rsid w:val="00D63151"/>
    <w:rsid w:val="00D64382"/>
    <w:rsid w:val="00D70384"/>
    <w:rsid w:val="00D70830"/>
    <w:rsid w:val="00D70D49"/>
    <w:rsid w:val="00D73038"/>
    <w:rsid w:val="00D76888"/>
    <w:rsid w:val="00D77CCF"/>
    <w:rsid w:val="00D8115D"/>
    <w:rsid w:val="00D81FA5"/>
    <w:rsid w:val="00D83DFD"/>
    <w:rsid w:val="00D84138"/>
    <w:rsid w:val="00D84809"/>
    <w:rsid w:val="00D8564C"/>
    <w:rsid w:val="00D93B13"/>
    <w:rsid w:val="00D96C7A"/>
    <w:rsid w:val="00D97596"/>
    <w:rsid w:val="00DA27EB"/>
    <w:rsid w:val="00DA29BA"/>
    <w:rsid w:val="00DA62AA"/>
    <w:rsid w:val="00DA691F"/>
    <w:rsid w:val="00DA7953"/>
    <w:rsid w:val="00DA7E3E"/>
    <w:rsid w:val="00DB26E1"/>
    <w:rsid w:val="00DB6593"/>
    <w:rsid w:val="00DB7E6B"/>
    <w:rsid w:val="00DC5D87"/>
    <w:rsid w:val="00DC7A5E"/>
    <w:rsid w:val="00DD40DF"/>
    <w:rsid w:val="00DD4252"/>
    <w:rsid w:val="00DD57EA"/>
    <w:rsid w:val="00DD6223"/>
    <w:rsid w:val="00DE0947"/>
    <w:rsid w:val="00DE1AF3"/>
    <w:rsid w:val="00DE1D5A"/>
    <w:rsid w:val="00DE3A8B"/>
    <w:rsid w:val="00DE5F8D"/>
    <w:rsid w:val="00DF09F0"/>
    <w:rsid w:val="00DF1AF8"/>
    <w:rsid w:val="00DF2891"/>
    <w:rsid w:val="00DF36A0"/>
    <w:rsid w:val="00DF4A88"/>
    <w:rsid w:val="00DF61C5"/>
    <w:rsid w:val="00DF7C2A"/>
    <w:rsid w:val="00DF7DCD"/>
    <w:rsid w:val="00E00061"/>
    <w:rsid w:val="00E01D6D"/>
    <w:rsid w:val="00E0590D"/>
    <w:rsid w:val="00E1024B"/>
    <w:rsid w:val="00E11339"/>
    <w:rsid w:val="00E1168D"/>
    <w:rsid w:val="00E12FB2"/>
    <w:rsid w:val="00E1340A"/>
    <w:rsid w:val="00E15880"/>
    <w:rsid w:val="00E202D0"/>
    <w:rsid w:val="00E272DF"/>
    <w:rsid w:val="00E31656"/>
    <w:rsid w:val="00E33B28"/>
    <w:rsid w:val="00E343D0"/>
    <w:rsid w:val="00E35047"/>
    <w:rsid w:val="00E41B15"/>
    <w:rsid w:val="00E42CDC"/>
    <w:rsid w:val="00E45029"/>
    <w:rsid w:val="00E4564B"/>
    <w:rsid w:val="00E52BAF"/>
    <w:rsid w:val="00E54ABA"/>
    <w:rsid w:val="00E60972"/>
    <w:rsid w:val="00E61A90"/>
    <w:rsid w:val="00E673A6"/>
    <w:rsid w:val="00E70F49"/>
    <w:rsid w:val="00E715DA"/>
    <w:rsid w:val="00E717A5"/>
    <w:rsid w:val="00E73709"/>
    <w:rsid w:val="00E74FA0"/>
    <w:rsid w:val="00E75C03"/>
    <w:rsid w:val="00E8183E"/>
    <w:rsid w:val="00E81CC8"/>
    <w:rsid w:val="00E82A09"/>
    <w:rsid w:val="00E834DF"/>
    <w:rsid w:val="00E83D9F"/>
    <w:rsid w:val="00E8568B"/>
    <w:rsid w:val="00E87C1D"/>
    <w:rsid w:val="00E87E0E"/>
    <w:rsid w:val="00E90CFE"/>
    <w:rsid w:val="00E921C8"/>
    <w:rsid w:val="00E926E0"/>
    <w:rsid w:val="00E95171"/>
    <w:rsid w:val="00E956EF"/>
    <w:rsid w:val="00E962EC"/>
    <w:rsid w:val="00E9655E"/>
    <w:rsid w:val="00EA024D"/>
    <w:rsid w:val="00EA17EC"/>
    <w:rsid w:val="00EA7537"/>
    <w:rsid w:val="00EB038A"/>
    <w:rsid w:val="00EB43C1"/>
    <w:rsid w:val="00EC0C51"/>
    <w:rsid w:val="00EC2379"/>
    <w:rsid w:val="00EC49FC"/>
    <w:rsid w:val="00EC7864"/>
    <w:rsid w:val="00EC797B"/>
    <w:rsid w:val="00ED5A05"/>
    <w:rsid w:val="00ED74FE"/>
    <w:rsid w:val="00ED79C6"/>
    <w:rsid w:val="00EE40D9"/>
    <w:rsid w:val="00EE4240"/>
    <w:rsid w:val="00EE5458"/>
    <w:rsid w:val="00EF0440"/>
    <w:rsid w:val="00EF050A"/>
    <w:rsid w:val="00EF44DD"/>
    <w:rsid w:val="00EF599F"/>
    <w:rsid w:val="00EF7FA7"/>
    <w:rsid w:val="00F02F1F"/>
    <w:rsid w:val="00F0472C"/>
    <w:rsid w:val="00F04C4A"/>
    <w:rsid w:val="00F04C59"/>
    <w:rsid w:val="00F053D9"/>
    <w:rsid w:val="00F05400"/>
    <w:rsid w:val="00F06326"/>
    <w:rsid w:val="00F06EEA"/>
    <w:rsid w:val="00F0704F"/>
    <w:rsid w:val="00F10753"/>
    <w:rsid w:val="00F1099E"/>
    <w:rsid w:val="00F1281A"/>
    <w:rsid w:val="00F156BC"/>
    <w:rsid w:val="00F1596A"/>
    <w:rsid w:val="00F1604C"/>
    <w:rsid w:val="00F1791F"/>
    <w:rsid w:val="00F20AEA"/>
    <w:rsid w:val="00F20C2C"/>
    <w:rsid w:val="00F20C9F"/>
    <w:rsid w:val="00F214F6"/>
    <w:rsid w:val="00F233D5"/>
    <w:rsid w:val="00F23FC4"/>
    <w:rsid w:val="00F2485E"/>
    <w:rsid w:val="00F27E67"/>
    <w:rsid w:val="00F30327"/>
    <w:rsid w:val="00F30FBC"/>
    <w:rsid w:val="00F32D14"/>
    <w:rsid w:val="00F332E9"/>
    <w:rsid w:val="00F35DA3"/>
    <w:rsid w:val="00F375ED"/>
    <w:rsid w:val="00F41249"/>
    <w:rsid w:val="00F42D81"/>
    <w:rsid w:val="00F436E7"/>
    <w:rsid w:val="00F44668"/>
    <w:rsid w:val="00F44C28"/>
    <w:rsid w:val="00F516DF"/>
    <w:rsid w:val="00F518FB"/>
    <w:rsid w:val="00F536B4"/>
    <w:rsid w:val="00F54360"/>
    <w:rsid w:val="00F54994"/>
    <w:rsid w:val="00F553CD"/>
    <w:rsid w:val="00F57B49"/>
    <w:rsid w:val="00F61433"/>
    <w:rsid w:val="00F61BCC"/>
    <w:rsid w:val="00F61D38"/>
    <w:rsid w:val="00F66635"/>
    <w:rsid w:val="00F7037F"/>
    <w:rsid w:val="00F723C8"/>
    <w:rsid w:val="00F73689"/>
    <w:rsid w:val="00F76780"/>
    <w:rsid w:val="00F77001"/>
    <w:rsid w:val="00F80E19"/>
    <w:rsid w:val="00F81677"/>
    <w:rsid w:val="00F83E42"/>
    <w:rsid w:val="00F8407C"/>
    <w:rsid w:val="00F87302"/>
    <w:rsid w:val="00F874E2"/>
    <w:rsid w:val="00F975DC"/>
    <w:rsid w:val="00F97E61"/>
    <w:rsid w:val="00FA2E4A"/>
    <w:rsid w:val="00FA38C2"/>
    <w:rsid w:val="00FA44AD"/>
    <w:rsid w:val="00FA5146"/>
    <w:rsid w:val="00FB04DB"/>
    <w:rsid w:val="00FB12A2"/>
    <w:rsid w:val="00FB1F02"/>
    <w:rsid w:val="00FB4326"/>
    <w:rsid w:val="00FB79E0"/>
    <w:rsid w:val="00FC01D0"/>
    <w:rsid w:val="00FC1969"/>
    <w:rsid w:val="00FC1D96"/>
    <w:rsid w:val="00FC3283"/>
    <w:rsid w:val="00FC3C15"/>
    <w:rsid w:val="00FC42E4"/>
    <w:rsid w:val="00FC47C6"/>
    <w:rsid w:val="00FC4835"/>
    <w:rsid w:val="00FC78CF"/>
    <w:rsid w:val="00FC7F33"/>
    <w:rsid w:val="00FD2B47"/>
    <w:rsid w:val="00FD2DF7"/>
    <w:rsid w:val="00FD3414"/>
    <w:rsid w:val="00FD37C2"/>
    <w:rsid w:val="00FD3DE5"/>
    <w:rsid w:val="00FD4C33"/>
    <w:rsid w:val="00FD5938"/>
    <w:rsid w:val="00FE24C2"/>
    <w:rsid w:val="00FE4073"/>
    <w:rsid w:val="00FE5C30"/>
    <w:rsid w:val="00FE6098"/>
    <w:rsid w:val="00FF07C3"/>
    <w:rsid w:val="00FF20BF"/>
    <w:rsid w:val="00FF3E36"/>
    <w:rsid w:val="00FF4E86"/>
    <w:rsid w:val="00FF5FB4"/>
    <w:rsid w:val="00FF6C6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290D716"/>
  <w15:chartTrackingRefBased/>
  <w15:docId w15:val="{D9C8C873-6F08-41BC-864E-630C56E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74E2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2125E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7A6C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7A6C"/>
    <w:pPr>
      <w:keepNext/>
      <w:keepLines/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F874E2"/>
    <w:pPr>
      <w:spacing w:before="120" w:after="0"/>
    </w:pPr>
    <w:rPr>
      <w:rFonts w:cstheme="minorHAnsi"/>
      <w:szCs w:val="24"/>
    </w:rPr>
  </w:style>
  <w:style w:type="character" w:customStyle="1" w:styleId="TextChar">
    <w:name w:val="Text Char"/>
    <w:basedOn w:val="Standardnpsmoodstavce"/>
    <w:link w:val="Text"/>
    <w:rsid w:val="00F874E2"/>
    <w:rPr>
      <w:rFonts w:cstheme="minorHAnsi"/>
      <w:sz w:val="24"/>
      <w:szCs w:val="24"/>
    </w:rPr>
  </w:style>
  <w:style w:type="table" w:styleId="Mkatabulky">
    <w:name w:val="Table Grid"/>
    <w:basedOn w:val="Normlntabulka"/>
    <w:uiPriority w:val="39"/>
    <w:rsid w:val="00B7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3">
    <w:name w:val="Grid Table 4 Accent 3"/>
    <w:basedOn w:val="Normlntabulka"/>
    <w:uiPriority w:val="49"/>
    <w:rsid w:val="00B73E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cseseznamem">
    <w:name w:val="List Paragraph"/>
    <w:aliases w:val="A-Odrážky1,Barevný seznam – zvýraznění 11,List Paragraph (Czech Tourism),List Paragraph1,List Paragraph_0,Nad,Nad1,Nad2,Nadpis pro KZ,Odstavec_muj,Odstavec_muj1,Odstavec_muj2,Odstavec_muj3,Odstavec_muj4,_Odstavec se seznamem,odrážky"/>
    <w:basedOn w:val="Normln"/>
    <w:link w:val="OdstavecseseznamemChar"/>
    <w:uiPriority w:val="34"/>
    <w:qFormat/>
    <w:rsid w:val="000C75A1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7B1D5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B1D5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B1D5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1D57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2125E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57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57A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7A6C"/>
    <w:pPr>
      <w:spacing w:after="16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7A6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A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A6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757A6C"/>
    <w:rPr>
      <w:rFonts w:eastAsiaTheme="majorEastAsia" w:cstheme="majorBidi"/>
      <w:b/>
      <w:sz w:val="24"/>
      <w:szCs w:val="26"/>
    </w:rPr>
  </w:style>
  <w:style w:type="paragraph" w:styleId="Textpoznpodarou">
    <w:name w:val="footnote text"/>
    <w:aliases w:val="Boston 10,Font: Geneva 9,Footnote,Footnote Text Char,Footnote Text Char Char,Fußnotentextf,Geneva 9,Podrozdzia3,Podrozdział,Schriftart: 10 pt,Schriftart: 8 pt,Schriftart: 9 pt,Text poznámky pod čiarou 007,f,fn,pozn. pod čarou"/>
    <w:basedOn w:val="Normln"/>
    <w:link w:val="TextpoznpodarouChar"/>
    <w:uiPriority w:val="99"/>
    <w:unhideWhenUsed/>
    <w:qFormat/>
    <w:rsid w:val="0068298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ootnote Text Char Char1,Footnote Text Char Char Char,Fußnotentextf Char,Geneva 9 Char,Podrozdzia3 Char,Podrozdział Char,Schriftart: 10 pt Char,Schriftart: 8 pt Char,f Char"/>
    <w:basedOn w:val="Standardnpsmoodstavce"/>
    <w:link w:val="Textpoznpodarou"/>
    <w:uiPriority w:val="99"/>
    <w:rsid w:val="0068298E"/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basedOn w:val="Standardnpsmoodstavce"/>
    <w:uiPriority w:val="99"/>
    <w:unhideWhenUsed/>
    <w:rsid w:val="0068298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CC9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CC9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rsid w:val="00C63858"/>
    <w:pPr>
      <w:spacing w:before="120"/>
      <w:jc w:val="left"/>
    </w:pPr>
    <w:rPr>
      <w:rFonts w:eastAsia="Times New Roman" w:cs="Times New Roman"/>
      <w:szCs w:val="24"/>
    </w:rPr>
  </w:style>
  <w:style w:type="character" w:styleId="Hypertextovodkaz">
    <w:name w:val="Hyperlink"/>
    <w:basedOn w:val="Standardnpsmoodstavce"/>
    <w:uiPriority w:val="99"/>
    <w:rsid w:val="00C6385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6540C"/>
    <w:pPr>
      <w:spacing w:before="120" w:after="0"/>
    </w:pPr>
    <w:rPr>
      <w:rFonts w:ascii="Calibri" w:eastAsia="Times New Roman" w:hAnsi="Calibri" w:cs="Times New Roman"/>
      <w:iCs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B7549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782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locked/>
    <w:rsid w:val="00782BAA"/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2326E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A-Odrážky1 Char,Barevný seznam – zvýraznění 11 Char,List Paragraph (Czech Tourism) Char,List Paragraph1 Char,List Paragraph_0 Char,Nad Char,Nad1 Char,Nad2 Char,Nadpis pro KZ Char,Odstavec_muj Char,Odstavec_muj1 Char"/>
    <w:link w:val="Odstavecseseznamem"/>
    <w:uiPriority w:val="34"/>
    <w:qFormat/>
    <w:locked/>
    <w:rsid w:val="003922F0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A4"/>
    <w:uiPriority w:val="99"/>
    <w:rsid w:val="002863B0"/>
    <w:rPr>
      <w:color w:val="00000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yperlink" Target="https://www.dotaceeu.cz/cs/statistiky-a-analyzy/seznamy-prijemc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yperlink" Target="https://www.dotaceeu.cz/cs/statistiky-a-analyzy/seznamy-prijemcu" TargetMode="Externa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www.dotaceeu.cz/cs/statistiky-a-analyzy/seznamy-prijemcu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s://www.czso.cz/csu/czso/prijmy-a-zivotni-podminky-domacnosti-r4hlvpcwox" TargetMode="External"/><Relationship Id="rId27" Type="http://schemas.openxmlformats.org/officeDocument/2006/relationships/hyperlink" Target="https://www.nku.cz/scripts/detail.php?id=12728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cr.cz" TargetMode="External"/><Relationship Id="rId2" Type="http://schemas.openxmlformats.org/officeDocument/2006/relationships/hyperlink" Target="https://www.esfcr.cz/obvykle-ceny-a-mzdy-platy-opz/-/dokument/799359" TargetMode="External"/><Relationship Id="rId1" Type="http://schemas.openxmlformats.org/officeDocument/2006/relationships/hyperlink" Target="https://ec.europa.eu/eurostat/databrowser/bookmark/81897c95-eefd-4cde-b0fd-87076ace15d9?lang=en" TargetMode="External"/><Relationship Id="rId4" Type="http://schemas.openxmlformats.org/officeDocument/2006/relationships/hyperlink" Target="http://www.esfcr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VEITOVA\MOJE%20DOKUMENTY%20-%20H%20-%20KACHNA\Slu&#382;ebn&#237;\KONTROLN&#205;%20&#268;INNOST\Kontroln&#237;%20akce\21_29%20rodina\Kontroln&#237;%20z&#225;v&#283;r\Statistika%20-%20v&#253;daje%20na%20rodinn&#233;%20d&#225;vk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ČR (Kč na obyvatele) 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046890452635246E-2"/>
                  <c:y val="1.5467904098994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BF-4742-8098-E98D9BEBCFDA}"/>
                </c:ext>
              </c:extLst>
            </c:dLbl>
            <c:dLbl>
              <c:idx val="1"/>
              <c:layout>
                <c:manualLayout>
                  <c:x val="-1.4630242433336755E-2"/>
                  <c:y val="1.5225228516968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BF-4742-8098-E98D9BEBCFDA}"/>
                </c:ext>
              </c:extLst>
            </c:dLbl>
            <c:dLbl>
              <c:idx val="2"/>
              <c:layout>
                <c:manualLayout>
                  <c:x val="-1.2817981503565815E-2"/>
                  <c:y val="1.9334880123743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F-4742-8098-E98D9BEBCFDA}"/>
                </c:ext>
              </c:extLst>
            </c:dLbl>
            <c:dLbl>
              <c:idx val="3"/>
              <c:layout>
                <c:manualLayout>
                  <c:x val="-1.2817981503565815E-2"/>
                  <c:y val="1.933488012374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F-4742-8098-E98D9BEBCFDA}"/>
                </c:ext>
              </c:extLst>
            </c:dLbl>
            <c:dLbl>
              <c:idx val="4"/>
              <c:layout>
                <c:manualLayout>
                  <c:x val="-1.2817981503565815E-2"/>
                  <c:y val="1.5467904098994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BF-4742-8098-E98D9BEBCFDA}"/>
                </c:ext>
              </c:extLst>
            </c:dLbl>
            <c:dLbl>
              <c:idx val="5"/>
              <c:layout>
                <c:manualLayout>
                  <c:x val="-1.2540157655819601E-2"/>
                  <c:y val="1.5225228516969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BF-4742-8098-E98D9BEBCFDA}"/>
                </c:ext>
              </c:extLst>
            </c:dLbl>
            <c:dLbl>
              <c:idx val="6"/>
              <c:layout>
                <c:manualLayout>
                  <c:x val="-1.267898182737188E-2"/>
                  <c:y val="1.1843603656271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BF-4742-8098-E98D9BEBCFDA}"/>
                </c:ext>
              </c:extLst>
            </c:dLbl>
            <c:dLbl>
              <c:idx val="7"/>
              <c:layout>
                <c:manualLayout>
                  <c:x val="-1.4491418261784478E-2"/>
                  <c:y val="1.8849528959692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BF-4742-8098-E98D9BEBCFDA}"/>
                </c:ext>
              </c:extLst>
            </c:dLbl>
            <c:dLbl>
              <c:idx val="8"/>
              <c:layout>
                <c:manualLayout>
                  <c:x val="-1.254015765581952E-2"/>
                  <c:y val="1.1358252492220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BF-4742-8098-E98D9BEBCFDA}"/>
                </c:ext>
              </c:extLst>
            </c:dLbl>
            <c:dLbl>
              <c:idx val="9"/>
              <c:layout>
                <c:manualLayout>
                  <c:x val="-1.2401333484267489E-2"/>
                  <c:y val="1.5467904098994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BF-4742-8098-E98D9BEBCF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List1!$B$1:$K$1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List1!$B$2:$K$2</c:f>
              <c:numCache>
                <c:formatCode>#,##0</c:formatCode>
                <c:ptCount val="10"/>
                <c:pt idx="0">
                  <c:v>7116.4800000000005</c:v>
                </c:pt>
                <c:pt idx="1">
                  <c:v>6745.83</c:v>
                </c:pt>
                <c:pt idx="2">
                  <c:v>6770.54</c:v>
                </c:pt>
                <c:pt idx="3">
                  <c:v>6523.4400000000005</c:v>
                </c:pt>
                <c:pt idx="4">
                  <c:v>6053.95</c:v>
                </c:pt>
                <c:pt idx="5">
                  <c:v>6325.76</c:v>
                </c:pt>
                <c:pt idx="6">
                  <c:v>6597.5700000000006</c:v>
                </c:pt>
                <c:pt idx="7">
                  <c:v>7091.77</c:v>
                </c:pt>
                <c:pt idx="8">
                  <c:v>8104.88</c:v>
                </c:pt>
                <c:pt idx="9">
                  <c:v>8524.9500000000007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FBF-4742-8098-E98D9BEBCFDA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EU-27 (Kč na obyvatele)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6720253213094526E-2"/>
                  <c:y val="1.8121659978299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FBF-4742-8098-E98D9BEBCFDA}"/>
                </c:ext>
              </c:extLst>
            </c:dLbl>
            <c:dLbl>
              <c:idx val="7"/>
              <c:layout>
                <c:manualLayout>
                  <c:x val="0"/>
                  <c:y val="1.1600928074245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BC-4594-9AD0-F92840CBF42C}"/>
                </c:ext>
              </c:extLst>
            </c:dLbl>
            <c:dLbl>
              <c:idx val="8"/>
              <c:layout>
                <c:manualLayout>
                  <c:x val="-2.0900316516368157E-3"/>
                  <c:y val="1.812165997829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FBF-4742-8098-E98D9BEBCFDA}"/>
                </c:ext>
              </c:extLst>
            </c:dLbl>
            <c:dLbl>
              <c:idx val="9"/>
              <c:layout>
                <c:manualLayout>
                  <c:x val="1.0450158258183925E-2"/>
                  <c:y val="1.81216599782996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FBF-4742-8098-E98D9BEBCF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List1!$B$1:$K$1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List1!$B$3:$K$3</c:f>
              <c:numCache>
                <c:formatCode>#,##0</c:formatCode>
                <c:ptCount val="10"/>
                <c:pt idx="0">
                  <c:v>13714.050000000001</c:v>
                </c:pt>
                <c:pt idx="1">
                  <c:v>13862.310000000001</c:v>
                </c:pt>
                <c:pt idx="2">
                  <c:v>14010.57</c:v>
                </c:pt>
                <c:pt idx="3">
                  <c:v>14307.09</c:v>
                </c:pt>
                <c:pt idx="4">
                  <c:v>14480.060000000001</c:v>
                </c:pt>
                <c:pt idx="5">
                  <c:v>14900.130000000001</c:v>
                </c:pt>
                <c:pt idx="6">
                  <c:v>15567.300000000001</c:v>
                </c:pt>
                <c:pt idx="7">
                  <c:v>16160.34</c:v>
                </c:pt>
                <c:pt idx="8">
                  <c:v>16654.54</c:v>
                </c:pt>
                <c:pt idx="9">
                  <c:v>17445.260000000002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FBF-4742-8098-E98D9BEBC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2551759"/>
        <c:axId val="577414415"/>
      </c:barChart>
      <c:lineChart>
        <c:grouping val="standard"/>
        <c:varyColors val="0"/>
        <c:ser>
          <c:idx val="2"/>
          <c:order val="2"/>
          <c:tx>
            <c:strRef>
              <c:f>List1!$A$6</c:f>
              <c:strCache>
                <c:ptCount val="1"/>
                <c:pt idx="0">
                  <c:v>ČR (% HDP) </c:v>
                </c:pt>
              </c:strCache>
            </c:strRef>
          </c:tx>
          <c:spPr>
            <a:ln w="28575" cap="rnd">
              <a:solidFill>
                <a:srgbClr val="81BAFF"/>
              </a:solidFill>
              <a:round/>
            </a:ln>
            <a:effectLst/>
          </c:spPr>
          <c:marker>
            <c:symbol val="none"/>
          </c:marker>
          <c:cat>
            <c:numRef>
              <c:f>List1!$B$1:$K$1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List1!$B$6:$K$6</c:f>
              <c:numCache>
                <c:formatCode>General</c:formatCode>
                <c:ptCount val="10"/>
                <c:pt idx="0">
                  <c:v>1.9</c:v>
                </c:pt>
                <c:pt idx="1">
                  <c:v>1.7</c:v>
                </c:pt>
                <c:pt idx="2">
                  <c:v>1.8</c:v>
                </c:pt>
                <c:pt idx="3">
                  <c:v>1.7</c:v>
                </c:pt>
                <c:pt idx="4">
                  <c:v>1.6</c:v>
                </c:pt>
                <c:pt idx="5">
                  <c:v>1.6</c:v>
                </c:pt>
                <c:pt idx="6">
                  <c:v>1.6</c:v>
                </c:pt>
                <c:pt idx="7">
                  <c:v>1.6</c:v>
                </c:pt>
                <c:pt idx="8">
                  <c:v>1.7</c:v>
                </c:pt>
                <c:pt idx="9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FFBF-4742-8098-E98D9BEBCFDA}"/>
            </c:ext>
          </c:extLst>
        </c:ser>
        <c:ser>
          <c:idx val="3"/>
          <c:order val="3"/>
          <c:tx>
            <c:strRef>
              <c:f>List1!$A$7</c:f>
              <c:strCache>
                <c:ptCount val="1"/>
                <c:pt idx="0">
                  <c:v>EU-27 (% HDP)</c:v>
                </c:pt>
              </c:strCache>
            </c:strRef>
          </c:tx>
          <c:spPr>
            <a:ln w="28575" cap="rnd">
              <a:solidFill>
                <a:srgbClr val="EBA3A8"/>
              </a:solidFill>
              <a:round/>
            </a:ln>
            <a:effectLst/>
          </c:spPr>
          <c:marker>
            <c:symbol val="none"/>
          </c:marker>
          <c:cat>
            <c:numRef>
              <c:f>List1!$B$1:$K$1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List1!$B$7:$K$7</c:f>
              <c:numCache>
                <c:formatCode>General</c:formatCode>
                <c:ptCount val="10"/>
                <c:pt idx="0">
                  <c:v>2.2000000000000002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2.2000000000000002</c:v>
                </c:pt>
                <c:pt idx="4">
                  <c:v>2.2000000000000002</c:v>
                </c:pt>
                <c:pt idx="5">
                  <c:v>2.2000000000000002</c:v>
                </c:pt>
                <c:pt idx="6">
                  <c:v>2.2000000000000002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FFBF-4742-8098-E98D9BEBC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5802047"/>
        <c:axId val="1382952959"/>
      </c:lineChart>
      <c:catAx>
        <c:axId val="1522551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77414415"/>
        <c:crosses val="autoZero"/>
        <c:auto val="1"/>
        <c:lblAlgn val="ctr"/>
        <c:lblOffset val="100"/>
        <c:noMultiLvlLbl val="0"/>
      </c:catAx>
      <c:valAx>
        <c:axId val="577414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Výdaje</a:t>
                </a:r>
                <a:r>
                  <a:rPr lang="cs-CZ" baseline="0"/>
                  <a:t> na obyv. (Kč)</a:t>
                </a:r>
                <a:endParaRPr lang="cs-CZ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2551759"/>
        <c:crosses val="autoZero"/>
        <c:crossBetween val="between"/>
      </c:valAx>
      <c:valAx>
        <c:axId val="138295295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 HDP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95802047"/>
        <c:crosses val="max"/>
        <c:crossBetween val="between"/>
      </c:valAx>
      <c:catAx>
        <c:axId val="15958020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8295295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D54DAF-5FF6-48AE-8F40-E53B6A2E74F3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A66052E5-868F-44A3-A000-83C73EC0FD90}">
      <dgm:prSet phldrT="[Text]" custT="1"/>
      <dgm:spPr>
        <a:solidFill>
          <a:srgbClr val="BD2A33"/>
        </a:solidFill>
      </dgm:spPr>
      <dgm:t>
        <a:bodyPr/>
        <a:lstStyle/>
        <a:p>
          <a:r>
            <a:rPr lang="cs-CZ" sz="1200" b="1">
              <a:solidFill>
                <a:schemeClr val="bg1"/>
              </a:solidFill>
            </a:rPr>
            <a:t>Podpora rodinné politiky </a:t>
          </a:r>
          <a:br>
            <a:rPr lang="cs-CZ" sz="1200" b="1">
              <a:solidFill>
                <a:schemeClr val="bg1"/>
              </a:solidFill>
            </a:rPr>
          </a:br>
          <a:r>
            <a:rPr lang="cs-CZ" sz="1200" b="1">
              <a:solidFill>
                <a:schemeClr val="bg1"/>
              </a:solidFill>
            </a:rPr>
            <a:t>ze strany MPSV</a:t>
          </a:r>
        </a:p>
      </dgm:t>
    </dgm:pt>
    <dgm:pt modelId="{6C46F74A-6AF9-4668-804E-D4DB9A20984C}" type="parTrans" cxnId="{DEF566CC-0FDF-4E22-8090-28BC00ECD486}">
      <dgm:prSet/>
      <dgm:spPr/>
      <dgm:t>
        <a:bodyPr/>
        <a:lstStyle/>
        <a:p>
          <a:endParaRPr lang="cs-CZ"/>
        </a:p>
      </dgm:t>
    </dgm:pt>
    <dgm:pt modelId="{C6A3E48F-3305-48D6-8090-561ED80832CB}" type="sibTrans" cxnId="{DEF566CC-0FDF-4E22-8090-28BC00ECD486}">
      <dgm:prSet/>
      <dgm:spPr/>
      <dgm:t>
        <a:bodyPr/>
        <a:lstStyle/>
        <a:p>
          <a:endParaRPr lang="cs-CZ"/>
        </a:p>
      </dgm:t>
    </dgm:pt>
    <dgm:pt modelId="{5A3EB738-ED06-446D-A8C1-0CAC4E2257C3}">
      <dgm:prSet phldrT="[Text]" custT="1"/>
      <dgm:spPr>
        <a:solidFill>
          <a:srgbClr val="004595"/>
        </a:solidFill>
      </dgm:spPr>
      <dgm:t>
        <a:bodyPr tIns="324000" rIns="216000"/>
        <a:lstStyle/>
        <a:p>
          <a:r>
            <a:rPr lang="cs-CZ" sz="1400" b="1">
              <a:solidFill>
                <a:schemeClr val="bg1"/>
              </a:solidFill>
            </a:rPr>
            <a:t>3 593 projektů</a:t>
          </a:r>
          <a:endParaRPr lang="cs-CZ" sz="1200" b="1">
            <a:solidFill>
              <a:schemeClr val="bg1"/>
            </a:solidFill>
          </a:endParaRPr>
        </a:p>
        <a:p>
          <a:r>
            <a:rPr lang="cs-CZ" sz="1200" b="0">
              <a:solidFill>
                <a:schemeClr val="bg1"/>
              </a:solidFill>
            </a:rPr>
            <a:t>Počet podpořených projektů OPZ</a:t>
          </a:r>
          <a:r>
            <a:rPr lang="cs-CZ" sz="1200" b="1" baseline="30000">
              <a:solidFill>
                <a:schemeClr val="bg1"/>
              </a:solidFill>
            </a:rPr>
            <a:t>1</a:t>
          </a:r>
          <a:r>
            <a:rPr lang="cs-CZ" sz="1200" b="0">
              <a:solidFill>
                <a:schemeClr val="bg1"/>
              </a:solidFill>
            </a:rPr>
            <a:t> zaměřených na podporu                    rodinné politiky</a:t>
          </a:r>
        </a:p>
      </dgm:t>
    </dgm:pt>
    <dgm:pt modelId="{AC17B074-5F5F-4FBC-AC30-BDF402CC1414}" type="parTrans" cxnId="{0A376493-87AA-46FA-BB69-DE420C6193A6}">
      <dgm:prSet/>
      <dgm:spPr/>
      <dgm:t>
        <a:bodyPr/>
        <a:lstStyle/>
        <a:p>
          <a:endParaRPr lang="cs-CZ"/>
        </a:p>
      </dgm:t>
    </dgm:pt>
    <dgm:pt modelId="{75B85351-F48A-4101-9755-17A6849DE9B2}" type="sibTrans" cxnId="{0A376493-87AA-46FA-BB69-DE420C6193A6}">
      <dgm:prSet/>
      <dgm:spPr/>
      <dgm:t>
        <a:bodyPr/>
        <a:lstStyle/>
        <a:p>
          <a:endParaRPr lang="cs-CZ"/>
        </a:p>
      </dgm:t>
    </dgm:pt>
    <dgm:pt modelId="{51B9C72C-3E83-43E5-AF00-3AA13D93F9FC}">
      <dgm:prSet phldrT="[Text]" custT="1"/>
      <dgm:spPr>
        <a:solidFill>
          <a:srgbClr val="004595"/>
        </a:solidFill>
      </dgm:spPr>
      <dgm:t>
        <a:bodyPr lIns="252000" tIns="216000" bIns="0"/>
        <a:lstStyle/>
        <a:p>
          <a:r>
            <a:rPr lang="cs-CZ" sz="1400" b="1">
              <a:solidFill>
                <a:schemeClr val="bg1"/>
              </a:solidFill>
            </a:rPr>
            <a:t>8,6 mld. Kč</a:t>
          </a:r>
        </a:p>
        <a:p>
          <a:r>
            <a:rPr lang="cs-CZ" sz="1200" b="0">
              <a:solidFill>
                <a:schemeClr val="bg1"/>
              </a:solidFill>
            </a:rPr>
            <a:t>Prostředky OPZ vynaložené na podporu rodinné politiky</a:t>
          </a:r>
        </a:p>
      </dgm:t>
    </dgm:pt>
    <dgm:pt modelId="{27F51942-EB84-4A5B-8749-126FE6F079CB}" type="parTrans" cxnId="{BB5ED027-7A9A-487F-8863-CBC7E3AD207E}">
      <dgm:prSet/>
      <dgm:spPr/>
      <dgm:t>
        <a:bodyPr/>
        <a:lstStyle/>
        <a:p>
          <a:endParaRPr lang="cs-CZ"/>
        </a:p>
      </dgm:t>
    </dgm:pt>
    <dgm:pt modelId="{039CC335-0129-44CE-BE89-8857E9679F16}" type="sibTrans" cxnId="{BB5ED027-7A9A-487F-8863-CBC7E3AD207E}">
      <dgm:prSet/>
      <dgm:spPr/>
      <dgm:t>
        <a:bodyPr/>
        <a:lstStyle/>
        <a:p>
          <a:endParaRPr lang="cs-CZ"/>
        </a:p>
      </dgm:t>
    </dgm:pt>
    <dgm:pt modelId="{394FFAB5-C882-4E46-9CE9-C5AF327AE5CE}">
      <dgm:prSet phldrT="[Text]" custT="1"/>
      <dgm:spPr>
        <a:solidFill>
          <a:srgbClr val="004595"/>
        </a:solidFill>
      </dgm:spPr>
      <dgm:t>
        <a:bodyPr tIns="144000" rIns="216000" bIns="324000"/>
        <a:lstStyle/>
        <a:p>
          <a:r>
            <a:rPr lang="cs-CZ" sz="1400" b="1">
              <a:solidFill>
                <a:schemeClr val="bg1"/>
              </a:solidFill>
            </a:rPr>
            <a:t>159 965 osob</a:t>
          </a:r>
        </a:p>
        <a:p>
          <a:r>
            <a:rPr lang="cs-CZ" sz="1200" b="0">
              <a:solidFill>
                <a:schemeClr val="bg1"/>
              </a:solidFill>
            </a:rPr>
            <a:t>Celkový počet účastníků zařazených              do projektů OPZ zaměřených                         na podporu rodinné politiky</a:t>
          </a:r>
        </a:p>
      </dgm:t>
    </dgm:pt>
    <dgm:pt modelId="{902BEA87-076E-4E67-8DCD-D7AB34F61216}" type="parTrans" cxnId="{128D972A-D6C3-4CFF-8D90-E8BEE690D9C3}">
      <dgm:prSet/>
      <dgm:spPr/>
      <dgm:t>
        <a:bodyPr/>
        <a:lstStyle/>
        <a:p>
          <a:endParaRPr lang="cs-CZ"/>
        </a:p>
      </dgm:t>
    </dgm:pt>
    <dgm:pt modelId="{69931682-DA75-4D6F-B34D-E44984950662}" type="sibTrans" cxnId="{128D972A-D6C3-4CFF-8D90-E8BEE690D9C3}">
      <dgm:prSet/>
      <dgm:spPr/>
      <dgm:t>
        <a:bodyPr/>
        <a:lstStyle/>
        <a:p>
          <a:endParaRPr lang="cs-CZ"/>
        </a:p>
      </dgm:t>
    </dgm:pt>
    <dgm:pt modelId="{EAAE14E5-FA79-4240-B049-99B97D4F75AA}">
      <dgm:prSet phldrT="[Text]" custT="1"/>
      <dgm:spPr>
        <a:solidFill>
          <a:srgbClr val="004595"/>
        </a:solidFill>
      </dgm:spPr>
      <dgm:t>
        <a:bodyPr lIns="252000" tIns="180000" bIns="360000"/>
        <a:lstStyle/>
        <a:p>
          <a:r>
            <a:rPr lang="cs-CZ" sz="1400" b="1">
              <a:solidFill>
                <a:schemeClr val="bg1"/>
              </a:solidFill>
            </a:rPr>
            <a:t>89 413 Kč</a:t>
          </a:r>
        </a:p>
        <a:p>
          <a:r>
            <a:rPr lang="cs-CZ" sz="1200" b="0">
              <a:solidFill>
                <a:schemeClr val="bg1"/>
              </a:solidFill>
            </a:rPr>
            <a:t>Průměrné náklady na osobu                       u projektů OPZ zaměřených na podporu rodinné politiky</a:t>
          </a:r>
        </a:p>
      </dgm:t>
    </dgm:pt>
    <dgm:pt modelId="{EB0D5592-69D9-47AF-8FD2-42D0D969283B}" type="parTrans" cxnId="{37097E5D-44A5-4FF6-BE39-22B48D2FBD87}">
      <dgm:prSet/>
      <dgm:spPr/>
      <dgm:t>
        <a:bodyPr/>
        <a:lstStyle/>
        <a:p>
          <a:endParaRPr lang="cs-CZ"/>
        </a:p>
      </dgm:t>
    </dgm:pt>
    <dgm:pt modelId="{3562DAC6-7F4D-43ED-922B-56E0E49335D0}" type="sibTrans" cxnId="{37097E5D-44A5-4FF6-BE39-22B48D2FBD87}">
      <dgm:prSet/>
      <dgm:spPr/>
      <dgm:t>
        <a:bodyPr/>
        <a:lstStyle/>
        <a:p>
          <a:endParaRPr lang="cs-CZ"/>
        </a:p>
      </dgm:t>
    </dgm:pt>
    <dgm:pt modelId="{07A11442-4128-4AB3-AA6C-6809B0CA9967}" type="pres">
      <dgm:prSet presAssocID="{B1D54DAF-5FF6-48AE-8F40-E53B6A2E74F3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20BE833-0BD1-4920-BFB0-B17A111AD000}" type="pres">
      <dgm:prSet presAssocID="{B1D54DAF-5FF6-48AE-8F40-E53B6A2E74F3}" presName="matrix" presStyleCnt="0"/>
      <dgm:spPr/>
    </dgm:pt>
    <dgm:pt modelId="{6F12D690-5C60-432A-94B6-A44D9149A0A4}" type="pres">
      <dgm:prSet presAssocID="{B1D54DAF-5FF6-48AE-8F40-E53B6A2E74F3}" presName="tile1" presStyleLbl="node1" presStyleIdx="0" presStyleCnt="4"/>
      <dgm:spPr/>
    </dgm:pt>
    <dgm:pt modelId="{CCB15DE7-F34E-4A9C-B2EF-F573F9388B4C}" type="pres">
      <dgm:prSet presAssocID="{B1D54DAF-5FF6-48AE-8F40-E53B6A2E74F3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2942870F-D96C-4314-95E0-28761331AF13}" type="pres">
      <dgm:prSet presAssocID="{B1D54DAF-5FF6-48AE-8F40-E53B6A2E74F3}" presName="tile2" presStyleLbl="node1" presStyleIdx="1" presStyleCnt="4"/>
      <dgm:spPr/>
    </dgm:pt>
    <dgm:pt modelId="{C031A988-E1DF-473B-9A2F-B222583ED145}" type="pres">
      <dgm:prSet presAssocID="{B1D54DAF-5FF6-48AE-8F40-E53B6A2E74F3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B72188F3-F105-45D8-B904-7CF6AB2F19FC}" type="pres">
      <dgm:prSet presAssocID="{B1D54DAF-5FF6-48AE-8F40-E53B6A2E74F3}" presName="tile3" presStyleLbl="node1" presStyleIdx="2" presStyleCnt="4"/>
      <dgm:spPr/>
    </dgm:pt>
    <dgm:pt modelId="{010F0BA5-4960-4715-A73F-CEB1B02FB6CA}" type="pres">
      <dgm:prSet presAssocID="{B1D54DAF-5FF6-48AE-8F40-E53B6A2E74F3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CAE7435-64DA-4E7A-9781-63E0725D5962}" type="pres">
      <dgm:prSet presAssocID="{B1D54DAF-5FF6-48AE-8F40-E53B6A2E74F3}" presName="tile4" presStyleLbl="node1" presStyleIdx="3" presStyleCnt="4"/>
      <dgm:spPr/>
    </dgm:pt>
    <dgm:pt modelId="{E07AE794-C99D-44E6-B728-A05D5433618F}" type="pres">
      <dgm:prSet presAssocID="{B1D54DAF-5FF6-48AE-8F40-E53B6A2E74F3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474130F-2114-433B-8A28-23923043DAF1}" type="pres">
      <dgm:prSet presAssocID="{B1D54DAF-5FF6-48AE-8F40-E53B6A2E74F3}" presName="centerTile" presStyleLbl="fgShp" presStyleIdx="0" presStyleCnt="1" custScaleX="102928" custScaleY="86360">
        <dgm:presLayoutVars>
          <dgm:chMax val="0"/>
          <dgm:chPref val="0"/>
        </dgm:presLayoutVars>
      </dgm:prSet>
      <dgm:spPr/>
    </dgm:pt>
  </dgm:ptLst>
  <dgm:cxnLst>
    <dgm:cxn modelId="{E99C6210-91D5-49CB-8268-1837C9C85B23}" type="presOf" srcId="{5A3EB738-ED06-446D-A8C1-0CAC4E2257C3}" destId="{6F12D690-5C60-432A-94B6-A44D9149A0A4}" srcOrd="0" destOrd="0" presId="urn:microsoft.com/office/officeart/2005/8/layout/matrix1"/>
    <dgm:cxn modelId="{BB5ED027-7A9A-487F-8863-CBC7E3AD207E}" srcId="{A66052E5-868F-44A3-A000-83C73EC0FD90}" destId="{51B9C72C-3E83-43E5-AF00-3AA13D93F9FC}" srcOrd="1" destOrd="0" parTransId="{27F51942-EB84-4A5B-8749-126FE6F079CB}" sibTransId="{039CC335-0129-44CE-BE89-8857E9679F16}"/>
    <dgm:cxn modelId="{128D972A-D6C3-4CFF-8D90-E8BEE690D9C3}" srcId="{A66052E5-868F-44A3-A000-83C73EC0FD90}" destId="{394FFAB5-C882-4E46-9CE9-C5AF327AE5CE}" srcOrd="2" destOrd="0" parTransId="{902BEA87-076E-4E67-8DCD-D7AB34F61216}" sibTransId="{69931682-DA75-4D6F-B34D-E44984950662}"/>
    <dgm:cxn modelId="{37097E5D-44A5-4FF6-BE39-22B48D2FBD87}" srcId="{A66052E5-868F-44A3-A000-83C73EC0FD90}" destId="{EAAE14E5-FA79-4240-B049-99B97D4F75AA}" srcOrd="3" destOrd="0" parTransId="{EB0D5592-69D9-47AF-8FD2-42D0D969283B}" sibTransId="{3562DAC6-7F4D-43ED-922B-56E0E49335D0}"/>
    <dgm:cxn modelId="{E7D7FB49-8E01-488C-AE4D-A1E25E84C390}" type="presOf" srcId="{394FFAB5-C882-4E46-9CE9-C5AF327AE5CE}" destId="{010F0BA5-4960-4715-A73F-CEB1B02FB6CA}" srcOrd="1" destOrd="0" presId="urn:microsoft.com/office/officeart/2005/8/layout/matrix1"/>
    <dgm:cxn modelId="{2ED35E4A-8D1F-4F6A-9956-A1D2F86BBFE8}" type="presOf" srcId="{5A3EB738-ED06-446D-A8C1-0CAC4E2257C3}" destId="{CCB15DE7-F34E-4A9C-B2EF-F573F9388B4C}" srcOrd="1" destOrd="0" presId="urn:microsoft.com/office/officeart/2005/8/layout/matrix1"/>
    <dgm:cxn modelId="{C6B24356-5247-412A-B9AC-BAA3CE93808F}" type="presOf" srcId="{51B9C72C-3E83-43E5-AF00-3AA13D93F9FC}" destId="{2942870F-D96C-4314-95E0-28761331AF13}" srcOrd="0" destOrd="0" presId="urn:microsoft.com/office/officeart/2005/8/layout/matrix1"/>
    <dgm:cxn modelId="{0A376493-87AA-46FA-BB69-DE420C6193A6}" srcId="{A66052E5-868F-44A3-A000-83C73EC0FD90}" destId="{5A3EB738-ED06-446D-A8C1-0CAC4E2257C3}" srcOrd="0" destOrd="0" parTransId="{AC17B074-5F5F-4FBC-AC30-BDF402CC1414}" sibTransId="{75B85351-F48A-4101-9755-17A6849DE9B2}"/>
    <dgm:cxn modelId="{A4072FB7-B02F-449B-9DAE-4B3E8B69891D}" type="presOf" srcId="{EAAE14E5-FA79-4240-B049-99B97D4F75AA}" destId="{E07AE794-C99D-44E6-B728-A05D5433618F}" srcOrd="1" destOrd="0" presId="urn:microsoft.com/office/officeart/2005/8/layout/matrix1"/>
    <dgm:cxn modelId="{A76D53B9-23D5-4031-8389-F8558DBC9B69}" type="presOf" srcId="{EAAE14E5-FA79-4240-B049-99B97D4F75AA}" destId="{FCAE7435-64DA-4E7A-9781-63E0725D5962}" srcOrd="0" destOrd="0" presId="urn:microsoft.com/office/officeart/2005/8/layout/matrix1"/>
    <dgm:cxn modelId="{8603A7BB-85AA-452C-8319-A0B1DAB30944}" type="presOf" srcId="{394FFAB5-C882-4E46-9CE9-C5AF327AE5CE}" destId="{B72188F3-F105-45D8-B904-7CF6AB2F19FC}" srcOrd="0" destOrd="0" presId="urn:microsoft.com/office/officeart/2005/8/layout/matrix1"/>
    <dgm:cxn modelId="{DEF566CC-0FDF-4E22-8090-28BC00ECD486}" srcId="{B1D54DAF-5FF6-48AE-8F40-E53B6A2E74F3}" destId="{A66052E5-868F-44A3-A000-83C73EC0FD90}" srcOrd="0" destOrd="0" parTransId="{6C46F74A-6AF9-4668-804E-D4DB9A20984C}" sibTransId="{C6A3E48F-3305-48D6-8090-561ED80832CB}"/>
    <dgm:cxn modelId="{EC7F3AD0-BB59-4668-B5C3-F273A04400D7}" type="presOf" srcId="{51B9C72C-3E83-43E5-AF00-3AA13D93F9FC}" destId="{C031A988-E1DF-473B-9A2F-B222583ED145}" srcOrd="1" destOrd="0" presId="urn:microsoft.com/office/officeart/2005/8/layout/matrix1"/>
    <dgm:cxn modelId="{E1BF03DB-7063-48AB-BC84-356905E3DC8E}" type="presOf" srcId="{B1D54DAF-5FF6-48AE-8F40-E53B6A2E74F3}" destId="{07A11442-4128-4AB3-AA6C-6809B0CA9967}" srcOrd="0" destOrd="0" presId="urn:microsoft.com/office/officeart/2005/8/layout/matrix1"/>
    <dgm:cxn modelId="{AD7BA0FB-52BC-41FF-8250-BD890EAA3282}" type="presOf" srcId="{A66052E5-868F-44A3-A000-83C73EC0FD90}" destId="{8474130F-2114-433B-8A28-23923043DAF1}" srcOrd="0" destOrd="0" presId="urn:microsoft.com/office/officeart/2005/8/layout/matrix1"/>
    <dgm:cxn modelId="{DB12D484-72E1-4DBB-B40D-950971A0E0D6}" type="presParOf" srcId="{07A11442-4128-4AB3-AA6C-6809B0CA9967}" destId="{620BE833-0BD1-4920-BFB0-B17A111AD000}" srcOrd="0" destOrd="0" presId="urn:microsoft.com/office/officeart/2005/8/layout/matrix1"/>
    <dgm:cxn modelId="{BAD71AAB-B065-453F-9705-FCB8E8178612}" type="presParOf" srcId="{620BE833-0BD1-4920-BFB0-B17A111AD000}" destId="{6F12D690-5C60-432A-94B6-A44D9149A0A4}" srcOrd="0" destOrd="0" presId="urn:microsoft.com/office/officeart/2005/8/layout/matrix1"/>
    <dgm:cxn modelId="{DA26ADB4-5726-4F32-BB82-2DBE314E05C5}" type="presParOf" srcId="{620BE833-0BD1-4920-BFB0-B17A111AD000}" destId="{CCB15DE7-F34E-4A9C-B2EF-F573F9388B4C}" srcOrd="1" destOrd="0" presId="urn:microsoft.com/office/officeart/2005/8/layout/matrix1"/>
    <dgm:cxn modelId="{0ECBF719-283F-4B82-9803-0DC8B94F70C5}" type="presParOf" srcId="{620BE833-0BD1-4920-BFB0-B17A111AD000}" destId="{2942870F-D96C-4314-95E0-28761331AF13}" srcOrd="2" destOrd="0" presId="urn:microsoft.com/office/officeart/2005/8/layout/matrix1"/>
    <dgm:cxn modelId="{B6D99A17-76C7-4C11-953B-5858304761E6}" type="presParOf" srcId="{620BE833-0BD1-4920-BFB0-B17A111AD000}" destId="{C031A988-E1DF-473B-9A2F-B222583ED145}" srcOrd="3" destOrd="0" presId="urn:microsoft.com/office/officeart/2005/8/layout/matrix1"/>
    <dgm:cxn modelId="{D05F6A08-939A-424F-A47D-C1E109317FBD}" type="presParOf" srcId="{620BE833-0BD1-4920-BFB0-B17A111AD000}" destId="{B72188F3-F105-45D8-B904-7CF6AB2F19FC}" srcOrd="4" destOrd="0" presId="urn:microsoft.com/office/officeart/2005/8/layout/matrix1"/>
    <dgm:cxn modelId="{349F2A30-765D-49EE-814A-38D6415F3FC8}" type="presParOf" srcId="{620BE833-0BD1-4920-BFB0-B17A111AD000}" destId="{010F0BA5-4960-4715-A73F-CEB1B02FB6CA}" srcOrd="5" destOrd="0" presId="urn:microsoft.com/office/officeart/2005/8/layout/matrix1"/>
    <dgm:cxn modelId="{16F94211-D490-44E9-8E90-998B8AE1E758}" type="presParOf" srcId="{620BE833-0BD1-4920-BFB0-B17A111AD000}" destId="{FCAE7435-64DA-4E7A-9781-63E0725D5962}" srcOrd="6" destOrd="0" presId="urn:microsoft.com/office/officeart/2005/8/layout/matrix1"/>
    <dgm:cxn modelId="{203013FE-6B73-4521-AFCE-6EB9288A7D01}" type="presParOf" srcId="{620BE833-0BD1-4920-BFB0-B17A111AD000}" destId="{E07AE794-C99D-44E6-B728-A05D5433618F}" srcOrd="7" destOrd="0" presId="urn:microsoft.com/office/officeart/2005/8/layout/matrix1"/>
    <dgm:cxn modelId="{21B0BF7E-151A-4B4C-98FC-3D8E3F2E67BA}" type="presParOf" srcId="{07A11442-4128-4AB3-AA6C-6809B0CA9967}" destId="{8474130F-2114-433B-8A28-23923043DAF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DE475B-1008-466F-938D-7E202A46B1AB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4F3A27E0-C6E3-44CF-9877-0F7059F3F71B}">
      <dgm:prSet phldrT="[Text]" custT="1"/>
      <dgm:spPr>
        <a:solidFill>
          <a:srgbClr val="C00000"/>
        </a:solidFill>
      </dgm:spPr>
      <dgm:t>
        <a:bodyPr/>
        <a:lstStyle/>
        <a:p>
          <a:r>
            <a:rPr lang="cs-CZ" sz="1200" b="1">
              <a:solidFill>
                <a:schemeClr val="bg1"/>
              </a:solidFill>
            </a:rPr>
            <a:t>Kontrolované </a:t>
          </a:r>
          <a:br>
            <a:rPr lang="cs-CZ" sz="1200" b="1">
              <a:solidFill>
                <a:schemeClr val="bg1"/>
              </a:solidFill>
            </a:rPr>
          </a:br>
          <a:r>
            <a:rPr lang="cs-CZ" sz="1200" b="1">
              <a:solidFill>
                <a:schemeClr val="bg1"/>
              </a:solidFill>
            </a:rPr>
            <a:t>projekty OPZ</a:t>
          </a:r>
        </a:p>
      </dgm:t>
    </dgm:pt>
    <dgm:pt modelId="{F20B6981-E29A-4562-92D1-DE738EF08903}" type="parTrans" cxnId="{D77F4EB9-B6A1-4197-9F5A-66CC31B2179B}">
      <dgm:prSet/>
      <dgm:spPr/>
      <dgm:t>
        <a:bodyPr/>
        <a:lstStyle/>
        <a:p>
          <a:endParaRPr lang="cs-CZ"/>
        </a:p>
      </dgm:t>
    </dgm:pt>
    <dgm:pt modelId="{4C7D1080-22A8-45E9-8BCA-228D033248CD}" type="sibTrans" cxnId="{D77F4EB9-B6A1-4197-9F5A-66CC31B2179B}">
      <dgm:prSet/>
      <dgm:spPr/>
      <dgm:t>
        <a:bodyPr/>
        <a:lstStyle/>
        <a:p>
          <a:endParaRPr lang="cs-CZ"/>
        </a:p>
      </dgm:t>
    </dgm:pt>
    <dgm:pt modelId="{7AC17409-EA1B-4D8C-9783-F66546FC19CB}">
      <dgm:prSet phldrT="[Text]" custT="1"/>
      <dgm:spPr>
        <a:solidFill>
          <a:srgbClr val="C3C5C6"/>
        </a:solidFill>
      </dgm:spPr>
      <dgm:t>
        <a:bodyPr tIns="180000" rIns="216000"/>
        <a:lstStyle/>
        <a:p>
          <a:r>
            <a:rPr lang="cs-CZ" sz="1400" b="1">
              <a:solidFill>
                <a:sysClr val="windowText" lastClr="000000"/>
              </a:solidFill>
            </a:rPr>
            <a:t>10 projektů</a:t>
          </a:r>
        </a:p>
        <a:p>
          <a:r>
            <a:rPr lang="cs-CZ" sz="1200" b="0">
              <a:solidFill>
                <a:sysClr val="windowText" lastClr="000000"/>
              </a:solidFill>
            </a:rPr>
            <a:t>Počet kontrolovaných projektů OPZ </a:t>
          </a:r>
          <a:br>
            <a:rPr lang="cs-CZ" sz="1200" b="0">
              <a:solidFill>
                <a:sysClr val="windowText" lastClr="000000"/>
              </a:solidFill>
            </a:rPr>
          </a:br>
          <a:r>
            <a:rPr lang="cs-CZ" sz="1200" b="0">
              <a:solidFill>
                <a:sysClr val="windowText" lastClr="000000"/>
              </a:solidFill>
            </a:rPr>
            <a:t>(z toho </a:t>
          </a:r>
          <a:r>
            <a:rPr lang="cs-CZ" sz="1200" b="1">
              <a:solidFill>
                <a:sysClr val="windowText" lastClr="000000"/>
              </a:solidFill>
            </a:rPr>
            <a:t>sedm projektů </a:t>
          </a:r>
          <a:r>
            <a:rPr lang="cs-CZ" sz="1200" b="0">
              <a:solidFill>
                <a:sysClr val="windowText" lastClr="000000"/>
              </a:solidFill>
            </a:rPr>
            <a:t>ukončených)</a:t>
          </a:r>
        </a:p>
      </dgm:t>
    </dgm:pt>
    <dgm:pt modelId="{5E7E447D-7818-4129-8D2A-207F16C0BBA7}" type="parTrans" cxnId="{57C505B5-554B-4450-8446-3E131B9FD772}">
      <dgm:prSet/>
      <dgm:spPr/>
      <dgm:t>
        <a:bodyPr/>
        <a:lstStyle/>
        <a:p>
          <a:endParaRPr lang="cs-CZ"/>
        </a:p>
      </dgm:t>
    </dgm:pt>
    <dgm:pt modelId="{1BE987A2-CCD7-4A14-AB56-759B6B289BEB}" type="sibTrans" cxnId="{57C505B5-554B-4450-8446-3E131B9FD772}">
      <dgm:prSet/>
      <dgm:spPr/>
      <dgm:t>
        <a:bodyPr/>
        <a:lstStyle/>
        <a:p>
          <a:endParaRPr lang="cs-CZ"/>
        </a:p>
      </dgm:t>
    </dgm:pt>
    <dgm:pt modelId="{A6B017FA-95AE-440E-94DE-61A60229E066}">
      <dgm:prSet phldrT="[Text]" custT="1"/>
      <dgm:spPr>
        <a:solidFill>
          <a:srgbClr val="C3C5C6"/>
        </a:solidFill>
      </dgm:spPr>
      <dgm:t>
        <a:bodyPr lIns="252000" tIns="180000"/>
        <a:lstStyle/>
        <a:p>
          <a:r>
            <a:rPr lang="cs-CZ" sz="1400" b="1">
              <a:solidFill>
                <a:sysClr val="windowText" lastClr="000000"/>
              </a:solidFill>
            </a:rPr>
            <a:t>216,7 mil. Kč</a:t>
          </a:r>
        </a:p>
        <a:p>
          <a:r>
            <a:rPr lang="cs-CZ" sz="1200">
              <a:solidFill>
                <a:sysClr val="windowText" lastClr="000000"/>
              </a:solidFill>
            </a:rPr>
            <a:t>Prostředky OPZ vynaložené </a:t>
          </a:r>
          <a:br>
            <a:rPr lang="cs-CZ" sz="1200">
              <a:solidFill>
                <a:sysClr val="windowText" lastClr="000000"/>
              </a:solidFill>
            </a:rPr>
          </a:br>
          <a:r>
            <a:rPr lang="cs-CZ" sz="1200">
              <a:solidFill>
                <a:sysClr val="windowText" lastClr="000000"/>
              </a:solidFill>
            </a:rPr>
            <a:t>na 10 kontrolovaných projektů</a:t>
          </a:r>
        </a:p>
      </dgm:t>
    </dgm:pt>
    <dgm:pt modelId="{F625C18C-7D37-4FCD-9E67-60D900D42747}" type="parTrans" cxnId="{2EC7C93A-172B-4803-85DF-205C90C164E2}">
      <dgm:prSet/>
      <dgm:spPr/>
      <dgm:t>
        <a:bodyPr/>
        <a:lstStyle/>
        <a:p>
          <a:endParaRPr lang="cs-CZ"/>
        </a:p>
      </dgm:t>
    </dgm:pt>
    <dgm:pt modelId="{345644D3-488A-44A6-B21B-026E80F6C677}" type="sibTrans" cxnId="{2EC7C93A-172B-4803-85DF-205C90C164E2}">
      <dgm:prSet/>
      <dgm:spPr/>
      <dgm:t>
        <a:bodyPr/>
        <a:lstStyle/>
        <a:p>
          <a:endParaRPr lang="cs-CZ"/>
        </a:p>
      </dgm:t>
    </dgm:pt>
    <dgm:pt modelId="{6EABDFAD-526E-4B02-A725-A9F8FDF630C8}">
      <dgm:prSet phldrT="[Text]" custT="1"/>
      <dgm:spPr>
        <a:solidFill>
          <a:srgbClr val="C3C5C6"/>
        </a:solidFill>
      </dgm:spPr>
      <dgm:t>
        <a:bodyPr rIns="216000"/>
        <a:lstStyle/>
        <a:p>
          <a:pPr>
            <a:spcAft>
              <a:spcPct val="35000"/>
            </a:spcAft>
          </a:pPr>
          <a:r>
            <a:rPr lang="cs-CZ" sz="1400" b="1">
              <a:solidFill>
                <a:sysClr val="windowText" lastClr="000000"/>
              </a:solidFill>
            </a:rPr>
            <a:t>2 999 osob</a:t>
          </a:r>
        </a:p>
        <a:p>
          <a:pPr>
            <a:spcAft>
              <a:spcPts val="0"/>
            </a:spcAft>
          </a:pPr>
          <a:r>
            <a:rPr lang="cs-CZ" sz="1200">
              <a:solidFill>
                <a:sysClr val="windowText" lastClr="000000"/>
              </a:solidFill>
            </a:rPr>
            <a:t>Celkový počet účastníků zařazených </a:t>
          </a:r>
        </a:p>
        <a:p>
          <a:pPr>
            <a:spcAft>
              <a:spcPts val="0"/>
            </a:spcAft>
          </a:pPr>
          <a:r>
            <a:rPr lang="cs-CZ" sz="1200">
              <a:solidFill>
                <a:sysClr val="windowText" lastClr="000000"/>
              </a:solidFill>
            </a:rPr>
            <a:t>do 10 kontrolovaných projektů OPZ</a:t>
          </a:r>
        </a:p>
        <a:p>
          <a:pPr>
            <a:spcAft>
              <a:spcPct val="35000"/>
            </a:spcAft>
          </a:pPr>
          <a:endParaRPr lang="cs-CZ" sz="1400"/>
        </a:p>
      </dgm:t>
    </dgm:pt>
    <dgm:pt modelId="{21F92B5B-4D66-491F-AA46-C6E59FEE5E52}" type="parTrans" cxnId="{795CF352-0399-4A58-A647-A58B561D434D}">
      <dgm:prSet/>
      <dgm:spPr/>
      <dgm:t>
        <a:bodyPr/>
        <a:lstStyle/>
        <a:p>
          <a:endParaRPr lang="cs-CZ"/>
        </a:p>
      </dgm:t>
    </dgm:pt>
    <dgm:pt modelId="{F1570F49-1F12-49E0-93B0-DCE57843E079}" type="sibTrans" cxnId="{795CF352-0399-4A58-A647-A58B561D434D}">
      <dgm:prSet/>
      <dgm:spPr/>
      <dgm:t>
        <a:bodyPr/>
        <a:lstStyle/>
        <a:p>
          <a:endParaRPr lang="cs-CZ"/>
        </a:p>
      </dgm:t>
    </dgm:pt>
    <dgm:pt modelId="{00D63013-25C6-4873-A74A-1386F1744A6E}">
      <dgm:prSet phldrT="[Text]" custT="1"/>
      <dgm:spPr>
        <a:solidFill>
          <a:srgbClr val="C3C5C6"/>
        </a:solidFill>
      </dgm:spPr>
      <dgm:t>
        <a:bodyPr lIns="252000" tIns="0" bIns="288000"/>
        <a:lstStyle/>
        <a:p>
          <a:pPr>
            <a:spcAft>
              <a:spcPct val="35000"/>
            </a:spcAft>
          </a:pPr>
          <a:r>
            <a:rPr lang="cs-CZ" sz="1400" b="1">
              <a:solidFill>
                <a:sysClr val="windowText" lastClr="000000"/>
              </a:solidFill>
            </a:rPr>
            <a:t>91 %</a:t>
          </a:r>
        </a:p>
        <a:p>
          <a:pPr>
            <a:spcAft>
              <a:spcPts val="0"/>
            </a:spcAft>
          </a:pPr>
          <a:r>
            <a:rPr lang="cs-CZ" sz="1200" b="0">
              <a:solidFill>
                <a:sysClr val="windowText" lastClr="000000"/>
              </a:solidFill>
            </a:rPr>
            <a:t>Podíl žen zařazených </a:t>
          </a:r>
        </a:p>
        <a:p>
          <a:pPr>
            <a:spcAft>
              <a:spcPts val="0"/>
            </a:spcAft>
          </a:pPr>
          <a:r>
            <a:rPr lang="cs-CZ" sz="1200" b="0">
              <a:solidFill>
                <a:sysClr val="windowText" lastClr="000000"/>
              </a:solidFill>
            </a:rPr>
            <a:t>do 10 kontrolovaných projektů OPZ </a:t>
          </a:r>
          <a:endParaRPr lang="cs-CZ" sz="1200">
            <a:solidFill>
              <a:sysClr val="windowText" lastClr="000000"/>
            </a:solidFill>
          </a:endParaRPr>
        </a:p>
      </dgm:t>
    </dgm:pt>
    <dgm:pt modelId="{2DA064A3-1934-47C3-ACF7-A05A1726D269}" type="parTrans" cxnId="{C7D11F7C-CD1A-4CB8-9777-E45580C4EF3D}">
      <dgm:prSet/>
      <dgm:spPr/>
      <dgm:t>
        <a:bodyPr/>
        <a:lstStyle/>
        <a:p>
          <a:endParaRPr lang="cs-CZ"/>
        </a:p>
      </dgm:t>
    </dgm:pt>
    <dgm:pt modelId="{60E2EAF8-254F-435F-A00C-1C369F558678}" type="sibTrans" cxnId="{C7D11F7C-CD1A-4CB8-9777-E45580C4EF3D}">
      <dgm:prSet/>
      <dgm:spPr/>
      <dgm:t>
        <a:bodyPr/>
        <a:lstStyle/>
        <a:p>
          <a:endParaRPr lang="cs-CZ"/>
        </a:p>
      </dgm:t>
    </dgm:pt>
    <dgm:pt modelId="{A3F9C61C-43FB-48BE-AEBE-5C4041F966FE}" type="pres">
      <dgm:prSet presAssocID="{BEDE475B-1008-466F-938D-7E202A46B1AB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00B8371-C794-438A-8C23-26CF22C592FB}" type="pres">
      <dgm:prSet presAssocID="{BEDE475B-1008-466F-938D-7E202A46B1AB}" presName="matrix" presStyleCnt="0"/>
      <dgm:spPr/>
    </dgm:pt>
    <dgm:pt modelId="{2833DE86-6FD9-42C4-8E1D-2C10EA524DD1}" type="pres">
      <dgm:prSet presAssocID="{BEDE475B-1008-466F-938D-7E202A46B1AB}" presName="tile1" presStyleLbl="node1" presStyleIdx="0" presStyleCnt="4"/>
      <dgm:spPr/>
    </dgm:pt>
    <dgm:pt modelId="{E383F65C-FC74-46EE-88ED-A59BE245B51E}" type="pres">
      <dgm:prSet presAssocID="{BEDE475B-1008-466F-938D-7E202A46B1AB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77044A2-6C0D-460D-9889-344E042B0433}" type="pres">
      <dgm:prSet presAssocID="{BEDE475B-1008-466F-938D-7E202A46B1AB}" presName="tile2" presStyleLbl="node1" presStyleIdx="1" presStyleCnt="4"/>
      <dgm:spPr/>
    </dgm:pt>
    <dgm:pt modelId="{CD40B640-6904-473F-83C1-5160205E3EC5}" type="pres">
      <dgm:prSet presAssocID="{BEDE475B-1008-466F-938D-7E202A46B1AB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C1698EDC-D288-4E12-ADF0-C1B9CA8940AA}" type="pres">
      <dgm:prSet presAssocID="{BEDE475B-1008-466F-938D-7E202A46B1AB}" presName="tile3" presStyleLbl="node1" presStyleIdx="2" presStyleCnt="4"/>
      <dgm:spPr/>
    </dgm:pt>
    <dgm:pt modelId="{A8F058E0-C3D1-4EAB-88FC-772ECEED24D1}" type="pres">
      <dgm:prSet presAssocID="{BEDE475B-1008-466F-938D-7E202A46B1AB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48E743FF-4782-433B-8102-C21A7E8BCBD5}" type="pres">
      <dgm:prSet presAssocID="{BEDE475B-1008-466F-938D-7E202A46B1AB}" presName="tile4" presStyleLbl="node1" presStyleIdx="3" presStyleCnt="4"/>
      <dgm:spPr/>
    </dgm:pt>
    <dgm:pt modelId="{B949486B-7379-4E8C-91D8-CDC8BABB348D}" type="pres">
      <dgm:prSet presAssocID="{BEDE475B-1008-466F-938D-7E202A46B1AB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799A9D74-24AA-4B60-83E4-D783E5222670}" type="pres">
      <dgm:prSet presAssocID="{BEDE475B-1008-466F-938D-7E202A46B1AB}" presName="centerTile" presStyleLbl="fgShp" presStyleIdx="0" presStyleCnt="1" custScaleX="73589" custScaleY="85982">
        <dgm:presLayoutVars>
          <dgm:chMax val="0"/>
          <dgm:chPref val="0"/>
        </dgm:presLayoutVars>
      </dgm:prSet>
      <dgm:spPr/>
    </dgm:pt>
  </dgm:ptLst>
  <dgm:cxnLst>
    <dgm:cxn modelId="{05904D0D-ED04-4A1A-B505-C13BDC4E9A0C}" type="presOf" srcId="{A6B017FA-95AE-440E-94DE-61A60229E066}" destId="{CD40B640-6904-473F-83C1-5160205E3EC5}" srcOrd="1" destOrd="0" presId="urn:microsoft.com/office/officeart/2005/8/layout/matrix1"/>
    <dgm:cxn modelId="{F41A9336-1E47-470E-B6D9-80212C0F65B6}" type="presOf" srcId="{7AC17409-EA1B-4D8C-9783-F66546FC19CB}" destId="{2833DE86-6FD9-42C4-8E1D-2C10EA524DD1}" srcOrd="0" destOrd="0" presId="urn:microsoft.com/office/officeart/2005/8/layout/matrix1"/>
    <dgm:cxn modelId="{2EC7C93A-172B-4803-85DF-205C90C164E2}" srcId="{4F3A27E0-C6E3-44CF-9877-0F7059F3F71B}" destId="{A6B017FA-95AE-440E-94DE-61A60229E066}" srcOrd="1" destOrd="0" parTransId="{F625C18C-7D37-4FCD-9E67-60D900D42747}" sibTransId="{345644D3-488A-44A6-B21B-026E80F6C677}"/>
    <dgm:cxn modelId="{223FCD4B-84A9-4C63-BAD8-21F21AE4071B}" type="presOf" srcId="{BEDE475B-1008-466F-938D-7E202A46B1AB}" destId="{A3F9C61C-43FB-48BE-AEBE-5C4041F966FE}" srcOrd="0" destOrd="0" presId="urn:microsoft.com/office/officeart/2005/8/layout/matrix1"/>
    <dgm:cxn modelId="{795CF352-0399-4A58-A647-A58B561D434D}" srcId="{4F3A27E0-C6E3-44CF-9877-0F7059F3F71B}" destId="{6EABDFAD-526E-4B02-A725-A9F8FDF630C8}" srcOrd="2" destOrd="0" parTransId="{21F92B5B-4D66-491F-AA46-C6E59FEE5E52}" sibTransId="{F1570F49-1F12-49E0-93B0-DCE57843E079}"/>
    <dgm:cxn modelId="{C7D11F7C-CD1A-4CB8-9777-E45580C4EF3D}" srcId="{4F3A27E0-C6E3-44CF-9877-0F7059F3F71B}" destId="{00D63013-25C6-4873-A74A-1386F1744A6E}" srcOrd="3" destOrd="0" parTransId="{2DA064A3-1934-47C3-ACF7-A05A1726D269}" sibTransId="{60E2EAF8-254F-435F-A00C-1C369F558678}"/>
    <dgm:cxn modelId="{2880267D-1570-4A0C-A3AE-37A9340FF144}" type="presOf" srcId="{A6B017FA-95AE-440E-94DE-61A60229E066}" destId="{077044A2-6C0D-460D-9889-344E042B0433}" srcOrd="0" destOrd="0" presId="urn:microsoft.com/office/officeart/2005/8/layout/matrix1"/>
    <dgm:cxn modelId="{FF12B87D-8E5B-4E50-A93C-79E3B4465753}" type="presOf" srcId="{00D63013-25C6-4873-A74A-1386F1744A6E}" destId="{B949486B-7379-4E8C-91D8-CDC8BABB348D}" srcOrd="1" destOrd="0" presId="urn:microsoft.com/office/officeart/2005/8/layout/matrix1"/>
    <dgm:cxn modelId="{AB6FD77E-E0B7-4ED9-BCFB-E7D9D8F25142}" type="presOf" srcId="{6EABDFAD-526E-4B02-A725-A9F8FDF630C8}" destId="{C1698EDC-D288-4E12-ADF0-C1B9CA8940AA}" srcOrd="0" destOrd="0" presId="urn:microsoft.com/office/officeart/2005/8/layout/matrix1"/>
    <dgm:cxn modelId="{2685A6AB-BF3F-4194-AD32-C2AB02486615}" type="presOf" srcId="{7AC17409-EA1B-4D8C-9783-F66546FC19CB}" destId="{E383F65C-FC74-46EE-88ED-A59BE245B51E}" srcOrd="1" destOrd="0" presId="urn:microsoft.com/office/officeart/2005/8/layout/matrix1"/>
    <dgm:cxn modelId="{06793FAC-9A62-40F7-9200-451655299C8A}" type="presOf" srcId="{00D63013-25C6-4873-A74A-1386F1744A6E}" destId="{48E743FF-4782-433B-8102-C21A7E8BCBD5}" srcOrd="0" destOrd="0" presId="urn:microsoft.com/office/officeart/2005/8/layout/matrix1"/>
    <dgm:cxn modelId="{1FDDD9AD-78DA-4764-8184-BB529035E639}" type="presOf" srcId="{6EABDFAD-526E-4B02-A725-A9F8FDF630C8}" destId="{A8F058E0-C3D1-4EAB-88FC-772ECEED24D1}" srcOrd="1" destOrd="0" presId="urn:microsoft.com/office/officeart/2005/8/layout/matrix1"/>
    <dgm:cxn modelId="{57C505B5-554B-4450-8446-3E131B9FD772}" srcId="{4F3A27E0-C6E3-44CF-9877-0F7059F3F71B}" destId="{7AC17409-EA1B-4D8C-9783-F66546FC19CB}" srcOrd="0" destOrd="0" parTransId="{5E7E447D-7818-4129-8D2A-207F16C0BBA7}" sibTransId="{1BE987A2-CCD7-4A14-AB56-759B6B289BEB}"/>
    <dgm:cxn modelId="{D77F4EB9-B6A1-4197-9F5A-66CC31B2179B}" srcId="{BEDE475B-1008-466F-938D-7E202A46B1AB}" destId="{4F3A27E0-C6E3-44CF-9877-0F7059F3F71B}" srcOrd="0" destOrd="0" parTransId="{F20B6981-E29A-4562-92D1-DE738EF08903}" sibTransId="{4C7D1080-22A8-45E9-8BCA-228D033248CD}"/>
    <dgm:cxn modelId="{17782DE9-656C-4881-A948-52B154C93366}" type="presOf" srcId="{4F3A27E0-C6E3-44CF-9877-0F7059F3F71B}" destId="{799A9D74-24AA-4B60-83E4-D783E5222670}" srcOrd="0" destOrd="0" presId="urn:microsoft.com/office/officeart/2005/8/layout/matrix1"/>
    <dgm:cxn modelId="{E35E9B0B-7EA9-489F-8EC0-AE5A1C616909}" type="presParOf" srcId="{A3F9C61C-43FB-48BE-AEBE-5C4041F966FE}" destId="{800B8371-C794-438A-8C23-26CF22C592FB}" srcOrd="0" destOrd="0" presId="urn:microsoft.com/office/officeart/2005/8/layout/matrix1"/>
    <dgm:cxn modelId="{482CC9E9-8973-45E7-8E3C-F0CCD0064026}" type="presParOf" srcId="{800B8371-C794-438A-8C23-26CF22C592FB}" destId="{2833DE86-6FD9-42C4-8E1D-2C10EA524DD1}" srcOrd="0" destOrd="0" presId="urn:microsoft.com/office/officeart/2005/8/layout/matrix1"/>
    <dgm:cxn modelId="{06E01FAC-99DB-4D94-A8A4-9EAF18A7BE30}" type="presParOf" srcId="{800B8371-C794-438A-8C23-26CF22C592FB}" destId="{E383F65C-FC74-46EE-88ED-A59BE245B51E}" srcOrd="1" destOrd="0" presId="urn:microsoft.com/office/officeart/2005/8/layout/matrix1"/>
    <dgm:cxn modelId="{B76D45F6-7E8C-43A8-B2A7-EE1DFD5E54FC}" type="presParOf" srcId="{800B8371-C794-438A-8C23-26CF22C592FB}" destId="{077044A2-6C0D-460D-9889-344E042B0433}" srcOrd="2" destOrd="0" presId="urn:microsoft.com/office/officeart/2005/8/layout/matrix1"/>
    <dgm:cxn modelId="{9FE0847F-9140-4530-8433-EE5B24C75208}" type="presParOf" srcId="{800B8371-C794-438A-8C23-26CF22C592FB}" destId="{CD40B640-6904-473F-83C1-5160205E3EC5}" srcOrd="3" destOrd="0" presId="urn:microsoft.com/office/officeart/2005/8/layout/matrix1"/>
    <dgm:cxn modelId="{C116101C-E11D-4335-BC9A-19C75D7E3779}" type="presParOf" srcId="{800B8371-C794-438A-8C23-26CF22C592FB}" destId="{C1698EDC-D288-4E12-ADF0-C1B9CA8940AA}" srcOrd="4" destOrd="0" presId="urn:microsoft.com/office/officeart/2005/8/layout/matrix1"/>
    <dgm:cxn modelId="{49F04205-0E24-43A4-BD80-1AA8B03C0584}" type="presParOf" srcId="{800B8371-C794-438A-8C23-26CF22C592FB}" destId="{A8F058E0-C3D1-4EAB-88FC-772ECEED24D1}" srcOrd="5" destOrd="0" presId="urn:microsoft.com/office/officeart/2005/8/layout/matrix1"/>
    <dgm:cxn modelId="{32E7155F-0B61-4202-9DE1-0A45245FEB9B}" type="presParOf" srcId="{800B8371-C794-438A-8C23-26CF22C592FB}" destId="{48E743FF-4782-433B-8102-C21A7E8BCBD5}" srcOrd="6" destOrd="0" presId="urn:microsoft.com/office/officeart/2005/8/layout/matrix1"/>
    <dgm:cxn modelId="{5D96130E-91B3-479A-B0F1-39E5A4AD0574}" type="presParOf" srcId="{800B8371-C794-438A-8C23-26CF22C592FB}" destId="{B949486B-7379-4E8C-91D8-CDC8BABB348D}" srcOrd="7" destOrd="0" presId="urn:microsoft.com/office/officeart/2005/8/layout/matrix1"/>
    <dgm:cxn modelId="{F4135D4B-FA9F-4053-87E6-E388A3BDE31C}" type="presParOf" srcId="{A3F9C61C-43FB-48BE-AEBE-5C4041F966FE}" destId="{799A9D74-24AA-4B60-83E4-D783E522267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12D690-5C60-432A-94B6-A44D9149A0A4}">
      <dsp:nvSpPr>
        <dsp:cNvPr id="0" name=""/>
        <dsp:cNvSpPr/>
      </dsp:nvSpPr>
      <dsp:spPr>
        <a:xfrm rot="16200000">
          <a:off x="1006176" y="-1006176"/>
          <a:ext cx="833717" cy="2846070"/>
        </a:xfrm>
        <a:prstGeom prst="round1Rect">
          <a:avLst/>
        </a:prstGeom>
        <a:solidFill>
          <a:srgbClr val="0045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324000" rIns="216000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bg1"/>
              </a:solidFill>
            </a:rPr>
            <a:t>3 593 projektů</a:t>
          </a:r>
          <a:endParaRPr lang="cs-CZ" sz="1200" b="1" kern="1200">
            <a:solidFill>
              <a:schemeClr val="bg1"/>
            </a:solidFill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chemeClr val="bg1"/>
              </a:solidFill>
            </a:rPr>
            <a:t>Počet podpořených projektů OPZ</a:t>
          </a:r>
          <a:r>
            <a:rPr lang="cs-CZ" sz="1200" b="1" kern="1200" baseline="30000">
              <a:solidFill>
                <a:schemeClr val="bg1"/>
              </a:solidFill>
            </a:rPr>
            <a:t>1</a:t>
          </a:r>
          <a:r>
            <a:rPr lang="cs-CZ" sz="1200" b="0" kern="1200">
              <a:solidFill>
                <a:schemeClr val="bg1"/>
              </a:solidFill>
            </a:rPr>
            <a:t> zaměřených na podporu                    rodinné politiky</a:t>
          </a:r>
        </a:p>
      </dsp:txBody>
      <dsp:txXfrm rot="5400000">
        <a:off x="-1" y="1"/>
        <a:ext cx="2846070" cy="625288"/>
      </dsp:txXfrm>
    </dsp:sp>
    <dsp:sp modelId="{2942870F-D96C-4314-95E0-28761331AF13}">
      <dsp:nvSpPr>
        <dsp:cNvPr id="0" name=""/>
        <dsp:cNvSpPr/>
      </dsp:nvSpPr>
      <dsp:spPr>
        <a:xfrm>
          <a:off x="2846070" y="0"/>
          <a:ext cx="2846070" cy="833717"/>
        </a:xfrm>
        <a:prstGeom prst="round1Rect">
          <a:avLst/>
        </a:prstGeom>
        <a:solidFill>
          <a:srgbClr val="0045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2000" tIns="216000" rIns="99568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bg1"/>
              </a:solidFill>
            </a:rPr>
            <a:t>8,6 mld. Kč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chemeClr val="bg1"/>
              </a:solidFill>
            </a:rPr>
            <a:t>Prostředky OPZ vynaložené na podporu rodinné politiky</a:t>
          </a:r>
        </a:p>
      </dsp:txBody>
      <dsp:txXfrm>
        <a:off x="2846070" y="0"/>
        <a:ext cx="2846070" cy="625288"/>
      </dsp:txXfrm>
    </dsp:sp>
    <dsp:sp modelId="{B72188F3-F105-45D8-B904-7CF6AB2F19FC}">
      <dsp:nvSpPr>
        <dsp:cNvPr id="0" name=""/>
        <dsp:cNvSpPr/>
      </dsp:nvSpPr>
      <dsp:spPr>
        <a:xfrm rot="10800000">
          <a:off x="0" y="833717"/>
          <a:ext cx="2846070" cy="833717"/>
        </a:xfrm>
        <a:prstGeom prst="round1Rect">
          <a:avLst/>
        </a:prstGeom>
        <a:solidFill>
          <a:srgbClr val="0045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144000" rIns="216000" bIns="32400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bg1"/>
              </a:solidFill>
            </a:rPr>
            <a:t>159 965 osob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chemeClr val="bg1"/>
              </a:solidFill>
            </a:rPr>
            <a:t>Celkový počet účastníků zařazených              do projektů OPZ zaměřených                         na podporu rodinné politiky</a:t>
          </a:r>
        </a:p>
      </dsp:txBody>
      <dsp:txXfrm rot="10800000">
        <a:off x="0" y="1042146"/>
        <a:ext cx="2846070" cy="625288"/>
      </dsp:txXfrm>
    </dsp:sp>
    <dsp:sp modelId="{FCAE7435-64DA-4E7A-9781-63E0725D5962}">
      <dsp:nvSpPr>
        <dsp:cNvPr id="0" name=""/>
        <dsp:cNvSpPr/>
      </dsp:nvSpPr>
      <dsp:spPr>
        <a:xfrm rot="5400000">
          <a:off x="3852246" y="-172458"/>
          <a:ext cx="833717" cy="2846070"/>
        </a:xfrm>
        <a:prstGeom prst="round1Rect">
          <a:avLst/>
        </a:prstGeom>
        <a:solidFill>
          <a:srgbClr val="00459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2000" tIns="180000" rIns="99568" bIns="36000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chemeClr val="bg1"/>
              </a:solidFill>
            </a:rPr>
            <a:t>89 413 Kč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chemeClr val="bg1"/>
              </a:solidFill>
            </a:rPr>
            <a:t>Průměrné náklady na osobu                       u projektů OPZ zaměřených na podporu rodinné politiky</a:t>
          </a:r>
        </a:p>
      </dsp:txBody>
      <dsp:txXfrm rot="-5400000">
        <a:off x="2846069" y="1042147"/>
        <a:ext cx="2846070" cy="625288"/>
      </dsp:txXfrm>
    </dsp:sp>
    <dsp:sp modelId="{8474130F-2114-433B-8A28-23923043DAF1}">
      <dsp:nvSpPr>
        <dsp:cNvPr id="0" name=""/>
        <dsp:cNvSpPr/>
      </dsp:nvSpPr>
      <dsp:spPr>
        <a:xfrm>
          <a:off x="1967249" y="653717"/>
          <a:ext cx="1757641" cy="359999"/>
        </a:xfrm>
        <a:prstGeom prst="roundRect">
          <a:avLst/>
        </a:prstGeom>
        <a:solidFill>
          <a:srgbClr val="BD2A3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bg1"/>
              </a:solidFill>
            </a:rPr>
            <a:t>Podpora rodinné politiky </a:t>
          </a:r>
          <a:br>
            <a:rPr lang="cs-CZ" sz="1200" b="1" kern="1200">
              <a:solidFill>
                <a:schemeClr val="bg1"/>
              </a:solidFill>
            </a:rPr>
          </a:br>
          <a:r>
            <a:rPr lang="cs-CZ" sz="1200" b="1" kern="1200">
              <a:solidFill>
                <a:schemeClr val="bg1"/>
              </a:solidFill>
            </a:rPr>
            <a:t>ze strany MPSV</a:t>
          </a:r>
        </a:p>
      </dsp:txBody>
      <dsp:txXfrm>
        <a:off x="1984823" y="671291"/>
        <a:ext cx="1722493" cy="3248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33DE86-6FD9-42C4-8E1D-2C10EA524DD1}">
      <dsp:nvSpPr>
        <dsp:cNvPr id="0" name=""/>
        <dsp:cNvSpPr/>
      </dsp:nvSpPr>
      <dsp:spPr>
        <a:xfrm rot="16200000">
          <a:off x="966283" y="-966283"/>
          <a:ext cx="921123" cy="2853690"/>
        </a:xfrm>
        <a:prstGeom prst="round1Rect">
          <a:avLst/>
        </a:prstGeom>
        <a:solidFill>
          <a:srgbClr val="C3C5C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180000" rIns="216000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ysClr val="windowText" lastClr="000000"/>
              </a:solidFill>
            </a:rPr>
            <a:t>10 projektů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0" kern="1200">
              <a:solidFill>
                <a:sysClr val="windowText" lastClr="000000"/>
              </a:solidFill>
            </a:rPr>
            <a:t>Počet kontrolovaných projektů OPZ </a:t>
          </a:r>
          <a:br>
            <a:rPr lang="cs-CZ" sz="1200" b="0" kern="1200">
              <a:solidFill>
                <a:sysClr val="windowText" lastClr="000000"/>
              </a:solidFill>
            </a:rPr>
          </a:br>
          <a:r>
            <a:rPr lang="cs-CZ" sz="1200" b="0" kern="1200">
              <a:solidFill>
                <a:sysClr val="windowText" lastClr="000000"/>
              </a:solidFill>
            </a:rPr>
            <a:t>(z toho </a:t>
          </a:r>
          <a:r>
            <a:rPr lang="cs-CZ" sz="1200" b="1" kern="1200">
              <a:solidFill>
                <a:sysClr val="windowText" lastClr="000000"/>
              </a:solidFill>
            </a:rPr>
            <a:t>sedm projektů </a:t>
          </a:r>
          <a:r>
            <a:rPr lang="cs-CZ" sz="1200" b="0" kern="1200">
              <a:solidFill>
                <a:sysClr val="windowText" lastClr="000000"/>
              </a:solidFill>
            </a:rPr>
            <a:t>ukončených)</a:t>
          </a:r>
        </a:p>
      </dsp:txBody>
      <dsp:txXfrm rot="5400000">
        <a:off x="-1" y="1"/>
        <a:ext cx="2853690" cy="690842"/>
      </dsp:txXfrm>
    </dsp:sp>
    <dsp:sp modelId="{077044A2-6C0D-460D-9889-344E042B0433}">
      <dsp:nvSpPr>
        <dsp:cNvPr id="0" name=""/>
        <dsp:cNvSpPr/>
      </dsp:nvSpPr>
      <dsp:spPr>
        <a:xfrm>
          <a:off x="2853690" y="0"/>
          <a:ext cx="2853690" cy="921123"/>
        </a:xfrm>
        <a:prstGeom prst="round1Rect">
          <a:avLst/>
        </a:prstGeom>
        <a:solidFill>
          <a:srgbClr val="C3C5C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2000" tIns="180000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ysClr val="windowText" lastClr="000000"/>
              </a:solidFill>
            </a:rPr>
            <a:t>216,7 mil. Kč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Prostředky OPZ vynaložené </a:t>
          </a:r>
          <a:br>
            <a:rPr lang="cs-CZ" sz="1200" kern="1200">
              <a:solidFill>
                <a:sysClr val="windowText" lastClr="000000"/>
              </a:solidFill>
            </a:rPr>
          </a:br>
          <a:r>
            <a:rPr lang="cs-CZ" sz="1200" kern="1200">
              <a:solidFill>
                <a:sysClr val="windowText" lastClr="000000"/>
              </a:solidFill>
            </a:rPr>
            <a:t>na 10 kontrolovaných projektů</a:t>
          </a:r>
        </a:p>
      </dsp:txBody>
      <dsp:txXfrm>
        <a:off x="2853690" y="0"/>
        <a:ext cx="2853690" cy="690842"/>
      </dsp:txXfrm>
    </dsp:sp>
    <dsp:sp modelId="{C1698EDC-D288-4E12-ADF0-C1B9CA8940AA}">
      <dsp:nvSpPr>
        <dsp:cNvPr id="0" name=""/>
        <dsp:cNvSpPr/>
      </dsp:nvSpPr>
      <dsp:spPr>
        <a:xfrm rot="10800000">
          <a:off x="0" y="921123"/>
          <a:ext cx="2853690" cy="921123"/>
        </a:xfrm>
        <a:prstGeom prst="round1Rect">
          <a:avLst/>
        </a:prstGeom>
        <a:solidFill>
          <a:srgbClr val="C3C5C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216000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ysClr val="windowText" lastClr="000000"/>
              </a:solidFill>
            </a:rPr>
            <a:t>2 999 osob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Celkový počet účastníků zařazených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do 10 kontrolovaných projektů OPZ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400" kern="1200"/>
        </a:p>
      </dsp:txBody>
      <dsp:txXfrm rot="10800000">
        <a:off x="0" y="1151404"/>
        <a:ext cx="2853690" cy="690842"/>
      </dsp:txXfrm>
    </dsp:sp>
    <dsp:sp modelId="{48E743FF-4782-433B-8102-C21A7E8BCBD5}">
      <dsp:nvSpPr>
        <dsp:cNvPr id="0" name=""/>
        <dsp:cNvSpPr/>
      </dsp:nvSpPr>
      <dsp:spPr>
        <a:xfrm rot="5400000">
          <a:off x="3819973" y="-45159"/>
          <a:ext cx="921123" cy="2853690"/>
        </a:xfrm>
        <a:prstGeom prst="round1Rect">
          <a:avLst/>
        </a:prstGeom>
        <a:solidFill>
          <a:srgbClr val="C3C5C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2000" tIns="0" rIns="99568" bIns="28800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>
              <a:solidFill>
                <a:sysClr val="windowText" lastClr="000000"/>
              </a:solidFill>
            </a:rPr>
            <a:t>91 %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b="0" kern="1200">
              <a:solidFill>
                <a:sysClr val="windowText" lastClr="000000"/>
              </a:solidFill>
            </a:rPr>
            <a:t>Podíl žen zařazených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1200" b="0" kern="1200">
              <a:solidFill>
                <a:sysClr val="windowText" lastClr="000000"/>
              </a:solidFill>
            </a:rPr>
            <a:t>do 10 kontrolovaných projektů OPZ </a:t>
          </a:r>
          <a:endParaRPr lang="cs-CZ" sz="1200" kern="1200">
            <a:solidFill>
              <a:sysClr val="windowText" lastClr="000000"/>
            </a:solidFill>
          </a:endParaRPr>
        </a:p>
      </dsp:txBody>
      <dsp:txXfrm rot="-5400000">
        <a:off x="2853689" y="1151404"/>
        <a:ext cx="2853690" cy="690842"/>
      </dsp:txXfrm>
    </dsp:sp>
    <dsp:sp modelId="{799A9D74-24AA-4B60-83E4-D783E5222670}">
      <dsp:nvSpPr>
        <dsp:cNvPr id="0" name=""/>
        <dsp:cNvSpPr/>
      </dsp:nvSpPr>
      <dsp:spPr>
        <a:xfrm>
          <a:off x="2223689" y="723123"/>
          <a:ext cx="1260001" cy="396000"/>
        </a:xfrm>
        <a:prstGeom prst="round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bg1"/>
              </a:solidFill>
            </a:rPr>
            <a:t>Kontrolované </a:t>
          </a:r>
          <a:br>
            <a:rPr lang="cs-CZ" sz="1200" b="1" kern="1200">
              <a:solidFill>
                <a:schemeClr val="bg1"/>
              </a:solidFill>
            </a:rPr>
          </a:br>
          <a:r>
            <a:rPr lang="cs-CZ" sz="1200" b="1" kern="1200">
              <a:solidFill>
                <a:schemeClr val="bg1"/>
              </a:solidFill>
            </a:rPr>
            <a:t>projekty OPZ</a:t>
          </a:r>
        </a:p>
      </dsp:txBody>
      <dsp:txXfrm>
        <a:off x="2243020" y="742454"/>
        <a:ext cx="1221339" cy="357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A2A5-DA1B-4416-ADA6-8BB4AF28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10499</Words>
  <Characters>61947</Characters>
  <Application>Microsoft Office Word</Application>
  <DocSecurity>4</DocSecurity>
  <Lines>516</Lines>
  <Paragraphs>144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NKÚ</Company>
  <LinksUpToDate>false</LinksUpToDate>
  <CharactersWithSpaces>72302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21/29 - Peněžní prostředky státního rozpočtu a Evropské unie určené na podporu rodinné politiky</dc:title>
  <dc:subject>Kontrolní závěr z kontrolní akce NKÚ č. 21/29 - Peněžní prostředky státního rozpočtu a Evropské unie určené na podporu rodinné politiky</dc:subject>
  <dc:creator>Nejvyšší kontrolní úřad</dc:creator>
  <cp:keywords>kontrolní závěr; rodinná politika</cp:keywords>
  <dc:description/>
  <cp:lastModifiedBy>KOKRDA Daniel</cp:lastModifiedBy>
  <cp:revision>2</cp:revision>
  <cp:lastPrinted>2022-10-24T07:53:00Z</cp:lastPrinted>
  <dcterms:created xsi:type="dcterms:W3CDTF">2022-11-03T12:14:00Z</dcterms:created>
  <dcterms:modified xsi:type="dcterms:W3CDTF">2022-11-03T12:14:00Z</dcterms:modified>
</cp:coreProperties>
</file>