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6438D" w14:textId="77777777" w:rsidR="00CF1BAE" w:rsidRDefault="00CF2910" w:rsidP="00517A9E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452B92">
        <w:rPr>
          <w:rFonts w:cstheme="minorHAnsi"/>
          <w:b/>
          <w:noProof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10928AAC" wp14:editId="71FEA3B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1210" cy="559435"/>
            <wp:effectExtent l="0" t="0" r="8890" b="0"/>
            <wp:wrapTopAndBottom/>
            <wp:docPr id="14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29151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BA4B52" w14:textId="77777777" w:rsidR="00986C72" w:rsidRDefault="00986C72" w:rsidP="00517A9E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AE84D20" w14:textId="77777777" w:rsidR="008B0207" w:rsidRPr="00517A9E" w:rsidRDefault="00341A9A" w:rsidP="00413CE8">
      <w:pPr>
        <w:jc w:val="center"/>
        <w:rPr>
          <w:rFonts w:cstheme="minorHAnsi"/>
          <w:b/>
          <w:sz w:val="28"/>
          <w:szCs w:val="28"/>
        </w:rPr>
      </w:pPr>
      <w:r w:rsidRPr="00517A9E">
        <w:rPr>
          <w:rFonts w:cstheme="minorHAnsi"/>
          <w:b/>
          <w:sz w:val="28"/>
          <w:szCs w:val="28"/>
        </w:rPr>
        <w:t>Kontrolní závěr z kontrolní akce</w:t>
      </w:r>
    </w:p>
    <w:p w14:paraId="4CE39147" w14:textId="77777777" w:rsidR="008B0207" w:rsidRPr="00517A9E" w:rsidRDefault="00097E16" w:rsidP="00413CE8">
      <w:pPr>
        <w:ind w:right="6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A70F6E">
        <w:rPr>
          <w:rFonts w:cstheme="minorHAnsi"/>
          <w:b/>
          <w:bCs/>
          <w:sz w:val="28"/>
          <w:szCs w:val="28"/>
        </w:rPr>
        <w:t>1</w:t>
      </w:r>
      <w:r w:rsidR="00413356" w:rsidRPr="00517A9E">
        <w:rPr>
          <w:rFonts w:cstheme="minorHAnsi"/>
          <w:b/>
          <w:bCs/>
          <w:sz w:val="28"/>
          <w:szCs w:val="28"/>
        </w:rPr>
        <w:t>/</w:t>
      </w:r>
      <w:r w:rsidR="00A70F6E">
        <w:rPr>
          <w:rFonts w:cstheme="minorHAnsi"/>
          <w:b/>
          <w:bCs/>
          <w:sz w:val="28"/>
          <w:szCs w:val="28"/>
        </w:rPr>
        <w:t>28</w:t>
      </w:r>
    </w:p>
    <w:p w14:paraId="514923AA" w14:textId="77777777" w:rsidR="001435DE" w:rsidRDefault="00A70F6E" w:rsidP="00413CE8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Elektronizace v resortu Ministerstva spravedlnosti</w:t>
      </w:r>
    </w:p>
    <w:p w14:paraId="7DEA068C" w14:textId="77777777" w:rsidR="00517A9E" w:rsidRDefault="00517A9E" w:rsidP="00517A9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</w:p>
    <w:p w14:paraId="160A283E" w14:textId="77777777" w:rsidR="00517A9E" w:rsidRPr="00517A9E" w:rsidRDefault="00517A9E" w:rsidP="00413CE8"/>
    <w:p w14:paraId="1EB67DE9" w14:textId="77777777" w:rsidR="00517A9E" w:rsidRPr="00517A9E" w:rsidRDefault="00341A9A" w:rsidP="00895033">
      <w:pPr>
        <w:pStyle w:val="Zkladn"/>
        <w:spacing w:before="0" w:after="480"/>
        <w:rPr>
          <w:rFonts w:asciiTheme="minorHAnsi" w:hAnsiTheme="minorHAnsi" w:cstheme="minorHAnsi"/>
        </w:rPr>
      </w:pPr>
      <w:r w:rsidRPr="00517A9E">
        <w:rPr>
          <w:rFonts w:asciiTheme="minorHAnsi" w:hAnsiTheme="minorHAnsi" w:cstheme="minorHAnsi"/>
        </w:rPr>
        <w:t>Kontrolní akce byla zařazena do plánu kontrolní činnosti Nejvyššího kontrolního úř</w:t>
      </w:r>
      <w:r w:rsidR="00097E16">
        <w:rPr>
          <w:rFonts w:asciiTheme="minorHAnsi" w:hAnsiTheme="minorHAnsi" w:cstheme="minorHAnsi"/>
        </w:rPr>
        <w:t>adu (dále také „NKÚ“) na rok 202</w:t>
      </w:r>
      <w:r w:rsidR="00A70F6E">
        <w:rPr>
          <w:rFonts w:asciiTheme="minorHAnsi" w:hAnsiTheme="minorHAnsi" w:cstheme="minorHAnsi"/>
        </w:rPr>
        <w:t>1</w:t>
      </w:r>
      <w:r w:rsidRPr="00517A9E">
        <w:rPr>
          <w:rFonts w:asciiTheme="minorHAnsi" w:hAnsiTheme="minorHAnsi" w:cstheme="minorHAnsi"/>
        </w:rPr>
        <w:t xml:space="preserve"> pod číslem </w:t>
      </w:r>
      <w:r w:rsidR="00097E16">
        <w:rPr>
          <w:rFonts w:asciiTheme="minorHAnsi" w:hAnsiTheme="minorHAnsi" w:cstheme="minorHAnsi"/>
        </w:rPr>
        <w:t>2</w:t>
      </w:r>
      <w:r w:rsidR="00A70F6E">
        <w:rPr>
          <w:rFonts w:asciiTheme="minorHAnsi" w:hAnsiTheme="minorHAnsi" w:cstheme="minorHAnsi"/>
        </w:rPr>
        <w:t>1</w:t>
      </w:r>
      <w:r w:rsidR="00413356" w:rsidRPr="00517A9E">
        <w:rPr>
          <w:rFonts w:asciiTheme="minorHAnsi" w:hAnsiTheme="minorHAnsi" w:cstheme="minorHAnsi"/>
        </w:rPr>
        <w:t>/</w:t>
      </w:r>
      <w:r w:rsidR="00A70F6E">
        <w:rPr>
          <w:rFonts w:asciiTheme="minorHAnsi" w:hAnsiTheme="minorHAnsi" w:cstheme="minorHAnsi"/>
        </w:rPr>
        <w:t>28</w:t>
      </w:r>
      <w:r w:rsidR="00413356" w:rsidRPr="00517A9E">
        <w:rPr>
          <w:rFonts w:asciiTheme="minorHAnsi" w:hAnsiTheme="minorHAnsi" w:cstheme="minorHAnsi"/>
        </w:rPr>
        <w:t>. Kontrolní akci řídil a kontrolní závěr vypracoval člen</w:t>
      </w:r>
      <w:r w:rsidRPr="00517A9E">
        <w:rPr>
          <w:rFonts w:asciiTheme="minorHAnsi" w:hAnsiTheme="minorHAnsi" w:cstheme="minorHAnsi"/>
        </w:rPr>
        <w:t xml:space="preserve"> NKÚ </w:t>
      </w:r>
      <w:r w:rsidR="00A70F6E">
        <w:rPr>
          <w:rFonts w:asciiTheme="minorHAnsi" w:hAnsiTheme="minorHAnsi" w:cstheme="minorHAnsi"/>
        </w:rPr>
        <w:t>Ing. Roman Procházka</w:t>
      </w:r>
      <w:r w:rsidRPr="00517A9E">
        <w:rPr>
          <w:rFonts w:asciiTheme="minorHAnsi" w:hAnsiTheme="minorHAnsi" w:cstheme="minorHAnsi"/>
        </w:rPr>
        <w:t>.</w:t>
      </w:r>
    </w:p>
    <w:p w14:paraId="5A090DA3" w14:textId="77777777" w:rsidR="00517A9E" w:rsidRPr="00517A9E" w:rsidRDefault="00341A9A" w:rsidP="00413CE8">
      <w:pPr>
        <w:pStyle w:val="Zkladn"/>
        <w:spacing w:before="0" w:after="480"/>
        <w:rPr>
          <w:rFonts w:asciiTheme="minorHAnsi" w:hAnsiTheme="minorHAnsi" w:cstheme="minorHAnsi"/>
        </w:rPr>
      </w:pPr>
      <w:r w:rsidRPr="00517A9E">
        <w:rPr>
          <w:rFonts w:asciiTheme="minorHAnsi" w:hAnsiTheme="minorHAnsi" w:cstheme="minorHAnsi"/>
          <w:b/>
        </w:rPr>
        <w:t>Cílem kontroly</w:t>
      </w:r>
      <w:r w:rsidRPr="00517A9E">
        <w:rPr>
          <w:rFonts w:asciiTheme="minorHAnsi" w:hAnsiTheme="minorHAnsi" w:cstheme="minorHAnsi"/>
        </w:rPr>
        <w:t xml:space="preserve"> </w:t>
      </w:r>
      <w:r w:rsidR="00A70F6E">
        <w:rPr>
          <w:rFonts w:asciiTheme="minorHAnsi" w:hAnsiTheme="minorHAnsi" w:cstheme="minorHAnsi"/>
        </w:rPr>
        <w:t xml:space="preserve">bylo prověřit hospodárnost a účelnost vynakládání peněžních prostředků na </w:t>
      </w:r>
      <w:bookmarkStart w:id="1" w:name="_Hlk113439421"/>
      <w:r w:rsidR="00A70F6E">
        <w:rPr>
          <w:rFonts w:asciiTheme="minorHAnsi" w:hAnsiTheme="minorHAnsi" w:cstheme="minorHAnsi"/>
        </w:rPr>
        <w:t>elektronizaci v resortu Ministerstva spravedlnosti</w:t>
      </w:r>
      <w:bookmarkEnd w:id="1"/>
      <w:r w:rsidR="00D44537" w:rsidRPr="00517A9E">
        <w:rPr>
          <w:rFonts w:asciiTheme="minorHAnsi" w:hAnsiTheme="minorHAnsi" w:cstheme="minorHAnsi"/>
        </w:rPr>
        <w:t>.</w:t>
      </w:r>
    </w:p>
    <w:p w14:paraId="285D16AF" w14:textId="77777777" w:rsidR="00341A9A" w:rsidRPr="00517A9E" w:rsidRDefault="00341A9A" w:rsidP="00517A9E">
      <w:pPr>
        <w:pStyle w:val="Zkladn"/>
        <w:spacing w:before="0"/>
        <w:rPr>
          <w:rFonts w:asciiTheme="minorHAnsi" w:hAnsiTheme="minorHAnsi" w:cstheme="minorHAnsi"/>
          <w:b/>
        </w:rPr>
      </w:pPr>
      <w:r w:rsidRPr="00517A9E">
        <w:rPr>
          <w:rFonts w:asciiTheme="minorHAnsi" w:hAnsiTheme="minorHAnsi" w:cstheme="minorHAnsi"/>
          <w:b/>
        </w:rPr>
        <w:t>Kontrolované osoby:</w:t>
      </w:r>
    </w:p>
    <w:p w14:paraId="163C03B4" w14:textId="77777777" w:rsidR="00097E16" w:rsidRDefault="00097E16" w:rsidP="00517A9E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Ministerstvo </w:t>
      </w:r>
      <w:r w:rsidR="00A70F6E">
        <w:rPr>
          <w:rFonts w:cstheme="minorHAnsi"/>
          <w:szCs w:val="24"/>
        </w:rPr>
        <w:t>spravedlnosti</w:t>
      </w:r>
      <w:r>
        <w:rPr>
          <w:rFonts w:cstheme="minorHAnsi"/>
          <w:szCs w:val="24"/>
        </w:rPr>
        <w:t xml:space="preserve"> (dále také „</w:t>
      </w:r>
      <w:proofErr w:type="spellStart"/>
      <w:r>
        <w:rPr>
          <w:rFonts w:cstheme="minorHAnsi"/>
          <w:szCs w:val="24"/>
        </w:rPr>
        <w:t>M</w:t>
      </w:r>
      <w:r w:rsidR="00A70F6E">
        <w:rPr>
          <w:rFonts w:cstheme="minorHAnsi"/>
          <w:szCs w:val="24"/>
        </w:rPr>
        <w:t>Sp</w:t>
      </w:r>
      <w:proofErr w:type="spellEnd"/>
      <w:r>
        <w:rPr>
          <w:rFonts w:cstheme="minorHAnsi"/>
          <w:szCs w:val="24"/>
        </w:rPr>
        <w:t>“),</w:t>
      </w:r>
    </w:p>
    <w:p w14:paraId="1766D8D9" w14:textId="77777777" w:rsidR="00097E16" w:rsidRPr="00413CE8" w:rsidRDefault="00A70F6E" w:rsidP="00413CE8">
      <w:pPr>
        <w:spacing w:after="480"/>
        <w:rPr>
          <w:rFonts w:cstheme="minorHAnsi"/>
          <w:szCs w:val="24"/>
        </w:rPr>
      </w:pPr>
      <w:r>
        <w:rPr>
          <w:rFonts w:cstheme="minorHAnsi"/>
          <w:szCs w:val="24"/>
        </w:rPr>
        <w:t>Probační a mediační služba</w:t>
      </w:r>
      <w:r w:rsidR="00097E16">
        <w:rPr>
          <w:rFonts w:cstheme="minorHAnsi"/>
          <w:szCs w:val="24"/>
        </w:rPr>
        <w:t xml:space="preserve"> (dále také „</w:t>
      </w:r>
      <w:r>
        <w:rPr>
          <w:rFonts w:cstheme="minorHAnsi"/>
          <w:szCs w:val="24"/>
        </w:rPr>
        <w:t>PMS</w:t>
      </w:r>
      <w:r w:rsidR="00097E16">
        <w:rPr>
          <w:rFonts w:cstheme="minorHAnsi"/>
          <w:szCs w:val="24"/>
        </w:rPr>
        <w:t>“).</w:t>
      </w:r>
    </w:p>
    <w:p w14:paraId="5F99C91C" w14:textId="77777777" w:rsidR="00895033" w:rsidRDefault="00341A9A" w:rsidP="00413CE8">
      <w:pPr>
        <w:spacing w:after="480"/>
        <w:rPr>
          <w:rFonts w:cstheme="minorHAnsi"/>
          <w:szCs w:val="24"/>
        </w:rPr>
      </w:pPr>
      <w:r w:rsidRPr="00517A9E">
        <w:rPr>
          <w:rFonts w:eastAsia="Times New Roman" w:cstheme="minorHAnsi"/>
          <w:szCs w:val="24"/>
        </w:rPr>
        <w:t>Kontrola byla prováděna u kontro</w:t>
      </w:r>
      <w:r w:rsidR="00A900A5" w:rsidRPr="00517A9E">
        <w:rPr>
          <w:rFonts w:eastAsia="Times New Roman" w:cstheme="minorHAnsi"/>
          <w:szCs w:val="24"/>
        </w:rPr>
        <w:t>lovaných osob v období od</w:t>
      </w:r>
      <w:r w:rsidR="00D44537" w:rsidRPr="00517A9E">
        <w:rPr>
          <w:rFonts w:eastAsia="Times New Roman" w:cstheme="minorHAnsi"/>
          <w:szCs w:val="24"/>
        </w:rPr>
        <w:t xml:space="preserve"> </w:t>
      </w:r>
      <w:r w:rsidR="00A70F6E">
        <w:rPr>
          <w:rFonts w:eastAsia="Times New Roman" w:cstheme="minorHAnsi"/>
          <w:szCs w:val="24"/>
        </w:rPr>
        <w:t>října</w:t>
      </w:r>
      <w:r w:rsidR="00D44537" w:rsidRPr="00517A9E">
        <w:rPr>
          <w:rFonts w:eastAsia="Times New Roman" w:cstheme="minorHAnsi"/>
          <w:szCs w:val="24"/>
        </w:rPr>
        <w:t xml:space="preserve"> 20</w:t>
      </w:r>
      <w:r w:rsidR="00097E16">
        <w:rPr>
          <w:rFonts w:eastAsia="Times New Roman" w:cstheme="minorHAnsi"/>
          <w:szCs w:val="24"/>
        </w:rPr>
        <w:t>2</w:t>
      </w:r>
      <w:r w:rsidR="00A70F6E">
        <w:rPr>
          <w:rFonts w:eastAsia="Times New Roman" w:cstheme="minorHAnsi"/>
          <w:szCs w:val="24"/>
        </w:rPr>
        <w:t>1</w:t>
      </w:r>
      <w:r w:rsidR="00D44537" w:rsidRPr="00517A9E">
        <w:rPr>
          <w:rFonts w:eastAsia="Times New Roman" w:cstheme="minorHAnsi"/>
          <w:szCs w:val="24"/>
        </w:rPr>
        <w:t xml:space="preserve"> do </w:t>
      </w:r>
      <w:r w:rsidR="00A70F6E">
        <w:rPr>
          <w:rFonts w:eastAsia="Times New Roman" w:cstheme="minorHAnsi"/>
          <w:szCs w:val="24"/>
        </w:rPr>
        <w:t>června</w:t>
      </w:r>
      <w:r w:rsidR="00D44537" w:rsidRPr="00FA00D7">
        <w:rPr>
          <w:rFonts w:eastAsia="Times New Roman" w:cstheme="minorHAnsi"/>
          <w:szCs w:val="24"/>
        </w:rPr>
        <w:t xml:space="preserve"> 20</w:t>
      </w:r>
      <w:r w:rsidR="00097E16" w:rsidRPr="00FA00D7">
        <w:rPr>
          <w:rFonts w:eastAsia="Times New Roman" w:cstheme="minorHAnsi"/>
          <w:szCs w:val="24"/>
        </w:rPr>
        <w:t>2</w:t>
      </w:r>
      <w:r w:rsidR="00A70F6E">
        <w:rPr>
          <w:rFonts w:eastAsia="Times New Roman" w:cstheme="minorHAnsi"/>
          <w:szCs w:val="24"/>
        </w:rPr>
        <w:t>2</w:t>
      </w:r>
      <w:r w:rsidRPr="00FA00D7">
        <w:rPr>
          <w:rFonts w:eastAsia="Times New Roman" w:cstheme="minorHAnsi"/>
          <w:szCs w:val="24"/>
        </w:rPr>
        <w:t>.</w:t>
      </w:r>
    </w:p>
    <w:p w14:paraId="29C50D91" w14:textId="4F9EDA0D" w:rsidR="000648F0" w:rsidRDefault="00341A9A" w:rsidP="00F8590F">
      <w:pPr>
        <w:spacing w:after="720"/>
        <w:rPr>
          <w:rFonts w:cstheme="minorHAnsi"/>
          <w:szCs w:val="24"/>
        </w:rPr>
      </w:pPr>
      <w:r w:rsidRPr="00517A9E">
        <w:rPr>
          <w:rFonts w:cstheme="minorHAnsi"/>
          <w:b/>
          <w:szCs w:val="24"/>
        </w:rPr>
        <w:t>Kontrolováno bylo období</w:t>
      </w:r>
      <w:r w:rsidRPr="00517A9E">
        <w:rPr>
          <w:rFonts w:cstheme="minorHAnsi"/>
          <w:szCs w:val="24"/>
        </w:rPr>
        <w:t xml:space="preserve"> od </w:t>
      </w:r>
      <w:r w:rsidR="00A70F6E">
        <w:rPr>
          <w:rFonts w:cstheme="minorHAnsi"/>
          <w:szCs w:val="24"/>
        </w:rPr>
        <w:t>roku 2016 do roku 202</w:t>
      </w:r>
      <w:r w:rsidR="00C018C9">
        <w:rPr>
          <w:rFonts w:cstheme="minorHAnsi"/>
          <w:szCs w:val="24"/>
        </w:rPr>
        <w:t>0</w:t>
      </w:r>
      <w:r w:rsidR="00A70F6E">
        <w:rPr>
          <w:rFonts w:cstheme="minorHAnsi"/>
          <w:szCs w:val="24"/>
        </w:rPr>
        <w:t xml:space="preserve">, </w:t>
      </w:r>
      <w:r w:rsidRPr="00FA00D7">
        <w:rPr>
          <w:rFonts w:cstheme="minorHAnsi"/>
          <w:szCs w:val="24"/>
        </w:rPr>
        <w:t xml:space="preserve">v případě věcných souvislostí </w:t>
      </w:r>
      <w:r w:rsidR="00EF5129">
        <w:rPr>
          <w:rFonts w:cstheme="minorHAnsi"/>
          <w:szCs w:val="24"/>
        </w:rPr>
        <w:t>i </w:t>
      </w:r>
      <w:r w:rsidRPr="00FA00D7">
        <w:rPr>
          <w:rFonts w:cstheme="minorHAnsi"/>
          <w:szCs w:val="24"/>
        </w:rPr>
        <w:t xml:space="preserve">období </w:t>
      </w:r>
      <w:r w:rsidR="00A70F6E">
        <w:rPr>
          <w:rFonts w:cstheme="minorHAnsi"/>
          <w:szCs w:val="24"/>
        </w:rPr>
        <w:t xml:space="preserve">předcházející a období </w:t>
      </w:r>
      <w:r w:rsidR="00D44537" w:rsidRPr="00FA00D7">
        <w:rPr>
          <w:rFonts w:cstheme="minorHAnsi"/>
          <w:szCs w:val="24"/>
        </w:rPr>
        <w:t>do ukončení kontroly</w:t>
      </w:r>
      <w:r w:rsidRPr="00FA00D7">
        <w:rPr>
          <w:rFonts w:cstheme="minorHAnsi"/>
          <w:szCs w:val="24"/>
        </w:rPr>
        <w:t>.</w:t>
      </w:r>
    </w:p>
    <w:p w14:paraId="07A637B7" w14:textId="77777777" w:rsidR="003C2BC8" w:rsidRDefault="00FF1A12" w:rsidP="00F8590F">
      <w:pPr>
        <w:spacing w:after="1200"/>
        <w:ind w:left="567" w:hanging="567"/>
        <w:rPr>
          <w:rFonts w:cstheme="minorHAnsi"/>
          <w:sz w:val="20"/>
          <w:szCs w:val="20"/>
        </w:rPr>
      </w:pPr>
      <w:r w:rsidRPr="00517A9E">
        <w:rPr>
          <w:rFonts w:cstheme="minorHAnsi"/>
          <w:b/>
          <w:sz w:val="20"/>
          <w:szCs w:val="20"/>
        </w:rPr>
        <w:t>Pozn</w:t>
      </w:r>
      <w:r w:rsidRPr="002D5F9F">
        <w:rPr>
          <w:rFonts w:cstheme="minorHAnsi"/>
          <w:b/>
          <w:sz w:val="20"/>
          <w:szCs w:val="20"/>
        </w:rPr>
        <w:t xml:space="preserve">.: </w:t>
      </w:r>
      <w:r w:rsidR="001A3B02">
        <w:rPr>
          <w:rFonts w:cstheme="minorHAnsi"/>
          <w:sz w:val="20"/>
          <w:szCs w:val="20"/>
        </w:rPr>
        <w:tab/>
      </w:r>
      <w:r w:rsidRPr="00517A9E">
        <w:rPr>
          <w:rFonts w:cstheme="minorHAnsi"/>
          <w:sz w:val="20"/>
          <w:szCs w:val="20"/>
        </w:rPr>
        <w:t>Právní předpisy uvedené v tomto kontrolním závěru jsou aplikovány ve znění účinném pro kontrolované období.</w:t>
      </w:r>
      <w:r w:rsidR="003C2BC8">
        <w:rPr>
          <w:rFonts w:cstheme="minorHAnsi"/>
          <w:sz w:val="20"/>
          <w:szCs w:val="20"/>
        </w:rPr>
        <w:br/>
        <w:t>Peněžní prostředky jsou uváděny včetně DPH, není-li uvedeno jinak.</w:t>
      </w:r>
    </w:p>
    <w:p w14:paraId="0EB41843" w14:textId="074422E0" w:rsidR="00273246" w:rsidRPr="000610E5" w:rsidRDefault="00273246" w:rsidP="00413CE8">
      <w:pPr>
        <w:rPr>
          <w:rFonts w:cstheme="minorHAnsi"/>
        </w:rPr>
      </w:pPr>
      <w:r w:rsidRPr="000610E5">
        <w:rPr>
          <w:rFonts w:cstheme="minorHAnsi"/>
          <w:b/>
          <w:bCs/>
          <w:i/>
          <w:iCs/>
        </w:rPr>
        <w:t xml:space="preserve">K o l e g i u m   N K Ú  </w:t>
      </w:r>
      <w:r w:rsidRPr="000610E5">
        <w:rPr>
          <w:rFonts w:cstheme="minorHAnsi"/>
        </w:rPr>
        <w:t xml:space="preserve"> na svém </w:t>
      </w:r>
      <w:r w:rsidR="000B54DE">
        <w:rPr>
          <w:rFonts w:cstheme="minorHAnsi"/>
        </w:rPr>
        <w:t>XIV</w:t>
      </w:r>
      <w:r w:rsidRPr="000610E5">
        <w:rPr>
          <w:rFonts w:cstheme="minorHAnsi"/>
        </w:rPr>
        <w:t>. jednání</w:t>
      </w:r>
      <w:r w:rsidR="001F6D78">
        <w:rPr>
          <w:rFonts w:cstheme="minorHAnsi"/>
        </w:rPr>
        <w:t>, které se</w:t>
      </w:r>
      <w:r w:rsidRPr="000610E5">
        <w:rPr>
          <w:rFonts w:cstheme="minorHAnsi"/>
        </w:rPr>
        <w:t xml:space="preserve"> kona</w:t>
      </w:r>
      <w:r w:rsidR="00D9622E">
        <w:rPr>
          <w:rFonts w:cstheme="minorHAnsi"/>
        </w:rPr>
        <w:t>lo</w:t>
      </w:r>
      <w:r w:rsidRPr="000610E5">
        <w:rPr>
          <w:rFonts w:cstheme="minorHAnsi"/>
        </w:rPr>
        <w:t xml:space="preserve"> dne </w:t>
      </w:r>
      <w:r w:rsidR="000B54DE">
        <w:rPr>
          <w:rFonts w:cstheme="minorHAnsi"/>
        </w:rPr>
        <w:t xml:space="preserve">17. </w:t>
      </w:r>
      <w:r w:rsidR="00881B68">
        <w:rPr>
          <w:rFonts w:cstheme="minorHAnsi"/>
        </w:rPr>
        <w:t>ří</w:t>
      </w:r>
      <w:r w:rsidR="000B54DE">
        <w:rPr>
          <w:rFonts w:cstheme="minorHAnsi"/>
        </w:rPr>
        <w:t>jna</w:t>
      </w:r>
      <w:r w:rsidRPr="000610E5">
        <w:rPr>
          <w:rFonts w:cstheme="minorHAnsi"/>
        </w:rPr>
        <w:t xml:space="preserve"> 20</w:t>
      </w:r>
      <w:r w:rsidR="007426DF" w:rsidRPr="000610E5">
        <w:rPr>
          <w:rFonts w:cstheme="minorHAnsi"/>
        </w:rPr>
        <w:t>2</w:t>
      </w:r>
      <w:r w:rsidR="00881B68">
        <w:rPr>
          <w:rFonts w:cstheme="minorHAnsi"/>
        </w:rPr>
        <w:t>2</w:t>
      </w:r>
      <w:r w:rsidR="00D9622E">
        <w:rPr>
          <w:rFonts w:cstheme="minorHAnsi"/>
        </w:rPr>
        <w:t>,</w:t>
      </w:r>
      <w:r w:rsidRPr="000610E5">
        <w:rPr>
          <w:rFonts w:cstheme="minorHAnsi"/>
        </w:rPr>
        <w:t xml:space="preserve"> </w:t>
      </w:r>
    </w:p>
    <w:p w14:paraId="2E137F55" w14:textId="3205A195" w:rsidR="00273246" w:rsidRPr="000610E5" w:rsidRDefault="00273246" w:rsidP="00413CE8">
      <w:pPr>
        <w:pStyle w:val="NormlnKZ"/>
        <w:ind w:firstLine="0"/>
        <w:rPr>
          <w:rFonts w:cstheme="minorHAnsi"/>
        </w:rPr>
      </w:pPr>
      <w:r w:rsidRPr="000610E5">
        <w:rPr>
          <w:rFonts w:cstheme="minorHAnsi"/>
          <w:b/>
          <w:bCs/>
          <w:i/>
          <w:iCs/>
        </w:rPr>
        <w:t xml:space="preserve">s c h v á l i l o  </w:t>
      </w:r>
      <w:r w:rsidRPr="000610E5">
        <w:rPr>
          <w:rFonts w:cstheme="minorHAnsi"/>
        </w:rPr>
        <w:t xml:space="preserve"> usnesením č.</w:t>
      </w:r>
      <w:r w:rsidR="00AA6887">
        <w:rPr>
          <w:rFonts w:cstheme="minorHAnsi"/>
        </w:rPr>
        <w:t xml:space="preserve"> 12</w:t>
      </w:r>
      <w:r w:rsidRPr="000610E5">
        <w:rPr>
          <w:rFonts w:cstheme="minorHAnsi"/>
        </w:rPr>
        <w:t>/</w:t>
      </w:r>
      <w:r w:rsidR="000B54DE">
        <w:rPr>
          <w:rFonts w:cstheme="minorHAnsi"/>
        </w:rPr>
        <w:t>XIV</w:t>
      </w:r>
      <w:r w:rsidRPr="000610E5">
        <w:rPr>
          <w:rFonts w:cstheme="minorHAnsi"/>
        </w:rPr>
        <w:t>/20</w:t>
      </w:r>
      <w:r w:rsidR="007426DF" w:rsidRPr="000610E5">
        <w:rPr>
          <w:rFonts w:cstheme="minorHAnsi"/>
        </w:rPr>
        <w:t>2</w:t>
      </w:r>
      <w:r w:rsidR="00881B68">
        <w:rPr>
          <w:rFonts w:cstheme="minorHAnsi"/>
        </w:rPr>
        <w:t>2</w:t>
      </w:r>
    </w:p>
    <w:p w14:paraId="3D08B42C" w14:textId="77777777" w:rsidR="00273246" w:rsidRDefault="00273246" w:rsidP="00413CE8">
      <w:pPr>
        <w:pStyle w:val="NormlnKZ"/>
        <w:ind w:firstLine="0"/>
        <w:rPr>
          <w:rFonts w:cstheme="minorHAnsi"/>
        </w:rPr>
      </w:pPr>
      <w:r w:rsidRPr="000610E5">
        <w:rPr>
          <w:rFonts w:cstheme="minorHAnsi"/>
          <w:b/>
          <w:bCs/>
          <w:i/>
          <w:iCs/>
        </w:rPr>
        <w:t>k o n t r o l n í   z á v ě r</w:t>
      </w:r>
      <w:r w:rsidRPr="000610E5">
        <w:rPr>
          <w:rFonts w:cstheme="minorHAnsi"/>
        </w:rPr>
        <w:t xml:space="preserve">   v tomto znění:</w:t>
      </w:r>
    </w:p>
    <w:p w14:paraId="4C596D03" w14:textId="77777777" w:rsidR="00923DB6" w:rsidRDefault="00923DB6" w:rsidP="00FB3111">
      <w:pPr>
        <w:sectPr w:rsidR="00923DB6" w:rsidSect="00EE3A26"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DB7F391" w14:textId="45A7F24F" w:rsidR="00935DCF" w:rsidRDefault="00C750BC" w:rsidP="00FB3111">
      <w:r>
        <w:rPr>
          <w:noProof/>
        </w:rPr>
        <w:lastRenderedPageBreak/>
        <w:drawing>
          <wp:inline distT="0" distB="0" distL="0" distR="0" wp14:anchorId="57079A63" wp14:editId="35B550A0">
            <wp:extent cx="5760720" cy="80778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7D599" w14:textId="77777777" w:rsidR="00935DCF" w:rsidRDefault="00935DCF" w:rsidP="00FB3111"/>
    <w:p w14:paraId="089A12D8" w14:textId="0508ADE8" w:rsidR="00FB3111" w:rsidRDefault="00FB3111" w:rsidP="00FB3111"/>
    <w:p w14:paraId="19D1AE28" w14:textId="37FFE02F" w:rsidR="00923DB6" w:rsidRDefault="00923DB6">
      <w:pPr>
        <w:spacing w:after="160" w:line="259" w:lineRule="auto"/>
        <w:jc w:val="left"/>
      </w:pPr>
      <w:r>
        <w:br w:type="page"/>
      </w:r>
    </w:p>
    <w:p w14:paraId="316C487D" w14:textId="088E749F" w:rsidR="00E9548C" w:rsidRPr="00317D87" w:rsidRDefault="00E9548C" w:rsidP="00082059">
      <w:pPr>
        <w:pStyle w:val="Nadpis1"/>
        <w:numPr>
          <w:ilvl w:val="0"/>
          <w:numId w:val="0"/>
        </w:numPr>
        <w:spacing w:before="480"/>
        <w:jc w:val="center"/>
        <w:rPr>
          <w:sz w:val="28"/>
          <w:szCs w:val="28"/>
        </w:rPr>
      </w:pPr>
      <w:r w:rsidRPr="00317D87">
        <w:rPr>
          <w:sz w:val="28"/>
          <w:szCs w:val="28"/>
        </w:rPr>
        <w:lastRenderedPageBreak/>
        <w:t xml:space="preserve">I. </w:t>
      </w:r>
      <w:r w:rsidR="00125B05" w:rsidRPr="00317D87">
        <w:rPr>
          <w:sz w:val="28"/>
          <w:szCs w:val="28"/>
        </w:rPr>
        <w:t>Shrnutí a vyhodnocení</w:t>
      </w:r>
    </w:p>
    <w:p w14:paraId="2225AA72" w14:textId="5B873993" w:rsidR="00A555DF" w:rsidRPr="0047293F" w:rsidRDefault="0047293F" w:rsidP="00A555DF">
      <w:pPr>
        <w:rPr>
          <w:lang w:eastAsia="cs-CZ"/>
        </w:rPr>
      </w:pPr>
      <w:r w:rsidRPr="0047293F">
        <w:rPr>
          <w:lang w:eastAsia="cs-CZ"/>
        </w:rPr>
        <w:t>NKÚ</w:t>
      </w:r>
      <w:r w:rsidR="00A555DF">
        <w:rPr>
          <w:lang w:eastAsia="cs-CZ"/>
        </w:rPr>
        <w:t xml:space="preserve"> v kontrole prověřil účelnost a hospodárnost </w:t>
      </w:r>
      <w:r w:rsidR="00F76C39">
        <w:rPr>
          <w:lang w:eastAsia="cs-CZ"/>
        </w:rPr>
        <w:t xml:space="preserve">vynakládání </w:t>
      </w:r>
      <w:r w:rsidR="00A555DF">
        <w:rPr>
          <w:lang w:eastAsia="cs-CZ"/>
        </w:rPr>
        <w:t xml:space="preserve">peněžních </w:t>
      </w:r>
      <w:r w:rsidR="009E58DA">
        <w:rPr>
          <w:lang w:eastAsia="cs-CZ"/>
        </w:rPr>
        <w:t xml:space="preserve">prostředků </w:t>
      </w:r>
      <w:r w:rsidR="00E34E17">
        <w:rPr>
          <w:lang w:eastAsia="cs-CZ"/>
        </w:rPr>
        <w:t xml:space="preserve">na realizaci </w:t>
      </w:r>
      <w:r w:rsidR="00E34E17" w:rsidRPr="00E34E17">
        <w:rPr>
          <w:i/>
          <w:lang w:eastAsia="cs-CZ"/>
        </w:rPr>
        <w:t xml:space="preserve">Resortní strategie pro rozvoj </w:t>
      </w:r>
      <w:proofErr w:type="spellStart"/>
      <w:r w:rsidR="00E34E17" w:rsidRPr="00E34E17">
        <w:rPr>
          <w:i/>
          <w:lang w:eastAsia="cs-CZ"/>
        </w:rPr>
        <w:t>eJustice</w:t>
      </w:r>
      <w:proofErr w:type="spellEnd"/>
      <w:r w:rsidR="00E34E17" w:rsidRPr="00E34E17">
        <w:rPr>
          <w:i/>
          <w:lang w:eastAsia="cs-CZ"/>
        </w:rPr>
        <w:t xml:space="preserve"> 2016–2020</w:t>
      </w:r>
      <w:r w:rsidR="00E34E17">
        <w:rPr>
          <w:lang w:eastAsia="cs-CZ"/>
        </w:rPr>
        <w:t xml:space="preserve"> (dále také „Strategie </w:t>
      </w:r>
      <w:proofErr w:type="spellStart"/>
      <w:r w:rsidR="00E34E17">
        <w:rPr>
          <w:lang w:eastAsia="cs-CZ"/>
        </w:rPr>
        <w:t>eJustice</w:t>
      </w:r>
      <w:proofErr w:type="spellEnd"/>
      <w:r w:rsidR="00E34E17">
        <w:rPr>
          <w:lang w:eastAsia="cs-CZ"/>
        </w:rPr>
        <w:t>“). Zaměřil</w:t>
      </w:r>
      <w:r w:rsidR="00EF05A3">
        <w:rPr>
          <w:lang w:eastAsia="cs-CZ"/>
        </w:rPr>
        <w:t xml:space="preserve"> se</w:t>
      </w:r>
      <w:r w:rsidR="00E34E17">
        <w:rPr>
          <w:lang w:eastAsia="cs-CZ"/>
        </w:rPr>
        <w:t xml:space="preserve"> na kontrolu plnění cílů</w:t>
      </w:r>
      <w:r w:rsidR="00267F8E">
        <w:rPr>
          <w:lang w:eastAsia="cs-CZ"/>
        </w:rPr>
        <w:t xml:space="preserve"> a</w:t>
      </w:r>
      <w:r w:rsidR="00E34E17">
        <w:rPr>
          <w:lang w:eastAsia="cs-CZ"/>
        </w:rPr>
        <w:t xml:space="preserve"> </w:t>
      </w:r>
      <w:r w:rsidR="00F76C39">
        <w:rPr>
          <w:lang w:eastAsia="cs-CZ"/>
        </w:rPr>
        <w:t xml:space="preserve">realizace </w:t>
      </w:r>
      <w:r w:rsidR="00E34E17">
        <w:rPr>
          <w:lang w:eastAsia="cs-CZ"/>
        </w:rPr>
        <w:t xml:space="preserve">aktivit/projektů </w:t>
      </w:r>
      <w:r w:rsidR="00267F8E">
        <w:rPr>
          <w:lang w:eastAsia="cs-CZ"/>
        </w:rPr>
        <w:t>stanovených v této strategii</w:t>
      </w:r>
      <w:r w:rsidR="007F4073">
        <w:rPr>
          <w:lang w:eastAsia="cs-CZ"/>
        </w:rPr>
        <w:t>.</w:t>
      </w:r>
    </w:p>
    <w:p w14:paraId="3CB14AF5" w14:textId="066349FF" w:rsidR="00DD1A1C" w:rsidRDefault="00DD1A1C" w:rsidP="00DD1A1C">
      <w:pPr>
        <w:rPr>
          <w:b/>
          <w:lang w:eastAsia="cs-CZ"/>
        </w:rPr>
      </w:pPr>
      <w:proofErr w:type="spellStart"/>
      <w:r>
        <w:rPr>
          <w:b/>
          <w:lang w:eastAsia="cs-CZ"/>
        </w:rPr>
        <w:t>MSp</w:t>
      </w:r>
      <w:proofErr w:type="spellEnd"/>
      <w:r>
        <w:rPr>
          <w:b/>
          <w:lang w:eastAsia="cs-CZ"/>
        </w:rPr>
        <w:t xml:space="preserve"> </w:t>
      </w:r>
      <w:r w:rsidR="00460C19">
        <w:rPr>
          <w:b/>
          <w:lang w:eastAsia="cs-CZ"/>
        </w:rPr>
        <w:t>v letech 2016 až 2021</w:t>
      </w:r>
      <w:r>
        <w:rPr>
          <w:b/>
          <w:lang w:eastAsia="cs-CZ"/>
        </w:rPr>
        <w:t xml:space="preserve"> pokročilo v </w:t>
      </w:r>
      <w:r w:rsidRPr="005866BF">
        <w:rPr>
          <w:b/>
          <w:lang w:eastAsia="cs-CZ"/>
        </w:rPr>
        <w:t>elektronizac</w:t>
      </w:r>
      <w:r w:rsidR="00F80525">
        <w:rPr>
          <w:b/>
          <w:lang w:eastAsia="cs-CZ"/>
        </w:rPr>
        <w:t>i</w:t>
      </w:r>
      <w:r w:rsidRPr="005866BF">
        <w:rPr>
          <w:b/>
          <w:lang w:eastAsia="cs-CZ"/>
        </w:rPr>
        <w:t xml:space="preserve"> resortu </w:t>
      </w:r>
      <w:r>
        <w:rPr>
          <w:b/>
          <w:lang w:eastAsia="cs-CZ"/>
        </w:rPr>
        <w:t>justice jen minimálně.</w:t>
      </w:r>
      <w:r w:rsidR="00A22E49">
        <w:rPr>
          <w:b/>
          <w:lang w:eastAsia="cs-CZ"/>
        </w:rPr>
        <w:t xml:space="preserve"> </w:t>
      </w:r>
      <w:r w:rsidR="00BC5C67">
        <w:rPr>
          <w:b/>
          <w:lang w:eastAsia="cs-CZ"/>
        </w:rPr>
        <w:t xml:space="preserve">Na plnění cílů Strategie </w:t>
      </w:r>
      <w:proofErr w:type="spellStart"/>
      <w:r w:rsidR="00BC5C67">
        <w:rPr>
          <w:b/>
          <w:lang w:eastAsia="cs-CZ"/>
        </w:rPr>
        <w:t>eJustice</w:t>
      </w:r>
      <w:proofErr w:type="spellEnd"/>
      <w:r w:rsidR="00BC5C67">
        <w:rPr>
          <w:b/>
          <w:lang w:eastAsia="cs-CZ"/>
        </w:rPr>
        <w:t xml:space="preserve"> resort vynaložil již 331,5 mil. Kč. </w:t>
      </w:r>
      <w:r w:rsidR="007F4073">
        <w:rPr>
          <w:b/>
          <w:lang w:eastAsia="cs-CZ"/>
        </w:rPr>
        <w:t xml:space="preserve">NKÚ vyhodnotil realizaci Strategie </w:t>
      </w:r>
      <w:proofErr w:type="spellStart"/>
      <w:r w:rsidR="007F4073">
        <w:rPr>
          <w:b/>
          <w:lang w:eastAsia="cs-CZ"/>
        </w:rPr>
        <w:t>eJustice</w:t>
      </w:r>
      <w:proofErr w:type="spellEnd"/>
      <w:r w:rsidR="00294ED5">
        <w:rPr>
          <w:b/>
          <w:lang w:eastAsia="cs-CZ"/>
        </w:rPr>
        <w:t xml:space="preserve"> včetně jejího řízení</w:t>
      </w:r>
      <w:r w:rsidR="007F4073">
        <w:rPr>
          <w:b/>
          <w:lang w:eastAsia="cs-CZ"/>
        </w:rPr>
        <w:t xml:space="preserve"> jako neefektivní</w:t>
      </w:r>
      <w:r w:rsidR="00A22E49">
        <w:rPr>
          <w:b/>
          <w:lang w:eastAsia="cs-CZ"/>
        </w:rPr>
        <w:t xml:space="preserve">. </w:t>
      </w:r>
      <w:proofErr w:type="spellStart"/>
      <w:r w:rsidR="00A22E49">
        <w:rPr>
          <w:b/>
          <w:lang w:eastAsia="cs-CZ"/>
        </w:rPr>
        <w:t>MSp</w:t>
      </w:r>
      <w:proofErr w:type="spellEnd"/>
      <w:r w:rsidR="00A22E49">
        <w:rPr>
          <w:b/>
          <w:lang w:eastAsia="cs-CZ"/>
        </w:rPr>
        <w:t xml:space="preserve"> n</w:t>
      </w:r>
      <w:r w:rsidR="00CE5293">
        <w:rPr>
          <w:b/>
          <w:lang w:eastAsia="cs-CZ"/>
        </w:rPr>
        <w:t>e</w:t>
      </w:r>
      <w:r w:rsidR="00A22E49">
        <w:rPr>
          <w:b/>
          <w:lang w:eastAsia="cs-CZ"/>
        </w:rPr>
        <w:t xml:space="preserve">zajistilo </w:t>
      </w:r>
      <w:r w:rsidR="00CE5293">
        <w:rPr>
          <w:b/>
          <w:lang w:eastAsia="cs-CZ"/>
        </w:rPr>
        <w:t>dokonč</w:t>
      </w:r>
      <w:r w:rsidR="00A22E49">
        <w:rPr>
          <w:b/>
          <w:lang w:eastAsia="cs-CZ"/>
        </w:rPr>
        <w:t>ení</w:t>
      </w:r>
      <w:r w:rsidR="00CE5293">
        <w:rPr>
          <w:b/>
          <w:lang w:eastAsia="cs-CZ"/>
        </w:rPr>
        <w:t xml:space="preserve"> klíčov</w:t>
      </w:r>
      <w:r w:rsidR="00A22E49">
        <w:rPr>
          <w:b/>
          <w:lang w:eastAsia="cs-CZ"/>
        </w:rPr>
        <w:t>ých</w:t>
      </w:r>
      <w:r w:rsidR="00CE5293">
        <w:rPr>
          <w:b/>
          <w:lang w:eastAsia="cs-CZ"/>
        </w:rPr>
        <w:t xml:space="preserve"> aktivit</w:t>
      </w:r>
      <w:r w:rsidR="00A47CD8">
        <w:rPr>
          <w:b/>
          <w:lang w:eastAsia="cs-CZ"/>
        </w:rPr>
        <w:t>. A</w:t>
      </w:r>
      <w:r w:rsidR="00A22E49">
        <w:rPr>
          <w:b/>
          <w:lang w:eastAsia="cs-CZ"/>
        </w:rPr>
        <w:t>ktivit</w:t>
      </w:r>
      <w:r w:rsidR="00A47CD8">
        <w:rPr>
          <w:b/>
          <w:lang w:eastAsia="cs-CZ"/>
        </w:rPr>
        <w:t>y</w:t>
      </w:r>
      <w:r w:rsidR="00A22E49">
        <w:rPr>
          <w:b/>
          <w:lang w:eastAsia="cs-CZ"/>
        </w:rPr>
        <w:t xml:space="preserve">, které </w:t>
      </w:r>
      <w:r w:rsidR="00AF052F">
        <w:rPr>
          <w:b/>
          <w:lang w:eastAsia="cs-CZ"/>
        </w:rPr>
        <w:t>dokončen</w:t>
      </w:r>
      <w:r w:rsidR="00A22E49">
        <w:rPr>
          <w:b/>
          <w:lang w:eastAsia="cs-CZ"/>
        </w:rPr>
        <w:t>y byly,</w:t>
      </w:r>
      <w:r w:rsidR="00AF052F">
        <w:rPr>
          <w:b/>
          <w:lang w:eastAsia="cs-CZ"/>
        </w:rPr>
        <w:t xml:space="preserve"> </w:t>
      </w:r>
      <w:r w:rsidR="00CE5293">
        <w:rPr>
          <w:b/>
          <w:lang w:eastAsia="cs-CZ"/>
        </w:rPr>
        <w:t xml:space="preserve">nemůže bez </w:t>
      </w:r>
      <w:r w:rsidR="00AF052F">
        <w:rPr>
          <w:b/>
          <w:lang w:eastAsia="cs-CZ"/>
        </w:rPr>
        <w:t xml:space="preserve">realizace </w:t>
      </w:r>
      <w:r w:rsidR="00CE5293">
        <w:rPr>
          <w:b/>
          <w:lang w:eastAsia="cs-CZ"/>
        </w:rPr>
        <w:t xml:space="preserve">navazujících </w:t>
      </w:r>
      <w:r w:rsidR="00A22E49">
        <w:rPr>
          <w:b/>
          <w:lang w:eastAsia="cs-CZ"/>
        </w:rPr>
        <w:t>projektů</w:t>
      </w:r>
      <w:r w:rsidR="003A4986">
        <w:rPr>
          <w:b/>
          <w:lang w:eastAsia="cs-CZ"/>
        </w:rPr>
        <w:t xml:space="preserve"> </w:t>
      </w:r>
      <w:r w:rsidR="00A22E49">
        <w:rPr>
          <w:b/>
          <w:lang w:eastAsia="cs-CZ"/>
        </w:rPr>
        <w:t xml:space="preserve">využívat </w:t>
      </w:r>
      <w:r w:rsidR="00CE5293">
        <w:rPr>
          <w:b/>
          <w:lang w:eastAsia="cs-CZ"/>
        </w:rPr>
        <w:t xml:space="preserve">a </w:t>
      </w:r>
      <w:r w:rsidR="003A4986">
        <w:rPr>
          <w:b/>
          <w:lang w:eastAsia="cs-CZ"/>
        </w:rPr>
        <w:t>plnit stanovené cíle</w:t>
      </w:r>
      <w:r w:rsidR="00CE5293">
        <w:rPr>
          <w:b/>
          <w:lang w:eastAsia="cs-CZ"/>
        </w:rPr>
        <w:t xml:space="preserve">. </w:t>
      </w:r>
      <w:r w:rsidR="00484586">
        <w:rPr>
          <w:b/>
          <w:lang w:eastAsia="cs-CZ"/>
        </w:rPr>
        <w:t xml:space="preserve">V resortu justice </w:t>
      </w:r>
      <w:r>
        <w:rPr>
          <w:b/>
          <w:lang w:eastAsia="cs-CZ"/>
        </w:rPr>
        <w:t xml:space="preserve">jsou </w:t>
      </w:r>
      <w:r w:rsidR="00311227">
        <w:rPr>
          <w:b/>
          <w:lang w:eastAsia="cs-CZ"/>
        </w:rPr>
        <w:t xml:space="preserve">tak </w:t>
      </w:r>
      <w:r w:rsidR="00484586">
        <w:rPr>
          <w:b/>
          <w:lang w:eastAsia="cs-CZ"/>
        </w:rPr>
        <w:t xml:space="preserve">stále </w:t>
      </w:r>
      <w:r>
        <w:rPr>
          <w:b/>
          <w:lang w:eastAsia="cs-CZ"/>
        </w:rPr>
        <w:t xml:space="preserve">využívány informační systémy, včetně systémů elektronické spisové služby, které jsou technicky i morálně zastaralé, </w:t>
      </w:r>
      <w:r w:rsidR="00F729DB">
        <w:rPr>
          <w:b/>
          <w:lang w:eastAsia="cs-CZ"/>
        </w:rPr>
        <w:t>vybudované na různých platformách</w:t>
      </w:r>
      <w:r w:rsidR="007F4073">
        <w:rPr>
          <w:b/>
          <w:lang w:eastAsia="cs-CZ"/>
        </w:rPr>
        <w:t>.</w:t>
      </w:r>
      <w:r w:rsidR="00504B58">
        <w:rPr>
          <w:b/>
          <w:lang w:eastAsia="cs-CZ"/>
        </w:rPr>
        <w:t xml:space="preserve"> Informační systémy jsou vzájemně nekompatibilní a nesdílejí data. Zároveň jsou finančně náročné na správu.</w:t>
      </w:r>
      <w:r w:rsidR="007F4073">
        <w:rPr>
          <w:b/>
          <w:lang w:eastAsia="cs-CZ"/>
        </w:rPr>
        <w:t xml:space="preserve"> </w:t>
      </w:r>
      <w:r>
        <w:rPr>
          <w:b/>
          <w:lang w:eastAsia="cs-CZ"/>
        </w:rPr>
        <w:t xml:space="preserve">Chybí uživatelsky přívětivé nástroje pro komunikaci s účastníky řízení a pro zasílání elektronických podání s možností okamžité </w:t>
      </w:r>
      <w:r w:rsidR="00F80525">
        <w:rPr>
          <w:b/>
          <w:lang w:eastAsia="cs-CZ"/>
        </w:rPr>
        <w:t xml:space="preserve">elektronické </w:t>
      </w:r>
      <w:r>
        <w:rPr>
          <w:b/>
          <w:lang w:eastAsia="cs-CZ"/>
        </w:rPr>
        <w:t>platby. Elektronický spis existuje</w:t>
      </w:r>
      <w:r w:rsidR="00F729DB">
        <w:rPr>
          <w:b/>
          <w:lang w:eastAsia="cs-CZ"/>
        </w:rPr>
        <w:t xml:space="preserve"> pouze</w:t>
      </w:r>
      <w:r>
        <w:rPr>
          <w:b/>
          <w:lang w:eastAsia="cs-CZ"/>
        </w:rPr>
        <w:t xml:space="preserve"> u agendy elektronických platebních </w:t>
      </w:r>
      <w:r w:rsidR="006F1022">
        <w:rPr>
          <w:b/>
          <w:lang w:eastAsia="cs-CZ"/>
        </w:rPr>
        <w:t>rozkazů</w:t>
      </w:r>
      <w:r>
        <w:rPr>
          <w:b/>
          <w:lang w:eastAsia="cs-CZ"/>
        </w:rPr>
        <w:t>.</w:t>
      </w:r>
    </w:p>
    <w:p w14:paraId="78956654" w14:textId="38FD5F3F" w:rsidR="002C11EA" w:rsidRDefault="00504B58" w:rsidP="002C11EA">
      <w:pPr>
        <w:rPr>
          <w:b/>
          <w:lang w:eastAsia="cs-CZ"/>
        </w:rPr>
      </w:pPr>
      <w:r>
        <w:rPr>
          <w:b/>
          <w:lang w:eastAsia="cs-CZ"/>
        </w:rPr>
        <w:t xml:space="preserve">Ze tří </w:t>
      </w:r>
      <w:r w:rsidR="00CD3FDC">
        <w:rPr>
          <w:b/>
          <w:lang w:eastAsia="cs-CZ"/>
        </w:rPr>
        <w:t>prověřovaných</w:t>
      </w:r>
      <w:r>
        <w:rPr>
          <w:b/>
          <w:lang w:eastAsia="cs-CZ"/>
        </w:rPr>
        <w:t xml:space="preserve"> projektů </w:t>
      </w:r>
      <w:r w:rsidR="00CE11A1">
        <w:rPr>
          <w:b/>
          <w:lang w:eastAsia="cs-CZ"/>
        </w:rPr>
        <w:t xml:space="preserve">nefungoval </w:t>
      </w:r>
      <w:r>
        <w:rPr>
          <w:b/>
          <w:lang w:eastAsia="cs-CZ"/>
        </w:rPr>
        <w:t>v době ukončení kontroly NKÚ ani jeden.</w:t>
      </w:r>
      <w:r w:rsidR="002C11EA" w:rsidRPr="002974A5">
        <w:rPr>
          <w:b/>
          <w:lang w:eastAsia="cs-CZ"/>
        </w:rPr>
        <w:t xml:space="preserve"> </w:t>
      </w:r>
      <w:r w:rsidR="002C11EA">
        <w:rPr>
          <w:b/>
          <w:lang w:eastAsia="cs-CZ"/>
        </w:rPr>
        <w:t xml:space="preserve">Projektem </w:t>
      </w:r>
      <w:proofErr w:type="spellStart"/>
      <w:r w:rsidR="002C11EA" w:rsidRPr="00786178">
        <w:rPr>
          <w:b/>
          <w:i/>
          <w:lang w:eastAsia="cs-CZ"/>
        </w:rPr>
        <w:t>eJustice</w:t>
      </w:r>
      <w:proofErr w:type="spellEnd"/>
      <w:r w:rsidR="002C11EA" w:rsidRPr="00786178">
        <w:rPr>
          <w:b/>
          <w:i/>
          <w:lang w:eastAsia="cs-CZ"/>
        </w:rPr>
        <w:t xml:space="preserve"> 2020 – část </w:t>
      </w:r>
      <w:proofErr w:type="spellStart"/>
      <w:r w:rsidR="002C11EA" w:rsidRPr="00786178">
        <w:rPr>
          <w:b/>
          <w:i/>
          <w:lang w:eastAsia="cs-CZ"/>
        </w:rPr>
        <w:t>eISIR</w:t>
      </w:r>
      <w:proofErr w:type="spellEnd"/>
      <w:r w:rsidR="002C11EA">
        <w:rPr>
          <w:b/>
          <w:lang w:eastAsia="cs-CZ"/>
        </w:rPr>
        <w:t xml:space="preserve"> </w:t>
      </w:r>
      <w:r w:rsidR="007D01C7">
        <w:rPr>
          <w:b/>
          <w:lang w:eastAsia="cs-CZ"/>
        </w:rPr>
        <w:t>mělo</w:t>
      </w:r>
      <w:r w:rsidR="002C11EA">
        <w:rPr>
          <w:b/>
          <w:lang w:eastAsia="cs-CZ"/>
        </w:rPr>
        <w:t xml:space="preserve"> </w:t>
      </w:r>
      <w:proofErr w:type="spellStart"/>
      <w:r w:rsidR="002C11EA">
        <w:rPr>
          <w:b/>
          <w:lang w:eastAsia="cs-CZ"/>
        </w:rPr>
        <w:t>MSp</w:t>
      </w:r>
      <w:proofErr w:type="spellEnd"/>
      <w:r w:rsidR="002C11EA">
        <w:rPr>
          <w:b/>
          <w:lang w:eastAsia="cs-CZ"/>
        </w:rPr>
        <w:t xml:space="preserve"> </w:t>
      </w:r>
      <w:r w:rsidR="007D01C7">
        <w:rPr>
          <w:b/>
          <w:lang w:eastAsia="cs-CZ"/>
        </w:rPr>
        <w:t xml:space="preserve">realizovat </w:t>
      </w:r>
      <w:r w:rsidR="002C11EA">
        <w:rPr>
          <w:b/>
          <w:lang w:eastAsia="cs-CZ"/>
        </w:rPr>
        <w:t xml:space="preserve">většinu klíčových aktivit, které se </w:t>
      </w:r>
      <w:r w:rsidR="00FF2BAA">
        <w:rPr>
          <w:b/>
          <w:lang w:eastAsia="cs-CZ"/>
        </w:rPr>
        <w:t>váž</w:t>
      </w:r>
      <w:r w:rsidR="006D1D6A">
        <w:rPr>
          <w:b/>
          <w:lang w:eastAsia="cs-CZ"/>
        </w:rPr>
        <w:t>ou</w:t>
      </w:r>
      <w:r w:rsidR="00FF2BAA">
        <w:rPr>
          <w:b/>
          <w:lang w:eastAsia="cs-CZ"/>
        </w:rPr>
        <w:t xml:space="preserve"> </w:t>
      </w:r>
      <w:r w:rsidR="002C11EA">
        <w:rPr>
          <w:b/>
          <w:lang w:eastAsia="cs-CZ"/>
        </w:rPr>
        <w:t>k implementaci elektronického spisu a nové modulární elektronické spisové služby v</w:t>
      </w:r>
      <w:r w:rsidR="00242963">
        <w:rPr>
          <w:b/>
          <w:lang w:eastAsia="cs-CZ"/>
        </w:rPr>
        <w:t> </w:t>
      </w:r>
      <w:r w:rsidR="002C11EA">
        <w:rPr>
          <w:b/>
          <w:lang w:eastAsia="cs-CZ"/>
        </w:rPr>
        <w:t>justičních agendách. Tento projekt má</w:t>
      </w:r>
      <w:r w:rsidR="00242963">
        <w:rPr>
          <w:b/>
          <w:lang w:eastAsia="cs-CZ"/>
        </w:rPr>
        <w:t xml:space="preserve"> </w:t>
      </w:r>
      <w:r w:rsidR="00F21DAE">
        <w:rPr>
          <w:b/>
          <w:lang w:eastAsia="cs-CZ"/>
        </w:rPr>
        <w:t>již</w:t>
      </w:r>
      <w:r w:rsidR="00242963">
        <w:rPr>
          <w:b/>
          <w:lang w:eastAsia="cs-CZ"/>
        </w:rPr>
        <w:t xml:space="preserve"> </w:t>
      </w:r>
      <w:r w:rsidR="00242963" w:rsidRPr="00B010AC">
        <w:rPr>
          <w:b/>
          <w:lang w:eastAsia="cs-CZ"/>
        </w:rPr>
        <w:t>tříleté</w:t>
      </w:r>
      <w:r w:rsidR="002C11EA">
        <w:rPr>
          <w:b/>
          <w:lang w:eastAsia="cs-CZ"/>
        </w:rPr>
        <w:t xml:space="preserve"> zpoždění. Prodlužování realizace přináší riziko nezpůsobilosti výdajů k proplacení z fondů Evropské unie a růstu celkových výdajů</w:t>
      </w:r>
      <w:r w:rsidR="00FF2BAA">
        <w:rPr>
          <w:b/>
          <w:lang w:eastAsia="cs-CZ"/>
        </w:rPr>
        <w:t>, což</w:t>
      </w:r>
      <w:r w:rsidR="00310CEB">
        <w:rPr>
          <w:b/>
          <w:lang w:eastAsia="cs-CZ"/>
        </w:rPr>
        <w:t xml:space="preserve"> </w:t>
      </w:r>
      <w:r w:rsidR="002C11EA">
        <w:rPr>
          <w:b/>
          <w:lang w:eastAsia="cs-CZ"/>
        </w:rPr>
        <w:t xml:space="preserve">by mělo negativní dopad na hospodárnost. Obdobná rizika přináší i realizace projektu </w:t>
      </w:r>
      <w:proofErr w:type="spellStart"/>
      <w:r w:rsidR="006235EB" w:rsidRPr="00786178">
        <w:rPr>
          <w:b/>
          <w:i/>
          <w:lang w:eastAsia="cs-CZ"/>
        </w:rPr>
        <w:t>Agendov</w:t>
      </w:r>
      <w:r w:rsidR="006235EB">
        <w:rPr>
          <w:b/>
          <w:i/>
          <w:lang w:eastAsia="cs-CZ"/>
        </w:rPr>
        <w:t>ý</w:t>
      </w:r>
      <w:proofErr w:type="spellEnd"/>
      <w:r w:rsidR="006235EB" w:rsidRPr="00786178">
        <w:rPr>
          <w:b/>
          <w:i/>
          <w:lang w:eastAsia="cs-CZ"/>
        </w:rPr>
        <w:t xml:space="preserve"> </w:t>
      </w:r>
      <w:r w:rsidR="002C11EA" w:rsidRPr="00786178">
        <w:rPr>
          <w:b/>
          <w:i/>
          <w:lang w:eastAsia="cs-CZ"/>
        </w:rPr>
        <w:t xml:space="preserve">informační systém </w:t>
      </w:r>
      <w:r w:rsidR="00310CEB">
        <w:rPr>
          <w:b/>
          <w:i/>
          <w:lang w:eastAsia="cs-CZ"/>
        </w:rPr>
        <w:t>Probační a mediační služby</w:t>
      </w:r>
      <w:r w:rsidR="002C11EA">
        <w:rPr>
          <w:b/>
          <w:lang w:eastAsia="cs-CZ"/>
        </w:rPr>
        <w:t xml:space="preserve">, který má </w:t>
      </w:r>
      <w:r w:rsidR="00F21DAE">
        <w:rPr>
          <w:b/>
          <w:lang w:eastAsia="cs-CZ"/>
        </w:rPr>
        <w:t xml:space="preserve">již </w:t>
      </w:r>
      <w:r w:rsidR="002C11EA" w:rsidRPr="00F80525">
        <w:rPr>
          <w:b/>
          <w:lang w:eastAsia="cs-CZ"/>
        </w:rPr>
        <w:t>dvouleté</w:t>
      </w:r>
      <w:r w:rsidR="002C11EA">
        <w:rPr>
          <w:b/>
          <w:lang w:eastAsia="cs-CZ"/>
        </w:rPr>
        <w:t xml:space="preserve"> zpoždění. Projekt </w:t>
      </w:r>
      <w:r w:rsidR="006235EB" w:rsidRPr="00786178">
        <w:rPr>
          <w:b/>
          <w:i/>
          <w:lang w:eastAsia="cs-CZ"/>
        </w:rPr>
        <w:t>Elektronick</w:t>
      </w:r>
      <w:r w:rsidR="006235EB">
        <w:rPr>
          <w:b/>
          <w:i/>
          <w:lang w:eastAsia="cs-CZ"/>
        </w:rPr>
        <w:t>ý</w:t>
      </w:r>
      <w:r w:rsidR="006235EB" w:rsidRPr="00786178">
        <w:rPr>
          <w:b/>
          <w:i/>
          <w:lang w:eastAsia="cs-CZ"/>
        </w:rPr>
        <w:t xml:space="preserve"> </w:t>
      </w:r>
      <w:r w:rsidR="002C11EA" w:rsidRPr="00786178">
        <w:rPr>
          <w:b/>
          <w:i/>
          <w:lang w:eastAsia="cs-CZ"/>
        </w:rPr>
        <w:t>monitorovací systém</w:t>
      </w:r>
      <w:r w:rsidR="002C11EA">
        <w:rPr>
          <w:b/>
          <w:lang w:eastAsia="cs-CZ"/>
        </w:rPr>
        <w:t xml:space="preserve"> byl po třech letech provozu ukončen a </w:t>
      </w:r>
      <w:r w:rsidR="00A455B0">
        <w:rPr>
          <w:b/>
          <w:lang w:eastAsia="cs-CZ"/>
        </w:rPr>
        <w:t>Probační a mediační služba</w:t>
      </w:r>
      <w:r w:rsidR="002C11EA">
        <w:rPr>
          <w:b/>
          <w:lang w:eastAsia="cs-CZ"/>
        </w:rPr>
        <w:t xml:space="preserve"> se musela vrátit ke kontrolám odsouzených formou fyzických návštěv.</w:t>
      </w:r>
    </w:p>
    <w:p w14:paraId="16838FBE" w14:textId="70336B88" w:rsidR="00F80525" w:rsidRDefault="00F80525" w:rsidP="00F80525">
      <w:pPr>
        <w:rPr>
          <w:b/>
          <w:lang w:eastAsia="cs-CZ"/>
        </w:rPr>
      </w:pPr>
      <w:proofErr w:type="spellStart"/>
      <w:r>
        <w:rPr>
          <w:b/>
          <w:lang w:eastAsia="cs-CZ"/>
        </w:rPr>
        <w:t>MSp</w:t>
      </w:r>
      <w:proofErr w:type="spellEnd"/>
      <w:r>
        <w:rPr>
          <w:b/>
          <w:lang w:eastAsia="cs-CZ"/>
        </w:rPr>
        <w:t xml:space="preserve"> </w:t>
      </w:r>
      <w:r w:rsidR="006D1D6A">
        <w:rPr>
          <w:b/>
          <w:lang w:eastAsia="cs-CZ"/>
        </w:rPr>
        <w:t xml:space="preserve">nestanovilo </w:t>
      </w:r>
      <w:r w:rsidR="00071942">
        <w:rPr>
          <w:b/>
          <w:lang w:eastAsia="cs-CZ"/>
        </w:rPr>
        <w:t xml:space="preserve">ani </w:t>
      </w:r>
      <w:r>
        <w:rPr>
          <w:b/>
          <w:lang w:eastAsia="cs-CZ"/>
        </w:rPr>
        <w:t xml:space="preserve">rámcový </w:t>
      </w:r>
      <w:r w:rsidR="006D1D6A">
        <w:rPr>
          <w:b/>
          <w:lang w:eastAsia="cs-CZ"/>
        </w:rPr>
        <w:t xml:space="preserve">odhad </w:t>
      </w:r>
      <w:r>
        <w:rPr>
          <w:b/>
          <w:lang w:eastAsia="cs-CZ"/>
        </w:rPr>
        <w:t>objem</w:t>
      </w:r>
      <w:r w:rsidR="006D1D6A">
        <w:rPr>
          <w:b/>
          <w:lang w:eastAsia="cs-CZ"/>
        </w:rPr>
        <w:t>u</w:t>
      </w:r>
      <w:r>
        <w:rPr>
          <w:b/>
          <w:lang w:eastAsia="cs-CZ"/>
        </w:rPr>
        <w:t xml:space="preserve"> peněžních prostředků, které bude na splnění cílů Strategie </w:t>
      </w:r>
      <w:proofErr w:type="spellStart"/>
      <w:r>
        <w:rPr>
          <w:b/>
          <w:lang w:eastAsia="cs-CZ"/>
        </w:rPr>
        <w:t>eJustice</w:t>
      </w:r>
      <w:proofErr w:type="spellEnd"/>
      <w:r>
        <w:rPr>
          <w:b/>
          <w:lang w:eastAsia="cs-CZ"/>
        </w:rPr>
        <w:t xml:space="preserve"> potřebovat.</w:t>
      </w:r>
      <w:r w:rsidR="00E829D4">
        <w:rPr>
          <w:b/>
          <w:lang w:eastAsia="cs-CZ"/>
        </w:rPr>
        <w:t xml:space="preserve"> </w:t>
      </w:r>
      <w:r>
        <w:rPr>
          <w:b/>
          <w:lang w:eastAsia="cs-CZ"/>
        </w:rPr>
        <w:t>V důsledku</w:t>
      </w:r>
      <w:r w:rsidR="00CE11A1">
        <w:rPr>
          <w:b/>
          <w:lang w:eastAsia="cs-CZ"/>
        </w:rPr>
        <w:t xml:space="preserve"> několikaleté</w:t>
      </w:r>
      <w:r>
        <w:rPr>
          <w:b/>
          <w:lang w:eastAsia="cs-CZ"/>
        </w:rPr>
        <w:t xml:space="preserve"> absence resortní informační koncepce nemělo </w:t>
      </w:r>
      <w:proofErr w:type="spellStart"/>
      <w:r w:rsidR="006D1D6A">
        <w:rPr>
          <w:b/>
          <w:lang w:eastAsia="cs-CZ"/>
        </w:rPr>
        <w:t>MSp</w:t>
      </w:r>
      <w:proofErr w:type="spellEnd"/>
      <w:r w:rsidR="006D1D6A">
        <w:rPr>
          <w:b/>
          <w:lang w:eastAsia="cs-CZ"/>
        </w:rPr>
        <w:t xml:space="preserve"> </w:t>
      </w:r>
      <w:r>
        <w:rPr>
          <w:b/>
          <w:lang w:eastAsia="cs-CZ"/>
        </w:rPr>
        <w:t>vyjasněnou představu</w:t>
      </w:r>
      <w:r w:rsidR="00E829D4">
        <w:rPr>
          <w:b/>
          <w:lang w:eastAsia="cs-CZ"/>
        </w:rPr>
        <w:t>,</w:t>
      </w:r>
      <w:r>
        <w:rPr>
          <w:b/>
          <w:lang w:eastAsia="cs-CZ"/>
        </w:rPr>
        <w:t xml:space="preserve"> </w:t>
      </w:r>
      <w:r w:rsidR="00310CEB">
        <w:rPr>
          <w:b/>
          <w:lang w:eastAsia="cs-CZ"/>
        </w:rPr>
        <w:t>jaké projekty</w:t>
      </w:r>
      <w:r w:rsidR="004A7095">
        <w:rPr>
          <w:b/>
          <w:lang w:eastAsia="cs-CZ"/>
        </w:rPr>
        <w:t>, v jakém rozsahu</w:t>
      </w:r>
      <w:r w:rsidR="00310CEB">
        <w:rPr>
          <w:b/>
          <w:lang w:eastAsia="cs-CZ"/>
        </w:rPr>
        <w:t xml:space="preserve"> a čase bude</w:t>
      </w:r>
      <w:r>
        <w:rPr>
          <w:b/>
          <w:lang w:eastAsia="cs-CZ"/>
        </w:rPr>
        <w:t xml:space="preserve"> realizovat</w:t>
      </w:r>
      <w:r w:rsidR="00A000B4">
        <w:rPr>
          <w:b/>
          <w:lang w:eastAsia="cs-CZ"/>
        </w:rPr>
        <w:t>.</w:t>
      </w:r>
      <w:r w:rsidR="00294ED5">
        <w:rPr>
          <w:b/>
          <w:lang w:eastAsia="cs-CZ"/>
        </w:rPr>
        <w:t xml:space="preserve"> </w:t>
      </w:r>
      <w:r w:rsidR="00A000B4">
        <w:rPr>
          <w:b/>
          <w:lang w:eastAsia="cs-CZ"/>
        </w:rPr>
        <w:t>R</w:t>
      </w:r>
      <w:r>
        <w:rPr>
          <w:b/>
          <w:lang w:eastAsia="cs-CZ"/>
        </w:rPr>
        <w:t xml:space="preserve">ozvoj </w:t>
      </w:r>
      <w:proofErr w:type="spellStart"/>
      <w:r>
        <w:rPr>
          <w:b/>
          <w:lang w:eastAsia="cs-CZ"/>
        </w:rPr>
        <w:t>eJustice</w:t>
      </w:r>
      <w:proofErr w:type="spellEnd"/>
      <w:r>
        <w:rPr>
          <w:b/>
          <w:lang w:eastAsia="cs-CZ"/>
        </w:rPr>
        <w:t xml:space="preserve"> tak byl nekoordinovaný</w:t>
      </w:r>
      <w:r w:rsidR="004736B6">
        <w:rPr>
          <w:b/>
          <w:lang w:eastAsia="cs-CZ"/>
        </w:rPr>
        <w:t>.</w:t>
      </w:r>
      <w:r>
        <w:rPr>
          <w:b/>
          <w:lang w:eastAsia="cs-CZ"/>
        </w:rPr>
        <w:t xml:space="preserve"> </w:t>
      </w:r>
    </w:p>
    <w:p w14:paraId="502E1CCD" w14:textId="77777777" w:rsidR="0065676D" w:rsidRDefault="0065676D" w:rsidP="00AD37CE">
      <w:pPr>
        <w:keepNext/>
        <w:spacing w:before="240"/>
        <w:rPr>
          <w:rFonts w:cstheme="minorHAnsi"/>
          <w:b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>Celkové vyhodnocení vyplývá z následujících skutečností:</w:t>
      </w:r>
    </w:p>
    <w:p w14:paraId="1413C7D5" w14:textId="77777777" w:rsidR="00A3295F" w:rsidRPr="00C91128" w:rsidRDefault="007937A2" w:rsidP="00317D87">
      <w:pPr>
        <w:pStyle w:val="Nadpis1"/>
        <w:ind w:left="284" w:hanging="284"/>
      </w:pPr>
      <w:proofErr w:type="spellStart"/>
      <w:r w:rsidRPr="00C91128">
        <w:t>MSp</w:t>
      </w:r>
      <w:proofErr w:type="spellEnd"/>
      <w:r w:rsidRPr="00C91128">
        <w:t xml:space="preserve"> nenaplnilo cíle</w:t>
      </w:r>
      <w:r w:rsidR="00E176D8" w:rsidRPr="00C91128">
        <w:t xml:space="preserve"> </w:t>
      </w:r>
      <w:r w:rsidR="003818F2" w:rsidRPr="00C91128">
        <w:t xml:space="preserve">Strategie </w:t>
      </w:r>
      <w:proofErr w:type="spellStart"/>
      <w:r w:rsidR="00E176D8" w:rsidRPr="00C91128">
        <w:t>eJustice</w:t>
      </w:r>
      <w:proofErr w:type="spellEnd"/>
      <w:r w:rsidRPr="00C91128">
        <w:t xml:space="preserve">, </w:t>
      </w:r>
      <w:r w:rsidR="007B27CB" w:rsidRPr="00C91128">
        <w:t>zásadní</w:t>
      </w:r>
      <w:r w:rsidRPr="00C91128">
        <w:t xml:space="preserve"> </w:t>
      </w:r>
      <w:r w:rsidR="0069489C" w:rsidRPr="00C91128">
        <w:t xml:space="preserve">problémy </w:t>
      </w:r>
      <w:r w:rsidRPr="00C91128">
        <w:t xml:space="preserve">v ICT </w:t>
      </w:r>
      <w:r w:rsidR="00C91128" w:rsidRPr="00C91128">
        <w:t>ne</w:t>
      </w:r>
      <w:r w:rsidRPr="00C91128">
        <w:t>odstranilo</w:t>
      </w:r>
    </w:p>
    <w:p w14:paraId="55E5E44F" w14:textId="4E646E48" w:rsidR="00C562F7" w:rsidRDefault="00AD2275" w:rsidP="00486B6C">
      <w:proofErr w:type="spellStart"/>
      <w:r>
        <w:t>MSp</w:t>
      </w:r>
      <w:proofErr w:type="spellEnd"/>
      <w:r>
        <w:t xml:space="preserve"> </w:t>
      </w:r>
      <w:r w:rsidR="00C82D0A">
        <w:t xml:space="preserve">do </w:t>
      </w:r>
      <w:r w:rsidR="00C562F7">
        <w:t>června 2022</w:t>
      </w:r>
      <w:r>
        <w:t xml:space="preserve"> </w:t>
      </w:r>
      <w:r w:rsidR="00730F05">
        <w:t xml:space="preserve">v rámci realizace Strategie </w:t>
      </w:r>
      <w:proofErr w:type="spellStart"/>
      <w:r w:rsidR="00730F05">
        <w:t>eJustice</w:t>
      </w:r>
      <w:proofErr w:type="spellEnd"/>
      <w:r w:rsidR="00730F05">
        <w:t xml:space="preserve"> </w:t>
      </w:r>
      <w:r w:rsidR="00922ED7">
        <w:t xml:space="preserve">dokončilo </w:t>
      </w:r>
      <w:r w:rsidR="00DB058D">
        <w:t xml:space="preserve">z celkového počtu 37 </w:t>
      </w:r>
      <w:r w:rsidR="005557EA">
        <w:t xml:space="preserve">plánovaných </w:t>
      </w:r>
      <w:r w:rsidR="007937A2" w:rsidRPr="00281E0B">
        <w:t xml:space="preserve">aktivit pouze </w:t>
      </w:r>
      <w:r w:rsidR="00730F05">
        <w:t xml:space="preserve">8. </w:t>
      </w:r>
      <w:r w:rsidR="00C400FE">
        <w:t xml:space="preserve">Na </w:t>
      </w:r>
      <w:r w:rsidR="00992F30">
        <w:t xml:space="preserve">většinu </w:t>
      </w:r>
      <w:r w:rsidR="00C400FE">
        <w:t>zrealizovan</w:t>
      </w:r>
      <w:r w:rsidR="00992F30">
        <w:t>ých</w:t>
      </w:r>
      <w:r w:rsidR="00C400FE">
        <w:t xml:space="preserve"> aktivit však mají navazovat </w:t>
      </w:r>
      <w:r w:rsidR="00CE11A1">
        <w:t>další</w:t>
      </w:r>
      <w:r w:rsidR="00C400FE">
        <w:t xml:space="preserve">, které </w:t>
      </w:r>
      <w:proofErr w:type="spellStart"/>
      <w:r w:rsidR="00C400FE">
        <w:t>MSp</w:t>
      </w:r>
      <w:proofErr w:type="spellEnd"/>
      <w:r w:rsidR="00C400FE">
        <w:t xml:space="preserve"> </w:t>
      </w:r>
      <w:r w:rsidR="007944E5">
        <w:t>nerealizovalo</w:t>
      </w:r>
      <w:r w:rsidR="00C400FE">
        <w:t xml:space="preserve">. </w:t>
      </w:r>
      <w:proofErr w:type="spellStart"/>
      <w:r w:rsidR="00992F30">
        <w:t>MSp</w:t>
      </w:r>
      <w:proofErr w:type="spellEnd"/>
      <w:r w:rsidR="00992F30">
        <w:t xml:space="preserve"> se</w:t>
      </w:r>
      <w:r w:rsidR="00730F05">
        <w:t xml:space="preserve"> podařilo naplnit pouze dva</w:t>
      </w:r>
      <w:r w:rsidR="007937A2" w:rsidRPr="00281E0B">
        <w:t xml:space="preserve"> specifické cíle z celkových 20</w:t>
      </w:r>
      <w:r w:rsidR="007937A2">
        <w:t xml:space="preserve"> (viz </w:t>
      </w:r>
      <w:r w:rsidR="006D1D6A">
        <w:t>p</w:t>
      </w:r>
      <w:r w:rsidR="007937A2">
        <w:t xml:space="preserve">říloha </w:t>
      </w:r>
      <w:r w:rsidR="006D1D6A">
        <w:t xml:space="preserve">č. </w:t>
      </w:r>
      <w:r w:rsidR="007937A2">
        <w:t>1)</w:t>
      </w:r>
      <w:r w:rsidR="007937A2" w:rsidRPr="00281E0B">
        <w:t>.</w:t>
      </w:r>
      <w:r w:rsidR="003D78FE">
        <w:t xml:space="preserve"> </w:t>
      </w:r>
      <w:r w:rsidR="005B4310" w:rsidRPr="00B23AF8">
        <w:rPr>
          <w:lang w:eastAsia="cs-CZ"/>
        </w:rPr>
        <w:t xml:space="preserve">Nenaplnění cílů Strategie </w:t>
      </w:r>
      <w:proofErr w:type="spellStart"/>
      <w:r w:rsidR="005B4310" w:rsidRPr="00B23AF8">
        <w:rPr>
          <w:lang w:eastAsia="cs-CZ"/>
        </w:rPr>
        <w:t>eJustice</w:t>
      </w:r>
      <w:proofErr w:type="spellEnd"/>
      <w:r w:rsidR="005B4310" w:rsidRPr="00B23AF8">
        <w:rPr>
          <w:lang w:eastAsia="cs-CZ"/>
        </w:rPr>
        <w:t xml:space="preserve"> má </w:t>
      </w:r>
      <w:r w:rsidR="00992F30">
        <w:rPr>
          <w:lang w:eastAsia="cs-CZ"/>
        </w:rPr>
        <w:t>mimo jiné</w:t>
      </w:r>
      <w:r w:rsidR="00992F30" w:rsidRPr="00B23AF8">
        <w:rPr>
          <w:lang w:eastAsia="cs-CZ"/>
        </w:rPr>
        <w:t xml:space="preserve"> </w:t>
      </w:r>
      <w:r w:rsidR="005B4310" w:rsidRPr="00B23AF8">
        <w:rPr>
          <w:lang w:eastAsia="cs-CZ"/>
        </w:rPr>
        <w:t xml:space="preserve">negativní dopad na plnění cílů programu </w:t>
      </w:r>
      <w:r w:rsidR="005B4310" w:rsidRPr="00B23AF8">
        <w:rPr>
          <w:i/>
          <w:lang w:eastAsia="cs-CZ"/>
        </w:rPr>
        <w:t>Digitální Česko</w:t>
      </w:r>
      <w:r w:rsidR="005B4310" w:rsidRPr="00B23AF8">
        <w:rPr>
          <w:lang w:eastAsia="cs-CZ"/>
        </w:rPr>
        <w:t>.</w:t>
      </w:r>
    </w:p>
    <w:p w14:paraId="6F7491CC" w14:textId="6BBC17E4" w:rsidR="00150383" w:rsidRPr="00B30C4D" w:rsidRDefault="00C562F7" w:rsidP="00486B6C">
      <w:r>
        <w:t>Na</w:t>
      </w:r>
      <w:r w:rsidR="00381AEC">
        <w:t xml:space="preserve"> realizaci </w:t>
      </w:r>
      <w:r>
        <w:t xml:space="preserve">Strategie </w:t>
      </w:r>
      <w:proofErr w:type="spellStart"/>
      <w:r>
        <w:t>eJustice</w:t>
      </w:r>
      <w:proofErr w:type="spellEnd"/>
      <w:r>
        <w:t xml:space="preserve"> bylo</w:t>
      </w:r>
      <w:r w:rsidR="00CD5476">
        <w:t xml:space="preserve"> v období </w:t>
      </w:r>
      <w:r w:rsidR="00CF3EE6">
        <w:t>2016–2021</w:t>
      </w:r>
      <w:r w:rsidR="005B4310">
        <w:t xml:space="preserve"> </w:t>
      </w:r>
      <w:r w:rsidR="00381AEC">
        <w:t>vynalo</w:t>
      </w:r>
      <w:r w:rsidR="00303B0C">
        <w:t>ženo</w:t>
      </w:r>
      <w:r w:rsidR="00381AEC">
        <w:t xml:space="preserve"> 331,5</w:t>
      </w:r>
      <w:r w:rsidR="00730F05">
        <w:t> </w:t>
      </w:r>
      <w:r w:rsidR="00381AEC">
        <w:t xml:space="preserve">mil. Kč. </w:t>
      </w:r>
      <w:r w:rsidR="00381AEC" w:rsidRPr="00B4514B">
        <w:t xml:space="preserve">Největší část těchto prostředků </w:t>
      </w:r>
      <w:r w:rsidR="00C8101A" w:rsidRPr="00B4514B">
        <w:t>(</w:t>
      </w:r>
      <w:r w:rsidR="00D66325" w:rsidRPr="00B4514B">
        <w:t xml:space="preserve">247 mil. Kč) </w:t>
      </w:r>
      <w:r w:rsidR="005B4310">
        <w:t>byla vynaložena</w:t>
      </w:r>
      <w:r w:rsidR="00381AEC" w:rsidRPr="00B4514B">
        <w:t xml:space="preserve"> </w:t>
      </w:r>
      <w:r w:rsidR="00D66325" w:rsidRPr="00B4514B">
        <w:t>na pořízení videokonferenčních prostředků a nahrávacích zařízení</w:t>
      </w:r>
      <w:r w:rsidR="00996AC3">
        <w:t xml:space="preserve"> do soudních síní</w:t>
      </w:r>
      <w:r w:rsidR="00381AEC" w:rsidRPr="00B4514B">
        <w:t>.</w:t>
      </w:r>
      <w:r w:rsidR="00381AEC">
        <w:t xml:space="preserve"> </w:t>
      </w:r>
      <w:r w:rsidR="00C03ACB">
        <w:t>Klíčové</w:t>
      </w:r>
      <w:r w:rsidR="002963A2">
        <w:t xml:space="preserve"> aktivity pro naplnění cílů </w:t>
      </w:r>
      <w:r w:rsidR="00B532DC">
        <w:t xml:space="preserve">Strategie </w:t>
      </w:r>
      <w:proofErr w:type="spellStart"/>
      <w:r w:rsidR="00210545">
        <w:t>eJustice</w:t>
      </w:r>
      <w:proofErr w:type="spellEnd"/>
      <w:r w:rsidR="002963A2">
        <w:t xml:space="preserve"> </w:t>
      </w:r>
      <w:proofErr w:type="spellStart"/>
      <w:r w:rsidR="002963A2">
        <w:t>MSp</w:t>
      </w:r>
      <w:proofErr w:type="spellEnd"/>
      <w:r w:rsidR="002963A2">
        <w:t xml:space="preserve"> </w:t>
      </w:r>
      <w:r w:rsidR="00381AEC">
        <w:t xml:space="preserve">nedokončilo nebo realizovat </w:t>
      </w:r>
      <w:r w:rsidR="00CE11A1">
        <w:t>ani</w:t>
      </w:r>
      <w:r w:rsidR="00381AEC">
        <w:t xml:space="preserve"> nezačalo</w:t>
      </w:r>
      <w:r w:rsidR="00B532DC">
        <w:t xml:space="preserve">. </w:t>
      </w:r>
      <w:r w:rsidR="003D78FE">
        <w:t>Zejména</w:t>
      </w:r>
      <w:r w:rsidR="00B532DC">
        <w:t xml:space="preserve"> nevytvořilo </w:t>
      </w:r>
      <w:r w:rsidR="00A82034">
        <w:br/>
      </w:r>
      <w:r w:rsidR="00B532DC">
        <w:t>a</w:t>
      </w:r>
      <w:r w:rsidR="00A82034">
        <w:t xml:space="preserve"> </w:t>
      </w:r>
      <w:r w:rsidR="00B532DC">
        <w:t xml:space="preserve">neimplementovalo </w:t>
      </w:r>
      <w:r w:rsidR="004B1190">
        <w:t xml:space="preserve">nový </w:t>
      </w:r>
      <w:r w:rsidR="00106050">
        <w:t xml:space="preserve">elektronický systém spisové služby </w:t>
      </w:r>
      <w:r w:rsidR="00106050">
        <w:rPr>
          <w:lang w:eastAsia="cs-CZ"/>
        </w:rPr>
        <w:t>(dále také „</w:t>
      </w:r>
      <w:proofErr w:type="spellStart"/>
      <w:r w:rsidR="00106050">
        <w:rPr>
          <w:lang w:eastAsia="cs-CZ"/>
        </w:rPr>
        <w:t>eSpis</w:t>
      </w:r>
      <w:proofErr w:type="spellEnd"/>
      <w:r w:rsidR="00106050">
        <w:rPr>
          <w:lang w:eastAsia="cs-CZ"/>
        </w:rPr>
        <w:t>“)</w:t>
      </w:r>
      <w:r w:rsidR="00B532DC">
        <w:t xml:space="preserve">, </w:t>
      </w:r>
      <w:r w:rsidR="00C9093C" w:rsidRPr="00317D87">
        <w:t>c</w:t>
      </w:r>
      <w:r w:rsidR="00B532DC" w:rsidRPr="00C9093C">
        <w:t xml:space="preserve">entrum </w:t>
      </w:r>
      <w:r w:rsidR="00B532DC" w:rsidRPr="00C9093C">
        <w:lastRenderedPageBreak/>
        <w:t>justice</w:t>
      </w:r>
      <w:r w:rsidR="004B1190">
        <w:rPr>
          <w:rStyle w:val="Znakapoznpodarou"/>
          <w:lang w:eastAsia="cs-CZ"/>
        </w:rPr>
        <w:footnoteReference w:id="2"/>
      </w:r>
      <w:r w:rsidR="004B1190">
        <w:t xml:space="preserve"> a</w:t>
      </w:r>
      <w:r w:rsidR="006D1D6A">
        <w:t>ni</w:t>
      </w:r>
      <w:r w:rsidR="004B1190">
        <w:t xml:space="preserve"> </w:t>
      </w:r>
      <w:r w:rsidR="006D1D6A">
        <w:t>j</w:t>
      </w:r>
      <w:r w:rsidR="00B532DC">
        <w:t xml:space="preserve">ustiční </w:t>
      </w:r>
      <w:proofErr w:type="spellStart"/>
      <w:r w:rsidR="00B532DC">
        <w:t>servi</w:t>
      </w:r>
      <w:r w:rsidR="004B1190">
        <w:t>c</w:t>
      </w:r>
      <w:r w:rsidR="00B532DC">
        <w:t>e</w:t>
      </w:r>
      <w:proofErr w:type="spellEnd"/>
      <w:r w:rsidR="00B532DC">
        <w:t xml:space="preserve"> bus</w:t>
      </w:r>
      <w:r w:rsidR="004B1190">
        <w:rPr>
          <w:rStyle w:val="Znakapoznpodarou"/>
        </w:rPr>
        <w:footnoteReference w:id="3"/>
      </w:r>
      <w:r w:rsidR="004B1190">
        <w:t>.</w:t>
      </w:r>
      <w:r w:rsidR="00062BFC">
        <w:t xml:space="preserve"> </w:t>
      </w:r>
      <w:proofErr w:type="spellStart"/>
      <w:r w:rsidR="004037F0">
        <w:t>MSp</w:t>
      </w:r>
      <w:proofErr w:type="spellEnd"/>
      <w:r w:rsidR="004037F0">
        <w:t xml:space="preserve"> neeliminovalo </w:t>
      </w:r>
      <w:r w:rsidR="005B4310">
        <w:t>zásadní</w:t>
      </w:r>
      <w:r w:rsidR="004037F0">
        <w:t xml:space="preserve"> problémy </w:t>
      </w:r>
      <w:r w:rsidR="005B4310">
        <w:t xml:space="preserve">v </w:t>
      </w:r>
      <w:r w:rsidR="004037F0">
        <w:t>I</w:t>
      </w:r>
      <w:r w:rsidR="00381AEC">
        <w:t xml:space="preserve">CT, </w:t>
      </w:r>
      <w:r w:rsidR="005B4310">
        <w:t>se kterými se resort justice potýká minimálně od roku 2007.</w:t>
      </w:r>
    </w:p>
    <w:p w14:paraId="0883F60F" w14:textId="5651C462" w:rsidR="00A3295F" w:rsidRDefault="00246EEA" w:rsidP="00317D87">
      <w:pPr>
        <w:pStyle w:val="Nadpis1"/>
        <w:ind w:left="284" w:hanging="284"/>
      </w:pPr>
      <w:proofErr w:type="spellStart"/>
      <w:r>
        <w:t>MSp</w:t>
      </w:r>
      <w:proofErr w:type="spellEnd"/>
      <w:r>
        <w:t xml:space="preserve"> </w:t>
      </w:r>
      <w:r w:rsidR="0092209A">
        <w:t xml:space="preserve">opakovaně prodlužovalo realizaci projektu </w:t>
      </w:r>
      <w:r w:rsidR="00311227" w:rsidRPr="00CC4F9B">
        <w:t>klíčového</w:t>
      </w:r>
      <w:r w:rsidR="00311227">
        <w:t xml:space="preserve"> </w:t>
      </w:r>
      <w:r w:rsidR="0092209A">
        <w:t xml:space="preserve">pro rozvoj </w:t>
      </w:r>
      <w:proofErr w:type="spellStart"/>
      <w:r w:rsidR="0092209A">
        <w:t>eJustice</w:t>
      </w:r>
      <w:proofErr w:type="spellEnd"/>
      <w:r w:rsidR="0092209A">
        <w:t>; ten stále není dokončen</w:t>
      </w:r>
    </w:p>
    <w:p w14:paraId="49835B91" w14:textId="511492DD" w:rsidR="00EE72D2" w:rsidRDefault="00A3295F" w:rsidP="00EE72D2">
      <w:pPr>
        <w:rPr>
          <w:lang w:eastAsia="cs-CZ"/>
        </w:rPr>
      </w:pPr>
      <w:r w:rsidRPr="00024E4B">
        <w:rPr>
          <w:lang w:eastAsia="cs-CZ"/>
        </w:rPr>
        <w:t>Výstup</w:t>
      </w:r>
      <w:r w:rsidR="006D1D6A">
        <w:rPr>
          <w:lang w:eastAsia="cs-CZ"/>
        </w:rPr>
        <w:t>em</w:t>
      </w:r>
      <w:r w:rsidRPr="00024E4B">
        <w:rPr>
          <w:lang w:eastAsia="cs-CZ"/>
        </w:rPr>
        <w:t xml:space="preserve"> projektu </w:t>
      </w:r>
      <w:proofErr w:type="spellStart"/>
      <w:r w:rsidR="00EE72D2" w:rsidRPr="00E07AB1">
        <w:rPr>
          <w:i/>
          <w:lang w:eastAsia="cs-CZ"/>
        </w:rPr>
        <w:t>eJustice</w:t>
      </w:r>
      <w:proofErr w:type="spellEnd"/>
      <w:r w:rsidR="00EE72D2" w:rsidRPr="00E07AB1">
        <w:rPr>
          <w:i/>
          <w:lang w:eastAsia="cs-CZ"/>
        </w:rPr>
        <w:t xml:space="preserve"> 2020 – část </w:t>
      </w:r>
      <w:proofErr w:type="spellStart"/>
      <w:r w:rsidR="00EE72D2" w:rsidRPr="00E07AB1">
        <w:rPr>
          <w:i/>
          <w:lang w:eastAsia="cs-CZ"/>
        </w:rPr>
        <w:t>eISIR</w:t>
      </w:r>
      <w:proofErr w:type="spellEnd"/>
      <w:r w:rsidR="00EE72D2">
        <w:rPr>
          <w:lang w:eastAsia="cs-CZ"/>
        </w:rPr>
        <w:t xml:space="preserve"> (dále také „projekt </w:t>
      </w:r>
      <w:proofErr w:type="spellStart"/>
      <w:r w:rsidR="00EE72D2">
        <w:rPr>
          <w:lang w:eastAsia="cs-CZ"/>
        </w:rPr>
        <w:t>eISIR</w:t>
      </w:r>
      <w:proofErr w:type="spellEnd"/>
      <w:r w:rsidR="00EE72D2">
        <w:rPr>
          <w:lang w:eastAsia="cs-CZ"/>
        </w:rPr>
        <w:t xml:space="preserve">“) </w:t>
      </w:r>
      <w:r w:rsidR="003E0376">
        <w:rPr>
          <w:lang w:eastAsia="cs-CZ"/>
        </w:rPr>
        <w:t xml:space="preserve">má </w:t>
      </w:r>
      <w:r w:rsidR="00311227">
        <w:rPr>
          <w:lang w:eastAsia="cs-CZ"/>
        </w:rPr>
        <w:t xml:space="preserve">být </w:t>
      </w:r>
      <w:r w:rsidRPr="00024E4B">
        <w:rPr>
          <w:lang w:eastAsia="cs-CZ"/>
        </w:rPr>
        <w:t xml:space="preserve">kromě pořízení </w:t>
      </w:r>
      <w:r w:rsidR="0092209A">
        <w:rPr>
          <w:lang w:eastAsia="cs-CZ"/>
        </w:rPr>
        <w:t xml:space="preserve">nového </w:t>
      </w:r>
      <w:proofErr w:type="spellStart"/>
      <w:r w:rsidR="00841EB8" w:rsidRPr="00C82D0A">
        <w:rPr>
          <w:lang w:eastAsia="cs-CZ"/>
        </w:rPr>
        <w:t>agendového</w:t>
      </w:r>
      <w:proofErr w:type="spellEnd"/>
      <w:r w:rsidR="00841EB8" w:rsidRPr="00C82D0A">
        <w:rPr>
          <w:lang w:eastAsia="cs-CZ"/>
        </w:rPr>
        <w:t xml:space="preserve"> </w:t>
      </w:r>
      <w:r w:rsidR="00303B0C">
        <w:rPr>
          <w:lang w:eastAsia="cs-CZ"/>
        </w:rPr>
        <w:t xml:space="preserve">informačního systému </w:t>
      </w:r>
      <w:r w:rsidR="004D599F" w:rsidRPr="00C82D0A">
        <w:rPr>
          <w:lang w:eastAsia="cs-CZ"/>
        </w:rPr>
        <w:t>insolvenčního rejstříku</w:t>
      </w:r>
      <w:r w:rsidR="006D1D6A">
        <w:rPr>
          <w:lang w:eastAsia="cs-CZ"/>
        </w:rPr>
        <w:t xml:space="preserve"> také</w:t>
      </w:r>
      <w:r w:rsidR="004D599F">
        <w:rPr>
          <w:lang w:eastAsia="cs-CZ"/>
        </w:rPr>
        <w:t xml:space="preserve"> </w:t>
      </w:r>
      <w:r w:rsidRPr="00024E4B">
        <w:rPr>
          <w:lang w:eastAsia="cs-CZ"/>
        </w:rPr>
        <w:t xml:space="preserve">vytvoření </w:t>
      </w:r>
      <w:proofErr w:type="spellStart"/>
      <w:r w:rsidR="00106050">
        <w:rPr>
          <w:lang w:eastAsia="cs-CZ"/>
        </w:rPr>
        <w:t>eSpis</w:t>
      </w:r>
      <w:r w:rsidR="006D1D6A">
        <w:rPr>
          <w:lang w:eastAsia="cs-CZ"/>
        </w:rPr>
        <w:t>u</w:t>
      </w:r>
      <w:proofErr w:type="spellEnd"/>
      <w:r w:rsidR="00291028">
        <w:rPr>
          <w:lang w:eastAsia="cs-CZ"/>
        </w:rPr>
        <w:t xml:space="preserve"> a </w:t>
      </w:r>
      <w:r w:rsidR="00C9093C" w:rsidRPr="00317D87">
        <w:rPr>
          <w:lang w:eastAsia="cs-CZ"/>
        </w:rPr>
        <w:t>c</w:t>
      </w:r>
      <w:r w:rsidRPr="00C9093C">
        <w:rPr>
          <w:lang w:eastAsia="cs-CZ"/>
        </w:rPr>
        <w:t>entr</w:t>
      </w:r>
      <w:r w:rsidR="00C116B0" w:rsidRPr="00C9093C">
        <w:rPr>
          <w:lang w:eastAsia="cs-CZ"/>
        </w:rPr>
        <w:t>a</w:t>
      </w:r>
      <w:r w:rsidRPr="00C9093C">
        <w:rPr>
          <w:lang w:eastAsia="cs-CZ"/>
        </w:rPr>
        <w:t xml:space="preserve"> justice</w:t>
      </w:r>
      <w:r w:rsidR="00291028">
        <w:rPr>
          <w:lang w:eastAsia="cs-CZ"/>
        </w:rPr>
        <w:t>.</w:t>
      </w:r>
      <w:r>
        <w:rPr>
          <w:lang w:eastAsia="cs-CZ"/>
        </w:rPr>
        <w:t xml:space="preserve"> </w:t>
      </w:r>
      <w:proofErr w:type="spellStart"/>
      <w:r w:rsidR="00EE72D2">
        <w:rPr>
          <w:lang w:eastAsia="cs-CZ"/>
        </w:rPr>
        <w:t>MSp</w:t>
      </w:r>
      <w:proofErr w:type="spellEnd"/>
      <w:r w:rsidR="00EE72D2">
        <w:rPr>
          <w:lang w:eastAsia="cs-CZ"/>
        </w:rPr>
        <w:t xml:space="preserve"> v projektu </w:t>
      </w:r>
      <w:proofErr w:type="spellStart"/>
      <w:r w:rsidR="00EE72D2">
        <w:rPr>
          <w:lang w:eastAsia="cs-CZ"/>
        </w:rPr>
        <w:t>eISIR</w:t>
      </w:r>
      <w:proofErr w:type="spellEnd"/>
      <w:r w:rsidR="00EE72D2">
        <w:rPr>
          <w:lang w:eastAsia="cs-CZ"/>
        </w:rPr>
        <w:t xml:space="preserve"> pořídilo jen tři prvky </w:t>
      </w:r>
      <w:r w:rsidR="00C9093C" w:rsidRPr="00317D87">
        <w:rPr>
          <w:lang w:eastAsia="cs-CZ"/>
        </w:rPr>
        <w:t>c</w:t>
      </w:r>
      <w:r w:rsidR="00EE72D2" w:rsidRPr="00C9093C">
        <w:rPr>
          <w:lang w:eastAsia="cs-CZ"/>
        </w:rPr>
        <w:t>entra justice</w:t>
      </w:r>
      <w:r w:rsidR="009F307A">
        <w:rPr>
          <w:lang w:eastAsia="cs-CZ"/>
        </w:rPr>
        <w:t xml:space="preserve"> ze sedmi</w:t>
      </w:r>
      <w:r w:rsidR="00EE72D2">
        <w:rPr>
          <w:lang w:eastAsia="cs-CZ"/>
        </w:rPr>
        <w:t xml:space="preserve"> </w:t>
      </w:r>
      <w:r w:rsidR="00C00743">
        <w:rPr>
          <w:lang w:eastAsia="cs-CZ"/>
        </w:rPr>
        <w:br/>
      </w:r>
      <w:r w:rsidR="00EE72D2">
        <w:rPr>
          <w:lang w:eastAsia="cs-CZ"/>
        </w:rPr>
        <w:t xml:space="preserve">a vynaložilo 4,1 mil. Kč, tj. 2 % </w:t>
      </w:r>
      <w:r w:rsidR="00346F07">
        <w:rPr>
          <w:lang w:eastAsia="cs-CZ"/>
        </w:rPr>
        <w:t xml:space="preserve">výdajů stanovených </w:t>
      </w:r>
      <w:r w:rsidR="00EE72D2">
        <w:rPr>
          <w:lang w:eastAsia="cs-CZ"/>
        </w:rPr>
        <w:t>na projekt. Bez pořízení a</w:t>
      </w:r>
      <w:r w:rsidR="00C00743">
        <w:rPr>
          <w:lang w:eastAsia="cs-CZ"/>
        </w:rPr>
        <w:t xml:space="preserve"> </w:t>
      </w:r>
      <w:r w:rsidR="00EE72D2">
        <w:rPr>
          <w:lang w:eastAsia="cs-CZ"/>
        </w:rPr>
        <w:t xml:space="preserve">zprovoznění </w:t>
      </w:r>
      <w:proofErr w:type="spellStart"/>
      <w:r w:rsidR="00EE72D2">
        <w:rPr>
          <w:lang w:eastAsia="cs-CZ"/>
        </w:rPr>
        <w:t>eSpis</w:t>
      </w:r>
      <w:r w:rsidR="00346F07">
        <w:rPr>
          <w:lang w:eastAsia="cs-CZ"/>
        </w:rPr>
        <w:t>u</w:t>
      </w:r>
      <w:proofErr w:type="spellEnd"/>
      <w:r w:rsidR="00EE72D2">
        <w:rPr>
          <w:lang w:eastAsia="cs-CZ"/>
        </w:rPr>
        <w:t xml:space="preserve"> a </w:t>
      </w:r>
      <w:proofErr w:type="spellStart"/>
      <w:r w:rsidR="00EE72D2">
        <w:rPr>
          <w:lang w:eastAsia="cs-CZ"/>
        </w:rPr>
        <w:t>agendového</w:t>
      </w:r>
      <w:proofErr w:type="spellEnd"/>
      <w:r w:rsidR="00EE72D2">
        <w:rPr>
          <w:lang w:eastAsia="cs-CZ"/>
        </w:rPr>
        <w:t xml:space="preserve"> IS insolvenčního </w:t>
      </w:r>
      <w:r w:rsidR="007B27CB">
        <w:rPr>
          <w:lang w:eastAsia="cs-CZ"/>
        </w:rPr>
        <w:t>rejstříku</w:t>
      </w:r>
      <w:r w:rsidR="00EE72D2">
        <w:rPr>
          <w:lang w:eastAsia="cs-CZ"/>
        </w:rPr>
        <w:t xml:space="preserve"> lze všechny již pořízené podpůrné </w:t>
      </w:r>
      <w:r w:rsidR="00D15CE8">
        <w:rPr>
          <w:lang w:eastAsia="cs-CZ"/>
        </w:rPr>
        <w:t>IS</w:t>
      </w:r>
      <w:r w:rsidR="00EE72D2">
        <w:rPr>
          <w:lang w:eastAsia="cs-CZ"/>
        </w:rPr>
        <w:t xml:space="preserve"> využívat jen velmi omezeně.</w:t>
      </w:r>
      <w:r w:rsidR="009F307A" w:rsidRPr="009F307A">
        <w:rPr>
          <w:lang w:eastAsia="cs-CZ"/>
        </w:rPr>
        <w:t xml:space="preserve"> </w:t>
      </w:r>
      <w:r w:rsidR="009F307A" w:rsidRPr="00E532D5">
        <w:rPr>
          <w:lang w:eastAsia="cs-CZ"/>
        </w:rPr>
        <w:t xml:space="preserve">Implementace většiny nástrojů moderní </w:t>
      </w:r>
      <w:proofErr w:type="spellStart"/>
      <w:r w:rsidR="009F307A" w:rsidRPr="00E532D5">
        <w:rPr>
          <w:lang w:eastAsia="cs-CZ"/>
        </w:rPr>
        <w:t>eJustice</w:t>
      </w:r>
      <w:proofErr w:type="spellEnd"/>
      <w:r w:rsidR="009F307A" w:rsidRPr="00E532D5">
        <w:rPr>
          <w:lang w:eastAsia="cs-CZ"/>
        </w:rPr>
        <w:t xml:space="preserve"> je </w:t>
      </w:r>
      <w:r w:rsidR="009F307A">
        <w:rPr>
          <w:lang w:eastAsia="cs-CZ"/>
        </w:rPr>
        <w:t xml:space="preserve">bez výstupů projektu </w:t>
      </w:r>
      <w:proofErr w:type="spellStart"/>
      <w:r w:rsidR="009F307A">
        <w:rPr>
          <w:lang w:eastAsia="cs-CZ"/>
        </w:rPr>
        <w:t>eISIR</w:t>
      </w:r>
      <w:proofErr w:type="spellEnd"/>
      <w:r w:rsidR="009F307A" w:rsidRPr="00E532D5">
        <w:rPr>
          <w:lang w:eastAsia="cs-CZ"/>
        </w:rPr>
        <w:t xml:space="preserve"> vyloučena.</w:t>
      </w:r>
    </w:p>
    <w:p w14:paraId="4F5C9368" w14:textId="45C603C9" w:rsidR="00841EB8" w:rsidRDefault="00841EB8" w:rsidP="00841EB8">
      <w:pPr>
        <w:rPr>
          <w:lang w:eastAsia="cs-CZ"/>
        </w:rPr>
      </w:pP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v</w:t>
      </w:r>
      <w:r w:rsidR="00362311">
        <w:rPr>
          <w:lang w:eastAsia="cs-CZ"/>
        </w:rPr>
        <w:t xml:space="preserve"> průběhu realizace </w:t>
      </w:r>
      <w:r>
        <w:rPr>
          <w:lang w:eastAsia="cs-CZ"/>
        </w:rPr>
        <w:t xml:space="preserve">projektu </w:t>
      </w:r>
      <w:proofErr w:type="spellStart"/>
      <w:r>
        <w:rPr>
          <w:lang w:eastAsia="cs-CZ"/>
        </w:rPr>
        <w:t>eISIR</w:t>
      </w:r>
      <w:proofErr w:type="spellEnd"/>
      <w:r>
        <w:rPr>
          <w:lang w:eastAsia="cs-CZ"/>
        </w:rPr>
        <w:t xml:space="preserve"> </w:t>
      </w:r>
      <w:r w:rsidR="00584880">
        <w:rPr>
          <w:lang w:eastAsia="cs-CZ"/>
        </w:rPr>
        <w:t>rozdělovalo</w:t>
      </w:r>
      <w:r w:rsidR="0088279E">
        <w:rPr>
          <w:lang w:eastAsia="cs-CZ"/>
        </w:rPr>
        <w:t xml:space="preserve"> </w:t>
      </w:r>
      <w:r w:rsidR="00584880">
        <w:rPr>
          <w:lang w:eastAsia="cs-CZ"/>
        </w:rPr>
        <w:t xml:space="preserve">a opět slučovalo </w:t>
      </w:r>
      <w:r w:rsidR="00C116B0">
        <w:rPr>
          <w:lang w:eastAsia="cs-CZ"/>
        </w:rPr>
        <w:t>veřejné zakázky (dále také „VZ“)</w:t>
      </w:r>
      <w:r w:rsidR="00584880">
        <w:rPr>
          <w:lang w:eastAsia="cs-CZ"/>
        </w:rPr>
        <w:t xml:space="preserve"> a posouvalo jejich realizaci. Zároveň doplňovalo, rozšiřovalo a vynechávalo </w:t>
      </w:r>
      <w:r w:rsidR="0052426A">
        <w:rPr>
          <w:lang w:eastAsia="cs-CZ"/>
        </w:rPr>
        <w:t xml:space="preserve">dílčí </w:t>
      </w:r>
      <w:r w:rsidR="00584880">
        <w:rPr>
          <w:lang w:eastAsia="cs-CZ"/>
        </w:rPr>
        <w:t xml:space="preserve">aktivity. </w:t>
      </w:r>
      <w:r w:rsidR="00195B74">
        <w:rPr>
          <w:lang w:eastAsia="cs-CZ"/>
        </w:rPr>
        <w:t>Tento nekoncepční postup byl</w:t>
      </w:r>
      <w:r w:rsidR="003205E6">
        <w:rPr>
          <w:lang w:eastAsia="cs-CZ"/>
        </w:rPr>
        <w:t xml:space="preserve"> příčinou opakovaného prodlužování </w:t>
      </w:r>
      <w:r w:rsidR="007C201F">
        <w:rPr>
          <w:lang w:eastAsia="cs-CZ"/>
        </w:rPr>
        <w:t xml:space="preserve">termínu ukončení </w:t>
      </w:r>
      <w:r w:rsidR="003205E6">
        <w:rPr>
          <w:lang w:eastAsia="cs-CZ"/>
        </w:rPr>
        <w:t>realizace</w:t>
      </w:r>
      <w:r w:rsidR="002227EF">
        <w:rPr>
          <w:lang w:eastAsia="cs-CZ"/>
        </w:rPr>
        <w:t xml:space="preserve"> </w:t>
      </w:r>
      <w:r w:rsidR="005B763A">
        <w:rPr>
          <w:lang w:eastAsia="cs-CZ"/>
        </w:rPr>
        <w:t xml:space="preserve">z 31. 12. 2019 </w:t>
      </w:r>
      <w:r w:rsidR="002227EF">
        <w:rPr>
          <w:lang w:eastAsia="cs-CZ"/>
        </w:rPr>
        <w:t>až do</w:t>
      </w:r>
      <w:r w:rsidR="00195B74">
        <w:rPr>
          <w:lang w:eastAsia="cs-CZ"/>
        </w:rPr>
        <w:t xml:space="preserve"> </w:t>
      </w:r>
      <w:r w:rsidR="00497EF5">
        <w:rPr>
          <w:lang w:eastAsia="cs-CZ"/>
        </w:rPr>
        <w:t>31. 12. </w:t>
      </w:r>
      <w:r w:rsidR="002227EF">
        <w:rPr>
          <w:lang w:eastAsia="cs-CZ"/>
        </w:rPr>
        <w:t>2023 (nejzazší možný termín)</w:t>
      </w:r>
      <w:r w:rsidR="003205E6">
        <w:rPr>
          <w:lang w:eastAsia="cs-CZ"/>
        </w:rPr>
        <w:t>.</w:t>
      </w:r>
      <w:r w:rsidR="00C87A89">
        <w:rPr>
          <w:lang w:eastAsia="cs-CZ"/>
        </w:rPr>
        <w:t xml:space="preserve"> </w:t>
      </w:r>
      <w:r w:rsidR="00C87A89" w:rsidRPr="00E532D5">
        <w:rPr>
          <w:lang w:eastAsia="cs-CZ"/>
        </w:rPr>
        <w:t xml:space="preserve">Pokud </w:t>
      </w:r>
      <w:proofErr w:type="spellStart"/>
      <w:r w:rsidR="00C87A89">
        <w:rPr>
          <w:lang w:eastAsia="cs-CZ"/>
        </w:rPr>
        <w:t>MSp</w:t>
      </w:r>
      <w:proofErr w:type="spellEnd"/>
      <w:r w:rsidR="00C87A89">
        <w:rPr>
          <w:lang w:eastAsia="cs-CZ"/>
        </w:rPr>
        <w:t xml:space="preserve"> do tohoto data </w:t>
      </w:r>
      <w:r w:rsidR="00C87A89" w:rsidRPr="00E532D5">
        <w:rPr>
          <w:lang w:eastAsia="cs-CZ"/>
        </w:rPr>
        <w:t xml:space="preserve">nedokončí projekt </w:t>
      </w:r>
      <w:proofErr w:type="spellStart"/>
      <w:r w:rsidR="00C87A89" w:rsidRPr="00E532D5">
        <w:rPr>
          <w:lang w:eastAsia="cs-CZ"/>
        </w:rPr>
        <w:t>eISIR</w:t>
      </w:r>
      <w:proofErr w:type="spellEnd"/>
      <w:r w:rsidR="00C87A89" w:rsidRPr="00E532D5">
        <w:rPr>
          <w:lang w:eastAsia="cs-CZ"/>
        </w:rPr>
        <w:t xml:space="preserve"> a nenaplní jeho účel, stanou se výdaje </w:t>
      </w:r>
      <w:r w:rsidR="00C87A89">
        <w:rPr>
          <w:lang w:eastAsia="cs-CZ"/>
        </w:rPr>
        <w:t>až do</w:t>
      </w:r>
      <w:r w:rsidR="00C87A89" w:rsidRPr="00E532D5">
        <w:rPr>
          <w:lang w:eastAsia="cs-CZ"/>
        </w:rPr>
        <w:t xml:space="preserve"> výš</w:t>
      </w:r>
      <w:r w:rsidR="00C87A89">
        <w:rPr>
          <w:lang w:eastAsia="cs-CZ"/>
        </w:rPr>
        <w:t>e</w:t>
      </w:r>
      <w:r w:rsidR="00C87A89" w:rsidRPr="00E532D5">
        <w:rPr>
          <w:lang w:eastAsia="cs-CZ"/>
        </w:rPr>
        <w:t xml:space="preserve"> </w:t>
      </w:r>
      <w:r w:rsidR="00A82034">
        <w:rPr>
          <w:lang w:eastAsia="cs-CZ"/>
        </w:rPr>
        <w:br/>
      </w:r>
      <w:r w:rsidR="00C87A89" w:rsidRPr="00C87A89">
        <w:rPr>
          <w:lang w:eastAsia="cs-CZ"/>
        </w:rPr>
        <w:t>177,8</w:t>
      </w:r>
      <w:r w:rsidR="00A82034">
        <w:rPr>
          <w:lang w:eastAsia="cs-CZ"/>
        </w:rPr>
        <w:t xml:space="preserve"> </w:t>
      </w:r>
      <w:r w:rsidR="00C87A89" w:rsidRPr="00C87A89">
        <w:rPr>
          <w:lang w:eastAsia="cs-CZ"/>
        </w:rPr>
        <w:t>mil. Kč</w:t>
      </w:r>
      <w:r w:rsidR="00C87A89" w:rsidRPr="00E532D5">
        <w:rPr>
          <w:lang w:eastAsia="cs-CZ"/>
        </w:rPr>
        <w:t xml:space="preserve"> nezpůsobilými</w:t>
      </w:r>
      <w:r w:rsidR="00C87A89">
        <w:rPr>
          <w:lang w:eastAsia="cs-CZ"/>
        </w:rPr>
        <w:t xml:space="preserve"> k</w:t>
      </w:r>
      <w:r w:rsidR="00A82034">
        <w:rPr>
          <w:lang w:eastAsia="cs-CZ"/>
        </w:rPr>
        <w:t xml:space="preserve"> </w:t>
      </w:r>
      <w:r w:rsidR="00C87A89">
        <w:rPr>
          <w:lang w:eastAsia="cs-CZ"/>
        </w:rPr>
        <w:t>proplacení z</w:t>
      </w:r>
      <w:r w:rsidR="00A82034">
        <w:rPr>
          <w:lang w:eastAsia="cs-CZ"/>
        </w:rPr>
        <w:t xml:space="preserve"> </w:t>
      </w:r>
      <w:r w:rsidR="00C87A89">
        <w:rPr>
          <w:lang w:eastAsia="cs-CZ"/>
        </w:rPr>
        <w:t>fondů E</w:t>
      </w:r>
      <w:r w:rsidR="00106050">
        <w:rPr>
          <w:lang w:eastAsia="cs-CZ"/>
        </w:rPr>
        <w:t>vropské unie</w:t>
      </w:r>
      <w:r w:rsidR="00BB3DE2">
        <w:rPr>
          <w:lang w:eastAsia="cs-CZ"/>
        </w:rPr>
        <w:t xml:space="preserve"> (dále také „EU“)</w:t>
      </w:r>
      <w:r w:rsidR="00106050">
        <w:rPr>
          <w:lang w:eastAsia="cs-CZ"/>
        </w:rPr>
        <w:t>.</w:t>
      </w:r>
      <w:r w:rsidR="00C87A89">
        <w:rPr>
          <w:lang w:eastAsia="cs-CZ"/>
        </w:rPr>
        <w:t xml:space="preserve"> Veškeré výdaje projektu</w:t>
      </w:r>
      <w:r>
        <w:rPr>
          <w:lang w:eastAsia="cs-CZ"/>
        </w:rPr>
        <w:t xml:space="preserve"> </w:t>
      </w:r>
      <w:r w:rsidR="000A7627">
        <w:rPr>
          <w:lang w:eastAsia="cs-CZ"/>
        </w:rPr>
        <w:t xml:space="preserve">by </w:t>
      </w:r>
      <w:r w:rsidR="00346F07">
        <w:rPr>
          <w:lang w:eastAsia="cs-CZ"/>
        </w:rPr>
        <w:t>p</w:t>
      </w:r>
      <w:r w:rsidR="000A7627">
        <w:rPr>
          <w:lang w:eastAsia="cs-CZ"/>
        </w:rPr>
        <w:t xml:space="preserve">ak </w:t>
      </w:r>
      <w:proofErr w:type="spellStart"/>
      <w:r w:rsidR="00A56823">
        <w:rPr>
          <w:lang w:eastAsia="cs-CZ"/>
        </w:rPr>
        <w:t>MSp</w:t>
      </w:r>
      <w:proofErr w:type="spellEnd"/>
      <w:r w:rsidR="00A56823">
        <w:rPr>
          <w:lang w:eastAsia="cs-CZ"/>
        </w:rPr>
        <w:t xml:space="preserve"> </w:t>
      </w:r>
      <w:r w:rsidR="000A7627">
        <w:rPr>
          <w:lang w:eastAsia="cs-CZ"/>
        </w:rPr>
        <w:t>muselo</w:t>
      </w:r>
      <w:r w:rsidR="00C116B0">
        <w:rPr>
          <w:lang w:eastAsia="cs-CZ"/>
        </w:rPr>
        <w:t xml:space="preserve"> </w:t>
      </w:r>
      <w:r w:rsidR="00C87A89">
        <w:rPr>
          <w:lang w:eastAsia="cs-CZ"/>
        </w:rPr>
        <w:t>hradit z</w:t>
      </w:r>
      <w:r w:rsidR="00D719D7">
        <w:rPr>
          <w:lang w:eastAsia="cs-CZ"/>
        </w:rPr>
        <w:t xml:space="preserve"> prostředků</w:t>
      </w:r>
      <w:r w:rsidR="00C87A89">
        <w:rPr>
          <w:lang w:eastAsia="cs-CZ"/>
        </w:rPr>
        <w:t xml:space="preserve"> státního rozpočtu.</w:t>
      </w:r>
      <w:r w:rsidR="00BD21BD" w:rsidRPr="00BD21BD">
        <w:rPr>
          <w:lang w:eastAsia="cs-CZ"/>
        </w:rPr>
        <w:t xml:space="preserve"> </w:t>
      </w:r>
      <w:r w:rsidR="002D200F">
        <w:rPr>
          <w:lang w:eastAsia="cs-CZ"/>
        </w:rPr>
        <w:t>P</w:t>
      </w:r>
      <w:r w:rsidR="007308A6">
        <w:rPr>
          <w:lang w:eastAsia="cs-CZ"/>
        </w:rPr>
        <w:t xml:space="preserve">rodlužování realizace přináší </w:t>
      </w:r>
      <w:r w:rsidR="002D200F">
        <w:rPr>
          <w:lang w:eastAsia="cs-CZ"/>
        </w:rPr>
        <w:t xml:space="preserve">i </w:t>
      </w:r>
      <w:r w:rsidR="007308A6">
        <w:rPr>
          <w:lang w:eastAsia="cs-CZ"/>
        </w:rPr>
        <w:t xml:space="preserve">riziko zvýšení celkových </w:t>
      </w:r>
      <w:r w:rsidR="00DB058D">
        <w:rPr>
          <w:lang w:eastAsia="cs-CZ"/>
        </w:rPr>
        <w:t>výdajů</w:t>
      </w:r>
      <w:r w:rsidR="007308A6">
        <w:rPr>
          <w:lang w:eastAsia="cs-CZ"/>
        </w:rPr>
        <w:t xml:space="preserve"> projektu.</w:t>
      </w:r>
    </w:p>
    <w:p w14:paraId="2D8FCC6E" w14:textId="029C79CB" w:rsidR="00DE58F7" w:rsidRPr="0013019B" w:rsidRDefault="00DE58F7" w:rsidP="00317D87">
      <w:pPr>
        <w:pStyle w:val="Nadpis1"/>
        <w:ind w:left="284" w:hanging="284"/>
      </w:pPr>
      <w:r w:rsidRPr="00DE58F7">
        <w:t xml:space="preserve">Elektronický monitoring </w:t>
      </w:r>
      <w:r w:rsidR="007944E5">
        <w:t>osob</w:t>
      </w:r>
      <w:r w:rsidR="007944E5" w:rsidRPr="00DE58F7">
        <w:t xml:space="preserve"> </w:t>
      </w:r>
      <w:r w:rsidRPr="00DE58F7">
        <w:t xml:space="preserve">nefunguje, jejich kontrolu </w:t>
      </w:r>
      <w:r>
        <w:t>opět</w:t>
      </w:r>
      <w:r w:rsidRPr="00DE58F7">
        <w:t xml:space="preserve"> vykonávají pouze probační úředníci formou fyzických návštěv</w:t>
      </w:r>
    </w:p>
    <w:p w14:paraId="00A27507" w14:textId="3639ABA3" w:rsidR="00046C41" w:rsidRDefault="004E5B21" w:rsidP="00F647F5">
      <w:pPr>
        <w:rPr>
          <w:lang w:eastAsia="cs-CZ"/>
        </w:rPr>
      </w:pPr>
      <w:r>
        <w:rPr>
          <w:lang w:eastAsia="cs-CZ"/>
        </w:rPr>
        <w:t xml:space="preserve">Elektronický monitoring </w:t>
      </w:r>
      <w:r w:rsidR="007944E5">
        <w:rPr>
          <w:lang w:eastAsia="cs-CZ"/>
        </w:rPr>
        <w:t xml:space="preserve">osob </w:t>
      </w:r>
      <w:r>
        <w:rPr>
          <w:lang w:eastAsia="cs-CZ"/>
        </w:rPr>
        <w:t>odsouzených</w:t>
      </w:r>
      <w:r w:rsidR="007944E5">
        <w:rPr>
          <w:lang w:eastAsia="cs-CZ"/>
        </w:rPr>
        <w:t xml:space="preserve"> k trestu domácího vězení a </w:t>
      </w:r>
      <w:r w:rsidR="00483CC4">
        <w:rPr>
          <w:lang w:eastAsia="cs-CZ"/>
        </w:rPr>
        <w:t>osob</w:t>
      </w:r>
      <w:r w:rsidR="007944E5">
        <w:rPr>
          <w:lang w:eastAsia="cs-CZ"/>
        </w:rPr>
        <w:t xml:space="preserve"> v režimu nahrazení vazby dohledem</w:t>
      </w:r>
      <w:r>
        <w:rPr>
          <w:lang w:eastAsia="cs-CZ"/>
        </w:rPr>
        <w:t xml:space="preserve"> se PMS a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pokoušely</w:t>
      </w:r>
      <w:r w:rsidR="00CC4F9B">
        <w:rPr>
          <w:lang w:eastAsia="cs-CZ"/>
        </w:rPr>
        <w:t xml:space="preserve"> opakovaně</w:t>
      </w:r>
      <w:r>
        <w:rPr>
          <w:lang w:eastAsia="cs-CZ"/>
        </w:rPr>
        <w:t xml:space="preserve"> </w:t>
      </w:r>
      <w:r w:rsidR="00CD5476">
        <w:rPr>
          <w:lang w:eastAsia="cs-CZ"/>
        </w:rPr>
        <w:t xml:space="preserve">realizovat </w:t>
      </w:r>
      <w:r>
        <w:rPr>
          <w:lang w:eastAsia="cs-CZ"/>
        </w:rPr>
        <w:t xml:space="preserve">již od roku 2012. </w:t>
      </w:r>
      <w:r w:rsidRPr="00CC4F9B">
        <w:rPr>
          <w:lang w:eastAsia="cs-CZ"/>
        </w:rPr>
        <w:t xml:space="preserve">Teprve </w:t>
      </w:r>
      <w:r w:rsidR="00585402" w:rsidRPr="00CC4F9B">
        <w:rPr>
          <w:lang w:eastAsia="cs-CZ"/>
        </w:rPr>
        <w:t xml:space="preserve">v </w:t>
      </w:r>
      <w:r w:rsidR="00BD21BD">
        <w:rPr>
          <w:lang w:eastAsia="cs-CZ"/>
        </w:rPr>
        <w:t>září</w:t>
      </w:r>
      <w:r w:rsidR="00BD21BD" w:rsidRPr="00CC4F9B">
        <w:rPr>
          <w:lang w:eastAsia="cs-CZ"/>
        </w:rPr>
        <w:t xml:space="preserve"> </w:t>
      </w:r>
      <w:r w:rsidR="00CC1C5A" w:rsidRPr="00CC4F9B">
        <w:rPr>
          <w:lang w:eastAsia="cs-CZ"/>
        </w:rPr>
        <w:t>201</w:t>
      </w:r>
      <w:r w:rsidR="00CC4F9B" w:rsidRPr="00CC4F9B">
        <w:rPr>
          <w:lang w:eastAsia="cs-CZ"/>
        </w:rPr>
        <w:t>7</w:t>
      </w:r>
      <w:r w:rsidR="00CC1C5A">
        <w:rPr>
          <w:lang w:eastAsia="cs-CZ"/>
        </w:rPr>
        <w:t xml:space="preserve"> </w:t>
      </w:r>
      <w:r w:rsidR="00CC4F9B">
        <w:rPr>
          <w:lang w:eastAsia="cs-CZ"/>
        </w:rPr>
        <w:t xml:space="preserve">PMS </w:t>
      </w:r>
      <w:r w:rsidR="000A7627">
        <w:rPr>
          <w:lang w:eastAsia="cs-CZ"/>
        </w:rPr>
        <w:t>uzavřela</w:t>
      </w:r>
      <w:r w:rsidR="00BD21BD">
        <w:rPr>
          <w:lang w:eastAsia="cs-CZ"/>
        </w:rPr>
        <w:t xml:space="preserve"> smlouvu na </w:t>
      </w:r>
      <w:r w:rsidR="0069489C">
        <w:rPr>
          <w:lang w:eastAsia="cs-CZ"/>
        </w:rPr>
        <w:t>dodání elektronických náramků, softwar</w:t>
      </w:r>
      <w:r w:rsidR="007C201F">
        <w:rPr>
          <w:lang w:eastAsia="cs-CZ"/>
        </w:rPr>
        <w:t>u</w:t>
      </w:r>
      <w:r w:rsidR="0069489C">
        <w:rPr>
          <w:lang w:eastAsia="cs-CZ"/>
        </w:rPr>
        <w:t xml:space="preserve"> pro monitorovací centrum a </w:t>
      </w:r>
      <w:r w:rsidR="007C201F">
        <w:rPr>
          <w:lang w:eastAsia="cs-CZ"/>
        </w:rPr>
        <w:t xml:space="preserve">na </w:t>
      </w:r>
      <w:r w:rsidR="0069489C">
        <w:rPr>
          <w:lang w:eastAsia="cs-CZ"/>
        </w:rPr>
        <w:t xml:space="preserve">poskytování servisních a rozvojových služeb. </w:t>
      </w:r>
      <w:r w:rsidR="00EC0FF8">
        <w:rPr>
          <w:lang w:eastAsia="cs-CZ"/>
        </w:rPr>
        <w:t>Vybraný dodavatel však již od počátku s</w:t>
      </w:r>
      <w:r w:rsidR="00A95974">
        <w:rPr>
          <w:lang w:eastAsia="cs-CZ"/>
        </w:rPr>
        <w:t>polupráce neplnil některé závazky ze smlouvy</w:t>
      </w:r>
      <w:r w:rsidR="003A7EFA">
        <w:rPr>
          <w:lang w:eastAsia="cs-CZ"/>
        </w:rPr>
        <w:t xml:space="preserve"> nebo je plnil se značným zpožděním</w:t>
      </w:r>
      <w:r w:rsidR="00B014AB">
        <w:rPr>
          <w:lang w:eastAsia="cs-CZ"/>
        </w:rPr>
        <w:t xml:space="preserve">. Koncem roku 2021 </w:t>
      </w:r>
      <w:r w:rsidR="0069489C">
        <w:rPr>
          <w:lang w:eastAsia="cs-CZ"/>
        </w:rPr>
        <w:t xml:space="preserve">tak </w:t>
      </w:r>
      <w:r w:rsidR="00B014AB">
        <w:rPr>
          <w:lang w:eastAsia="cs-CZ"/>
        </w:rPr>
        <w:t xml:space="preserve">PMS odstoupila od smlouvy a provoz </w:t>
      </w:r>
      <w:r w:rsidR="00DE47D3">
        <w:rPr>
          <w:lang w:eastAsia="cs-CZ"/>
        </w:rPr>
        <w:t>elektronického monitorovacího systému (dále také „</w:t>
      </w:r>
      <w:r w:rsidR="00B014AB">
        <w:rPr>
          <w:lang w:eastAsia="cs-CZ"/>
        </w:rPr>
        <w:t>EMS</w:t>
      </w:r>
      <w:r w:rsidR="00DE47D3">
        <w:rPr>
          <w:lang w:eastAsia="cs-CZ"/>
        </w:rPr>
        <w:t>“)</w:t>
      </w:r>
      <w:r w:rsidR="00B014AB">
        <w:rPr>
          <w:lang w:eastAsia="cs-CZ"/>
        </w:rPr>
        <w:t xml:space="preserve"> ukončila. Smluvní sankce a náhrady škod vyčíslila na </w:t>
      </w:r>
      <w:r w:rsidR="00A33060" w:rsidRPr="00A33060">
        <w:rPr>
          <w:lang w:eastAsia="cs-CZ"/>
        </w:rPr>
        <w:t>139</w:t>
      </w:r>
      <w:r w:rsidR="00EC0FF8">
        <w:rPr>
          <w:lang w:eastAsia="cs-CZ"/>
        </w:rPr>
        <w:t xml:space="preserve">,5 mil. </w:t>
      </w:r>
      <w:r w:rsidR="00B014AB">
        <w:rPr>
          <w:lang w:eastAsia="cs-CZ"/>
        </w:rPr>
        <w:t>Kč</w:t>
      </w:r>
      <w:r w:rsidR="00080587">
        <w:rPr>
          <w:lang w:eastAsia="cs-CZ"/>
        </w:rPr>
        <w:t>. T</w:t>
      </w:r>
      <w:r w:rsidR="00B014AB">
        <w:rPr>
          <w:lang w:eastAsia="cs-CZ"/>
        </w:rPr>
        <w:t xml:space="preserve">yto prostředky </w:t>
      </w:r>
      <w:r w:rsidR="003A6AA6">
        <w:rPr>
          <w:lang w:eastAsia="cs-CZ"/>
        </w:rPr>
        <w:t>po dodavateli vymáhá soudně.</w:t>
      </w:r>
    </w:p>
    <w:p w14:paraId="73703195" w14:textId="0FD361E6" w:rsidR="0025193F" w:rsidRDefault="009E2FAC" w:rsidP="00F647F5">
      <w:pPr>
        <w:rPr>
          <w:lang w:eastAsia="cs-CZ"/>
        </w:rPr>
      </w:pPr>
      <w:r>
        <w:rPr>
          <w:lang w:eastAsia="cs-CZ"/>
        </w:rPr>
        <w:t>O</w:t>
      </w:r>
      <w:r w:rsidR="005A1264">
        <w:rPr>
          <w:lang w:eastAsia="cs-CZ"/>
        </w:rPr>
        <w:t xml:space="preserve">d </w:t>
      </w:r>
      <w:r w:rsidR="0077516E">
        <w:rPr>
          <w:lang w:eastAsia="cs-CZ"/>
        </w:rPr>
        <w:t>prosince</w:t>
      </w:r>
      <w:r w:rsidR="005A1264">
        <w:rPr>
          <w:lang w:eastAsia="cs-CZ"/>
        </w:rPr>
        <w:t xml:space="preserve"> 202</w:t>
      </w:r>
      <w:r w:rsidR="0077516E">
        <w:rPr>
          <w:lang w:eastAsia="cs-CZ"/>
        </w:rPr>
        <w:t>1</w:t>
      </w:r>
      <w:r w:rsidR="005A1264">
        <w:rPr>
          <w:lang w:eastAsia="cs-CZ"/>
        </w:rPr>
        <w:t xml:space="preserve"> </w:t>
      </w:r>
      <w:r w:rsidR="00996AC3">
        <w:rPr>
          <w:lang w:eastAsia="cs-CZ"/>
        </w:rPr>
        <w:t>se</w:t>
      </w:r>
      <w:r w:rsidR="0069489C">
        <w:rPr>
          <w:lang w:eastAsia="cs-CZ"/>
        </w:rPr>
        <w:t xml:space="preserve"> </w:t>
      </w:r>
      <w:r w:rsidR="005A1264">
        <w:rPr>
          <w:lang w:eastAsia="cs-CZ"/>
        </w:rPr>
        <w:t xml:space="preserve">PMS musela </w:t>
      </w:r>
      <w:r w:rsidR="00E55A67">
        <w:rPr>
          <w:lang w:eastAsia="cs-CZ"/>
        </w:rPr>
        <w:t>vrátit k</w:t>
      </w:r>
      <w:r w:rsidR="00996AC3">
        <w:rPr>
          <w:lang w:eastAsia="cs-CZ"/>
        </w:rPr>
        <w:t>e kontrolám odsouzených</w:t>
      </w:r>
      <w:r w:rsidR="0069489C">
        <w:rPr>
          <w:lang w:eastAsia="cs-CZ"/>
        </w:rPr>
        <w:t xml:space="preserve"> </w:t>
      </w:r>
      <w:r w:rsidR="005A1264">
        <w:rPr>
          <w:lang w:eastAsia="cs-CZ"/>
        </w:rPr>
        <w:t xml:space="preserve">formou </w:t>
      </w:r>
      <w:r w:rsidR="002901DF">
        <w:rPr>
          <w:lang w:eastAsia="cs-CZ"/>
        </w:rPr>
        <w:t xml:space="preserve">neohlášených </w:t>
      </w:r>
      <w:r w:rsidR="005A1264">
        <w:rPr>
          <w:lang w:eastAsia="cs-CZ"/>
        </w:rPr>
        <w:t>fyzických návštěv.</w:t>
      </w:r>
      <w:r w:rsidR="0025193F">
        <w:rPr>
          <w:lang w:eastAsia="cs-CZ"/>
        </w:rPr>
        <w:t xml:space="preserve"> </w:t>
      </w:r>
      <w:r w:rsidR="00E55A67">
        <w:rPr>
          <w:lang w:eastAsia="cs-CZ"/>
        </w:rPr>
        <w:t>Průměrné měsíční náklady na tyto kontroly se pohybují v</w:t>
      </w:r>
      <w:r w:rsidR="00A82034">
        <w:rPr>
          <w:lang w:eastAsia="cs-CZ"/>
        </w:rPr>
        <w:t xml:space="preserve"> </w:t>
      </w:r>
      <w:r w:rsidR="00E55A67">
        <w:rPr>
          <w:lang w:eastAsia="cs-CZ"/>
        </w:rPr>
        <w:t>rozmezí 232 </w:t>
      </w:r>
      <w:r w:rsidR="00ED6E60">
        <w:rPr>
          <w:lang w:eastAsia="cs-CZ"/>
        </w:rPr>
        <w:t>tis. </w:t>
      </w:r>
      <w:r w:rsidR="00E55A67">
        <w:rPr>
          <w:lang w:eastAsia="cs-CZ"/>
        </w:rPr>
        <w:t xml:space="preserve">Kč </w:t>
      </w:r>
      <w:r w:rsidR="00FC67A5">
        <w:rPr>
          <w:lang w:eastAsia="cs-CZ"/>
        </w:rPr>
        <w:t>až</w:t>
      </w:r>
      <w:r w:rsidR="00E55A67">
        <w:rPr>
          <w:lang w:eastAsia="cs-CZ"/>
        </w:rPr>
        <w:t xml:space="preserve"> 464 </w:t>
      </w:r>
      <w:r w:rsidR="00ED6E60">
        <w:rPr>
          <w:lang w:eastAsia="cs-CZ"/>
        </w:rPr>
        <w:t>tis. </w:t>
      </w:r>
      <w:r w:rsidR="00E55A67">
        <w:rPr>
          <w:lang w:eastAsia="cs-CZ"/>
        </w:rPr>
        <w:t>Kč</w:t>
      </w:r>
      <w:r w:rsidR="006163C8">
        <w:rPr>
          <w:lang w:eastAsia="cs-CZ"/>
        </w:rPr>
        <w:t>.</w:t>
      </w:r>
      <w:r w:rsidR="0047533D">
        <w:rPr>
          <w:lang w:eastAsia="cs-CZ"/>
        </w:rPr>
        <w:t xml:space="preserve"> </w:t>
      </w:r>
      <w:r w:rsidR="0077516E">
        <w:rPr>
          <w:lang w:eastAsia="cs-CZ"/>
        </w:rPr>
        <w:t xml:space="preserve">Od ukončení provozu EMS </w:t>
      </w:r>
      <w:r w:rsidR="0069489C">
        <w:rPr>
          <w:lang w:eastAsia="cs-CZ"/>
        </w:rPr>
        <w:t xml:space="preserve">není plněn </w:t>
      </w:r>
      <w:r w:rsidR="000A7627">
        <w:rPr>
          <w:lang w:eastAsia="cs-CZ"/>
        </w:rPr>
        <w:t>příslušný</w:t>
      </w:r>
      <w:r w:rsidR="0069489C">
        <w:rPr>
          <w:lang w:eastAsia="cs-CZ"/>
        </w:rPr>
        <w:t xml:space="preserve"> specifický cíl Strategi</w:t>
      </w:r>
      <w:r w:rsidR="007B27CB">
        <w:rPr>
          <w:lang w:eastAsia="cs-CZ"/>
        </w:rPr>
        <w:t>e</w:t>
      </w:r>
      <w:r w:rsidR="0069489C">
        <w:rPr>
          <w:lang w:eastAsia="cs-CZ"/>
        </w:rPr>
        <w:t xml:space="preserve"> </w:t>
      </w:r>
      <w:proofErr w:type="spellStart"/>
      <w:r w:rsidR="0069489C">
        <w:rPr>
          <w:lang w:eastAsia="cs-CZ"/>
        </w:rPr>
        <w:t>eJustice</w:t>
      </w:r>
      <w:proofErr w:type="spellEnd"/>
      <w:r w:rsidR="0069489C">
        <w:rPr>
          <w:lang w:eastAsia="cs-CZ"/>
        </w:rPr>
        <w:t>.</w:t>
      </w:r>
    </w:p>
    <w:p w14:paraId="322B0922" w14:textId="5C1FE22A" w:rsidR="00F647F5" w:rsidRPr="00336431" w:rsidRDefault="00336431" w:rsidP="00317D87">
      <w:pPr>
        <w:pStyle w:val="Nadpis1"/>
        <w:ind w:left="284" w:hanging="284"/>
      </w:pPr>
      <w:r w:rsidRPr="00336431">
        <w:t xml:space="preserve">Minimální pokrok v rozvoji </w:t>
      </w:r>
      <w:proofErr w:type="spellStart"/>
      <w:r w:rsidRPr="00336431">
        <w:t>eJustice</w:t>
      </w:r>
      <w:proofErr w:type="spellEnd"/>
      <w:r w:rsidRPr="00336431">
        <w:t xml:space="preserve"> souvisí s absencí základních řídicích dokumentů a</w:t>
      </w:r>
      <w:r w:rsidR="0046233E">
        <w:t> </w:t>
      </w:r>
      <w:r w:rsidRPr="00336431">
        <w:t>neschopností čerpat rozpočtované investiční prostředky</w:t>
      </w:r>
    </w:p>
    <w:p w14:paraId="380A20DD" w14:textId="755C8E65" w:rsidR="00C637B2" w:rsidRDefault="00D719D7" w:rsidP="00B414B6">
      <w:pPr>
        <w:rPr>
          <w:lang w:eastAsia="cs-CZ"/>
        </w:rPr>
      </w:pPr>
      <w:r>
        <w:rPr>
          <w:lang w:eastAsia="cs-CZ"/>
        </w:rPr>
        <w:t>V rozporu s</w:t>
      </w:r>
      <w:r w:rsidR="00A82034">
        <w:rPr>
          <w:lang w:eastAsia="cs-CZ"/>
        </w:rPr>
        <w:t xml:space="preserve"> </w:t>
      </w:r>
      <w:r>
        <w:rPr>
          <w:lang w:eastAsia="cs-CZ"/>
        </w:rPr>
        <w:t>právními předpisy nemělo</w:t>
      </w:r>
      <w:r w:rsidR="00B414B6">
        <w:rPr>
          <w:lang w:eastAsia="cs-CZ"/>
        </w:rPr>
        <w:t xml:space="preserve"> </w:t>
      </w:r>
      <w:proofErr w:type="spellStart"/>
      <w:r w:rsidR="00346F07">
        <w:rPr>
          <w:lang w:eastAsia="cs-CZ"/>
        </w:rPr>
        <w:t>MSp</w:t>
      </w:r>
      <w:proofErr w:type="spellEnd"/>
      <w:r w:rsidR="00346F07">
        <w:rPr>
          <w:lang w:eastAsia="cs-CZ"/>
        </w:rPr>
        <w:t xml:space="preserve"> </w:t>
      </w:r>
      <w:r w:rsidR="00F647F5" w:rsidRPr="003C2BC8">
        <w:rPr>
          <w:lang w:eastAsia="cs-CZ"/>
        </w:rPr>
        <w:t xml:space="preserve">zpracovanou, schválenou a akreditovanou </w:t>
      </w:r>
      <w:r w:rsidR="00346F07">
        <w:rPr>
          <w:lang w:eastAsia="cs-CZ"/>
        </w:rPr>
        <w:t>i</w:t>
      </w:r>
      <w:r w:rsidR="00F647F5" w:rsidRPr="003C2BC8">
        <w:rPr>
          <w:lang w:eastAsia="cs-CZ"/>
        </w:rPr>
        <w:t xml:space="preserve">nformační koncepci </w:t>
      </w:r>
      <w:r w:rsidR="0052426A">
        <w:rPr>
          <w:lang w:eastAsia="cs-CZ"/>
        </w:rPr>
        <w:t xml:space="preserve">resortu justice (dále také „IK </w:t>
      </w:r>
      <w:proofErr w:type="spellStart"/>
      <w:r w:rsidR="0052426A">
        <w:rPr>
          <w:lang w:eastAsia="cs-CZ"/>
        </w:rPr>
        <w:t>MSp</w:t>
      </w:r>
      <w:proofErr w:type="spellEnd"/>
      <w:r w:rsidR="0052426A">
        <w:rPr>
          <w:lang w:eastAsia="cs-CZ"/>
        </w:rPr>
        <w:t>“)</w:t>
      </w:r>
      <w:r w:rsidR="00841EB8">
        <w:rPr>
          <w:lang w:eastAsia="cs-CZ"/>
        </w:rPr>
        <w:t>, a to již od roku 2000.</w:t>
      </w:r>
      <w:r w:rsidR="00F647F5" w:rsidRPr="003C2BC8">
        <w:rPr>
          <w:lang w:eastAsia="cs-CZ"/>
        </w:rPr>
        <w:t xml:space="preserve"> Zároveň </w:t>
      </w:r>
      <w:r w:rsidR="00F647F5" w:rsidRPr="003C2BC8">
        <w:rPr>
          <w:lang w:eastAsia="cs-CZ"/>
        </w:rPr>
        <w:lastRenderedPageBreak/>
        <w:t xml:space="preserve">nemělo zpracovanou </w:t>
      </w:r>
      <w:proofErr w:type="spellStart"/>
      <w:r w:rsidR="00F647F5" w:rsidRPr="003C2BC8">
        <w:rPr>
          <w:lang w:eastAsia="cs-CZ"/>
        </w:rPr>
        <w:t>Enterprise</w:t>
      </w:r>
      <w:proofErr w:type="spellEnd"/>
      <w:r w:rsidR="00F647F5" w:rsidRPr="003C2BC8">
        <w:rPr>
          <w:lang w:eastAsia="cs-CZ"/>
        </w:rPr>
        <w:t xml:space="preserve"> architekturu </w:t>
      </w:r>
      <w:r w:rsidR="00D66D48">
        <w:rPr>
          <w:lang w:eastAsia="cs-CZ"/>
        </w:rPr>
        <w:t>justice</w:t>
      </w:r>
      <w:r w:rsidR="00F647F5" w:rsidRPr="003C2BC8">
        <w:rPr>
          <w:lang w:eastAsia="cs-CZ"/>
        </w:rPr>
        <w:t>.</w:t>
      </w:r>
      <w:r w:rsidR="00C637B2">
        <w:rPr>
          <w:lang w:eastAsia="cs-CZ"/>
        </w:rPr>
        <w:t xml:space="preserve"> Za </w:t>
      </w:r>
      <w:r w:rsidR="00303B0C">
        <w:rPr>
          <w:lang w:eastAsia="cs-CZ"/>
        </w:rPr>
        <w:t xml:space="preserve">činnosti a </w:t>
      </w:r>
      <w:r w:rsidR="00C637B2">
        <w:rPr>
          <w:lang w:eastAsia="cs-CZ"/>
        </w:rPr>
        <w:t>podklady pro zpracování těchto dokumentů</w:t>
      </w:r>
      <w:r w:rsidR="00453946">
        <w:rPr>
          <w:lang w:eastAsia="cs-CZ"/>
        </w:rPr>
        <w:t xml:space="preserve"> uhradilo</w:t>
      </w:r>
      <w:r w:rsidR="0081128A">
        <w:rPr>
          <w:lang w:eastAsia="cs-CZ"/>
        </w:rPr>
        <w:t xml:space="preserve"> </w:t>
      </w:r>
      <w:proofErr w:type="spellStart"/>
      <w:r w:rsidR="00346F07">
        <w:rPr>
          <w:lang w:eastAsia="cs-CZ"/>
        </w:rPr>
        <w:t>MSp</w:t>
      </w:r>
      <w:proofErr w:type="spellEnd"/>
      <w:r w:rsidR="00346F07">
        <w:rPr>
          <w:lang w:eastAsia="cs-CZ"/>
        </w:rPr>
        <w:t xml:space="preserve"> </w:t>
      </w:r>
      <w:r w:rsidR="00C637B2">
        <w:rPr>
          <w:lang w:eastAsia="cs-CZ"/>
        </w:rPr>
        <w:t xml:space="preserve">dodavateli </w:t>
      </w:r>
      <w:r w:rsidR="00B4514B">
        <w:rPr>
          <w:lang w:eastAsia="cs-CZ"/>
        </w:rPr>
        <w:t>5,5</w:t>
      </w:r>
      <w:r w:rsidR="00346F07">
        <w:rPr>
          <w:lang w:eastAsia="cs-CZ"/>
        </w:rPr>
        <w:t xml:space="preserve"> </w:t>
      </w:r>
      <w:r w:rsidR="00B4514B">
        <w:rPr>
          <w:lang w:eastAsia="cs-CZ"/>
        </w:rPr>
        <w:t>mil. Kč</w:t>
      </w:r>
      <w:r w:rsidR="00C637B2">
        <w:rPr>
          <w:lang w:eastAsia="cs-CZ"/>
        </w:rPr>
        <w:t xml:space="preserve">. </w:t>
      </w:r>
      <w:r w:rsidR="0052426A" w:rsidRPr="00B4514B">
        <w:rPr>
          <w:lang w:eastAsia="cs-CZ"/>
        </w:rPr>
        <w:t xml:space="preserve">Tím, že </w:t>
      </w:r>
      <w:proofErr w:type="spellStart"/>
      <w:r w:rsidR="0052426A" w:rsidRPr="00B4514B">
        <w:rPr>
          <w:lang w:eastAsia="cs-CZ"/>
        </w:rPr>
        <w:t>MSp</w:t>
      </w:r>
      <w:proofErr w:type="spellEnd"/>
      <w:r w:rsidR="0052426A" w:rsidRPr="00B4514B">
        <w:rPr>
          <w:lang w:eastAsia="cs-CZ"/>
        </w:rPr>
        <w:t xml:space="preserve"> nezpracovalo </w:t>
      </w:r>
      <w:r w:rsidR="00A82034">
        <w:rPr>
          <w:lang w:eastAsia="cs-CZ"/>
        </w:rPr>
        <w:br/>
      </w:r>
      <w:r w:rsidR="0052426A" w:rsidRPr="00B4514B">
        <w:rPr>
          <w:lang w:eastAsia="cs-CZ"/>
        </w:rPr>
        <w:t>a</w:t>
      </w:r>
      <w:r w:rsidR="00A82034">
        <w:rPr>
          <w:lang w:eastAsia="cs-CZ"/>
        </w:rPr>
        <w:t xml:space="preserve"> </w:t>
      </w:r>
      <w:r w:rsidR="00FE2F5A">
        <w:rPr>
          <w:lang w:eastAsia="cs-CZ"/>
        </w:rPr>
        <w:t>neschválilo</w:t>
      </w:r>
      <w:r w:rsidR="00C637B2">
        <w:rPr>
          <w:lang w:eastAsia="cs-CZ"/>
        </w:rPr>
        <w:t xml:space="preserve"> IK </w:t>
      </w:r>
      <w:proofErr w:type="spellStart"/>
      <w:r w:rsidR="00C637B2">
        <w:rPr>
          <w:lang w:eastAsia="cs-CZ"/>
        </w:rPr>
        <w:t>MSp</w:t>
      </w:r>
      <w:proofErr w:type="spellEnd"/>
      <w:r w:rsidR="00C637B2">
        <w:rPr>
          <w:lang w:eastAsia="cs-CZ"/>
        </w:rPr>
        <w:t xml:space="preserve"> a </w:t>
      </w:r>
      <w:proofErr w:type="spellStart"/>
      <w:r w:rsidR="00C637B2">
        <w:rPr>
          <w:lang w:eastAsia="cs-CZ"/>
        </w:rPr>
        <w:t>Enterprise</w:t>
      </w:r>
      <w:proofErr w:type="spellEnd"/>
      <w:r w:rsidR="00C637B2">
        <w:rPr>
          <w:lang w:eastAsia="cs-CZ"/>
        </w:rPr>
        <w:t xml:space="preserve"> architekturu, vynaložilo tyto peněžní prostředky</w:t>
      </w:r>
      <w:r w:rsidR="00C637B2" w:rsidRPr="00C637B2">
        <w:rPr>
          <w:lang w:eastAsia="cs-CZ"/>
        </w:rPr>
        <w:t xml:space="preserve"> neefektivně.</w:t>
      </w:r>
    </w:p>
    <w:p w14:paraId="779B8B02" w14:textId="32F30864" w:rsidR="007303AD" w:rsidRPr="00183558" w:rsidRDefault="00346F07" w:rsidP="007303AD">
      <w:pPr>
        <w:rPr>
          <w:lang w:eastAsia="cs-CZ"/>
        </w:rPr>
      </w:pPr>
      <w:r>
        <w:rPr>
          <w:lang w:eastAsia="cs-CZ"/>
        </w:rPr>
        <w:t>I</w:t>
      </w:r>
      <w:r w:rsidR="00DB058D">
        <w:rPr>
          <w:lang w:eastAsia="cs-CZ"/>
        </w:rPr>
        <w:t xml:space="preserve">nvestiční výdaje </w:t>
      </w:r>
      <w:r>
        <w:rPr>
          <w:lang w:eastAsia="cs-CZ"/>
        </w:rPr>
        <w:t xml:space="preserve">vynaložené na ICT </w:t>
      </w:r>
      <w:r w:rsidR="00DB058D">
        <w:rPr>
          <w:lang w:eastAsia="cs-CZ"/>
        </w:rPr>
        <w:t>byly v resortu justice v období 2016–2021 v porovnání s provozními</w:t>
      </w:r>
      <w:r w:rsidR="00D719D7">
        <w:rPr>
          <w:lang w:eastAsia="cs-CZ"/>
        </w:rPr>
        <w:t xml:space="preserve"> výdaji</w:t>
      </w:r>
      <w:r w:rsidR="00DB058D">
        <w:rPr>
          <w:lang w:eastAsia="cs-CZ"/>
        </w:rPr>
        <w:t xml:space="preserve"> </w:t>
      </w:r>
      <w:r w:rsidR="0004080E" w:rsidRPr="008C0C12">
        <w:rPr>
          <w:lang w:eastAsia="cs-CZ"/>
        </w:rPr>
        <w:t>třetinové</w:t>
      </w:r>
      <w:r w:rsidR="00DB058D" w:rsidRPr="008C0C12">
        <w:rPr>
          <w:lang w:eastAsia="cs-CZ"/>
        </w:rPr>
        <w:t xml:space="preserve"> (</w:t>
      </w:r>
      <w:r w:rsidR="00C74C60" w:rsidRPr="008C0C12">
        <w:rPr>
          <w:lang w:eastAsia="cs-CZ"/>
        </w:rPr>
        <w:t>926,7</w:t>
      </w:r>
      <w:r w:rsidR="00DB058D" w:rsidRPr="008C0C12">
        <w:rPr>
          <w:lang w:eastAsia="cs-CZ"/>
        </w:rPr>
        <w:t xml:space="preserve"> mil. Kč </w:t>
      </w:r>
      <w:r w:rsidR="00C74C60" w:rsidRPr="008C0C12">
        <w:rPr>
          <w:lang w:eastAsia="cs-CZ"/>
        </w:rPr>
        <w:t>vs.</w:t>
      </w:r>
      <w:r w:rsidR="00DB058D" w:rsidRPr="008C0C12">
        <w:rPr>
          <w:lang w:eastAsia="cs-CZ"/>
        </w:rPr>
        <w:t> </w:t>
      </w:r>
      <w:r w:rsidR="00C74C60" w:rsidRPr="008C0C12">
        <w:rPr>
          <w:lang w:eastAsia="cs-CZ"/>
        </w:rPr>
        <w:t>2 941,2</w:t>
      </w:r>
      <w:r w:rsidR="00DB058D" w:rsidRPr="008C0C12">
        <w:rPr>
          <w:lang w:eastAsia="cs-CZ"/>
        </w:rPr>
        <w:t xml:space="preserve"> mil. Kč).</w:t>
      </w:r>
      <w:r w:rsidR="00DB058D">
        <w:rPr>
          <w:lang w:eastAsia="cs-CZ"/>
        </w:rPr>
        <w:t xml:space="preserve"> </w:t>
      </w:r>
      <w:proofErr w:type="spellStart"/>
      <w:r w:rsidR="005F4959" w:rsidRPr="005F4959">
        <w:rPr>
          <w:lang w:eastAsia="cs-CZ"/>
        </w:rPr>
        <w:t>MSp</w:t>
      </w:r>
      <w:proofErr w:type="spellEnd"/>
      <w:r w:rsidR="005F4959" w:rsidRPr="005F4959">
        <w:rPr>
          <w:lang w:eastAsia="cs-CZ"/>
        </w:rPr>
        <w:t xml:space="preserve"> v letech </w:t>
      </w:r>
      <w:r w:rsidR="00CF3EE6" w:rsidRPr="005F4959">
        <w:rPr>
          <w:lang w:eastAsia="cs-CZ"/>
        </w:rPr>
        <w:t>2016–2021</w:t>
      </w:r>
      <w:r w:rsidR="005F4959" w:rsidRPr="005F4959">
        <w:rPr>
          <w:lang w:eastAsia="cs-CZ"/>
        </w:rPr>
        <w:t xml:space="preserve"> čerpalo investiční výdaje </w:t>
      </w:r>
      <w:r w:rsidRPr="005F4959">
        <w:rPr>
          <w:lang w:eastAsia="cs-CZ"/>
        </w:rPr>
        <w:t>rozpočtov</w:t>
      </w:r>
      <w:r>
        <w:rPr>
          <w:lang w:eastAsia="cs-CZ"/>
        </w:rPr>
        <w:t>an</w:t>
      </w:r>
      <w:r w:rsidRPr="005F4959">
        <w:rPr>
          <w:lang w:eastAsia="cs-CZ"/>
        </w:rPr>
        <w:t xml:space="preserve">é </w:t>
      </w:r>
      <w:r>
        <w:rPr>
          <w:lang w:eastAsia="cs-CZ"/>
        </w:rPr>
        <w:t xml:space="preserve">na oblast </w:t>
      </w:r>
      <w:r w:rsidRPr="005F4959">
        <w:rPr>
          <w:lang w:eastAsia="cs-CZ"/>
        </w:rPr>
        <w:t xml:space="preserve">ICT </w:t>
      </w:r>
      <w:r w:rsidR="005F4959" w:rsidRPr="005F4959">
        <w:rPr>
          <w:lang w:eastAsia="cs-CZ"/>
        </w:rPr>
        <w:t>pouze v rozsahu 21 % až 5</w:t>
      </w:r>
      <w:r w:rsidR="005F4959">
        <w:rPr>
          <w:lang w:eastAsia="cs-CZ"/>
        </w:rPr>
        <w:t>0</w:t>
      </w:r>
      <w:r w:rsidR="005F4959" w:rsidRPr="005F4959">
        <w:rPr>
          <w:lang w:eastAsia="cs-CZ"/>
        </w:rPr>
        <w:t xml:space="preserve"> %</w:t>
      </w:r>
      <w:r w:rsidR="00145D43">
        <w:rPr>
          <w:lang w:eastAsia="cs-CZ"/>
        </w:rPr>
        <w:t xml:space="preserve">. </w:t>
      </w:r>
      <w:proofErr w:type="spellStart"/>
      <w:r w:rsidR="00F647F5">
        <w:rPr>
          <w:lang w:eastAsia="cs-CZ"/>
        </w:rPr>
        <w:t>MSp</w:t>
      </w:r>
      <w:proofErr w:type="spellEnd"/>
      <w:r w:rsidR="00F647F5">
        <w:rPr>
          <w:lang w:eastAsia="cs-CZ"/>
        </w:rPr>
        <w:t xml:space="preserve"> se </w:t>
      </w:r>
      <w:r w:rsidR="00145D43">
        <w:rPr>
          <w:lang w:eastAsia="cs-CZ"/>
        </w:rPr>
        <w:t xml:space="preserve">zejména </w:t>
      </w:r>
      <w:r w:rsidR="00F647F5">
        <w:rPr>
          <w:lang w:eastAsia="cs-CZ"/>
        </w:rPr>
        <w:t xml:space="preserve">nedařilo realizovat dle plánu projekty </w:t>
      </w:r>
      <w:proofErr w:type="spellStart"/>
      <w:r w:rsidR="00F647F5">
        <w:rPr>
          <w:lang w:eastAsia="cs-CZ"/>
        </w:rPr>
        <w:t>eJustice</w:t>
      </w:r>
      <w:proofErr w:type="spellEnd"/>
      <w:r w:rsidR="00F647F5">
        <w:rPr>
          <w:lang w:eastAsia="cs-CZ"/>
        </w:rPr>
        <w:t xml:space="preserve"> a s nimi spojené klíčové </w:t>
      </w:r>
      <w:r w:rsidR="00D66D48">
        <w:rPr>
          <w:lang w:eastAsia="cs-CZ"/>
        </w:rPr>
        <w:t>VZ</w:t>
      </w:r>
      <w:r w:rsidR="00F647F5">
        <w:rPr>
          <w:lang w:eastAsia="cs-CZ"/>
        </w:rPr>
        <w:t>.</w:t>
      </w:r>
    </w:p>
    <w:p w14:paraId="2530CBEE" w14:textId="6C58886A" w:rsidR="00360239" w:rsidRPr="00317D87" w:rsidRDefault="00242E73" w:rsidP="00082059">
      <w:pPr>
        <w:pStyle w:val="Nadpis1"/>
        <w:numPr>
          <w:ilvl w:val="0"/>
          <w:numId w:val="0"/>
        </w:numPr>
        <w:spacing w:before="480"/>
        <w:jc w:val="center"/>
        <w:rPr>
          <w:sz w:val="28"/>
          <w:szCs w:val="28"/>
        </w:rPr>
      </w:pPr>
      <w:r w:rsidRPr="00317D87">
        <w:rPr>
          <w:sz w:val="28"/>
          <w:szCs w:val="28"/>
        </w:rPr>
        <w:t xml:space="preserve">II. </w:t>
      </w:r>
      <w:r w:rsidR="00125B05" w:rsidRPr="00317D87">
        <w:rPr>
          <w:sz w:val="28"/>
          <w:szCs w:val="28"/>
        </w:rPr>
        <w:t>Informace o kontrolované oblasti</w:t>
      </w:r>
    </w:p>
    <w:p w14:paraId="5C0C3B35" w14:textId="17005FF0" w:rsidR="00AE78B7" w:rsidRDefault="00735171" w:rsidP="00AE78B7">
      <w:pPr>
        <w:rPr>
          <w:lang w:eastAsia="cs-CZ"/>
        </w:rPr>
      </w:pPr>
      <w:r w:rsidRPr="00F21733">
        <w:rPr>
          <w:b/>
          <w:lang w:eastAsia="cs-CZ"/>
        </w:rPr>
        <w:t>Ministerstvo spravedlnosti</w:t>
      </w:r>
      <w:r>
        <w:rPr>
          <w:lang w:eastAsia="cs-CZ"/>
        </w:rPr>
        <w:t xml:space="preserve"> je </w:t>
      </w:r>
      <w:r w:rsidR="00F21733">
        <w:rPr>
          <w:lang w:eastAsia="cs-CZ"/>
        </w:rPr>
        <w:t>zodpovědné za stanovení a implementaci strategie v</w:t>
      </w:r>
      <w:r w:rsidR="00825295">
        <w:rPr>
          <w:lang w:eastAsia="cs-CZ"/>
        </w:rPr>
        <w:t xml:space="preserve"> oblasti své působnosti</w:t>
      </w:r>
      <w:r w:rsidR="00F21733">
        <w:rPr>
          <w:lang w:eastAsia="cs-CZ"/>
        </w:rPr>
        <w:t xml:space="preserve">. </w:t>
      </w:r>
      <w:r w:rsidR="005F4959">
        <w:rPr>
          <w:lang w:eastAsia="cs-CZ"/>
        </w:rPr>
        <w:t xml:space="preserve">Má usměrňovat </w:t>
      </w:r>
      <w:r w:rsidR="00F21733">
        <w:rPr>
          <w:lang w:eastAsia="cs-CZ"/>
        </w:rPr>
        <w:t>a říd</w:t>
      </w:r>
      <w:r w:rsidR="005F4959">
        <w:rPr>
          <w:lang w:eastAsia="cs-CZ"/>
        </w:rPr>
        <w:t>it</w:t>
      </w:r>
      <w:r w:rsidR="00F21733">
        <w:rPr>
          <w:lang w:eastAsia="cs-CZ"/>
        </w:rPr>
        <w:t xml:space="preserve"> využívání ICT u soudů, státních zastupitelství, Vězeňské služby a </w:t>
      </w:r>
      <w:r w:rsidR="00825295">
        <w:rPr>
          <w:lang w:eastAsia="cs-CZ"/>
        </w:rPr>
        <w:t>Probační a mediační služby</w:t>
      </w:r>
      <w:r w:rsidR="00F21733">
        <w:rPr>
          <w:lang w:eastAsia="cs-CZ"/>
        </w:rPr>
        <w:t xml:space="preserve">. Dále </w:t>
      </w:r>
      <w:r w:rsidR="00020E86">
        <w:rPr>
          <w:lang w:eastAsia="cs-CZ"/>
        </w:rPr>
        <w:t xml:space="preserve">odpovídá za koordinaci </w:t>
      </w:r>
      <w:r w:rsidR="00F21733">
        <w:rPr>
          <w:lang w:eastAsia="cs-CZ"/>
        </w:rPr>
        <w:t>oblast</w:t>
      </w:r>
      <w:r w:rsidR="00020E86">
        <w:rPr>
          <w:lang w:eastAsia="cs-CZ"/>
        </w:rPr>
        <w:t>i</w:t>
      </w:r>
      <w:r w:rsidR="00F21733">
        <w:rPr>
          <w:lang w:eastAsia="cs-CZ"/>
        </w:rPr>
        <w:t xml:space="preserve"> ICT u</w:t>
      </w:r>
      <w:r w:rsidR="00422BE4">
        <w:rPr>
          <w:lang w:eastAsia="cs-CZ"/>
        </w:rPr>
        <w:t> </w:t>
      </w:r>
      <w:r w:rsidR="00F21733">
        <w:rPr>
          <w:lang w:eastAsia="cs-CZ"/>
        </w:rPr>
        <w:t>Justiční akademie, Rejstříku trestů a Institutu pro kriminologii a sociální prevenci.</w:t>
      </w:r>
      <w:r w:rsidR="00BA0A4A">
        <w:rPr>
          <w:lang w:eastAsia="cs-CZ"/>
        </w:rPr>
        <w:t xml:space="preserve"> </w:t>
      </w:r>
      <w:proofErr w:type="spellStart"/>
      <w:r w:rsidR="00BA0A4A">
        <w:rPr>
          <w:lang w:eastAsia="cs-CZ"/>
        </w:rPr>
        <w:t>MSp</w:t>
      </w:r>
      <w:proofErr w:type="spellEnd"/>
      <w:r w:rsidR="00BA0A4A">
        <w:rPr>
          <w:lang w:eastAsia="cs-CZ"/>
        </w:rPr>
        <w:t xml:space="preserve"> je správcem rozpočtové kapitoly 336</w:t>
      </w:r>
      <w:r w:rsidR="00E27B3F">
        <w:rPr>
          <w:lang w:eastAsia="cs-CZ"/>
        </w:rPr>
        <w:t xml:space="preserve">. </w:t>
      </w:r>
      <w:r w:rsidR="00346F07">
        <w:rPr>
          <w:lang w:eastAsia="cs-CZ"/>
        </w:rPr>
        <w:t>Kromě</w:t>
      </w:r>
      <w:r w:rsidR="00E27B3F">
        <w:rPr>
          <w:lang w:eastAsia="cs-CZ"/>
        </w:rPr>
        <w:t xml:space="preserve"> </w:t>
      </w:r>
      <w:r w:rsidR="00B3246F">
        <w:rPr>
          <w:lang w:eastAsia="cs-CZ"/>
        </w:rPr>
        <w:t xml:space="preserve">výdajů </w:t>
      </w:r>
      <w:proofErr w:type="spellStart"/>
      <w:r w:rsidR="00E27B3F">
        <w:rPr>
          <w:lang w:eastAsia="cs-CZ"/>
        </w:rPr>
        <w:t>MSp</w:t>
      </w:r>
      <w:proofErr w:type="spellEnd"/>
      <w:r w:rsidR="00E27B3F">
        <w:rPr>
          <w:lang w:eastAsia="cs-CZ"/>
        </w:rPr>
        <w:t xml:space="preserve"> </w:t>
      </w:r>
      <w:r w:rsidR="00B3246F">
        <w:rPr>
          <w:lang w:eastAsia="cs-CZ"/>
        </w:rPr>
        <w:t xml:space="preserve">zahrnuje tato kapitola </w:t>
      </w:r>
      <w:r w:rsidR="00346F07">
        <w:rPr>
          <w:lang w:eastAsia="cs-CZ"/>
        </w:rPr>
        <w:t xml:space="preserve">státního rozpočtu </w:t>
      </w:r>
      <w:r w:rsidR="00B3246F">
        <w:rPr>
          <w:lang w:eastAsia="cs-CZ"/>
        </w:rPr>
        <w:t xml:space="preserve">výdaje </w:t>
      </w:r>
      <w:r w:rsidR="001715E8" w:rsidRPr="001715E8">
        <w:rPr>
          <w:lang w:eastAsia="cs-CZ"/>
        </w:rPr>
        <w:t>98</w:t>
      </w:r>
      <w:r w:rsidR="00F73E40">
        <w:rPr>
          <w:lang w:eastAsia="cs-CZ"/>
        </w:rPr>
        <w:t xml:space="preserve"> </w:t>
      </w:r>
      <w:r w:rsidR="00E27B3F">
        <w:rPr>
          <w:lang w:eastAsia="cs-CZ"/>
        </w:rPr>
        <w:t>soud</w:t>
      </w:r>
      <w:r w:rsidR="00B3246F">
        <w:rPr>
          <w:lang w:eastAsia="cs-CZ"/>
        </w:rPr>
        <w:t>ů</w:t>
      </w:r>
      <w:r w:rsidR="00E27B3F">
        <w:rPr>
          <w:lang w:eastAsia="cs-CZ"/>
        </w:rPr>
        <w:t xml:space="preserve">, </w:t>
      </w:r>
      <w:r w:rsidR="001715E8" w:rsidRPr="001715E8">
        <w:rPr>
          <w:lang w:eastAsia="cs-CZ"/>
        </w:rPr>
        <w:t>97</w:t>
      </w:r>
      <w:r w:rsidR="00F73E40">
        <w:rPr>
          <w:lang w:eastAsia="cs-CZ"/>
        </w:rPr>
        <w:t xml:space="preserve"> </w:t>
      </w:r>
      <w:r w:rsidR="00E27B3F">
        <w:rPr>
          <w:lang w:eastAsia="cs-CZ"/>
        </w:rPr>
        <w:t>státní</w:t>
      </w:r>
      <w:r w:rsidR="00B3246F">
        <w:rPr>
          <w:lang w:eastAsia="cs-CZ"/>
        </w:rPr>
        <w:t>ch</w:t>
      </w:r>
      <w:r w:rsidR="00E27B3F">
        <w:rPr>
          <w:lang w:eastAsia="cs-CZ"/>
        </w:rPr>
        <w:t xml:space="preserve"> zastupitelství, Vězeňsk</w:t>
      </w:r>
      <w:r w:rsidR="00B3246F">
        <w:rPr>
          <w:lang w:eastAsia="cs-CZ"/>
        </w:rPr>
        <w:t>é</w:t>
      </w:r>
      <w:r w:rsidR="00E27B3F">
        <w:rPr>
          <w:lang w:eastAsia="cs-CZ"/>
        </w:rPr>
        <w:t xml:space="preserve"> služb</w:t>
      </w:r>
      <w:r w:rsidR="00B3246F">
        <w:rPr>
          <w:lang w:eastAsia="cs-CZ"/>
        </w:rPr>
        <w:t>y</w:t>
      </w:r>
      <w:r w:rsidR="00E27B3F">
        <w:rPr>
          <w:lang w:eastAsia="cs-CZ"/>
        </w:rPr>
        <w:t xml:space="preserve">, </w:t>
      </w:r>
      <w:r w:rsidR="00825295">
        <w:rPr>
          <w:lang w:eastAsia="cs-CZ"/>
        </w:rPr>
        <w:t>Probační a mediační služby</w:t>
      </w:r>
      <w:r w:rsidR="00E27B3F">
        <w:rPr>
          <w:lang w:eastAsia="cs-CZ"/>
        </w:rPr>
        <w:t xml:space="preserve">, Justiční </w:t>
      </w:r>
      <w:r w:rsidR="00A0560F">
        <w:rPr>
          <w:lang w:eastAsia="cs-CZ"/>
        </w:rPr>
        <w:t>akademie, Rejstříku trestů a Institutu pro kriminologii a sociální prevenci.</w:t>
      </w:r>
    </w:p>
    <w:p w14:paraId="5C48409C" w14:textId="0C1D9027" w:rsidR="0065375E" w:rsidRDefault="00A0560F" w:rsidP="00FF7CFA">
      <w:pPr>
        <w:rPr>
          <w:lang w:eastAsia="cs-CZ"/>
        </w:rPr>
      </w:pPr>
      <w:r w:rsidRPr="00A0560F">
        <w:rPr>
          <w:b/>
          <w:lang w:eastAsia="cs-CZ"/>
        </w:rPr>
        <w:t>Probační a mediační služba</w:t>
      </w:r>
      <w:r>
        <w:rPr>
          <w:lang w:eastAsia="cs-CZ"/>
        </w:rPr>
        <w:t xml:space="preserve"> vykonává dohled nad podezřelým nebo nad obviněným, obžalovaným či odsouzeným (probace) a mimosoudní zprostředkování za účelem řešení sporu mezi podezřelým nebo obviněným a poškozeným a činnost směřující k</w:t>
      </w:r>
      <w:r w:rsidR="00A82034">
        <w:rPr>
          <w:lang w:eastAsia="cs-CZ"/>
        </w:rPr>
        <w:t xml:space="preserve"> </w:t>
      </w:r>
      <w:r>
        <w:rPr>
          <w:lang w:eastAsia="cs-CZ"/>
        </w:rPr>
        <w:t>urovnání k</w:t>
      </w:r>
      <w:r w:rsidR="007C201F">
        <w:rPr>
          <w:lang w:eastAsia="cs-CZ"/>
        </w:rPr>
        <w:t xml:space="preserve">onfliktního stavu v souvislosti s trestním řízením </w:t>
      </w:r>
      <w:r w:rsidR="00F21733">
        <w:rPr>
          <w:lang w:eastAsia="cs-CZ"/>
        </w:rPr>
        <w:t xml:space="preserve">(mediace). PMS je zodpovědná za implementaci </w:t>
      </w:r>
      <w:r w:rsidR="00563881">
        <w:rPr>
          <w:lang w:eastAsia="cs-CZ"/>
        </w:rPr>
        <w:t>EMS,</w:t>
      </w:r>
      <w:r w:rsidR="00F21733">
        <w:rPr>
          <w:lang w:eastAsia="cs-CZ"/>
        </w:rPr>
        <w:t xml:space="preserve"> který umožňuje účinnou a bezprostřední kontrolu výkonu vhodných alternativních trestů a opatření.</w:t>
      </w:r>
    </w:p>
    <w:p w14:paraId="5AE39123" w14:textId="23BAA8D0" w:rsidR="0087280C" w:rsidRDefault="00E27B3F" w:rsidP="00E27B3F">
      <w:pPr>
        <w:rPr>
          <w:lang w:eastAsia="cs-CZ"/>
        </w:rPr>
      </w:pPr>
      <w:r>
        <w:rPr>
          <w:lang w:eastAsia="cs-CZ"/>
        </w:rPr>
        <w:t xml:space="preserve">V roce 2016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zpracovalo </w:t>
      </w:r>
      <w:r w:rsidRPr="007B484A">
        <w:rPr>
          <w:i/>
          <w:lang w:eastAsia="cs-CZ"/>
        </w:rPr>
        <w:t>Resortní strategi</w:t>
      </w:r>
      <w:r>
        <w:rPr>
          <w:i/>
          <w:lang w:eastAsia="cs-CZ"/>
        </w:rPr>
        <w:t>i</w:t>
      </w:r>
      <w:r w:rsidRPr="007B484A">
        <w:rPr>
          <w:i/>
          <w:lang w:eastAsia="cs-CZ"/>
        </w:rPr>
        <w:t xml:space="preserve"> pro rozvoj </w:t>
      </w:r>
      <w:proofErr w:type="spellStart"/>
      <w:r w:rsidRPr="007B484A">
        <w:rPr>
          <w:i/>
          <w:lang w:eastAsia="cs-CZ"/>
        </w:rPr>
        <w:t>eJustice</w:t>
      </w:r>
      <w:proofErr w:type="spellEnd"/>
      <w:r w:rsidRPr="007B484A">
        <w:rPr>
          <w:i/>
          <w:lang w:eastAsia="cs-CZ"/>
        </w:rPr>
        <w:t xml:space="preserve"> 2016–2020</w:t>
      </w:r>
      <w:r>
        <w:rPr>
          <w:lang w:eastAsia="cs-CZ"/>
        </w:rPr>
        <w:t xml:space="preserve">, </w:t>
      </w:r>
      <w:r w:rsidR="00BA1BA5">
        <w:rPr>
          <w:lang w:eastAsia="cs-CZ"/>
        </w:rPr>
        <w:t>která</w:t>
      </w:r>
      <w:r>
        <w:rPr>
          <w:lang w:eastAsia="cs-CZ"/>
        </w:rPr>
        <w:t xml:space="preserve"> byla </w:t>
      </w:r>
      <w:r w:rsidRPr="003F3351">
        <w:rPr>
          <w:lang w:eastAsia="cs-CZ"/>
        </w:rPr>
        <w:t xml:space="preserve">schválena </w:t>
      </w:r>
      <w:r>
        <w:rPr>
          <w:lang w:eastAsia="cs-CZ"/>
        </w:rPr>
        <w:t>usnesením vlády ze dne 8. </w:t>
      </w:r>
      <w:r w:rsidR="00020E86">
        <w:rPr>
          <w:lang w:eastAsia="cs-CZ"/>
        </w:rPr>
        <w:t>června</w:t>
      </w:r>
      <w:r>
        <w:rPr>
          <w:lang w:eastAsia="cs-CZ"/>
        </w:rPr>
        <w:t> 2016 č. 505</w:t>
      </w:r>
      <w:r w:rsidR="004B1190">
        <w:rPr>
          <w:rStyle w:val="Znakapoznpodarou"/>
          <w:lang w:eastAsia="cs-CZ"/>
        </w:rPr>
        <w:footnoteReference w:id="4"/>
      </w:r>
      <w:r>
        <w:rPr>
          <w:lang w:eastAsia="cs-CZ"/>
        </w:rPr>
        <w:t>. Jednalo se o první samostatnou koncepci v</w:t>
      </w:r>
      <w:r w:rsidR="00E2460F">
        <w:rPr>
          <w:lang w:eastAsia="cs-CZ"/>
        </w:rPr>
        <w:t xml:space="preserve"> </w:t>
      </w:r>
      <w:r>
        <w:rPr>
          <w:lang w:eastAsia="cs-CZ"/>
        </w:rPr>
        <w:t>této oblasti.</w:t>
      </w:r>
      <w:r w:rsidR="00A501CE" w:rsidRPr="00A501CE">
        <w:rPr>
          <w:lang w:eastAsia="cs-CZ"/>
        </w:rPr>
        <w:t xml:space="preserve"> </w:t>
      </w:r>
      <w:r w:rsidR="00A501CE">
        <w:rPr>
          <w:lang w:eastAsia="cs-CZ"/>
        </w:rPr>
        <w:t xml:space="preserve">Elektronizací justice, zkráceně </w:t>
      </w:r>
      <w:proofErr w:type="spellStart"/>
      <w:r w:rsidR="00A501CE">
        <w:rPr>
          <w:lang w:eastAsia="cs-CZ"/>
        </w:rPr>
        <w:t>eJusticí</w:t>
      </w:r>
      <w:proofErr w:type="spellEnd"/>
      <w:r w:rsidR="00A501CE">
        <w:rPr>
          <w:lang w:eastAsia="cs-CZ"/>
        </w:rPr>
        <w:t xml:space="preserve">, se dle </w:t>
      </w:r>
      <w:r w:rsidR="001B5AF6">
        <w:rPr>
          <w:lang w:eastAsia="cs-CZ"/>
        </w:rPr>
        <w:t xml:space="preserve">tohoto dokumentu rozumí </w:t>
      </w:r>
      <w:r w:rsidR="00A501CE" w:rsidRPr="004B1190">
        <w:rPr>
          <w:lang w:eastAsia="cs-CZ"/>
        </w:rPr>
        <w:t xml:space="preserve">využití ICT v </w:t>
      </w:r>
      <w:r w:rsidR="0072797F" w:rsidRPr="004B1190">
        <w:rPr>
          <w:lang w:eastAsia="cs-CZ"/>
        </w:rPr>
        <w:t>justic</w:t>
      </w:r>
      <w:r w:rsidR="0072797F">
        <w:rPr>
          <w:lang w:eastAsia="cs-CZ"/>
        </w:rPr>
        <w:t xml:space="preserve">i </w:t>
      </w:r>
      <w:r w:rsidR="00A501CE" w:rsidRPr="004B1190">
        <w:rPr>
          <w:lang w:eastAsia="cs-CZ"/>
        </w:rPr>
        <w:t>s cílem podpořit spravedlivé, zákonné a rychlé rozhodování organizačních složek resortu justice a jejich efektivní, hospodárné a transparentní fungování.</w:t>
      </w:r>
      <w:r w:rsidR="001B5AF6">
        <w:rPr>
          <w:lang w:eastAsia="cs-CZ"/>
        </w:rPr>
        <w:t xml:space="preserve"> </w:t>
      </w:r>
      <w:r>
        <w:rPr>
          <w:lang w:eastAsia="cs-CZ"/>
        </w:rPr>
        <w:t xml:space="preserve">Globálním cílem této strategie bylo </w:t>
      </w:r>
      <w:r w:rsidR="00346F07">
        <w:rPr>
          <w:lang w:eastAsia="cs-CZ"/>
        </w:rPr>
        <w:t>„</w:t>
      </w:r>
      <w:r w:rsidR="00346F07" w:rsidRPr="00317D87">
        <w:rPr>
          <w:i/>
          <w:lang w:eastAsia="cs-CZ"/>
        </w:rPr>
        <w:t>p</w:t>
      </w:r>
      <w:r w:rsidRPr="007B484A">
        <w:rPr>
          <w:i/>
          <w:lang w:eastAsia="cs-CZ"/>
        </w:rPr>
        <w:t xml:space="preserve">odporovat zajištění práva na spravedlivý proces </w:t>
      </w:r>
      <w:r w:rsidR="00C00743">
        <w:rPr>
          <w:i/>
          <w:lang w:eastAsia="cs-CZ"/>
        </w:rPr>
        <w:br/>
      </w:r>
      <w:r w:rsidRPr="007B484A">
        <w:rPr>
          <w:i/>
          <w:lang w:eastAsia="cs-CZ"/>
        </w:rPr>
        <w:t>a</w:t>
      </w:r>
      <w:r w:rsidR="00C00743">
        <w:rPr>
          <w:i/>
          <w:lang w:eastAsia="cs-CZ"/>
        </w:rPr>
        <w:t xml:space="preserve"> </w:t>
      </w:r>
      <w:r w:rsidRPr="007B484A">
        <w:rPr>
          <w:i/>
          <w:lang w:eastAsia="cs-CZ"/>
        </w:rPr>
        <w:t>práva na soudní ochranu a zefektivnit fungování všech organizačních složek resortu justice</w:t>
      </w:r>
      <w:r w:rsidR="00346F07" w:rsidRPr="00317D87">
        <w:rPr>
          <w:lang w:eastAsia="cs-CZ"/>
        </w:rPr>
        <w:t>“</w:t>
      </w:r>
      <w:r>
        <w:rPr>
          <w:lang w:eastAsia="cs-CZ"/>
        </w:rPr>
        <w:t xml:space="preserve">. Globální cíl byl rozpracován do 3 strategických a 20 specifických cílů (viz </w:t>
      </w:r>
      <w:r w:rsidR="00346F07">
        <w:rPr>
          <w:lang w:eastAsia="cs-CZ"/>
        </w:rPr>
        <w:t>p</w:t>
      </w:r>
      <w:r>
        <w:rPr>
          <w:lang w:eastAsia="cs-CZ"/>
        </w:rPr>
        <w:t xml:space="preserve">říloha </w:t>
      </w:r>
      <w:r w:rsidR="00346F07">
        <w:rPr>
          <w:lang w:eastAsia="cs-CZ"/>
        </w:rPr>
        <w:t>č. </w:t>
      </w:r>
      <w:r>
        <w:rPr>
          <w:lang w:eastAsia="cs-CZ"/>
        </w:rPr>
        <w:t xml:space="preserve">1). Rozvoj </w:t>
      </w:r>
      <w:proofErr w:type="spellStart"/>
      <w:r>
        <w:rPr>
          <w:lang w:eastAsia="cs-CZ"/>
        </w:rPr>
        <w:t>eJustice</w:t>
      </w:r>
      <w:proofErr w:type="spellEnd"/>
      <w:r>
        <w:rPr>
          <w:lang w:eastAsia="cs-CZ"/>
        </w:rPr>
        <w:t xml:space="preserve"> byl také jedním ze specifických cílů </w:t>
      </w:r>
      <w:r w:rsidR="00C16F2D">
        <w:rPr>
          <w:lang w:eastAsia="cs-CZ"/>
        </w:rPr>
        <w:t>s</w:t>
      </w:r>
      <w:r>
        <w:rPr>
          <w:lang w:eastAsia="cs-CZ"/>
        </w:rPr>
        <w:t xml:space="preserve">trategie Smart </w:t>
      </w:r>
      <w:proofErr w:type="spellStart"/>
      <w:r>
        <w:rPr>
          <w:lang w:eastAsia="cs-CZ"/>
        </w:rPr>
        <w:t>Administration</w:t>
      </w:r>
      <w:proofErr w:type="spellEnd"/>
      <w:r w:rsidR="00662382">
        <w:rPr>
          <w:rStyle w:val="Znakapoznpodarou"/>
          <w:lang w:eastAsia="cs-CZ"/>
        </w:rPr>
        <w:footnoteReference w:id="5"/>
      </w:r>
      <w:r>
        <w:rPr>
          <w:lang w:eastAsia="cs-CZ"/>
        </w:rPr>
        <w:t xml:space="preserve"> na období 2007</w:t>
      </w:r>
      <w:r w:rsidRPr="00E27B3F">
        <w:rPr>
          <w:lang w:eastAsia="cs-CZ"/>
        </w:rPr>
        <w:t>–</w:t>
      </w:r>
      <w:r>
        <w:rPr>
          <w:lang w:eastAsia="cs-CZ"/>
        </w:rPr>
        <w:t>20</w:t>
      </w:r>
      <w:r w:rsidR="009A10BF">
        <w:rPr>
          <w:lang w:eastAsia="cs-CZ"/>
        </w:rPr>
        <w:t>15</w:t>
      </w:r>
      <w:r>
        <w:rPr>
          <w:lang w:eastAsia="cs-CZ"/>
        </w:rPr>
        <w:t xml:space="preserve"> a </w:t>
      </w:r>
      <w:r w:rsidR="00662382">
        <w:rPr>
          <w:lang w:eastAsia="cs-CZ"/>
        </w:rPr>
        <w:t xml:space="preserve">následně i </w:t>
      </w:r>
      <w:r w:rsidRPr="00E27B3F">
        <w:rPr>
          <w:i/>
          <w:lang w:eastAsia="cs-CZ"/>
        </w:rPr>
        <w:t>Strategického rámce rozvoje veřejné správy České republiky na období 2014–2020</w:t>
      </w:r>
      <w:r>
        <w:rPr>
          <w:lang w:eastAsia="cs-CZ"/>
        </w:rPr>
        <w:t>.</w:t>
      </w:r>
      <w:r w:rsidR="00662382">
        <w:rPr>
          <w:lang w:eastAsia="cs-CZ"/>
        </w:rPr>
        <w:t xml:space="preserve"> Dle evaluačních zpráv nebylo ani v jednom případě stanoveného cíle dosaženo. Rozvoj </w:t>
      </w:r>
      <w:proofErr w:type="spellStart"/>
      <w:r w:rsidR="00662382">
        <w:rPr>
          <w:lang w:eastAsia="cs-CZ"/>
        </w:rPr>
        <w:t>eJustice</w:t>
      </w:r>
      <w:proofErr w:type="spellEnd"/>
      <w:r w:rsidR="00662382">
        <w:rPr>
          <w:lang w:eastAsia="cs-CZ"/>
        </w:rPr>
        <w:t xml:space="preserve"> je také součástí vládního programu </w:t>
      </w:r>
      <w:r w:rsidR="00662382" w:rsidRPr="00662382">
        <w:rPr>
          <w:i/>
          <w:lang w:eastAsia="cs-CZ"/>
        </w:rPr>
        <w:t>Digitální Česko</w:t>
      </w:r>
      <w:r w:rsidR="00662382">
        <w:rPr>
          <w:lang w:eastAsia="cs-CZ"/>
        </w:rPr>
        <w:t>.</w:t>
      </w:r>
    </w:p>
    <w:p w14:paraId="56549565" w14:textId="5D4AF454" w:rsidR="00FF1A12" w:rsidRPr="00317D87" w:rsidRDefault="00242E73" w:rsidP="00FD399F">
      <w:pPr>
        <w:pStyle w:val="Nadpis1"/>
        <w:numPr>
          <w:ilvl w:val="0"/>
          <w:numId w:val="0"/>
        </w:numPr>
        <w:spacing w:before="480"/>
        <w:jc w:val="center"/>
        <w:rPr>
          <w:sz w:val="28"/>
          <w:szCs w:val="28"/>
        </w:rPr>
      </w:pPr>
      <w:r w:rsidRPr="00317D87">
        <w:rPr>
          <w:sz w:val="28"/>
          <w:szCs w:val="28"/>
        </w:rPr>
        <w:lastRenderedPageBreak/>
        <w:t xml:space="preserve">III. </w:t>
      </w:r>
      <w:r w:rsidR="00125B05" w:rsidRPr="00317D87">
        <w:rPr>
          <w:sz w:val="28"/>
          <w:szCs w:val="28"/>
        </w:rPr>
        <w:t>Rozsah kontroly</w:t>
      </w:r>
    </w:p>
    <w:p w14:paraId="05F41A16" w14:textId="1F8C1255" w:rsidR="006E6373" w:rsidRDefault="00FD399F" w:rsidP="006E6373">
      <w:pPr>
        <w:rPr>
          <w:lang w:eastAsia="cs-CZ"/>
        </w:rPr>
      </w:pPr>
      <w:r w:rsidRPr="00FD399F">
        <w:rPr>
          <w:lang w:eastAsia="cs-CZ"/>
        </w:rPr>
        <w:t xml:space="preserve">NKÚ </w:t>
      </w:r>
      <w:r w:rsidR="00145D43">
        <w:rPr>
          <w:lang w:eastAsia="cs-CZ"/>
        </w:rPr>
        <w:t xml:space="preserve">v kontrole </w:t>
      </w:r>
      <w:r w:rsidRPr="00FD399F">
        <w:rPr>
          <w:lang w:eastAsia="cs-CZ"/>
        </w:rPr>
        <w:t xml:space="preserve">prověřil </w:t>
      </w:r>
      <w:r w:rsidR="00FF43CB">
        <w:rPr>
          <w:lang w:eastAsia="cs-CZ"/>
        </w:rPr>
        <w:t xml:space="preserve">zejména </w:t>
      </w:r>
      <w:r>
        <w:rPr>
          <w:lang w:eastAsia="cs-CZ"/>
        </w:rPr>
        <w:t xml:space="preserve">hospodárnost a </w:t>
      </w:r>
      <w:r w:rsidRPr="00FD399F">
        <w:rPr>
          <w:lang w:eastAsia="cs-CZ"/>
        </w:rPr>
        <w:t>účelnost</w:t>
      </w:r>
      <w:r>
        <w:rPr>
          <w:lang w:eastAsia="cs-CZ"/>
        </w:rPr>
        <w:t xml:space="preserve"> </w:t>
      </w:r>
      <w:r w:rsidR="00F73E40">
        <w:rPr>
          <w:lang w:eastAsia="cs-CZ"/>
        </w:rPr>
        <w:t xml:space="preserve">vynakládání </w:t>
      </w:r>
      <w:r>
        <w:rPr>
          <w:lang w:eastAsia="cs-CZ"/>
        </w:rPr>
        <w:t>peněžních prostředků na elektronizaci justice v resortu Ministerstva spravedlnosti.</w:t>
      </w:r>
      <w:r w:rsidRPr="00FD399F">
        <w:rPr>
          <w:lang w:eastAsia="cs-CZ"/>
        </w:rPr>
        <w:t xml:space="preserve"> Kontrolováno bylo období </w:t>
      </w:r>
      <w:r w:rsidR="007E11F3">
        <w:rPr>
          <w:lang w:eastAsia="cs-CZ"/>
        </w:rPr>
        <w:t xml:space="preserve">od roku </w:t>
      </w:r>
      <w:r w:rsidRPr="00FD399F">
        <w:rPr>
          <w:lang w:eastAsia="cs-CZ"/>
        </w:rPr>
        <w:t>201</w:t>
      </w:r>
      <w:r>
        <w:rPr>
          <w:lang w:eastAsia="cs-CZ"/>
        </w:rPr>
        <w:t>6</w:t>
      </w:r>
      <w:r w:rsidR="007E11F3">
        <w:rPr>
          <w:lang w:eastAsia="cs-CZ"/>
        </w:rPr>
        <w:t xml:space="preserve"> do roku </w:t>
      </w:r>
      <w:r w:rsidRPr="00FD399F">
        <w:rPr>
          <w:lang w:eastAsia="cs-CZ"/>
        </w:rPr>
        <w:t>202</w:t>
      </w:r>
      <w:r>
        <w:rPr>
          <w:lang w:eastAsia="cs-CZ"/>
        </w:rPr>
        <w:t>0</w:t>
      </w:r>
      <w:r w:rsidRPr="00FD399F">
        <w:rPr>
          <w:lang w:eastAsia="cs-CZ"/>
        </w:rPr>
        <w:t xml:space="preserve">, v případě věcných souvislostí i období předcházející a </w:t>
      </w:r>
      <w:r>
        <w:rPr>
          <w:lang w:eastAsia="cs-CZ"/>
        </w:rPr>
        <w:t>následující.</w:t>
      </w:r>
    </w:p>
    <w:p w14:paraId="00998208" w14:textId="5D5306D8" w:rsidR="006E6373" w:rsidRDefault="006E1BF4" w:rsidP="006E6373">
      <w:pPr>
        <w:rPr>
          <w:lang w:eastAsia="cs-CZ"/>
        </w:rPr>
      </w:pPr>
      <w:r>
        <w:rPr>
          <w:lang w:eastAsia="cs-CZ"/>
        </w:rPr>
        <w:t xml:space="preserve">Kontrolou NKÚ byla u </w:t>
      </w:r>
      <w:proofErr w:type="spellStart"/>
      <w:r w:rsidR="006E6373">
        <w:rPr>
          <w:lang w:eastAsia="cs-CZ"/>
        </w:rPr>
        <w:t>MSp</w:t>
      </w:r>
      <w:proofErr w:type="spellEnd"/>
      <w:r w:rsidR="006E6373" w:rsidDel="006E1BF4">
        <w:rPr>
          <w:lang w:eastAsia="cs-CZ"/>
        </w:rPr>
        <w:t xml:space="preserve"> </w:t>
      </w:r>
      <w:r w:rsidR="006E6373">
        <w:rPr>
          <w:lang w:eastAsia="cs-CZ"/>
        </w:rPr>
        <w:t xml:space="preserve">prověřena realizace rozvoje </w:t>
      </w:r>
      <w:proofErr w:type="spellStart"/>
      <w:r w:rsidR="006E6373">
        <w:rPr>
          <w:lang w:eastAsia="cs-CZ"/>
        </w:rPr>
        <w:t>eJustice</w:t>
      </w:r>
      <w:proofErr w:type="spellEnd"/>
      <w:r w:rsidR="006E6373">
        <w:rPr>
          <w:lang w:eastAsia="cs-CZ"/>
        </w:rPr>
        <w:t>.</w:t>
      </w:r>
      <w:r w:rsidR="00020E86">
        <w:rPr>
          <w:lang w:eastAsia="cs-CZ"/>
        </w:rPr>
        <w:t xml:space="preserve"> Účelnost peněžních prostředků vynaložených na realizaci Strategie </w:t>
      </w:r>
      <w:proofErr w:type="spellStart"/>
      <w:r w:rsidR="00020E86">
        <w:rPr>
          <w:lang w:eastAsia="cs-CZ"/>
        </w:rPr>
        <w:t>eJustice</w:t>
      </w:r>
      <w:proofErr w:type="spellEnd"/>
      <w:r w:rsidR="00020E86">
        <w:rPr>
          <w:lang w:eastAsia="cs-CZ"/>
        </w:rPr>
        <w:t xml:space="preserve"> (tj. na realizaci elektronizace justice) byla posuzována z hlediska plnění specifických a strategických cílů strategie.</w:t>
      </w:r>
      <w:r w:rsidR="006E6373">
        <w:rPr>
          <w:lang w:eastAsia="cs-CZ"/>
        </w:rPr>
        <w:t xml:space="preserve"> </w:t>
      </w:r>
      <w:r w:rsidR="006E6373" w:rsidRPr="00D677D7">
        <w:rPr>
          <w:lang w:eastAsia="cs-CZ"/>
        </w:rPr>
        <w:t xml:space="preserve">Hospodárnost peněžních prostředků vynaložených na realizaci Strategie </w:t>
      </w:r>
      <w:proofErr w:type="spellStart"/>
      <w:r w:rsidR="006E6373" w:rsidRPr="00D677D7">
        <w:rPr>
          <w:lang w:eastAsia="cs-CZ"/>
        </w:rPr>
        <w:t>eJustice</w:t>
      </w:r>
      <w:proofErr w:type="spellEnd"/>
      <w:r w:rsidR="006E6373" w:rsidRPr="00D677D7">
        <w:rPr>
          <w:lang w:eastAsia="cs-CZ"/>
        </w:rPr>
        <w:t xml:space="preserve"> byla posuzována z</w:t>
      </w:r>
      <w:r w:rsidR="00DC398B" w:rsidRPr="00D677D7">
        <w:rPr>
          <w:lang w:eastAsia="cs-CZ"/>
        </w:rPr>
        <w:t xml:space="preserve"> pohledu zajištění </w:t>
      </w:r>
      <w:r w:rsidR="00D673CC">
        <w:rPr>
          <w:lang w:eastAsia="cs-CZ"/>
        </w:rPr>
        <w:t xml:space="preserve">potřebných </w:t>
      </w:r>
      <w:r w:rsidR="00DC398B" w:rsidRPr="00D677D7">
        <w:rPr>
          <w:lang w:eastAsia="cs-CZ"/>
        </w:rPr>
        <w:t>vstupů pro splnění stanovených úkolů</w:t>
      </w:r>
      <w:r w:rsidR="00D673CC">
        <w:rPr>
          <w:lang w:eastAsia="cs-CZ"/>
        </w:rPr>
        <w:t>,</w:t>
      </w:r>
      <w:r w:rsidR="00DC398B" w:rsidRPr="00D677D7">
        <w:rPr>
          <w:lang w:eastAsia="cs-CZ"/>
        </w:rPr>
        <w:t xml:space="preserve"> tj. </w:t>
      </w:r>
      <w:r w:rsidR="005E7D9C">
        <w:rPr>
          <w:lang w:eastAsia="cs-CZ"/>
        </w:rPr>
        <w:t>aktivit</w:t>
      </w:r>
      <w:r w:rsidR="006244E4">
        <w:rPr>
          <w:lang w:eastAsia="cs-CZ"/>
        </w:rPr>
        <w:t>,</w:t>
      </w:r>
      <w:r w:rsidR="005E7D9C">
        <w:rPr>
          <w:lang w:eastAsia="cs-CZ"/>
        </w:rPr>
        <w:t xml:space="preserve"> </w:t>
      </w:r>
      <w:r w:rsidR="00D673CC">
        <w:rPr>
          <w:lang w:eastAsia="cs-CZ"/>
        </w:rPr>
        <w:t xml:space="preserve">stanovených </w:t>
      </w:r>
      <w:r w:rsidR="00D673CC" w:rsidRPr="004B4A16">
        <w:rPr>
          <w:i/>
        </w:rPr>
        <w:t xml:space="preserve">Akčním plánem resortní strategie pro rozvoj </w:t>
      </w:r>
      <w:proofErr w:type="spellStart"/>
      <w:r w:rsidR="00D673CC" w:rsidRPr="004B4A16">
        <w:rPr>
          <w:i/>
        </w:rPr>
        <w:t>eJustice</w:t>
      </w:r>
      <w:proofErr w:type="spellEnd"/>
      <w:r w:rsidR="00D673CC" w:rsidRPr="004B4A16">
        <w:rPr>
          <w:i/>
        </w:rPr>
        <w:t xml:space="preserve"> 2016–2020</w:t>
      </w:r>
      <w:r w:rsidR="00031E57">
        <w:t xml:space="preserve">, které jsou relevantní pro posouzení efektivnosti plnění Strategie </w:t>
      </w:r>
      <w:proofErr w:type="spellStart"/>
      <w:r w:rsidR="00031E57">
        <w:t>eJustice</w:t>
      </w:r>
      <w:proofErr w:type="spellEnd"/>
      <w:r w:rsidR="00031E57">
        <w:t xml:space="preserve"> včetně </w:t>
      </w:r>
      <w:r>
        <w:rPr>
          <w:lang w:eastAsia="cs-CZ"/>
        </w:rPr>
        <w:t xml:space="preserve">řízení provozu a rozvoje ICT v resortu justice. Bylo ověřeno, zda a v jaké kvalitě má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zpracov</w:t>
      </w:r>
      <w:r w:rsidR="00C870E1">
        <w:rPr>
          <w:lang w:eastAsia="cs-CZ"/>
        </w:rPr>
        <w:t>ánu</w:t>
      </w:r>
      <w:r>
        <w:rPr>
          <w:lang w:eastAsia="cs-CZ"/>
        </w:rPr>
        <w:t xml:space="preserve"> resortní informační koncepci </w:t>
      </w:r>
      <w:r w:rsidR="00C00743">
        <w:rPr>
          <w:lang w:eastAsia="cs-CZ"/>
        </w:rPr>
        <w:br/>
      </w:r>
      <w:r>
        <w:rPr>
          <w:lang w:eastAsia="cs-CZ"/>
        </w:rPr>
        <w:t>a</w:t>
      </w:r>
      <w:r w:rsidR="00C00743">
        <w:rPr>
          <w:lang w:eastAsia="cs-CZ"/>
        </w:rPr>
        <w:t xml:space="preserve"> </w:t>
      </w:r>
      <w:r>
        <w:rPr>
          <w:lang w:eastAsia="cs-CZ"/>
        </w:rPr>
        <w:t xml:space="preserve">další řídicí dokumenty </w:t>
      </w:r>
      <w:r w:rsidR="00C870E1">
        <w:rPr>
          <w:lang w:eastAsia="cs-CZ"/>
        </w:rPr>
        <w:t xml:space="preserve">pro </w:t>
      </w:r>
      <w:r>
        <w:rPr>
          <w:lang w:eastAsia="cs-CZ"/>
        </w:rPr>
        <w:t>oblast ICT, zda postupuje podle nich a vyhodnocuje jejich dodržování.</w:t>
      </w:r>
    </w:p>
    <w:p w14:paraId="1C1E1DB0" w14:textId="710E076C" w:rsidR="009A3EDF" w:rsidRDefault="006E6373" w:rsidP="00936B25">
      <w:pPr>
        <w:rPr>
          <w:lang w:eastAsia="cs-CZ"/>
        </w:rPr>
      </w:pPr>
      <w:r>
        <w:rPr>
          <w:lang w:eastAsia="cs-CZ"/>
        </w:rPr>
        <w:t xml:space="preserve">Ke kontrole NKÚ byl u </w:t>
      </w:r>
      <w:proofErr w:type="spellStart"/>
      <w:r>
        <w:rPr>
          <w:lang w:eastAsia="cs-CZ"/>
        </w:rPr>
        <w:t>MSp</w:t>
      </w:r>
      <w:proofErr w:type="spellEnd"/>
      <w:r w:rsidR="006F054F">
        <w:rPr>
          <w:lang w:eastAsia="cs-CZ"/>
        </w:rPr>
        <w:t xml:space="preserve"> </w:t>
      </w:r>
      <w:r>
        <w:rPr>
          <w:lang w:eastAsia="cs-CZ"/>
        </w:rPr>
        <w:t xml:space="preserve">vybrán projekt </w:t>
      </w:r>
      <w:proofErr w:type="spellStart"/>
      <w:r w:rsidR="00E63032" w:rsidRPr="00E63032">
        <w:rPr>
          <w:lang w:eastAsia="cs-CZ"/>
        </w:rPr>
        <w:t>eISIR</w:t>
      </w:r>
      <w:proofErr w:type="spellEnd"/>
      <w:r>
        <w:rPr>
          <w:lang w:eastAsia="cs-CZ"/>
        </w:rPr>
        <w:t xml:space="preserve">. Jedná se o klíčový projekt </w:t>
      </w:r>
      <w:proofErr w:type="spellStart"/>
      <w:r>
        <w:rPr>
          <w:lang w:eastAsia="cs-CZ"/>
        </w:rPr>
        <w:t>eJustice</w:t>
      </w:r>
      <w:proofErr w:type="spellEnd"/>
      <w:r>
        <w:rPr>
          <w:lang w:eastAsia="cs-CZ"/>
        </w:rPr>
        <w:t xml:space="preserve">, </w:t>
      </w:r>
      <w:r w:rsidR="00BA1BA5">
        <w:rPr>
          <w:lang w:eastAsia="cs-CZ"/>
        </w:rPr>
        <w:t>který</w:t>
      </w:r>
      <w:r>
        <w:rPr>
          <w:lang w:eastAsia="cs-CZ"/>
        </w:rPr>
        <w:t xml:space="preserve"> má významně přispět k plnění cílů Strategie </w:t>
      </w:r>
      <w:proofErr w:type="spellStart"/>
      <w:r>
        <w:rPr>
          <w:lang w:eastAsia="cs-CZ"/>
        </w:rPr>
        <w:t>eJustice</w:t>
      </w:r>
      <w:proofErr w:type="spellEnd"/>
      <w:r w:rsidRPr="00E14BEB">
        <w:rPr>
          <w:rStyle w:val="Znakapoznpodarou"/>
          <w:lang w:eastAsia="cs-CZ"/>
        </w:rPr>
        <w:footnoteReference w:id="6"/>
      </w:r>
      <w:r>
        <w:rPr>
          <w:lang w:eastAsia="cs-CZ"/>
        </w:rPr>
        <w:t xml:space="preserve"> a zároveň k plnění </w:t>
      </w:r>
      <w:r w:rsidR="00C35A54" w:rsidRPr="00E27B3F">
        <w:rPr>
          <w:i/>
          <w:lang w:eastAsia="cs-CZ"/>
        </w:rPr>
        <w:t>Strategického rámce rozvoje veřejné správy České republiky na období 2014–2020</w:t>
      </w:r>
      <w:r>
        <w:rPr>
          <w:lang w:eastAsia="cs-CZ"/>
        </w:rPr>
        <w:t xml:space="preserve"> a programu </w:t>
      </w:r>
      <w:r w:rsidRPr="00C35A54">
        <w:rPr>
          <w:i/>
          <w:lang w:eastAsia="cs-CZ"/>
        </w:rPr>
        <w:t>Digitální Česko</w:t>
      </w:r>
      <w:r>
        <w:rPr>
          <w:lang w:eastAsia="cs-CZ"/>
        </w:rPr>
        <w:t xml:space="preserve">. </w:t>
      </w:r>
      <w:r w:rsidR="00A82034">
        <w:rPr>
          <w:lang w:eastAsia="cs-CZ"/>
        </w:rPr>
        <w:br/>
      </w:r>
      <w:r w:rsidR="008A03EE">
        <w:rPr>
          <w:lang w:eastAsia="cs-CZ"/>
        </w:rPr>
        <w:t>U</w:t>
      </w:r>
      <w:r w:rsidR="00A82034">
        <w:rPr>
          <w:lang w:eastAsia="cs-CZ"/>
        </w:rPr>
        <w:t xml:space="preserve"> </w:t>
      </w:r>
      <w:r w:rsidR="008A03EE">
        <w:rPr>
          <w:lang w:eastAsia="cs-CZ"/>
        </w:rPr>
        <w:t xml:space="preserve">PMS byl ke kontrole vybrán </w:t>
      </w:r>
      <w:r w:rsidR="006E1BF4">
        <w:rPr>
          <w:lang w:eastAsia="cs-CZ"/>
        </w:rPr>
        <w:t xml:space="preserve">projekt </w:t>
      </w:r>
      <w:r w:rsidR="008E1D19">
        <w:rPr>
          <w:lang w:eastAsia="cs-CZ"/>
        </w:rPr>
        <w:t xml:space="preserve">na nový </w:t>
      </w:r>
      <w:proofErr w:type="spellStart"/>
      <w:r w:rsidR="00C870E1">
        <w:rPr>
          <w:lang w:eastAsia="cs-CZ"/>
        </w:rPr>
        <w:t>a</w:t>
      </w:r>
      <w:r w:rsidR="008A03EE" w:rsidRPr="008E1D19">
        <w:rPr>
          <w:lang w:eastAsia="cs-CZ"/>
        </w:rPr>
        <w:t>gendový</w:t>
      </w:r>
      <w:proofErr w:type="spellEnd"/>
      <w:r w:rsidR="008A03EE" w:rsidRPr="008E1D19">
        <w:rPr>
          <w:lang w:eastAsia="cs-CZ"/>
        </w:rPr>
        <w:t xml:space="preserve"> </w:t>
      </w:r>
      <w:r w:rsidR="005F715B" w:rsidRPr="008E1D19">
        <w:rPr>
          <w:lang w:eastAsia="cs-CZ"/>
        </w:rPr>
        <w:t xml:space="preserve">informační systém </w:t>
      </w:r>
      <w:r w:rsidR="005F715B">
        <w:rPr>
          <w:lang w:eastAsia="cs-CZ"/>
        </w:rPr>
        <w:t>(dále také „AIS</w:t>
      </w:r>
      <w:r w:rsidR="00C00743">
        <w:rPr>
          <w:lang w:eastAsia="cs-CZ"/>
        </w:rPr>
        <w:t> </w:t>
      </w:r>
      <w:r w:rsidR="005F715B">
        <w:rPr>
          <w:lang w:eastAsia="cs-CZ"/>
        </w:rPr>
        <w:t xml:space="preserve">PMS“) </w:t>
      </w:r>
      <w:r w:rsidR="008A03EE">
        <w:rPr>
          <w:lang w:eastAsia="cs-CZ"/>
        </w:rPr>
        <w:t xml:space="preserve">a </w:t>
      </w:r>
      <w:r w:rsidR="006E1BF4">
        <w:rPr>
          <w:lang w:eastAsia="cs-CZ"/>
        </w:rPr>
        <w:t xml:space="preserve">projekt </w:t>
      </w:r>
      <w:r w:rsidR="008A03EE">
        <w:rPr>
          <w:lang w:eastAsia="cs-CZ"/>
        </w:rPr>
        <w:t xml:space="preserve">EMS. </w:t>
      </w:r>
      <w:r>
        <w:rPr>
          <w:lang w:eastAsia="cs-CZ"/>
        </w:rPr>
        <w:t xml:space="preserve">NKÚ prověřil </w:t>
      </w:r>
      <w:r w:rsidR="008A03EE">
        <w:rPr>
          <w:lang w:eastAsia="cs-CZ"/>
        </w:rPr>
        <w:t xml:space="preserve">jejich </w:t>
      </w:r>
      <w:r>
        <w:rPr>
          <w:lang w:eastAsia="cs-CZ"/>
        </w:rPr>
        <w:t>nastavení a realizaci. Účelnost vynaložených peněžních prostředků byla posuzována z</w:t>
      </w:r>
      <w:r w:rsidR="00B800E6">
        <w:rPr>
          <w:lang w:eastAsia="cs-CZ"/>
        </w:rPr>
        <w:t xml:space="preserve"> </w:t>
      </w:r>
      <w:r>
        <w:rPr>
          <w:lang w:eastAsia="cs-CZ"/>
        </w:rPr>
        <w:t xml:space="preserve">hlediska dodržení předmětu projektu, naplnění indikátorů a cílů projektu a naplnění </w:t>
      </w:r>
      <w:r w:rsidR="006F054F">
        <w:rPr>
          <w:lang w:eastAsia="cs-CZ"/>
        </w:rPr>
        <w:t xml:space="preserve">příslušných </w:t>
      </w:r>
      <w:r>
        <w:rPr>
          <w:lang w:eastAsia="cs-CZ"/>
        </w:rPr>
        <w:t xml:space="preserve">specifických cílů Strategie </w:t>
      </w:r>
      <w:proofErr w:type="spellStart"/>
      <w:r>
        <w:rPr>
          <w:lang w:eastAsia="cs-CZ"/>
        </w:rPr>
        <w:t>eJustice</w:t>
      </w:r>
      <w:proofErr w:type="spellEnd"/>
      <w:r>
        <w:rPr>
          <w:lang w:eastAsia="cs-CZ"/>
        </w:rPr>
        <w:t>. Hospodárnost vynaložených peněžních prostředků byla posuzována z</w:t>
      </w:r>
      <w:r w:rsidR="00A82034">
        <w:rPr>
          <w:lang w:eastAsia="cs-CZ"/>
        </w:rPr>
        <w:t xml:space="preserve"> </w:t>
      </w:r>
      <w:r>
        <w:rPr>
          <w:lang w:eastAsia="cs-CZ"/>
        </w:rPr>
        <w:t>hlediska doby realizace, dodržení podmínek poskytnutí dotace</w:t>
      </w:r>
      <w:r w:rsidR="00ED3FF7">
        <w:rPr>
          <w:lang w:eastAsia="cs-CZ"/>
        </w:rPr>
        <w:t xml:space="preserve"> a</w:t>
      </w:r>
      <w:r>
        <w:rPr>
          <w:lang w:eastAsia="cs-CZ"/>
        </w:rPr>
        <w:t xml:space="preserve"> parametrů projektu</w:t>
      </w:r>
      <w:r w:rsidR="00ED3FF7">
        <w:rPr>
          <w:lang w:eastAsia="cs-CZ"/>
        </w:rPr>
        <w:t>.</w:t>
      </w:r>
    </w:p>
    <w:p w14:paraId="3FD46267" w14:textId="77777777" w:rsidR="00662382" w:rsidRDefault="00082BAD" w:rsidP="00D908BA">
      <w:pPr>
        <w:keepNext/>
        <w:rPr>
          <w:lang w:eastAsia="cs-CZ"/>
        </w:rPr>
      </w:pPr>
      <w:r w:rsidRPr="006E1483">
        <w:rPr>
          <w:lang w:eastAsia="cs-CZ"/>
        </w:rPr>
        <w:t xml:space="preserve">Kontrolovaný objem </w:t>
      </w:r>
      <w:r w:rsidR="007C201F">
        <w:rPr>
          <w:lang w:eastAsia="cs-CZ"/>
        </w:rPr>
        <w:t>peněžních</w:t>
      </w:r>
      <w:r w:rsidR="007C201F" w:rsidRPr="006E1483">
        <w:rPr>
          <w:lang w:eastAsia="cs-CZ"/>
        </w:rPr>
        <w:t xml:space="preserve"> </w:t>
      </w:r>
      <w:r w:rsidRPr="006E1483">
        <w:rPr>
          <w:lang w:eastAsia="cs-CZ"/>
        </w:rPr>
        <w:t>prostředků</w:t>
      </w:r>
      <w:r w:rsidR="006E1483">
        <w:rPr>
          <w:lang w:eastAsia="cs-CZ"/>
        </w:rPr>
        <w:t xml:space="preserve"> </w:t>
      </w:r>
      <w:r w:rsidR="00662382">
        <w:rPr>
          <w:lang w:eastAsia="cs-CZ"/>
        </w:rPr>
        <w:t xml:space="preserve">představoval peněžní prostředky vynaložené na realizaci Strategie </w:t>
      </w:r>
      <w:proofErr w:type="spellStart"/>
      <w:r w:rsidR="00662382">
        <w:rPr>
          <w:lang w:eastAsia="cs-CZ"/>
        </w:rPr>
        <w:t>eJustice</w:t>
      </w:r>
      <w:proofErr w:type="spellEnd"/>
      <w:r w:rsidR="00662382">
        <w:rPr>
          <w:lang w:eastAsia="cs-CZ"/>
        </w:rPr>
        <w:t xml:space="preserve"> ve výši </w:t>
      </w:r>
      <w:r w:rsidR="00662382" w:rsidRPr="009A3EDF">
        <w:rPr>
          <w:b/>
          <w:lang w:eastAsia="cs-CZ"/>
        </w:rPr>
        <w:t>331 508 680 Kč</w:t>
      </w:r>
      <w:r w:rsidR="00455F1E" w:rsidRPr="00317D87">
        <w:rPr>
          <w:b/>
          <w:lang w:eastAsia="cs-CZ"/>
        </w:rPr>
        <w:t>.</w:t>
      </w:r>
    </w:p>
    <w:p w14:paraId="51CFD193" w14:textId="5E47F25C" w:rsidR="006E1483" w:rsidRDefault="006E1483" w:rsidP="005E6F13">
      <w:pPr>
        <w:keepNext/>
        <w:spacing w:after="0"/>
        <w:rPr>
          <w:lang w:eastAsia="cs-CZ"/>
        </w:rPr>
      </w:pPr>
      <w:r>
        <w:rPr>
          <w:lang w:eastAsia="cs-CZ"/>
        </w:rPr>
        <w:t xml:space="preserve">Kontrolovaný objem </w:t>
      </w:r>
      <w:r w:rsidR="007C201F">
        <w:rPr>
          <w:lang w:eastAsia="cs-CZ"/>
        </w:rPr>
        <w:t xml:space="preserve">peněžních </w:t>
      </w:r>
      <w:r>
        <w:rPr>
          <w:lang w:eastAsia="cs-CZ"/>
        </w:rPr>
        <w:t xml:space="preserve">prostředků na projektové úrovni činil </w:t>
      </w:r>
      <w:r w:rsidR="00D62725">
        <w:rPr>
          <w:b/>
          <w:lang w:eastAsia="cs-CZ"/>
        </w:rPr>
        <w:t>33 079 294</w:t>
      </w:r>
      <w:r w:rsidR="00455F1E">
        <w:rPr>
          <w:b/>
          <w:lang w:eastAsia="cs-CZ"/>
        </w:rPr>
        <w:t xml:space="preserve"> </w:t>
      </w:r>
      <w:r w:rsidRPr="00EA0141">
        <w:rPr>
          <w:b/>
          <w:lang w:eastAsia="cs-CZ"/>
        </w:rPr>
        <w:t>Kč</w:t>
      </w:r>
      <w:r>
        <w:rPr>
          <w:lang w:eastAsia="cs-CZ"/>
        </w:rPr>
        <w:t xml:space="preserve"> a</w:t>
      </w:r>
      <w:r w:rsidR="00AA0385">
        <w:rPr>
          <w:lang w:eastAsia="cs-CZ"/>
        </w:rPr>
        <w:t> </w:t>
      </w:r>
      <w:r>
        <w:rPr>
          <w:lang w:eastAsia="cs-CZ"/>
        </w:rPr>
        <w:t>zahrnoval:</w:t>
      </w:r>
    </w:p>
    <w:p w14:paraId="2CA7CB2C" w14:textId="77777777" w:rsidR="006E1483" w:rsidRPr="00B414B6" w:rsidRDefault="007C201F" w:rsidP="009C0932">
      <w:pPr>
        <w:pStyle w:val="Odstavecseseznamem"/>
        <w:numPr>
          <w:ilvl w:val="0"/>
          <w:numId w:val="34"/>
        </w:numPr>
        <w:ind w:left="426"/>
        <w:rPr>
          <w:lang w:eastAsia="cs-CZ"/>
        </w:rPr>
      </w:pPr>
      <w:r>
        <w:rPr>
          <w:lang w:eastAsia="cs-CZ"/>
        </w:rPr>
        <w:t>peněžní</w:t>
      </w:r>
      <w:r w:rsidRPr="00B414B6">
        <w:rPr>
          <w:lang w:eastAsia="cs-CZ"/>
        </w:rPr>
        <w:t xml:space="preserve"> </w:t>
      </w:r>
      <w:r w:rsidR="006E1483" w:rsidRPr="00B414B6">
        <w:rPr>
          <w:lang w:eastAsia="cs-CZ"/>
        </w:rPr>
        <w:t xml:space="preserve">prostředky </w:t>
      </w:r>
      <w:r w:rsidR="00455F1E">
        <w:rPr>
          <w:lang w:eastAsia="cs-CZ"/>
        </w:rPr>
        <w:t>vynaložené v rámci realizace</w:t>
      </w:r>
      <w:r w:rsidR="006E1483" w:rsidRPr="00B414B6">
        <w:rPr>
          <w:lang w:eastAsia="cs-CZ"/>
        </w:rPr>
        <w:t xml:space="preserve"> projekt</w:t>
      </w:r>
      <w:r w:rsidR="00455F1E">
        <w:rPr>
          <w:lang w:eastAsia="cs-CZ"/>
        </w:rPr>
        <w:t>u</w:t>
      </w:r>
      <w:r w:rsidR="006E1483" w:rsidRPr="00B414B6">
        <w:rPr>
          <w:lang w:eastAsia="cs-CZ"/>
        </w:rPr>
        <w:t xml:space="preserve"> </w:t>
      </w:r>
      <w:proofErr w:type="spellStart"/>
      <w:r w:rsidR="006E1483" w:rsidRPr="00B414B6">
        <w:rPr>
          <w:lang w:eastAsia="cs-CZ"/>
        </w:rPr>
        <w:t>eISIR</w:t>
      </w:r>
      <w:proofErr w:type="spellEnd"/>
      <w:r w:rsidR="006E1483" w:rsidRPr="00B414B6">
        <w:rPr>
          <w:lang w:eastAsia="cs-CZ"/>
        </w:rPr>
        <w:t xml:space="preserve"> ve výši 4 141 830 Kč,</w:t>
      </w:r>
    </w:p>
    <w:p w14:paraId="3C2A1780" w14:textId="63C6CCAE" w:rsidR="00250CAB" w:rsidRDefault="007C201F" w:rsidP="00455F1E">
      <w:pPr>
        <w:pStyle w:val="Odstavecseseznamem"/>
        <w:numPr>
          <w:ilvl w:val="0"/>
          <w:numId w:val="34"/>
        </w:numPr>
        <w:ind w:left="426"/>
        <w:rPr>
          <w:lang w:eastAsia="cs-CZ"/>
        </w:rPr>
      </w:pPr>
      <w:r>
        <w:rPr>
          <w:lang w:eastAsia="cs-CZ"/>
        </w:rPr>
        <w:t>peněžní</w:t>
      </w:r>
      <w:r w:rsidRPr="00B414B6">
        <w:rPr>
          <w:lang w:eastAsia="cs-CZ"/>
        </w:rPr>
        <w:t xml:space="preserve"> </w:t>
      </w:r>
      <w:r w:rsidR="006E1483" w:rsidRPr="00B414B6">
        <w:rPr>
          <w:lang w:eastAsia="cs-CZ"/>
        </w:rPr>
        <w:t xml:space="preserve">prostředky </w:t>
      </w:r>
      <w:r w:rsidR="00455F1E">
        <w:rPr>
          <w:lang w:eastAsia="cs-CZ"/>
        </w:rPr>
        <w:t xml:space="preserve">vynaložené v rámci realizace </w:t>
      </w:r>
      <w:r w:rsidR="006E1483" w:rsidRPr="00B414B6">
        <w:rPr>
          <w:lang w:eastAsia="cs-CZ"/>
        </w:rPr>
        <w:t>proje</w:t>
      </w:r>
      <w:r w:rsidR="00C870E1">
        <w:rPr>
          <w:lang w:eastAsia="cs-CZ"/>
        </w:rPr>
        <w:t>k</w:t>
      </w:r>
      <w:r w:rsidR="006E1483" w:rsidRPr="00B414B6">
        <w:rPr>
          <w:lang w:eastAsia="cs-CZ"/>
        </w:rPr>
        <w:t>t</w:t>
      </w:r>
      <w:r w:rsidR="00455F1E">
        <w:rPr>
          <w:lang w:eastAsia="cs-CZ"/>
        </w:rPr>
        <w:t>u</w:t>
      </w:r>
      <w:r w:rsidR="006E1483" w:rsidRPr="00B414B6">
        <w:rPr>
          <w:lang w:eastAsia="cs-CZ"/>
        </w:rPr>
        <w:t xml:space="preserve"> EMS ve výši </w:t>
      </w:r>
      <w:r w:rsidR="00A002C7" w:rsidRPr="00B414B6">
        <w:rPr>
          <w:lang w:eastAsia="cs-CZ"/>
        </w:rPr>
        <w:t>21 285 468</w:t>
      </w:r>
      <w:r w:rsidR="006E1483" w:rsidRPr="00B414B6">
        <w:rPr>
          <w:lang w:eastAsia="cs-CZ"/>
        </w:rPr>
        <w:t xml:space="preserve"> Kč</w:t>
      </w:r>
      <w:r w:rsidR="00250CAB">
        <w:rPr>
          <w:lang w:eastAsia="cs-CZ"/>
        </w:rPr>
        <w:t>,</w:t>
      </w:r>
    </w:p>
    <w:p w14:paraId="35D44C0A" w14:textId="77777777" w:rsidR="00455F1E" w:rsidRPr="00B414B6" w:rsidRDefault="00250CAB" w:rsidP="00062BFC">
      <w:pPr>
        <w:pStyle w:val="Odstavecseseznamem"/>
        <w:numPr>
          <w:ilvl w:val="0"/>
          <w:numId w:val="34"/>
        </w:numPr>
        <w:ind w:left="426"/>
        <w:rPr>
          <w:lang w:eastAsia="cs-CZ"/>
        </w:rPr>
      </w:pPr>
      <w:r>
        <w:rPr>
          <w:lang w:eastAsia="cs-CZ"/>
        </w:rPr>
        <w:t xml:space="preserve">peněžní prostředky vynaložené v rámci realizace </w:t>
      </w:r>
      <w:r w:rsidR="00062BFC">
        <w:rPr>
          <w:lang w:eastAsia="cs-CZ"/>
        </w:rPr>
        <w:t xml:space="preserve">projektu </w:t>
      </w:r>
      <w:r w:rsidR="008D7511">
        <w:rPr>
          <w:lang w:eastAsia="cs-CZ"/>
        </w:rPr>
        <w:t xml:space="preserve">nového </w:t>
      </w:r>
      <w:r w:rsidR="00C66819">
        <w:rPr>
          <w:lang w:eastAsia="cs-CZ"/>
        </w:rPr>
        <w:t>A</w:t>
      </w:r>
      <w:r w:rsidR="00455F1E">
        <w:rPr>
          <w:lang w:eastAsia="cs-CZ"/>
        </w:rPr>
        <w:t>IS P</w:t>
      </w:r>
      <w:r w:rsidR="00730460">
        <w:rPr>
          <w:lang w:eastAsia="cs-CZ"/>
        </w:rPr>
        <w:t>MS</w:t>
      </w:r>
      <w:r w:rsidR="00455F1E">
        <w:rPr>
          <w:lang w:eastAsia="cs-CZ"/>
        </w:rPr>
        <w:t xml:space="preserve"> ve výši 7 </w:t>
      </w:r>
      <w:r w:rsidR="005070C1">
        <w:rPr>
          <w:lang w:eastAsia="cs-CZ"/>
        </w:rPr>
        <w:t>651 996</w:t>
      </w:r>
      <w:r w:rsidR="00455F1E">
        <w:rPr>
          <w:lang w:eastAsia="cs-CZ"/>
        </w:rPr>
        <w:t xml:space="preserve"> K</w:t>
      </w:r>
      <w:r w:rsidR="008D7511">
        <w:rPr>
          <w:lang w:eastAsia="cs-CZ"/>
        </w:rPr>
        <w:t>č</w:t>
      </w:r>
      <w:r w:rsidR="00455F1E">
        <w:rPr>
          <w:lang w:eastAsia="cs-CZ"/>
        </w:rPr>
        <w:t>.</w:t>
      </w:r>
    </w:p>
    <w:p w14:paraId="2C75DA80" w14:textId="088CED2C" w:rsidR="001D3AE9" w:rsidRPr="00317D87" w:rsidRDefault="00242E73" w:rsidP="00082059">
      <w:pPr>
        <w:pStyle w:val="Nadpis1"/>
        <w:numPr>
          <w:ilvl w:val="0"/>
          <w:numId w:val="0"/>
        </w:numPr>
        <w:spacing w:before="480"/>
        <w:jc w:val="center"/>
        <w:rPr>
          <w:sz w:val="28"/>
          <w:szCs w:val="28"/>
        </w:rPr>
      </w:pPr>
      <w:r w:rsidRPr="00317D87">
        <w:rPr>
          <w:sz w:val="28"/>
          <w:szCs w:val="28"/>
        </w:rPr>
        <w:t xml:space="preserve">IV. </w:t>
      </w:r>
      <w:r w:rsidR="00125B05" w:rsidRPr="00317D87">
        <w:rPr>
          <w:sz w:val="28"/>
          <w:szCs w:val="28"/>
        </w:rPr>
        <w:t>Podrobné skutečnosti zjištěné kontrolou</w:t>
      </w:r>
      <w:r w:rsidR="00A27B72">
        <w:rPr>
          <w:sz w:val="28"/>
          <w:szCs w:val="28"/>
        </w:rPr>
        <w:t xml:space="preserve"> </w:t>
      </w:r>
    </w:p>
    <w:p w14:paraId="404C2330" w14:textId="77777777" w:rsidR="00A3295F" w:rsidRPr="005C28DE" w:rsidRDefault="005C28DE" w:rsidP="00317D87">
      <w:pPr>
        <w:pStyle w:val="Nadpis1"/>
        <w:numPr>
          <w:ilvl w:val="0"/>
          <w:numId w:val="30"/>
        </w:numPr>
        <w:ind w:left="284" w:hanging="284"/>
        <w:rPr>
          <w:i/>
        </w:rPr>
      </w:pPr>
      <w:r>
        <w:t xml:space="preserve">Plnění </w:t>
      </w:r>
      <w:r w:rsidR="00A25D09">
        <w:t xml:space="preserve">Strategie </w:t>
      </w:r>
      <w:proofErr w:type="spellStart"/>
      <w:r w:rsidR="00A25D09">
        <w:t>eJustice</w:t>
      </w:r>
      <w:proofErr w:type="spellEnd"/>
    </w:p>
    <w:p w14:paraId="43EEB53D" w14:textId="2173735F" w:rsidR="00824A9C" w:rsidRDefault="00825295" w:rsidP="00824A9C">
      <w:pPr>
        <w:keepNext/>
        <w:spacing w:after="0"/>
        <w:rPr>
          <w:lang w:eastAsia="cs-CZ"/>
        </w:rPr>
      </w:pPr>
      <w:r>
        <w:rPr>
          <w:lang w:eastAsia="cs-CZ"/>
        </w:rPr>
        <w:t>Resort</w:t>
      </w:r>
      <w:r w:rsidR="006E1BF4">
        <w:rPr>
          <w:lang w:eastAsia="cs-CZ"/>
        </w:rPr>
        <w:t xml:space="preserve"> justice</w:t>
      </w:r>
      <w:r>
        <w:rPr>
          <w:lang w:eastAsia="cs-CZ"/>
        </w:rPr>
        <w:t xml:space="preserve"> se</w:t>
      </w:r>
      <w:r w:rsidR="006E1BF4">
        <w:rPr>
          <w:lang w:eastAsia="cs-CZ"/>
        </w:rPr>
        <w:t xml:space="preserve"> v oblasti ICT</w:t>
      </w:r>
      <w:r>
        <w:rPr>
          <w:lang w:eastAsia="cs-CZ"/>
        </w:rPr>
        <w:t xml:space="preserve"> dlouhodobě</w:t>
      </w:r>
      <w:r w:rsidR="006E1BF4">
        <w:rPr>
          <w:lang w:eastAsia="cs-CZ"/>
        </w:rPr>
        <w:t xml:space="preserve"> potýká s </w:t>
      </w:r>
      <w:r w:rsidR="00C870E1">
        <w:rPr>
          <w:lang w:eastAsia="cs-CZ"/>
        </w:rPr>
        <w:t>několika</w:t>
      </w:r>
      <w:r w:rsidR="006E1BF4">
        <w:rPr>
          <w:lang w:eastAsia="cs-CZ"/>
        </w:rPr>
        <w:t xml:space="preserve"> </w:t>
      </w:r>
      <w:r w:rsidR="004326F9">
        <w:rPr>
          <w:lang w:eastAsia="cs-CZ"/>
        </w:rPr>
        <w:t xml:space="preserve">zásadními </w:t>
      </w:r>
      <w:r w:rsidR="006E1BF4">
        <w:rPr>
          <w:lang w:eastAsia="cs-CZ"/>
        </w:rPr>
        <w:t>problémy</w:t>
      </w:r>
      <w:r w:rsidR="00C870E1">
        <w:rPr>
          <w:lang w:eastAsia="cs-CZ"/>
        </w:rPr>
        <w:t>, jsou to</w:t>
      </w:r>
      <w:r w:rsidR="006E1BF4">
        <w:rPr>
          <w:lang w:eastAsia="cs-CZ"/>
        </w:rPr>
        <w:t>:</w:t>
      </w:r>
    </w:p>
    <w:p w14:paraId="37ABC5F8" w14:textId="77777777" w:rsidR="00824A9C" w:rsidRDefault="0018590A" w:rsidP="00824A9C">
      <w:pPr>
        <w:pStyle w:val="Odstavecseseznamem"/>
        <w:numPr>
          <w:ilvl w:val="0"/>
          <w:numId w:val="37"/>
        </w:numPr>
        <w:ind w:left="426"/>
        <w:rPr>
          <w:lang w:eastAsia="cs-CZ"/>
        </w:rPr>
      </w:pPr>
      <w:r>
        <w:rPr>
          <w:lang w:eastAsia="cs-CZ"/>
        </w:rPr>
        <w:t>zastaralé, technologicky nejednotné, uživatelsky nepřívětivé a pomalé systémy elektronické spisové služby,</w:t>
      </w:r>
    </w:p>
    <w:p w14:paraId="53D688A5" w14:textId="77777777" w:rsidR="00824A9C" w:rsidRDefault="0041439B" w:rsidP="00824A9C">
      <w:pPr>
        <w:pStyle w:val="Odstavecseseznamem"/>
        <w:numPr>
          <w:ilvl w:val="0"/>
          <w:numId w:val="37"/>
        </w:numPr>
        <w:ind w:left="426"/>
        <w:rPr>
          <w:lang w:eastAsia="cs-CZ"/>
        </w:rPr>
      </w:pPr>
      <w:r>
        <w:rPr>
          <w:lang w:eastAsia="cs-CZ"/>
        </w:rPr>
        <w:t>neexistenc</w:t>
      </w:r>
      <w:r w:rsidR="00D15CE8">
        <w:rPr>
          <w:lang w:eastAsia="cs-CZ"/>
        </w:rPr>
        <w:t>e</w:t>
      </w:r>
      <w:r>
        <w:rPr>
          <w:lang w:eastAsia="cs-CZ"/>
        </w:rPr>
        <w:t xml:space="preserve"> </w:t>
      </w:r>
      <w:r w:rsidR="0026210D">
        <w:rPr>
          <w:lang w:eastAsia="cs-CZ"/>
        </w:rPr>
        <w:t>elektronického spisu</w:t>
      </w:r>
      <w:r w:rsidR="00685AD0">
        <w:rPr>
          <w:lang w:eastAsia="cs-CZ"/>
        </w:rPr>
        <w:t xml:space="preserve"> (elektronický spis existuje pouze </w:t>
      </w:r>
      <w:r w:rsidR="006F1022">
        <w:rPr>
          <w:lang w:eastAsia="cs-CZ"/>
        </w:rPr>
        <w:t xml:space="preserve">u agendy </w:t>
      </w:r>
      <w:r w:rsidR="00685AD0">
        <w:rPr>
          <w:lang w:eastAsia="cs-CZ"/>
        </w:rPr>
        <w:t>elektronick</w:t>
      </w:r>
      <w:r w:rsidR="006F1022">
        <w:rPr>
          <w:lang w:eastAsia="cs-CZ"/>
        </w:rPr>
        <w:t>ých</w:t>
      </w:r>
      <w:r w:rsidR="00685AD0">
        <w:rPr>
          <w:lang w:eastAsia="cs-CZ"/>
        </w:rPr>
        <w:t xml:space="preserve"> platební</w:t>
      </w:r>
      <w:r w:rsidR="006F1022">
        <w:rPr>
          <w:lang w:eastAsia="cs-CZ"/>
        </w:rPr>
        <w:t>ch</w:t>
      </w:r>
      <w:r w:rsidR="00685AD0">
        <w:rPr>
          <w:lang w:eastAsia="cs-CZ"/>
        </w:rPr>
        <w:t xml:space="preserve"> rozkaz</w:t>
      </w:r>
      <w:r w:rsidR="006F1022">
        <w:rPr>
          <w:lang w:eastAsia="cs-CZ"/>
        </w:rPr>
        <w:t>ů</w:t>
      </w:r>
      <w:r w:rsidR="00685AD0">
        <w:rPr>
          <w:lang w:eastAsia="cs-CZ"/>
        </w:rPr>
        <w:t>)</w:t>
      </w:r>
      <w:r w:rsidR="0026210D">
        <w:rPr>
          <w:lang w:eastAsia="cs-CZ"/>
        </w:rPr>
        <w:t>,</w:t>
      </w:r>
    </w:p>
    <w:p w14:paraId="6844FBB4" w14:textId="77777777" w:rsidR="00824A9C" w:rsidRDefault="0026210D" w:rsidP="00824A9C">
      <w:pPr>
        <w:pStyle w:val="Odstavecseseznamem"/>
        <w:numPr>
          <w:ilvl w:val="0"/>
          <w:numId w:val="37"/>
        </w:numPr>
        <w:ind w:left="426"/>
        <w:rPr>
          <w:lang w:eastAsia="cs-CZ"/>
        </w:rPr>
      </w:pPr>
      <w:r>
        <w:rPr>
          <w:lang w:eastAsia="cs-CZ"/>
        </w:rPr>
        <w:t>zcela nebo částečně neexistující komunikac</w:t>
      </w:r>
      <w:r w:rsidR="00D15CE8">
        <w:rPr>
          <w:lang w:eastAsia="cs-CZ"/>
        </w:rPr>
        <w:t>e</w:t>
      </w:r>
      <w:r>
        <w:rPr>
          <w:lang w:eastAsia="cs-CZ"/>
        </w:rPr>
        <w:t xml:space="preserve"> mezi IS </w:t>
      </w:r>
      <w:r w:rsidR="00704498">
        <w:rPr>
          <w:lang w:eastAsia="cs-CZ"/>
        </w:rPr>
        <w:t>a</w:t>
      </w:r>
      <w:r>
        <w:rPr>
          <w:lang w:eastAsia="cs-CZ"/>
        </w:rPr>
        <w:t xml:space="preserve"> s externím</w:t>
      </w:r>
      <w:r w:rsidR="00704498">
        <w:rPr>
          <w:lang w:eastAsia="cs-CZ"/>
        </w:rPr>
        <w:t>i</w:t>
      </w:r>
      <w:r>
        <w:rPr>
          <w:lang w:eastAsia="cs-CZ"/>
        </w:rPr>
        <w:t xml:space="preserve"> IS</w:t>
      </w:r>
      <w:r w:rsidR="00824A9C">
        <w:rPr>
          <w:lang w:eastAsia="cs-CZ"/>
        </w:rPr>
        <w:t>,</w:t>
      </w:r>
    </w:p>
    <w:p w14:paraId="39791975" w14:textId="455FDBC4" w:rsidR="00824A9C" w:rsidRDefault="00704498" w:rsidP="00824A9C">
      <w:pPr>
        <w:pStyle w:val="Odstavecseseznamem"/>
        <w:numPr>
          <w:ilvl w:val="0"/>
          <w:numId w:val="37"/>
        </w:numPr>
        <w:ind w:left="426"/>
        <w:rPr>
          <w:lang w:eastAsia="cs-CZ"/>
        </w:rPr>
      </w:pPr>
      <w:r>
        <w:rPr>
          <w:lang w:eastAsia="cs-CZ"/>
        </w:rPr>
        <w:lastRenderedPageBreak/>
        <w:t>účastní</w:t>
      </w:r>
      <w:r w:rsidR="00C870E1">
        <w:rPr>
          <w:lang w:eastAsia="cs-CZ"/>
        </w:rPr>
        <w:t>ci</w:t>
      </w:r>
      <w:r>
        <w:rPr>
          <w:lang w:eastAsia="cs-CZ"/>
        </w:rPr>
        <w:t xml:space="preserve"> řízení </w:t>
      </w:r>
      <w:r w:rsidR="00C870E1">
        <w:rPr>
          <w:lang w:eastAsia="cs-CZ"/>
        </w:rPr>
        <w:t xml:space="preserve">nemají možnost </w:t>
      </w:r>
      <w:r>
        <w:rPr>
          <w:lang w:eastAsia="cs-CZ"/>
        </w:rPr>
        <w:t>vzdáleně nahlížet do spisu</w:t>
      </w:r>
      <w:r w:rsidR="00824A9C">
        <w:rPr>
          <w:lang w:eastAsia="cs-CZ"/>
        </w:rPr>
        <w:t>,</w:t>
      </w:r>
    </w:p>
    <w:p w14:paraId="75D27B03" w14:textId="77777777" w:rsidR="00824A9C" w:rsidRDefault="004D7265" w:rsidP="00D15CE8">
      <w:pPr>
        <w:pStyle w:val="Odstavecseseznamem"/>
        <w:numPr>
          <w:ilvl w:val="0"/>
          <w:numId w:val="37"/>
        </w:numPr>
        <w:ind w:left="426"/>
        <w:rPr>
          <w:lang w:eastAsia="cs-CZ"/>
        </w:rPr>
      </w:pPr>
      <w:r>
        <w:rPr>
          <w:lang w:eastAsia="cs-CZ"/>
        </w:rPr>
        <w:t>nejednotn</w:t>
      </w:r>
      <w:r w:rsidR="00D15CE8">
        <w:rPr>
          <w:lang w:eastAsia="cs-CZ"/>
        </w:rPr>
        <w:t>á</w:t>
      </w:r>
      <w:r>
        <w:rPr>
          <w:lang w:eastAsia="cs-CZ"/>
        </w:rPr>
        <w:t xml:space="preserve"> architektur</w:t>
      </w:r>
      <w:r w:rsidR="00D15CE8">
        <w:rPr>
          <w:lang w:eastAsia="cs-CZ"/>
        </w:rPr>
        <w:t>a</w:t>
      </w:r>
      <w:r>
        <w:rPr>
          <w:lang w:eastAsia="cs-CZ"/>
        </w:rPr>
        <w:t xml:space="preserve"> IS a neexistenc</w:t>
      </w:r>
      <w:r w:rsidR="00D15CE8">
        <w:rPr>
          <w:lang w:eastAsia="cs-CZ"/>
        </w:rPr>
        <w:t>e</w:t>
      </w:r>
      <w:r>
        <w:rPr>
          <w:lang w:eastAsia="cs-CZ"/>
        </w:rPr>
        <w:t xml:space="preserve"> jednotné integrační </w:t>
      </w:r>
      <w:r w:rsidR="00B36C32">
        <w:rPr>
          <w:lang w:eastAsia="cs-CZ"/>
        </w:rPr>
        <w:t xml:space="preserve">platformy </w:t>
      </w:r>
      <w:r>
        <w:rPr>
          <w:lang w:eastAsia="cs-CZ"/>
        </w:rPr>
        <w:t>pro jednotlivé ICT komponenty a IS</w:t>
      </w:r>
      <w:r w:rsidR="00826AA4">
        <w:rPr>
          <w:lang w:eastAsia="cs-CZ"/>
        </w:rPr>
        <w:t xml:space="preserve"> (nefungující systém </w:t>
      </w:r>
      <w:r w:rsidR="00824A9C">
        <w:rPr>
          <w:lang w:eastAsia="cs-CZ"/>
        </w:rPr>
        <w:t>infrastruktury a architektury)</w:t>
      </w:r>
      <w:r>
        <w:rPr>
          <w:lang w:eastAsia="cs-CZ"/>
        </w:rPr>
        <w:t>,</w:t>
      </w:r>
    </w:p>
    <w:p w14:paraId="26C6164E" w14:textId="797DACB4" w:rsidR="00824A9C" w:rsidRDefault="00B66846" w:rsidP="00824A9C">
      <w:pPr>
        <w:pStyle w:val="Odstavecseseznamem"/>
        <w:numPr>
          <w:ilvl w:val="0"/>
          <w:numId w:val="37"/>
        </w:numPr>
        <w:ind w:left="426"/>
        <w:rPr>
          <w:lang w:eastAsia="cs-CZ"/>
        </w:rPr>
      </w:pPr>
      <w:r>
        <w:rPr>
          <w:lang w:eastAsia="cs-CZ"/>
        </w:rPr>
        <w:t>nevýhodné licenční podmínky</w:t>
      </w:r>
      <w:r w:rsidR="00867402">
        <w:rPr>
          <w:lang w:eastAsia="cs-CZ"/>
        </w:rPr>
        <w:t xml:space="preserve"> – </w:t>
      </w:r>
      <w:proofErr w:type="spellStart"/>
      <w:r>
        <w:rPr>
          <w:lang w:eastAsia="cs-CZ"/>
        </w:rPr>
        <w:t>MS</w:t>
      </w:r>
      <w:r w:rsidR="00927AD6">
        <w:rPr>
          <w:lang w:eastAsia="cs-CZ"/>
        </w:rPr>
        <w:t>p</w:t>
      </w:r>
      <w:proofErr w:type="spellEnd"/>
      <w:r>
        <w:rPr>
          <w:lang w:eastAsia="cs-CZ"/>
        </w:rPr>
        <w:t xml:space="preserve"> není vlastníkem autorských práv</w:t>
      </w:r>
      <w:r w:rsidR="00927AD6">
        <w:rPr>
          <w:lang w:eastAsia="cs-CZ"/>
        </w:rPr>
        <w:t>,</w:t>
      </w:r>
      <w:r>
        <w:rPr>
          <w:lang w:eastAsia="cs-CZ"/>
        </w:rPr>
        <w:t xml:space="preserve"> zdrojových kódů a</w:t>
      </w:r>
      <w:r w:rsidR="00C870E1">
        <w:rPr>
          <w:lang w:eastAsia="cs-CZ"/>
        </w:rPr>
        <w:t>ni</w:t>
      </w:r>
      <w:r>
        <w:rPr>
          <w:lang w:eastAsia="cs-CZ"/>
        </w:rPr>
        <w:t xml:space="preserve"> dokumentace k</w:t>
      </w:r>
      <w:r w:rsidR="00ED42EF">
        <w:rPr>
          <w:lang w:eastAsia="cs-CZ"/>
        </w:rPr>
        <w:t> </w:t>
      </w:r>
      <w:r>
        <w:rPr>
          <w:lang w:eastAsia="cs-CZ"/>
        </w:rPr>
        <w:t>IS</w:t>
      </w:r>
      <w:r w:rsidR="00ED42EF">
        <w:rPr>
          <w:lang w:eastAsia="cs-CZ"/>
        </w:rPr>
        <w:t>,</w:t>
      </w:r>
    </w:p>
    <w:p w14:paraId="18527DB0" w14:textId="58D5B88E" w:rsidR="005C28DE" w:rsidRDefault="001316CA" w:rsidP="00C74C60">
      <w:pPr>
        <w:pStyle w:val="Odstavecseseznamem"/>
        <w:numPr>
          <w:ilvl w:val="0"/>
          <w:numId w:val="37"/>
        </w:numPr>
        <w:ind w:left="425" w:hanging="357"/>
        <w:rPr>
          <w:lang w:eastAsia="cs-CZ"/>
        </w:rPr>
      </w:pPr>
      <w:r>
        <w:rPr>
          <w:lang w:eastAsia="cs-CZ"/>
        </w:rPr>
        <w:t xml:space="preserve">outsourcing části ICT služeb a nízký počet ICT pracovníků </w:t>
      </w:r>
      <w:proofErr w:type="spellStart"/>
      <w:r>
        <w:rPr>
          <w:lang w:eastAsia="cs-CZ"/>
        </w:rPr>
        <w:t>MS</w:t>
      </w:r>
      <w:r w:rsidR="00B36C32">
        <w:rPr>
          <w:lang w:eastAsia="cs-CZ"/>
        </w:rPr>
        <w:t>p</w:t>
      </w:r>
      <w:proofErr w:type="spellEnd"/>
      <w:r w:rsidR="00824A9C">
        <w:rPr>
          <w:lang w:eastAsia="cs-CZ"/>
        </w:rPr>
        <w:t xml:space="preserve"> (nefungující správ</w:t>
      </w:r>
      <w:r w:rsidR="00B30C4D">
        <w:rPr>
          <w:lang w:eastAsia="cs-CZ"/>
        </w:rPr>
        <w:t>a</w:t>
      </w:r>
      <w:r w:rsidR="00824A9C">
        <w:rPr>
          <w:lang w:eastAsia="cs-CZ"/>
        </w:rPr>
        <w:t xml:space="preserve"> a</w:t>
      </w:r>
      <w:r w:rsidR="0036416D">
        <w:rPr>
          <w:lang w:eastAsia="cs-CZ"/>
        </w:rPr>
        <w:t> </w:t>
      </w:r>
      <w:r w:rsidR="00824A9C">
        <w:rPr>
          <w:lang w:eastAsia="cs-CZ"/>
        </w:rPr>
        <w:t>údržb</w:t>
      </w:r>
      <w:r w:rsidR="00B30C4D">
        <w:rPr>
          <w:lang w:eastAsia="cs-CZ"/>
        </w:rPr>
        <w:t>a</w:t>
      </w:r>
      <w:r w:rsidR="00824A9C">
        <w:rPr>
          <w:lang w:eastAsia="cs-CZ"/>
        </w:rPr>
        <w:t xml:space="preserve"> ICT)</w:t>
      </w:r>
      <w:r>
        <w:rPr>
          <w:lang w:eastAsia="cs-CZ"/>
        </w:rPr>
        <w:t>.</w:t>
      </w:r>
    </w:p>
    <w:p w14:paraId="2FAC8A20" w14:textId="31DEAB81" w:rsidR="00DE47D3" w:rsidRDefault="00DE47D3" w:rsidP="00DE47D3">
      <w:r>
        <w:t xml:space="preserve">Alespoň jedním </w:t>
      </w:r>
      <w:r w:rsidR="00C870E1">
        <w:t xml:space="preserve">z </w:t>
      </w:r>
      <w:r w:rsidR="00062BFC">
        <w:t>výše uvedený</w:t>
      </w:r>
      <w:r w:rsidR="00C870E1">
        <w:t>ch</w:t>
      </w:r>
      <w:r w:rsidDel="006E1BF4">
        <w:t xml:space="preserve"> </w:t>
      </w:r>
      <w:r>
        <w:t>problém</w:t>
      </w:r>
      <w:r w:rsidR="00C870E1">
        <w:t>ů</w:t>
      </w:r>
      <w:r>
        <w:t xml:space="preserve"> bylo zatíženo 50 z</w:t>
      </w:r>
      <w:r w:rsidR="00B800E6">
        <w:t xml:space="preserve"> </w:t>
      </w:r>
      <w:r>
        <w:t xml:space="preserve">59 provozovaných IS (viz </w:t>
      </w:r>
      <w:r w:rsidR="00C870E1">
        <w:t>p</w:t>
      </w:r>
      <w:r>
        <w:t xml:space="preserve">říloha </w:t>
      </w:r>
      <w:r w:rsidR="00C870E1">
        <w:t xml:space="preserve">č. </w:t>
      </w:r>
      <w:r>
        <w:t xml:space="preserve">2). Na provoz všech IS vynakládalo </w:t>
      </w:r>
      <w:proofErr w:type="spellStart"/>
      <w:r>
        <w:t>MSp</w:t>
      </w:r>
      <w:proofErr w:type="spellEnd"/>
      <w:r>
        <w:t xml:space="preserve"> ročně 167 899</w:t>
      </w:r>
      <w:r w:rsidR="00A76E9B">
        <w:t> </w:t>
      </w:r>
      <w:r>
        <w:t>88</w:t>
      </w:r>
      <w:r w:rsidR="00B4353E">
        <w:t>6</w:t>
      </w:r>
      <w:r w:rsidR="00A76E9B">
        <w:t> </w:t>
      </w:r>
      <w:r>
        <w:t xml:space="preserve">Kč. Nejvyšší podíl těchto výdajů (101 506 399 Kč) vyplácelo </w:t>
      </w:r>
      <w:proofErr w:type="spellStart"/>
      <w:r>
        <w:t>MSp</w:t>
      </w:r>
      <w:proofErr w:type="spellEnd"/>
      <w:r>
        <w:t xml:space="preserve"> jedinému dodavateli na základě </w:t>
      </w:r>
      <w:r w:rsidR="00B66846">
        <w:t xml:space="preserve">jedné </w:t>
      </w:r>
      <w:r>
        <w:t>provozní smlouvy z roku 2010. Tato smlouva se týkala zajištění provozu 19 IS.</w:t>
      </w:r>
    </w:p>
    <w:p w14:paraId="093BC884" w14:textId="327FE75B" w:rsidR="007A21D6" w:rsidRPr="00FB7C2E" w:rsidRDefault="0026210D" w:rsidP="007A21D6">
      <w:pPr>
        <w:rPr>
          <w:b/>
          <w:lang w:eastAsia="cs-CZ"/>
        </w:rPr>
      </w:pP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ve Strategii </w:t>
      </w:r>
      <w:proofErr w:type="spellStart"/>
      <w:r w:rsidR="00BB5CE9">
        <w:rPr>
          <w:lang w:eastAsia="cs-CZ"/>
        </w:rPr>
        <w:t>eJustice</w:t>
      </w:r>
      <w:proofErr w:type="spellEnd"/>
      <w:r>
        <w:rPr>
          <w:lang w:eastAsia="cs-CZ"/>
        </w:rPr>
        <w:t xml:space="preserve"> stanovilo cíle, kterých chtělo do roku 2020 dosáhnout</w:t>
      </w:r>
      <w:r w:rsidR="003618AC">
        <w:rPr>
          <w:lang w:eastAsia="cs-CZ"/>
        </w:rPr>
        <w:t xml:space="preserve"> a </w:t>
      </w:r>
      <w:r w:rsidR="00BA1BA5">
        <w:rPr>
          <w:lang w:eastAsia="cs-CZ"/>
        </w:rPr>
        <w:t>které</w:t>
      </w:r>
      <w:r w:rsidR="003618AC">
        <w:rPr>
          <w:lang w:eastAsia="cs-CZ"/>
        </w:rPr>
        <w:t xml:space="preserve"> měly </w:t>
      </w:r>
      <w:r w:rsidR="009F307A">
        <w:rPr>
          <w:lang w:eastAsia="cs-CZ"/>
        </w:rPr>
        <w:t>výše uvedené problémy</w:t>
      </w:r>
      <w:r w:rsidR="009F307A" w:rsidRPr="009F307A">
        <w:rPr>
          <w:lang w:eastAsia="cs-CZ"/>
        </w:rPr>
        <w:t xml:space="preserve"> </w:t>
      </w:r>
      <w:r w:rsidR="009F307A">
        <w:rPr>
          <w:lang w:eastAsia="cs-CZ"/>
        </w:rPr>
        <w:t>odstranit.</w:t>
      </w:r>
      <w:r w:rsidR="007A21D6" w:rsidRPr="00281E0B">
        <w:rPr>
          <w:lang w:eastAsia="cs-CZ"/>
        </w:rPr>
        <w:t xml:space="preserve"> </w:t>
      </w:r>
      <w:r w:rsidR="003618AC">
        <w:rPr>
          <w:lang w:eastAsia="cs-CZ"/>
        </w:rPr>
        <w:t>P</w:t>
      </w:r>
      <w:r w:rsidR="007A21D6" w:rsidRPr="00281E0B">
        <w:rPr>
          <w:lang w:eastAsia="cs-CZ"/>
        </w:rPr>
        <w:t>ro</w:t>
      </w:r>
      <w:r w:rsidR="00511E38">
        <w:rPr>
          <w:lang w:eastAsia="cs-CZ"/>
        </w:rPr>
        <w:t xml:space="preserve"> </w:t>
      </w:r>
      <w:r w:rsidR="007A21D6" w:rsidRPr="00281E0B">
        <w:rPr>
          <w:lang w:eastAsia="cs-CZ"/>
        </w:rPr>
        <w:t xml:space="preserve">implementaci Strategie </w:t>
      </w:r>
      <w:proofErr w:type="spellStart"/>
      <w:r w:rsidR="00BB5CE9">
        <w:rPr>
          <w:lang w:eastAsia="cs-CZ"/>
        </w:rPr>
        <w:t>eJustice</w:t>
      </w:r>
      <w:proofErr w:type="spellEnd"/>
      <w:r w:rsidR="00BB5CE9">
        <w:rPr>
          <w:lang w:eastAsia="cs-CZ"/>
        </w:rPr>
        <w:t xml:space="preserve"> </w:t>
      </w:r>
      <w:r w:rsidR="007A21D6" w:rsidRPr="00281E0B">
        <w:rPr>
          <w:lang w:eastAsia="cs-CZ"/>
        </w:rPr>
        <w:t xml:space="preserve">zpracovalo </w:t>
      </w:r>
      <w:proofErr w:type="spellStart"/>
      <w:r w:rsidR="00D26CDB">
        <w:rPr>
          <w:lang w:eastAsia="cs-CZ"/>
        </w:rPr>
        <w:t>MSp</w:t>
      </w:r>
      <w:proofErr w:type="spellEnd"/>
      <w:r w:rsidR="00D26CDB" w:rsidRPr="00281E0B">
        <w:rPr>
          <w:lang w:eastAsia="cs-CZ"/>
        </w:rPr>
        <w:t xml:space="preserve"> </w:t>
      </w:r>
      <w:r w:rsidR="00A762BD">
        <w:rPr>
          <w:lang w:eastAsia="cs-CZ"/>
        </w:rPr>
        <w:t>akční</w:t>
      </w:r>
      <w:r w:rsidR="007A21D6">
        <w:rPr>
          <w:lang w:eastAsia="cs-CZ"/>
        </w:rPr>
        <w:t xml:space="preserve"> plán</w:t>
      </w:r>
      <w:r w:rsidR="00A762BD">
        <w:rPr>
          <w:rStyle w:val="Znakapoznpodarou"/>
          <w:lang w:eastAsia="cs-CZ"/>
        </w:rPr>
        <w:footnoteReference w:id="7"/>
      </w:r>
      <w:r w:rsidR="007A21D6" w:rsidRPr="00281E0B">
        <w:rPr>
          <w:lang w:eastAsia="cs-CZ"/>
        </w:rPr>
        <w:t>, který uváděl základní popis</w:t>
      </w:r>
      <w:r w:rsidR="00D26CDB">
        <w:rPr>
          <w:lang w:eastAsia="cs-CZ"/>
        </w:rPr>
        <w:t>y</w:t>
      </w:r>
      <w:r w:rsidR="007A21D6" w:rsidRPr="00281E0B">
        <w:rPr>
          <w:lang w:eastAsia="cs-CZ"/>
        </w:rPr>
        <w:t xml:space="preserve"> jednotlivých specifických cílů, jejich přínosů a rizik </w:t>
      </w:r>
      <w:r w:rsidR="00D26CDB">
        <w:rPr>
          <w:lang w:eastAsia="cs-CZ"/>
        </w:rPr>
        <w:t>spojen</w:t>
      </w:r>
      <w:r w:rsidR="00511E38">
        <w:rPr>
          <w:lang w:eastAsia="cs-CZ"/>
        </w:rPr>
        <w:t>ých</w:t>
      </w:r>
      <w:r w:rsidR="00D26CDB">
        <w:rPr>
          <w:lang w:eastAsia="cs-CZ"/>
        </w:rPr>
        <w:t xml:space="preserve"> </w:t>
      </w:r>
      <w:r w:rsidR="007A21D6" w:rsidRPr="00281E0B">
        <w:rPr>
          <w:lang w:eastAsia="cs-CZ"/>
        </w:rPr>
        <w:t>s</w:t>
      </w:r>
      <w:r w:rsidR="00E2460F">
        <w:rPr>
          <w:lang w:eastAsia="cs-CZ"/>
        </w:rPr>
        <w:t xml:space="preserve"> </w:t>
      </w:r>
      <w:r w:rsidR="007A21D6" w:rsidRPr="00281E0B">
        <w:rPr>
          <w:lang w:eastAsia="cs-CZ"/>
        </w:rPr>
        <w:t xml:space="preserve">jejich realizací. Ke každému specifickému cíli uvedlo minimálně jednu aktivitu </w:t>
      </w:r>
      <w:r w:rsidR="00A82034">
        <w:rPr>
          <w:lang w:eastAsia="cs-CZ"/>
        </w:rPr>
        <w:br/>
      </w:r>
      <w:r w:rsidR="007A21D6" w:rsidRPr="00281E0B">
        <w:rPr>
          <w:lang w:eastAsia="cs-CZ"/>
        </w:rPr>
        <w:t>k</w:t>
      </w:r>
      <w:r w:rsidR="00A82034">
        <w:rPr>
          <w:lang w:eastAsia="cs-CZ"/>
        </w:rPr>
        <w:t xml:space="preserve"> </w:t>
      </w:r>
      <w:r w:rsidR="007A21D6" w:rsidRPr="00281E0B">
        <w:rPr>
          <w:lang w:eastAsia="cs-CZ"/>
        </w:rPr>
        <w:t xml:space="preserve">jeho naplnění. </w:t>
      </w:r>
      <w:r w:rsidR="00A762BD">
        <w:rPr>
          <w:lang w:eastAsia="cs-CZ"/>
        </w:rPr>
        <w:t>Jednotlivé aktivity</w:t>
      </w:r>
      <w:r w:rsidR="007A21D6" w:rsidRPr="00281E0B">
        <w:rPr>
          <w:lang w:eastAsia="cs-CZ"/>
        </w:rPr>
        <w:t xml:space="preserve"> chronologicky rozřadilo do jednotlivých let účinnosti Strategie</w:t>
      </w:r>
      <w:r w:rsidR="00BB5CE9">
        <w:rPr>
          <w:lang w:eastAsia="cs-CZ"/>
        </w:rPr>
        <w:t xml:space="preserve"> </w:t>
      </w:r>
      <w:proofErr w:type="spellStart"/>
      <w:r w:rsidR="00BB5CE9">
        <w:rPr>
          <w:lang w:eastAsia="cs-CZ"/>
        </w:rPr>
        <w:t>eJustice</w:t>
      </w:r>
      <w:proofErr w:type="spellEnd"/>
      <w:r w:rsidR="007A21D6" w:rsidRPr="00281E0B">
        <w:rPr>
          <w:lang w:eastAsia="cs-CZ"/>
        </w:rPr>
        <w:t xml:space="preserve">. Postupy monitorování a vyhodnocování, hlavní fáze realizace a zdroje financování stanovilo </w:t>
      </w:r>
      <w:proofErr w:type="spellStart"/>
      <w:r w:rsidR="00D26CDB" w:rsidRPr="00281E0B">
        <w:rPr>
          <w:lang w:eastAsia="cs-CZ"/>
        </w:rPr>
        <w:t>MSp</w:t>
      </w:r>
      <w:proofErr w:type="spellEnd"/>
      <w:r w:rsidR="00D26CDB" w:rsidRPr="00281E0B">
        <w:rPr>
          <w:lang w:eastAsia="cs-CZ"/>
        </w:rPr>
        <w:t xml:space="preserve"> </w:t>
      </w:r>
      <w:r w:rsidR="007A21D6" w:rsidRPr="00281E0B">
        <w:rPr>
          <w:lang w:eastAsia="cs-CZ"/>
        </w:rPr>
        <w:t>již v samotné Strategii</w:t>
      </w:r>
      <w:r w:rsidR="00BB5CE9">
        <w:rPr>
          <w:lang w:eastAsia="cs-CZ"/>
        </w:rPr>
        <w:t xml:space="preserve"> </w:t>
      </w:r>
      <w:proofErr w:type="spellStart"/>
      <w:r w:rsidR="00BB5CE9">
        <w:rPr>
          <w:lang w:eastAsia="cs-CZ"/>
        </w:rPr>
        <w:t>eJustice</w:t>
      </w:r>
      <w:proofErr w:type="spellEnd"/>
      <w:r w:rsidR="007A21D6" w:rsidRPr="00281E0B">
        <w:rPr>
          <w:lang w:eastAsia="cs-CZ"/>
        </w:rPr>
        <w:t xml:space="preserve">. </w:t>
      </w:r>
      <w:proofErr w:type="spellStart"/>
      <w:r w:rsidR="007A21D6" w:rsidRPr="00281E0B">
        <w:rPr>
          <w:lang w:eastAsia="cs-CZ"/>
        </w:rPr>
        <w:t>MSp</w:t>
      </w:r>
      <w:proofErr w:type="spellEnd"/>
      <w:r w:rsidR="007A21D6" w:rsidRPr="00281E0B">
        <w:rPr>
          <w:lang w:eastAsia="cs-CZ"/>
        </w:rPr>
        <w:t xml:space="preserve"> však v </w:t>
      </w:r>
      <w:r w:rsidR="00A762BD">
        <w:rPr>
          <w:lang w:eastAsia="cs-CZ"/>
        </w:rPr>
        <w:t>a</w:t>
      </w:r>
      <w:r w:rsidR="007A21D6" w:rsidRPr="00281E0B">
        <w:rPr>
          <w:lang w:eastAsia="cs-CZ"/>
        </w:rPr>
        <w:t xml:space="preserve">kčním plánu ani ve Strategii </w:t>
      </w:r>
      <w:proofErr w:type="spellStart"/>
      <w:r w:rsidR="00BB5CE9">
        <w:rPr>
          <w:lang w:eastAsia="cs-CZ"/>
        </w:rPr>
        <w:t>eJustice</w:t>
      </w:r>
      <w:proofErr w:type="spellEnd"/>
      <w:r w:rsidR="007A21D6" w:rsidRPr="00281E0B">
        <w:rPr>
          <w:lang w:eastAsia="cs-CZ"/>
        </w:rPr>
        <w:t xml:space="preserve"> neuvedlo </w:t>
      </w:r>
      <w:r w:rsidR="00B66846">
        <w:rPr>
          <w:lang w:eastAsia="cs-CZ"/>
        </w:rPr>
        <w:t>k žádné</w:t>
      </w:r>
      <w:r w:rsidR="007A21D6" w:rsidRPr="00281E0B">
        <w:rPr>
          <w:lang w:eastAsia="cs-CZ"/>
        </w:rPr>
        <w:t xml:space="preserve"> aktivitě její časovou náročnost a odpovědné subjekty, nestanovilo rozpočet implementace či jiný plán financování a nevytvořilo odhad nákladů na realizaci jednotlivých aktivit. </w:t>
      </w:r>
      <w:proofErr w:type="spellStart"/>
      <w:r w:rsidR="007A21D6" w:rsidRPr="00281E0B">
        <w:rPr>
          <w:lang w:eastAsia="cs-CZ"/>
        </w:rPr>
        <w:t>MSp</w:t>
      </w:r>
      <w:proofErr w:type="spellEnd"/>
      <w:r w:rsidR="007A21D6" w:rsidRPr="00281E0B">
        <w:rPr>
          <w:lang w:eastAsia="cs-CZ"/>
        </w:rPr>
        <w:t xml:space="preserve"> sice určilo nositele a gestora Strategie</w:t>
      </w:r>
      <w:r w:rsidR="00BB5CE9">
        <w:rPr>
          <w:lang w:eastAsia="cs-CZ"/>
        </w:rPr>
        <w:t xml:space="preserve"> </w:t>
      </w:r>
      <w:proofErr w:type="spellStart"/>
      <w:r w:rsidR="00BB5CE9">
        <w:rPr>
          <w:lang w:eastAsia="cs-CZ"/>
        </w:rPr>
        <w:t>eJustice</w:t>
      </w:r>
      <w:proofErr w:type="spellEnd"/>
      <w:r w:rsidR="007A21D6" w:rsidRPr="00281E0B">
        <w:rPr>
          <w:lang w:eastAsia="cs-CZ"/>
        </w:rPr>
        <w:t>, ale nestanovilo řídicí struktury implementace, role a odpovědnosti subjektů zapojených do její implementace, pravidla a procesy implementace a postupy řízení rizik.</w:t>
      </w:r>
      <w:r w:rsidR="00FB7C2E">
        <w:rPr>
          <w:b/>
          <w:lang w:eastAsia="cs-CZ"/>
        </w:rPr>
        <w:t xml:space="preserve"> </w:t>
      </w:r>
      <w:proofErr w:type="spellStart"/>
      <w:r w:rsidR="007A21D6" w:rsidRPr="00281E0B">
        <w:rPr>
          <w:lang w:eastAsia="cs-CZ"/>
        </w:rPr>
        <w:t>MSp</w:t>
      </w:r>
      <w:proofErr w:type="spellEnd"/>
      <w:r w:rsidR="007A21D6" w:rsidRPr="00281E0B">
        <w:rPr>
          <w:lang w:eastAsia="cs-CZ"/>
        </w:rPr>
        <w:t xml:space="preserve"> </w:t>
      </w:r>
      <w:r w:rsidR="00A762BD">
        <w:rPr>
          <w:lang w:eastAsia="cs-CZ"/>
        </w:rPr>
        <w:t>a</w:t>
      </w:r>
      <w:r w:rsidR="007A21D6" w:rsidRPr="00281E0B">
        <w:rPr>
          <w:lang w:eastAsia="cs-CZ"/>
        </w:rPr>
        <w:t>kční plán zpracovalo až v roce 2017</w:t>
      </w:r>
      <w:r w:rsidR="0018590A">
        <w:rPr>
          <w:lang w:eastAsia="cs-CZ"/>
        </w:rPr>
        <w:t>, do doby ukončení kontroly NKÚ jej však neschválilo</w:t>
      </w:r>
      <w:r w:rsidR="00C9527C">
        <w:rPr>
          <w:lang w:eastAsia="cs-CZ"/>
        </w:rPr>
        <w:t xml:space="preserve">. </w:t>
      </w:r>
      <w:r w:rsidR="00811212">
        <w:rPr>
          <w:lang w:eastAsia="cs-CZ"/>
        </w:rPr>
        <w:t>Uvedeným</w:t>
      </w:r>
      <w:r w:rsidR="00D26CDB">
        <w:rPr>
          <w:lang w:eastAsia="cs-CZ"/>
        </w:rPr>
        <w:t>i kroky postupovalo</w:t>
      </w:r>
      <w:r w:rsidR="00811212">
        <w:rPr>
          <w:lang w:eastAsia="cs-CZ"/>
        </w:rPr>
        <w:t xml:space="preserve"> </w:t>
      </w:r>
      <w:proofErr w:type="spellStart"/>
      <w:r w:rsidR="00811212">
        <w:rPr>
          <w:lang w:eastAsia="cs-CZ"/>
        </w:rPr>
        <w:t>MSp</w:t>
      </w:r>
      <w:proofErr w:type="spellEnd"/>
      <w:r w:rsidR="00811212">
        <w:rPr>
          <w:lang w:eastAsia="cs-CZ"/>
        </w:rPr>
        <w:t xml:space="preserve"> v</w:t>
      </w:r>
      <w:r w:rsidR="00A82034">
        <w:rPr>
          <w:lang w:eastAsia="cs-CZ"/>
        </w:rPr>
        <w:t xml:space="preserve"> </w:t>
      </w:r>
      <w:r w:rsidR="00811212">
        <w:rPr>
          <w:lang w:eastAsia="cs-CZ"/>
        </w:rPr>
        <w:t>rozporu s</w:t>
      </w:r>
      <w:r w:rsidR="00A82034">
        <w:rPr>
          <w:lang w:eastAsia="cs-CZ"/>
        </w:rPr>
        <w:t xml:space="preserve"> </w:t>
      </w:r>
      <w:r w:rsidR="00811212" w:rsidRPr="006E1BF4">
        <w:rPr>
          <w:i/>
          <w:lang w:eastAsia="cs-CZ"/>
        </w:rPr>
        <w:t>Metodikou přípravy veřejných strategií</w:t>
      </w:r>
      <w:r w:rsidR="006E1BF4">
        <w:rPr>
          <w:rStyle w:val="Znakapoznpodarou"/>
          <w:lang w:eastAsia="cs-CZ"/>
        </w:rPr>
        <w:footnoteReference w:id="8"/>
      </w:r>
      <w:r w:rsidR="00811212">
        <w:rPr>
          <w:lang w:eastAsia="cs-CZ"/>
        </w:rPr>
        <w:t xml:space="preserve"> </w:t>
      </w:r>
      <w:r w:rsidR="00B964EA">
        <w:rPr>
          <w:lang w:eastAsia="cs-CZ"/>
        </w:rPr>
        <w:t xml:space="preserve">i se Strategií </w:t>
      </w:r>
      <w:proofErr w:type="spellStart"/>
      <w:r w:rsidR="00B964EA">
        <w:rPr>
          <w:lang w:eastAsia="cs-CZ"/>
        </w:rPr>
        <w:t>eJustice</w:t>
      </w:r>
      <w:proofErr w:type="spellEnd"/>
      <w:r w:rsidR="00B964EA">
        <w:rPr>
          <w:lang w:eastAsia="cs-CZ"/>
        </w:rPr>
        <w:t xml:space="preserve"> a</w:t>
      </w:r>
      <w:r w:rsidR="00044D1A">
        <w:rPr>
          <w:lang w:eastAsia="cs-CZ"/>
        </w:rPr>
        <w:t> </w:t>
      </w:r>
      <w:r w:rsidR="00B964EA">
        <w:rPr>
          <w:lang w:eastAsia="cs-CZ"/>
        </w:rPr>
        <w:t>nesplnilo úkol daný usnesením vlády ze dne 8. </w:t>
      </w:r>
      <w:r w:rsidR="00B66846">
        <w:rPr>
          <w:lang w:eastAsia="cs-CZ"/>
        </w:rPr>
        <w:t>června</w:t>
      </w:r>
      <w:r w:rsidR="00B964EA">
        <w:rPr>
          <w:lang w:eastAsia="cs-CZ"/>
        </w:rPr>
        <w:t> 2016 č. 505.</w:t>
      </w:r>
    </w:p>
    <w:p w14:paraId="616E7BC3" w14:textId="505D7234" w:rsidR="007A21D6" w:rsidRPr="00281E0B" w:rsidRDefault="007A21D6" w:rsidP="007A21D6">
      <w:proofErr w:type="spellStart"/>
      <w:r w:rsidRPr="00281E0B">
        <w:t>MSp</w:t>
      </w:r>
      <w:proofErr w:type="spellEnd"/>
      <w:r w:rsidRPr="00281E0B">
        <w:t xml:space="preserve"> </w:t>
      </w:r>
      <w:r w:rsidR="00D26CDB">
        <w:t>vy</w:t>
      </w:r>
      <w:r w:rsidRPr="00281E0B">
        <w:t>pracovalo pouze jedno víceleté hodnocení realizace Strategie</w:t>
      </w:r>
      <w:r w:rsidR="00BB5CE9">
        <w:t xml:space="preserve"> </w:t>
      </w:r>
      <w:proofErr w:type="spellStart"/>
      <w:r w:rsidR="00BB5CE9">
        <w:t>eJustice</w:t>
      </w:r>
      <w:proofErr w:type="spellEnd"/>
      <w:r w:rsidRPr="00281E0B">
        <w:t>, a to v</w:t>
      </w:r>
      <w:r w:rsidR="00A82034">
        <w:t xml:space="preserve"> </w:t>
      </w:r>
      <w:r w:rsidRPr="00281E0B">
        <w:t>roce 2017</w:t>
      </w:r>
      <w:r w:rsidR="00BB5CE9">
        <w:rPr>
          <w:rStyle w:val="Znakapoznpodarou"/>
        </w:rPr>
        <w:footnoteReference w:id="9"/>
      </w:r>
      <w:r w:rsidR="007A07F2">
        <w:t>.</w:t>
      </w:r>
      <w:r w:rsidR="00C9527C">
        <w:t xml:space="preserve"> Toto hodnocení však</w:t>
      </w:r>
      <w:r w:rsidRPr="00281E0B">
        <w:t xml:space="preserve"> </w:t>
      </w:r>
      <w:r w:rsidR="00BD41D0">
        <w:t>neschválilo.</w:t>
      </w:r>
      <w:r w:rsidRPr="00281E0B">
        <w:t xml:space="preserve"> Průběžný monitoring stavu implementace Strategie </w:t>
      </w:r>
      <w:proofErr w:type="spellStart"/>
      <w:r w:rsidR="00BB5CE9">
        <w:t>eJustice</w:t>
      </w:r>
      <w:proofErr w:type="spellEnd"/>
      <w:r w:rsidR="00BB5CE9">
        <w:t xml:space="preserve"> </w:t>
      </w:r>
      <w:proofErr w:type="spellStart"/>
      <w:r w:rsidRPr="00281E0B">
        <w:t>MSp</w:t>
      </w:r>
      <w:proofErr w:type="spellEnd"/>
      <w:r w:rsidRPr="00281E0B">
        <w:t xml:space="preserve"> ve čtvrtletních intervalech neprovádělo, roční zprávy o vývoji </w:t>
      </w:r>
      <w:proofErr w:type="spellStart"/>
      <w:r w:rsidRPr="00281E0B">
        <w:t>eJustice</w:t>
      </w:r>
      <w:proofErr w:type="spellEnd"/>
      <w:r w:rsidRPr="00281E0B">
        <w:t xml:space="preserve"> nezpracovávalo.</w:t>
      </w:r>
      <w:r w:rsidR="0067077B">
        <w:t xml:space="preserve"> Závěrečné vyhodnocení </w:t>
      </w:r>
      <w:r w:rsidR="00BB5CE9">
        <w:t xml:space="preserve">plnění </w:t>
      </w:r>
      <w:r w:rsidR="00121C7E">
        <w:t xml:space="preserve">Strategie </w:t>
      </w:r>
      <w:proofErr w:type="spellStart"/>
      <w:r w:rsidR="00121C7E">
        <w:t>eJustice</w:t>
      </w:r>
      <w:proofErr w:type="spellEnd"/>
      <w:r w:rsidR="00121C7E">
        <w:t xml:space="preserve"> </w:t>
      </w:r>
      <w:r w:rsidR="0067077B">
        <w:t>v</w:t>
      </w:r>
      <w:r w:rsidR="00A82034">
        <w:t xml:space="preserve"> </w:t>
      </w:r>
      <w:r w:rsidR="0067077B">
        <w:t xml:space="preserve">době kontroly </w:t>
      </w:r>
      <w:r w:rsidR="007B0AF8">
        <w:t xml:space="preserve">NKÚ </w:t>
      </w:r>
      <w:r w:rsidR="00D26CDB">
        <w:t xml:space="preserve">Ministerstvo spravedlnosti </w:t>
      </w:r>
      <w:r w:rsidR="0067077B">
        <w:t>zpracovávalo.</w:t>
      </w:r>
      <w:r w:rsidR="00B964EA">
        <w:t xml:space="preserve"> Uvedeným</w:t>
      </w:r>
      <w:r w:rsidR="00B66846">
        <w:t xml:space="preserve"> jednáním</w:t>
      </w:r>
      <w:r w:rsidR="00B964EA">
        <w:t xml:space="preserve"> postupovalo </w:t>
      </w:r>
      <w:proofErr w:type="spellStart"/>
      <w:r w:rsidR="00D26CDB">
        <w:t>MSp</w:t>
      </w:r>
      <w:proofErr w:type="spellEnd"/>
      <w:r w:rsidR="00D26CDB">
        <w:t xml:space="preserve"> </w:t>
      </w:r>
      <w:r w:rsidR="00B964EA">
        <w:t xml:space="preserve">v rozporu s plánem monitoringu stanoveným ve Strategii </w:t>
      </w:r>
      <w:proofErr w:type="spellStart"/>
      <w:r w:rsidR="00B964EA">
        <w:t>eJustice</w:t>
      </w:r>
      <w:proofErr w:type="spellEnd"/>
      <w:r w:rsidR="00B964EA">
        <w:t xml:space="preserve"> a nesplnilo úkol daný usnesením vlády ze dne 8. </w:t>
      </w:r>
      <w:r w:rsidR="002D5519">
        <w:t>června</w:t>
      </w:r>
      <w:r w:rsidR="00B964EA">
        <w:t> 2016 č.</w:t>
      </w:r>
      <w:r w:rsidR="00121C7E">
        <w:t> </w:t>
      </w:r>
      <w:r w:rsidR="00B964EA">
        <w:t>505.</w:t>
      </w:r>
    </w:p>
    <w:p w14:paraId="0FA8AADE" w14:textId="35F6FC0A" w:rsidR="00823921" w:rsidRDefault="002D5519" w:rsidP="00605D8C">
      <w:bookmarkStart w:id="2" w:name="_Hlk114484536"/>
      <w:r>
        <w:t xml:space="preserve">Přestože </w:t>
      </w:r>
      <w:proofErr w:type="spellStart"/>
      <w:r w:rsidR="007A21D6" w:rsidRPr="00281E0B">
        <w:t>MSp</w:t>
      </w:r>
      <w:proofErr w:type="spellEnd"/>
      <w:r w:rsidR="007A21D6" w:rsidRPr="00281E0B">
        <w:t xml:space="preserve"> vynaložilo na realizaci Strategie </w:t>
      </w:r>
      <w:proofErr w:type="spellStart"/>
      <w:r w:rsidR="00BB5CE9">
        <w:t>eJustice</w:t>
      </w:r>
      <w:proofErr w:type="spellEnd"/>
      <w:r w:rsidR="00BB5CE9">
        <w:t xml:space="preserve"> </w:t>
      </w:r>
      <w:r w:rsidR="007A21D6" w:rsidRPr="00281E0B">
        <w:t>k 7. 4. 2022 celkem 331 508 680 Kč</w:t>
      </w:r>
      <w:r>
        <w:t>, p</w:t>
      </w:r>
      <w:r w:rsidR="007F51EF">
        <w:t>odařilo se mu naplnit pouze dva</w:t>
      </w:r>
      <w:r w:rsidR="007F51EF" w:rsidRPr="00281E0B">
        <w:t xml:space="preserve"> specifické cíle z celkových </w:t>
      </w:r>
      <w:r w:rsidR="00D26CDB">
        <w:t>dvaceti</w:t>
      </w:r>
      <w:r w:rsidR="007F51EF" w:rsidRPr="00281E0B">
        <w:t>.</w:t>
      </w:r>
      <w:r w:rsidR="00752435">
        <w:t xml:space="preserve"> </w:t>
      </w:r>
      <w:proofErr w:type="spellStart"/>
      <w:r w:rsidR="00752435">
        <w:t>MSp</w:t>
      </w:r>
      <w:proofErr w:type="spellEnd"/>
      <w:r w:rsidR="00752435">
        <w:t xml:space="preserve"> zavedlo </w:t>
      </w:r>
      <w:r w:rsidR="00515F1F">
        <w:t>„</w:t>
      </w:r>
      <w:r w:rsidR="004A175F" w:rsidRPr="00494975">
        <w:rPr>
          <w:i/>
        </w:rPr>
        <w:t>automatický generátor náhodného přidělení nápadu mezi příslušné soudce</w:t>
      </w:r>
      <w:r w:rsidR="00515F1F">
        <w:t>“</w:t>
      </w:r>
      <w:r w:rsidR="004A175F">
        <w:t xml:space="preserve"> a zajistilo </w:t>
      </w:r>
      <w:r w:rsidR="00515F1F">
        <w:t>„</w:t>
      </w:r>
      <w:r w:rsidR="004A175F" w:rsidRPr="00494975">
        <w:rPr>
          <w:i/>
        </w:rPr>
        <w:t>poskytování informací o</w:t>
      </w:r>
      <w:r w:rsidR="00A27B72">
        <w:rPr>
          <w:i/>
        </w:rPr>
        <w:t xml:space="preserve"> </w:t>
      </w:r>
      <w:r w:rsidR="004A175F" w:rsidRPr="00494975">
        <w:rPr>
          <w:i/>
        </w:rPr>
        <w:t>rozhodování soudů</w:t>
      </w:r>
      <w:r w:rsidR="00515F1F">
        <w:t>“</w:t>
      </w:r>
      <w:r w:rsidR="004A175F">
        <w:t>.</w:t>
      </w:r>
      <w:r w:rsidR="007F51EF">
        <w:t xml:space="preserve"> </w:t>
      </w:r>
      <w:r w:rsidR="00742060">
        <w:t>Z</w:t>
      </w:r>
      <w:r w:rsidR="007A21D6" w:rsidRPr="00281E0B">
        <w:t xml:space="preserve"> celkového počtu 37 </w:t>
      </w:r>
      <w:r w:rsidR="00AB58AE">
        <w:t xml:space="preserve">plánovaných </w:t>
      </w:r>
      <w:r w:rsidR="007A21D6" w:rsidRPr="00281E0B">
        <w:t xml:space="preserve">aktivit splnilo </w:t>
      </w:r>
      <w:proofErr w:type="spellStart"/>
      <w:r w:rsidR="00D26CDB" w:rsidRPr="00281E0B">
        <w:t>MSp</w:t>
      </w:r>
      <w:proofErr w:type="spellEnd"/>
      <w:r w:rsidR="00D26CDB" w:rsidRPr="00281E0B">
        <w:t xml:space="preserve"> </w:t>
      </w:r>
      <w:r w:rsidR="007A21D6" w:rsidRPr="00281E0B">
        <w:t xml:space="preserve">pouze </w:t>
      </w:r>
      <w:r w:rsidR="00D26CDB">
        <w:t>osm</w:t>
      </w:r>
      <w:r w:rsidR="00AB58AE">
        <w:t xml:space="preserve">. </w:t>
      </w:r>
      <w:r w:rsidR="00801C62">
        <w:t>Přehled s</w:t>
      </w:r>
      <w:r w:rsidR="00006F67">
        <w:t>plněn</w:t>
      </w:r>
      <w:r w:rsidR="00801C62">
        <w:t>ých</w:t>
      </w:r>
      <w:r w:rsidR="00006F67">
        <w:t xml:space="preserve"> aktivit včetně vynaložených </w:t>
      </w:r>
      <w:r w:rsidR="00605D8C">
        <w:t>peněžních prostředků</w:t>
      </w:r>
      <w:r w:rsidR="00006F67">
        <w:t xml:space="preserve"> </w:t>
      </w:r>
      <w:r w:rsidR="00801C62">
        <w:lastRenderedPageBreak/>
        <w:t>je</w:t>
      </w:r>
      <w:r w:rsidR="00006F67">
        <w:t xml:space="preserve"> uveden</w:t>
      </w:r>
      <w:r w:rsidR="00801C62">
        <w:t xml:space="preserve"> v</w:t>
      </w:r>
      <w:r w:rsidR="00685AD0">
        <w:t> </w:t>
      </w:r>
      <w:r w:rsidR="00006F67">
        <w:t>tabulce</w:t>
      </w:r>
      <w:r w:rsidR="00605D8C">
        <w:t xml:space="preserve"> </w:t>
      </w:r>
      <w:r w:rsidR="00A27B72">
        <w:t>č. </w:t>
      </w:r>
      <w:r w:rsidR="00605D8C">
        <w:t>1</w:t>
      </w:r>
      <w:r w:rsidR="00006F67">
        <w:t>.</w:t>
      </w:r>
      <w:r w:rsidR="00605D8C">
        <w:t xml:space="preserve"> </w:t>
      </w:r>
      <w:r w:rsidR="004A175F">
        <w:t xml:space="preserve">Na většinu dokončených aktivit však mají navazovat </w:t>
      </w:r>
      <w:r w:rsidR="00A76E9B">
        <w:t>jiné</w:t>
      </w:r>
      <w:r w:rsidR="00D00B59">
        <w:t>,</w:t>
      </w:r>
      <w:r w:rsidR="004326F9">
        <w:t xml:space="preserve"> dosud nezrealizované</w:t>
      </w:r>
      <w:r w:rsidR="00515F1F">
        <w:t>,</w:t>
      </w:r>
      <w:r w:rsidR="004A175F">
        <w:t xml:space="preserve"> </w:t>
      </w:r>
      <w:r w:rsidR="00515F1F">
        <w:t>b</w:t>
      </w:r>
      <w:r w:rsidR="004A175F">
        <w:t>ez</w:t>
      </w:r>
      <w:r w:rsidR="00D00B59">
        <w:t xml:space="preserve"> nichž</w:t>
      </w:r>
      <w:r w:rsidR="004A175F">
        <w:t xml:space="preserve"> nemůže </w:t>
      </w:r>
      <w:proofErr w:type="spellStart"/>
      <w:r w:rsidR="004A175F">
        <w:t>MSp</w:t>
      </w:r>
      <w:proofErr w:type="spellEnd"/>
      <w:r w:rsidR="004A175F">
        <w:t xml:space="preserve"> příslušné specifické cíle </w:t>
      </w:r>
      <w:r w:rsidR="00494975">
        <w:t xml:space="preserve">naplnit </w:t>
      </w:r>
      <w:r w:rsidR="004A175F">
        <w:t xml:space="preserve">(viz </w:t>
      </w:r>
      <w:r w:rsidR="00A27B72">
        <w:t>p</w:t>
      </w:r>
      <w:r w:rsidR="004A175F">
        <w:t xml:space="preserve">říloha </w:t>
      </w:r>
      <w:r w:rsidR="00A27B72">
        <w:t xml:space="preserve">č. </w:t>
      </w:r>
      <w:r w:rsidR="004A175F">
        <w:t>1).</w:t>
      </w:r>
    </w:p>
    <w:p w14:paraId="54AFB507" w14:textId="70B3168F" w:rsidR="00006F67" w:rsidRPr="00006F67" w:rsidRDefault="00006F67" w:rsidP="00006F67">
      <w:pPr>
        <w:pStyle w:val="Titulek"/>
        <w:keepNext/>
        <w:spacing w:after="0"/>
        <w:rPr>
          <w:b/>
          <w:i w:val="0"/>
          <w:color w:val="000000" w:themeColor="text1"/>
          <w:sz w:val="24"/>
          <w:szCs w:val="24"/>
        </w:rPr>
      </w:pPr>
      <w:r w:rsidRPr="00006F67">
        <w:rPr>
          <w:b/>
          <w:i w:val="0"/>
          <w:color w:val="000000" w:themeColor="text1"/>
          <w:sz w:val="24"/>
          <w:szCs w:val="24"/>
        </w:rPr>
        <w:t>Tabulka</w:t>
      </w:r>
      <w:r w:rsidR="00A27B72">
        <w:rPr>
          <w:b/>
          <w:i w:val="0"/>
          <w:color w:val="000000" w:themeColor="text1"/>
          <w:sz w:val="24"/>
          <w:szCs w:val="24"/>
        </w:rPr>
        <w:t xml:space="preserve"> č.</w:t>
      </w:r>
      <w:r w:rsidRPr="00006F67">
        <w:rPr>
          <w:b/>
          <w:i w:val="0"/>
          <w:color w:val="000000" w:themeColor="text1"/>
          <w:sz w:val="24"/>
          <w:szCs w:val="24"/>
        </w:rPr>
        <w:t xml:space="preserve"> </w:t>
      </w:r>
      <w:r w:rsidRPr="00006F67">
        <w:rPr>
          <w:b/>
          <w:i w:val="0"/>
          <w:color w:val="000000" w:themeColor="text1"/>
          <w:sz w:val="24"/>
          <w:szCs w:val="24"/>
        </w:rPr>
        <w:fldChar w:fldCharType="begin"/>
      </w:r>
      <w:r w:rsidRPr="00006F67">
        <w:rPr>
          <w:b/>
          <w:i w:val="0"/>
          <w:color w:val="000000" w:themeColor="text1"/>
          <w:sz w:val="24"/>
          <w:szCs w:val="24"/>
        </w:rPr>
        <w:instrText xml:space="preserve"> SEQ Tabulka \* ARABIC </w:instrText>
      </w:r>
      <w:r w:rsidRPr="00006F67">
        <w:rPr>
          <w:b/>
          <w:i w:val="0"/>
          <w:color w:val="000000" w:themeColor="text1"/>
          <w:sz w:val="24"/>
          <w:szCs w:val="24"/>
        </w:rPr>
        <w:fldChar w:fldCharType="separate"/>
      </w:r>
      <w:r w:rsidR="00540BE5">
        <w:rPr>
          <w:b/>
          <w:i w:val="0"/>
          <w:noProof/>
          <w:color w:val="000000" w:themeColor="text1"/>
          <w:sz w:val="24"/>
          <w:szCs w:val="24"/>
        </w:rPr>
        <w:t>1</w:t>
      </w:r>
      <w:r w:rsidRPr="00006F67">
        <w:rPr>
          <w:b/>
          <w:i w:val="0"/>
          <w:color w:val="000000" w:themeColor="text1"/>
          <w:sz w:val="24"/>
          <w:szCs w:val="24"/>
        </w:rPr>
        <w:fldChar w:fldCharType="end"/>
      </w:r>
      <w:r w:rsidRPr="00006F67">
        <w:rPr>
          <w:b/>
          <w:i w:val="0"/>
          <w:color w:val="000000" w:themeColor="text1"/>
          <w:sz w:val="24"/>
          <w:szCs w:val="24"/>
        </w:rPr>
        <w:t xml:space="preserve">: Splněné aktivity Strategie </w:t>
      </w:r>
      <w:proofErr w:type="spellStart"/>
      <w:r w:rsidRPr="00006F67">
        <w:rPr>
          <w:b/>
          <w:i w:val="0"/>
          <w:color w:val="000000" w:themeColor="text1"/>
          <w:sz w:val="24"/>
          <w:szCs w:val="24"/>
        </w:rPr>
        <w:t>eJustice</w:t>
      </w:r>
      <w:proofErr w:type="spellEnd"/>
    </w:p>
    <w:tbl>
      <w:tblPr>
        <w:tblStyle w:val="Mkatabulky"/>
        <w:tblW w:w="4912" w:type="pct"/>
        <w:tblInd w:w="108" w:type="dxa"/>
        <w:tblLook w:val="04A0" w:firstRow="1" w:lastRow="0" w:firstColumn="1" w:lastColumn="0" w:noHBand="0" w:noVBand="1"/>
      </w:tblPr>
      <w:tblGrid>
        <w:gridCol w:w="7707"/>
        <w:gridCol w:w="1418"/>
      </w:tblGrid>
      <w:tr w:rsidR="00006F67" w:rsidRPr="00006F67" w14:paraId="4F1F9083" w14:textId="77777777" w:rsidTr="00317D87">
        <w:trPr>
          <w:trHeight w:val="340"/>
        </w:trPr>
        <w:tc>
          <w:tcPr>
            <w:tcW w:w="4223" w:type="pct"/>
            <w:shd w:val="clear" w:color="auto" w:fill="E5F1FF"/>
            <w:vAlign w:val="center"/>
          </w:tcPr>
          <w:p w14:paraId="73C0B817" w14:textId="77777777" w:rsidR="00006F67" w:rsidRPr="00006F67" w:rsidRDefault="00006F67" w:rsidP="00CF5C72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006F67">
              <w:rPr>
                <w:b/>
                <w:sz w:val="20"/>
                <w:szCs w:val="20"/>
              </w:rPr>
              <w:t>Aktivita</w:t>
            </w:r>
          </w:p>
        </w:tc>
        <w:tc>
          <w:tcPr>
            <w:tcW w:w="777" w:type="pct"/>
            <w:shd w:val="clear" w:color="auto" w:fill="E5F1FF"/>
            <w:vAlign w:val="center"/>
          </w:tcPr>
          <w:p w14:paraId="43632F6F" w14:textId="77777777" w:rsidR="00006F67" w:rsidRPr="00006F67" w:rsidRDefault="00006F67" w:rsidP="00CF5C72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006F67">
              <w:rPr>
                <w:b/>
                <w:sz w:val="20"/>
                <w:szCs w:val="20"/>
              </w:rPr>
              <w:t>Výdaje</w:t>
            </w:r>
            <w:r w:rsidR="00605D8C">
              <w:rPr>
                <w:b/>
                <w:sz w:val="20"/>
                <w:szCs w:val="20"/>
              </w:rPr>
              <w:t xml:space="preserve"> (v Kč)</w:t>
            </w:r>
          </w:p>
        </w:tc>
      </w:tr>
      <w:tr w:rsidR="00006F67" w:rsidRPr="00006F67" w14:paraId="3C9F7B12" w14:textId="77777777" w:rsidTr="00317D87">
        <w:trPr>
          <w:trHeight w:val="340"/>
        </w:trPr>
        <w:tc>
          <w:tcPr>
            <w:tcW w:w="4223" w:type="pct"/>
            <w:vAlign w:val="center"/>
          </w:tcPr>
          <w:p w14:paraId="08F7CD9B" w14:textId="77777777" w:rsidR="00006F67" w:rsidRPr="00006F67" w:rsidRDefault="00605D8C" w:rsidP="00317D87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Sepsání funkčních požadavků</w:t>
            </w:r>
            <w:r w:rsidR="00006F67">
              <w:rPr>
                <w:sz w:val="20"/>
                <w:szCs w:val="20"/>
              </w:rPr>
              <w:t xml:space="preserve"> na </w:t>
            </w:r>
            <w:proofErr w:type="spellStart"/>
            <w:r w:rsidR="00006F67">
              <w:rPr>
                <w:sz w:val="20"/>
                <w:szCs w:val="20"/>
              </w:rPr>
              <w:t>eSpis</w:t>
            </w:r>
            <w:proofErr w:type="spellEnd"/>
          </w:p>
        </w:tc>
        <w:tc>
          <w:tcPr>
            <w:tcW w:w="777" w:type="pct"/>
            <w:vAlign w:val="center"/>
          </w:tcPr>
          <w:p w14:paraId="259768E2" w14:textId="5F2FD00A" w:rsidR="00006F67" w:rsidRPr="00006F67" w:rsidRDefault="00DD0B5D" w:rsidP="00CF5C7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006F67" w:rsidRPr="00006F67" w14:paraId="0A81A622" w14:textId="77777777" w:rsidTr="00317D87">
        <w:trPr>
          <w:trHeight w:val="340"/>
        </w:trPr>
        <w:tc>
          <w:tcPr>
            <w:tcW w:w="4223" w:type="pct"/>
            <w:vAlign w:val="center"/>
          </w:tcPr>
          <w:p w14:paraId="4D413AA1" w14:textId="77777777" w:rsidR="00006F67" w:rsidRPr="00006F67" w:rsidRDefault="00006F67" w:rsidP="00317D87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Analýza oběhu dokumentů</w:t>
            </w:r>
            <w:r w:rsidR="006A06E0">
              <w:rPr>
                <w:sz w:val="20"/>
                <w:szCs w:val="20"/>
              </w:rPr>
              <w:t xml:space="preserve"> na soudech</w:t>
            </w:r>
            <w:r w:rsidR="00605D8C">
              <w:rPr>
                <w:sz w:val="20"/>
                <w:szCs w:val="20"/>
              </w:rPr>
              <w:t xml:space="preserve"> a státních zastupitelstvích</w:t>
            </w:r>
          </w:p>
        </w:tc>
        <w:tc>
          <w:tcPr>
            <w:tcW w:w="777" w:type="pct"/>
            <w:vAlign w:val="center"/>
          </w:tcPr>
          <w:p w14:paraId="5A730B34" w14:textId="484D099E" w:rsidR="00006F67" w:rsidRPr="00006F67" w:rsidRDefault="00DD0B5D" w:rsidP="00CF5C7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006F67" w:rsidRPr="00006F67" w14:paraId="734A8CBD" w14:textId="77777777" w:rsidTr="00317D87">
        <w:trPr>
          <w:trHeight w:val="340"/>
        </w:trPr>
        <w:tc>
          <w:tcPr>
            <w:tcW w:w="4223" w:type="pct"/>
            <w:vAlign w:val="center"/>
          </w:tcPr>
          <w:p w14:paraId="2ACF0A78" w14:textId="77777777" w:rsidR="00006F67" w:rsidRPr="00006F67" w:rsidRDefault="00006F67" w:rsidP="00317D87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Vybavení soudních síní nahrávacími zařízeními</w:t>
            </w:r>
          </w:p>
        </w:tc>
        <w:tc>
          <w:tcPr>
            <w:tcW w:w="777" w:type="pct"/>
            <w:vAlign w:val="center"/>
          </w:tcPr>
          <w:p w14:paraId="63D16633" w14:textId="77777777" w:rsidR="00006F67" w:rsidRPr="00006F67" w:rsidRDefault="00605D8C" w:rsidP="00CF5C7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186 266 472</w:t>
            </w:r>
          </w:p>
        </w:tc>
      </w:tr>
      <w:tr w:rsidR="00006F67" w:rsidRPr="00006F67" w14:paraId="7E45DA51" w14:textId="77777777" w:rsidTr="00317D87">
        <w:trPr>
          <w:trHeight w:val="340"/>
        </w:trPr>
        <w:tc>
          <w:tcPr>
            <w:tcW w:w="4223" w:type="pct"/>
            <w:vAlign w:val="center"/>
          </w:tcPr>
          <w:p w14:paraId="0E06232D" w14:textId="71D28ED2" w:rsidR="00006F67" w:rsidRPr="00006F67" w:rsidRDefault="00006F67" w:rsidP="00317D87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Pořízení </w:t>
            </w:r>
            <w:r w:rsidRPr="00511E38">
              <w:rPr>
                <w:i/>
                <w:sz w:val="20"/>
                <w:szCs w:val="20"/>
              </w:rPr>
              <w:t>Generátoru náhodného přidělení</w:t>
            </w:r>
          </w:p>
        </w:tc>
        <w:tc>
          <w:tcPr>
            <w:tcW w:w="777" w:type="pct"/>
            <w:vAlign w:val="center"/>
          </w:tcPr>
          <w:p w14:paraId="1C803A36" w14:textId="77777777" w:rsidR="00006F67" w:rsidRPr="00006F67" w:rsidRDefault="00605D8C" w:rsidP="00CF5C7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2 571 250</w:t>
            </w:r>
          </w:p>
        </w:tc>
      </w:tr>
      <w:tr w:rsidR="00006F67" w:rsidRPr="00006F67" w14:paraId="3B59C088" w14:textId="77777777" w:rsidTr="00317D87">
        <w:trPr>
          <w:trHeight w:val="340"/>
        </w:trPr>
        <w:tc>
          <w:tcPr>
            <w:tcW w:w="4223" w:type="pct"/>
            <w:vAlign w:val="center"/>
          </w:tcPr>
          <w:p w14:paraId="58D5582D" w14:textId="77777777" w:rsidR="00006F67" w:rsidRPr="00006F67" w:rsidRDefault="00605D8C" w:rsidP="00317D87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Úprava resortních IS a pořízení potřebných nástrojů v souvislosti s účinností nařízení </w:t>
            </w:r>
            <w:proofErr w:type="spellStart"/>
            <w:r>
              <w:rPr>
                <w:sz w:val="20"/>
                <w:szCs w:val="20"/>
              </w:rPr>
              <w:t>eIDAS</w:t>
            </w:r>
            <w:proofErr w:type="spellEnd"/>
            <w:r w:rsidR="00DE47D3">
              <w:rPr>
                <w:rStyle w:val="Znakapoznpodarou"/>
                <w:sz w:val="20"/>
                <w:szCs w:val="20"/>
              </w:rPr>
              <w:footnoteReference w:id="10"/>
            </w:r>
          </w:p>
        </w:tc>
        <w:tc>
          <w:tcPr>
            <w:tcW w:w="777" w:type="pct"/>
            <w:vAlign w:val="center"/>
          </w:tcPr>
          <w:p w14:paraId="43089570" w14:textId="77777777" w:rsidR="00006F67" w:rsidRPr="00006F67" w:rsidRDefault="00605D8C" w:rsidP="00CF5C7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4 373 232</w:t>
            </w:r>
          </w:p>
        </w:tc>
      </w:tr>
      <w:tr w:rsidR="00006F67" w:rsidRPr="00006F67" w14:paraId="1807FD34" w14:textId="77777777" w:rsidTr="00317D87">
        <w:trPr>
          <w:trHeight w:val="340"/>
        </w:trPr>
        <w:tc>
          <w:tcPr>
            <w:tcW w:w="4223" w:type="pct"/>
            <w:vAlign w:val="center"/>
          </w:tcPr>
          <w:p w14:paraId="7D3BE8E2" w14:textId="4E76C126" w:rsidR="00006F67" w:rsidRPr="00006F67" w:rsidRDefault="00605D8C" w:rsidP="00317D87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Zajištění videokonferencí </w:t>
            </w:r>
            <w:r w:rsidR="00CF5C72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resortu justice</w:t>
            </w:r>
          </w:p>
        </w:tc>
        <w:tc>
          <w:tcPr>
            <w:tcW w:w="777" w:type="pct"/>
            <w:vAlign w:val="center"/>
          </w:tcPr>
          <w:p w14:paraId="7E62313D" w14:textId="77777777" w:rsidR="00006F67" w:rsidRPr="00006F67" w:rsidRDefault="00605D8C" w:rsidP="00CF5C7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61 129 617</w:t>
            </w:r>
          </w:p>
        </w:tc>
      </w:tr>
      <w:tr w:rsidR="00006F67" w:rsidRPr="00006F67" w14:paraId="45EC8458" w14:textId="77777777" w:rsidTr="00317D87">
        <w:trPr>
          <w:trHeight w:val="340"/>
        </w:trPr>
        <w:tc>
          <w:tcPr>
            <w:tcW w:w="4223" w:type="pct"/>
            <w:vAlign w:val="center"/>
          </w:tcPr>
          <w:p w14:paraId="05897A1A" w14:textId="77777777" w:rsidR="00006F67" w:rsidRPr="00006F67" w:rsidRDefault="00605D8C" w:rsidP="00317D87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Vytvoření systému pro zveřejňování soudních rozhodnutí</w:t>
            </w:r>
          </w:p>
        </w:tc>
        <w:tc>
          <w:tcPr>
            <w:tcW w:w="777" w:type="pct"/>
            <w:vAlign w:val="center"/>
          </w:tcPr>
          <w:p w14:paraId="061DF27E" w14:textId="77777777" w:rsidR="00006F67" w:rsidRPr="00006F67" w:rsidRDefault="00605D8C" w:rsidP="00CF5C7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47 190</w:t>
            </w:r>
          </w:p>
        </w:tc>
      </w:tr>
      <w:tr w:rsidR="00006F67" w:rsidRPr="00006F67" w14:paraId="393B05A4" w14:textId="77777777" w:rsidTr="00317D87">
        <w:trPr>
          <w:trHeight w:val="340"/>
        </w:trPr>
        <w:tc>
          <w:tcPr>
            <w:tcW w:w="4223" w:type="pct"/>
            <w:vAlign w:val="center"/>
          </w:tcPr>
          <w:p w14:paraId="1D9E0321" w14:textId="77777777" w:rsidR="00006F67" w:rsidRPr="00006F67" w:rsidRDefault="00605D8C" w:rsidP="00317D87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Pořízení nástrojů vulnerability managementu pro odhalování kybernetických zranitelností</w:t>
            </w:r>
          </w:p>
        </w:tc>
        <w:tc>
          <w:tcPr>
            <w:tcW w:w="777" w:type="pct"/>
            <w:vAlign w:val="center"/>
          </w:tcPr>
          <w:p w14:paraId="51EAD6B0" w14:textId="77777777" w:rsidR="00006F67" w:rsidRPr="00006F67" w:rsidRDefault="00605D8C" w:rsidP="00CF5C72">
            <w:pPr>
              <w:keepNext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11 946 414</w:t>
            </w:r>
          </w:p>
        </w:tc>
      </w:tr>
    </w:tbl>
    <w:p w14:paraId="2854270B" w14:textId="065A4C15" w:rsidR="00605D8C" w:rsidRPr="00605D8C" w:rsidRDefault="00605D8C" w:rsidP="00317D87">
      <w:pPr>
        <w:ind w:left="567" w:hanging="567"/>
        <w:rPr>
          <w:sz w:val="20"/>
          <w:szCs w:val="20"/>
        </w:rPr>
      </w:pPr>
      <w:r w:rsidRPr="00F617EE">
        <w:rPr>
          <w:b/>
          <w:sz w:val="20"/>
          <w:szCs w:val="20"/>
        </w:rPr>
        <w:t>Zdroj:</w:t>
      </w:r>
      <w:r w:rsidRPr="00605D8C">
        <w:rPr>
          <w:sz w:val="20"/>
          <w:szCs w:val="20"/>
        </w:rPr>
        <w:t xml:space="preserve"> </w:t>
      </w:r>
      <w:r w:rsidR="00CF5C72">
        <w:rPr>
          <w:sz w:val="20"/>
          <w:szCs w:val="20"/>
        </w:rPr>
        <w:tab/>
      </w:r>
      <w:r w:rsidRPr="00317D87">
        <w:rPr>
          <w:i/>
          <w:sz w:val="20"/>
          <w:szCs w:val="20"/>
        </w:rPr>
        <w:t xml:space="preserve">Vyhodnocení stavu plnění Resortní strategie pro rozvoj </w:t>
      </w:r>
      <w:proofErr w:type="spellStart"/>
      <w:r w:rsidRPr="00317D87">
        <w:rPr>
          <w:i/>
          <w:sz w:val="20"/>
          <w:szCs w:val="20"/>
        </w:rPr>
        <w:t>eJustice</w:t>
      </w:r>
      <w:proofErr w:type="spellEnd"/>
      <w:r w:rsidRPr="00317D87">
        <w:rPr>
          <w:i/>
          <w:sz w:val="20"/>
          <w:szCs w:val="20"/>
        </w:rPr>
        <w:t xml:space="preserve"> 2016–2020</w:t>
      </w:r>
      <w:r>
        <w:rPr>
          <w:sz w:val="20"/>
          <w:szCs w:val="20"/>
        </w:rPr>
        <w:t>, verze k 7. 4. 2022; vlastní zpracování</w:t>
      </w:r>
      <w:r w:rsidR="00CF5C72">
        <w:rPr>
          <w:sz w:val="20"/>
          <w:szCs w:val="20"/>
        </w:rPr>
        <w:t xml:space="preserve"> NKÚ</w:t>
      </w:r>
      <w:r w:rsidR="00F617EE">
        <w:rPr>
          <w:sz w:val="20"/>
          <w:szCs w:val="20"/>
        </w:rPr>
        <w:t>.</w:t>
      </w:r>
    </w:p>
    <w:p w14:paraId="3F6A88E5" w14:textId="04A114E4" w:rsidR="004A175F" w:rsidRDefault="00494975" w:rsidP="007A21D6">
      <w:r>
        <w:t xml:space="preserve">Klíčové </w:t>
      </w:r>
      <w:r w:rsidR="004A175F">
        <w:t xml:space="preserve">aktivity pro naplnění cílů Strategie </w:t>
      </w:r>
      <w:proofErr w:type="spellStart"/>
      <w:r w:rsidR="004A175F">
        <w:t>eJustice</w:t>
      </w:r>
      <w:proofErr w:type="spellEnd"/>
      <w:r w:rsidR="004A175F">
        <w:t xml:space="preserve"> a </w:t>
      </w:r>
      <w:r w:rsidR="00A76E9B">
        <w:t>eliminaci</w:t>
      </w:r>
      <w:r w:rsidR="004A175F">
        <w:t xml:space="preserve"> </w:t>
      </w:r>
      <w:r w:rsidR="00A76E9B">
        <w:t>zásadních problémů</w:t>
      </w:r>
      <w:r w:rsidR="004A175F">
        <w:t xml:space="preserve"> </w:t>
      </w:r>
      <w:r w:rsidR="00CF5C72">
        <w:t xml:space="preserve">Ministerstvo spravedlnosti </w:t>
      </w:r>
      <w:r w:rsidR="004A175F">
        <w:t xml:space="preserve">nezrealizovalo. Zejména nevytvořilo a neimplementovalo </w:t>
      </w:r>
      <w:proofErr w:type="spellStart"/>
      <w:r w:rsidR="004A175F">
        <w:t>eSpis</w:t>
      </w:r>
      <w:proofErr w:type="spellEnd"/>
      <w:r w:rsidR="004A175F">
        <w:t xml:space="preserve">, </w:t>
      </w:r>
      <w:r w:rsidR="00C9093C" w:rsidRPr="00317D87">
        <w:t>c</w:t>
      </w:r>
      <w:r w:rsidR="004A175F" w:rsidRPr="00C9093C">
        <w:t>entrum justice</w:t>
      </w:r>
      <w:r w:rsidR="00A76E9B">
        <w:t xml:space="preserve"> a</w:t>
      </w:r>
      <w:r w:rsidR="00CF5C72">
        <w:t>ni</w:t>
      </w:r>
      <w:r w:rsidR="004A175F">
        <w:t xml:space="preserve"> </w:t>
      </w:r>
      <w:r w:rsidR="00CF5C72">
        <w:t>j</w:t>
      </w:r>
      <w:r w:rsidR="004A175F">
        <w:t xml:space="preserve">ustiční </w:t>
      </w:r>
      <w:proofErr w:type="spellStart"/>
      <w:r w:rsidR="004A175F">
        <w:t>service</w:t>
      </w:r>
      <w:proofErr w:type="spellEnd"/>
      <w:r w:rsidR="004A175F">
        <w:t xml:space="preserve"> bus. Dále nevytvořilo a neimplementovalo EMS a nový </w:t>
      </w:r>
      <w:r w:rsidR="00CF5C72">
        <w:t>p</w:t>
      </w:r>
      <w:r w:rsidR="004A175F">
        <w:t xml:space="preserve">ortál justice, nezpracovalo </w:t>
      </w:r>
      <w:proofErr w:type="spellStart"/>
      <w:r w:rsidR="004A175F">
        <w:t>Enterprise</w:t>
      </w:r>
      <w:proofErr w:type="spellEnd"/>
      <w:r w:rsidR="004A175F">
        <w:t xml:space="preserve"> architekturu, pro soudy nezajistilo přepis mluveného slova na text, nezvýšilo kybernetickou odolnost IS, nenastavilo jednotná a závazná pravidla vývoje a integrace ICT, nezautomatizovalo procesy správy a údržby ICT. Licenční a autorská práva ve svůj prospěch včlenilo do smluv pouze u 24 z 59</w:t>
      </w:r>
      <w:r w:rsidR="004A175F" w:rsidRPr="00DA0ACD">
        <w:t xml:space="preserve"> </w:t>
      </w:r>
      <w:r w:rsidR="004A175F">
        <w:t>provozovaných IS.</w:t>
      </w:r>
    </w:p>
    <w:bookmarkEnd w:id="2"/>
    <w:p w14:paraId="75127FFF" w14:textId="7636984B" w:rsidR="007A21D6" w:rsidRDefault="00742060" w:rsidP="007A21D6">
      <w:r>
        <w:t>P</w:t>
      </w:r>
      <w:r w:rsidR="007A21D6" w:rsidRPr="00281E0B">
        <w:t>říčin</w:t>
      </w:r>
      <w:r w:rsidR="00CF5C72">
        <w:t>ou</w:t>
      </w:r>
      <w:r w:rsidR="007A21D6" w:rsidRPr="00281E0B">
        <w:t xml:space="preserve"> neúspěšné realizace Strategie</w:t>
      </w:r>
      <w:r w:rsidR="00BB5CE9">
        <w:t xml:space="preserve"> </w:t>
      </w:r>
      <w:proofErr w:type="spellStart"/>
      <w:r w:rsidR="00BB5CE9">
        <w:t>eJustice</w:t>
      </w:r>
      <w:proofErr w:type="spellEnd"/>
      <w:r w:rsidR="007A21D6" w:rsidRPr="00281E0B">
        <w:t xml:space="preserve"> bylo primárně selhání </w:t>
      </w:r>
      <w:proofErr w:type="spellStart"/>
      <w:r w:rsidR="007A21D6" w:rsidRPr="00281E0B">
        <w:t>MSp</w:t>
      </w:r>
      <w:proofErr w:type="spellEnd"/>
      <w:r w:rsidR="007A21D6" w:rsidRPr="00281E0B">
        <w:t xml:space="preserve"> při realizaci klíčového projektu </w:t>
      </w:r>
      <w:proofErr w:type="spellStart"/>
      <w:r w:rsidR="007A21D6" w:rsidRPr="00281E0B">
        <w:t>eISIR</w:t>
      </w:r>
      <w:proofErr w:type="spellEnd"/>
      <w:r w:rsidR="00927AD6">
        <w:t xml:space="preserve"> </w:t>
      </w:r>
      <w:r w:rsidR="007A21D6" w:rsidRPr="00281E0B">
        <w:t xml:space="preserve">a stále nezahájená realizace projektu </w:t>
      </w:r>
      <w:r w:rsidR="00CF5C72">
        <w:t>j</w:t>
      </w:r>
      <w:r w:rsidR="007A21D6" w:rsidRPr="00281E0B">
        <w:t xml:space="preserve">ustičního </w:t>
      </w:r>
      <w:proofErr w:type="spellStart"/>
      <w:r w:rsidR="007A21D6" w:rsidRPr="00281E0B">
        <w:t>service</w:t>
      </w:r>
      <w:proofErr w:type="spellEnd"/>
      <w:r w:rsidR="007A21D6" w:rsidRPr="00281E0B">
        <w:t xml:space="preserve"> bus.</w:t>
      </w:r>
      <w:r w:rsidR="00927AD6">
        <w:t xml:space="preserve"> Součástí projektu </w:t>
      </w:r>
      <w:proofErr w:type="spellStart"/>
      <w:r w:rsidR="00927AD6">
        <w:t>eISIR</w:t>
      </w:r>
      <w:proofErr w:type="spellEnd"/>
      <w:r w:rsidR="00927AD6">
        <w:t xml:space="preserve"> je vytvoření elektronického </w:t>
      </w:r>
      <w:r w:rsidR="000540DD">
        <w:t>systému spisové služby</w:t>
      </w:r>
      <w:r w:rsidR="00927AD6">
        <w:t xml:space="preserve"> (</w:t>
      </w:r>
      <w:proofErr w:type="spellStart"/>
      <w:r w:rsidR="00927AD6">
        <w:t>eSpis</w:t>
      </w:r>
      <w:proofErr w:type="spellEnd"/>
      <w:r w:rsidR="00927AD6">
        <w:t xml:space="preserve">), který přímo naplňuje šest specifických cílů a je </w:t>
      </w:r>
      <w:proofErr w:type="spellStart"/>
      <w:r w:rsidR="00927AD6">
        <w:t>prerekvizitou</w:t>
      </w:r>
      <w:proofErr w:type="spellEnd"/>
      <w:r w:rsidR="00927AD6">
        <w:t xml:space="preserve"> celé řady dalších.</w:t>
      </w:r>
      <w:r w:rsidR="007A21D6" w:rsidRPr="00281E0B">
        <w:t xml:space="preserve"> </w:t>
      </w:r>
      <w:r w:rsidR="00D00B59">
        <w:t>N</w:t>
      </w:r>
      <w:r w:rsidR="007A21D6" w:rsidRPr="00281E0B">
        <w:t>ekoncepční způsob řízení a neefektivní využívání personálních kapacit dotčených útvarů</w:t>
      </w:r>
      <w:r w:rsidR="00927AD6">
        <w:t xml:space="preserve"> </w:t>
      </w:r>
      <w:r w:rsidR="007A21D6" w:rsidRPr="00281E0B">
        <w:t xml:space="preserve">znemožňovaly </w:t>
      </w:r>
      <w:r w:rsidR="00CF5C72">
        <w:t xml:space="preserve">Ministerstvu spravedlnosti </w:t>
      </w:r>
      <w:r w:rsidR="007A21D6" w:rsidRPr="00281E0B">
        <w:t xml:space="preserve">realizovat projekt </w:t>
      </w:r>
      <w:proofErr w:type="spellStart"/>
      <w:r w:rsidR="007A21D6" w:rsidRPr="00281E0B">
        <w:t>eJustice</w:t>
      </w:r>
      <w:proofErr w:type="spellEnd"/>
      <w:r w:rsidR="007A21D6" w:rsidRPr="00281E0B">
        <w:t xml:space="preserve"> v celém rozsahu </w:t>
      </w:r>
      <w:r w:rsidR="00D00B59">
        <w:t>v určeném časovém období</w:t>
      </w:r>
      <w:r w:rsidR="007A21D6" w:rsidRPr="00281E0B">
        <w:t>. Rozčleněním implementace do delšího časového období nutně dochází k fyzickému i</w:t>
      </w:r>
      <w:r w:rsidR="00F617EE">
        <w:t> </w:t>
      </w:r>
      <w:r w:rsidR="007A21D6" w:rsidRPr="00281E0B">
        <w:t>morálnímu opotřebení již dříve pořízených IS a hardwar</w:t>
      </w:r>
      <w:r w:rsidR="00CF5C72">
        <w:t>u</w:t>
      </w:r>
      <w:r w:rsidR="007A21D6" w:rsidRPr="00281E0B">
        <w:t>.</w:t>
      </w:r>
      <w:r w:rsidR="00A1400A">
        <w:t xml:space="preserve"> H</w:t>
      </w:r>
      <w:r w:rsidR="007A21D6" w:rsidRPr="00281E0B">
        <w:t>rozí reálné riziko, že jednotlivé dílčí realizace v rámci Strategie</w:t>
      </w:r>
      <w:r w:rsidR="004D7265">
        <w:t xml:space="preserve"> </w:t>
      </w:r>
      <w:proofErr w:type="spellStart"/>
      <w:r w:rsidR="004D7265">
        <w:t>eJustice</w:t>
      </w:r>
      <w:proofErr w:type="spellEnd"/>
      <w:r w:rsidR="007A21D6" w:rsidRPr="00281E0B">
        <w:t xml:space="preserve"> na sebe nebudou navazovat</w:t>
      </w:r>
      <w:r w:rsidR="006E1BF4">
        <w:t xml:space="preserve"> a</w:t>
      </w:r>
      <w:r w:rsidR="006E1BF4" w:rsidRPr="00281E0B">
        <w:t xml:space="preserve"> </w:t>
      </w:r>
      <w:r w:rsidR="007A21D6" w:rsidRPr="00281E0B">
        <w:t>systémy nebudou interoperabilní. Zároveň nebude možné nově dodané systémy a komponenty plně využívat.</w:t>
      </w:r>
    </w:p>
    <w:p w14:paraId="61C54C6D" w14:textId="4E12C913" w:rsidR="00137BFE" w:rsidRPr="00A25D09" w:rsidRDefault="00A25D09" w:rsidP="00317D87">
      <w:pPr>
        <w:pStyle w:val="Nadpis1"/>
        <w:ind w:left="284" w:hanging="284"/>
      </w:pPr>
      <w:r w:rsidRPr="00A25D09">
        <w:t>Realizace</w:t>
      </w:r>
      <w:r w:rsidR="007B1FA1">
        <w:t xml:space="preserve"> projektu </w:t>
      </w:r>
      <w:proofErr w:type="spellStart"/>
      <w:r w:rsidR="007B1FA1">
        <w:t>eISIR</w:t>
      </w:r>
      <w:proofErr w:type="spellEnd"/>
      <w:r w:rsidRPr="00A25D09">
        <w:t xml:space="preserve"> </w:t>
      </w:r>
      <w:r w:rsidR="00F729DB">
        <w:t xml:space="preserve">– </w:t>
      </w:r>
      <w:r w:rsidRPr="00A25D09">
        <w:t xml:space="preserve">klíčového </w:t>
      </w:r>
      <w:r w:rsidR="007B1FA1">
        <w:t xml:space="preserve">pro rozvoj </w:t>
      </w:r>
      <w:proofErr w:type="spellStart"/>
      <w:r w:rsidR="007B1FA1">
        <w:t>eJustice</w:t>
      </w:r>
      <w:proofErr w:type="spellEnd"/>
    </w:p>
    <w:p w14:paraId="6911D5ED" w14:textId="3C6ECF97" w:rsidR="00387011" w:rsidRDefault="00387011" w:rsidP="00E76B8F">
      <w:pPr>
        <w:rPr>
          <w:lang w:eastAsia="cs-CZ"/>
        </w:rPr>
      </w:pPr>
      <w:r>
        <w:rPr>
          <w:lang w:eastAsia="cs-CZ"/>
        </w:rPr>
        <w:t xml:space="preserve">Projekt </w:t>
      </w:r>
      <w:proofErr w:type="spellStart"/>
      <w:r w:rsidRPr="00387011">
        <w:rPr>
          <w:lang w:eastAsia="cs-CZ"/>
        </w:rPr>
        <w:t>eISIR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reg</w:t>
      </w:r>
      <w:proofErr w:type="spellEnd"/>
      <w:r>
        <w:rPr>
          <w:lang w:eastAsia="cs-CZ"/>
        </w:rPr>
        <w:t>. č. CZ.06.3.05/0.0/0.0/16_034/0002820</w:t>
      </w:r>
      <w:r w:rsidR="00CF5C72">
        <w:rPr>
          <w:lang w:eastAsia="cs-CZ"/>
        </w:rPr>
        <w:t>,</w:t>
      </w:r>
      <w:r>
        <w:rPr>
          <w:lang w:eastAsia="cs-CZ"/>
        </w:rPr>
        <w:t xml:space="preserve"> je spolufinancován z</w:t>
      </w:r>
      <w:r w:rsidR="00801C62">
        <w:rPr>
          <w:lang w:eastAsia="cs-CZ"/>
        </w:rPr>
        <w:t> </w:t>
      </w:r>
      <w:r w:rsidR="00CF5C72">
        <w:rPr>
          <w:lang w:eastAsia="cs-CZ"/>
        </w:rPr>
        <w:t>e</w:t>
      </w:r>
      <w:r w:rsidR="00801C62">
        <w:rPr>
          <w:lang w:eastAsia="cs-CZ"/>
        </w:rPr>
        <w:t xml:space="preserve">vropských strukturálních a investičních fondů v rámci </w:t>
      </w:r>
      <w:r w:rsidR="00801C62" w:rsidRPr="00317D87">
        <w:rPr>
          <w:i/>
          <w:lang w:eastAsia="cs-CZ"/>
        </w:rPr>
        <w:t>Integrovaného regionálního operačního programu</w:t>
      </w:r>
      <w:r>
        <w:rPr>
          <w:lang w:eastAsia="cs-CZ"/>
        </w:rPr>
        <w:t xml:space="preserve">, </w:t>
      </w:r>
      <w:r w:rsidR="00CF5C72">
        <w:rPr>
          <w:lang w:eastAsia="cs-CZ"/>
        </w:rPr>
        <w:t xml:space="preserve">konkrétně z jeho </w:t>
      </w:r>
      <w:r>
        <w:rPr>
          <w:lang w:eastAsia="cs-CZ"/>
        </w:rPr>
        <w:t>specifického cíle 3.2</w:t>
      </w:r>
      <w:r w:rsidR="00692FF1">
        <w:rPr>
          <w:lang w:eastAsia="cs-CZ"/>
        </w:rPr>
        <w:t xml:space="preserve"> prostřednictvím </w:t>
      </w:r>
      <w:r>
        <w:rPr>
          <w:lang w:eastAsia="cs-CZ"/>
        </w:rPr>
        <w:t xml:space="preserve">výzvy č. 26 </w:t>
      </w:r>
      <w:proofErr w:type="spellStart"/>
      <w:r w:rsidRPr="00387011">
        <w:rPr>
          <w:i/>
          <w:lang w:eastAsia="cs-CZ"/>
        </w:rPr>
        <w:t>eGovernment</w:t>
      </w:r>
      <w:proofErr w:type="spellEnd"/>
      <w:r w:rsidRPr="00387011">
        <w:rPr>
          <w:i/>
          <w:lang w:eastAsia="cs-CZ"/>
        </w:rPr>
        <w:t xml:space="preserve"> I</w:t>
      </w:r>
      <w:r>
        <w:rPr>
          <w:lang w:eastAsia="cs-CZ"/>
        </w:rPr>
        <w:t xml:space="preserve"> vyhlášené 24. 3. 2016.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</w:t>
      </w:r>
      <w:r w:rsidR="00692FF1">
        <w:rPr>
          <w:lang w:eastAsia="cs-CZ"/>
        </w:rPr>
        <w:t xml:space="preserve">24. 11. 2016 </w:t>
      </w:r>
      <w:r>
        <w:rPr>
          <w:lang w:eastAsia="cs-CZ"/>
        </w:rPr>
        <w:t>podalo žádost o podporu, jejíž přílohou byl</w:t>
      </w:r>
      <w:r w:rsidR="00692FF1">
        <w:rPr>
          <w:lang w:eastAsia="cs-CZ"/>
        </w:rPr>
        <w:t>a</w:t>
      </w:r>
      <w:r>
        <w:rPr>
          <w:lang w:eastAsia="cs-CZ"/>
        </w:rPr>
        <w:t xml:space="preserve"> </w:t>
      </w:r>
      <w:r w:rsidR="00692FF1" w:rsidRPr="00511E38">
        <w:rPr>
          <w:lang w:eastAsia="cs-CZ"/>
        </w:rPr>
        <w:t>s</w:t>
      </w:r>
      <w:r w:rsidRPr="00511E38">
        <w:rPr>
          <w:lang w:eastAsia="cs-CZ"/>
        </w:rPr>
        <w:t>tudie proveditelnosti</w:t>
      </w:r>
      <w:r>
        <w:rPr>
          <w:lang w:eastAsia="cs-CZ"/>
        </w:rPr>
        <w:t xml:space="preserve"> z</w:t>
      </w:r>
      <w:r w:rsidR="00B800E6">
        <w:rPr>
          <w:lang w:eastAsia="cs-CZ"/>
        </w:rPr>
        <w:t xml:space="preserve"> </w:t>
      </w:r>
      <w:r>
        <w:rPr>
          <w:lang w:eastAsia="cs-CZ"/>
        </w:rPr>
        <w:t>27.</w:t>
      </w:r>
      <w:r w:rsidR="00B800E6">
        <w:rPr>
          <w:lang w:eastAsia="cs-CZ"/>
        </w:rPr>
        <w:t xml:space="preserve"> </w:t>
      </w:r>
      <w:r>
        <w:rPr>
          <w:lang w:eastAsia="cs-CZ"/>
        </w:rPr>
        <w:t>10.</w:t>
      </w:r>
      <w:r w:rsidR="00B800E6">
        <w:rPr>
          <w:lang w:eastAsia="cs-CZ"/>
        </w:rPr>
        <w:t xml:space="preserve"> </w:t>
      </w:r>
      <w:r>
        <w:rPr>
          <w:lang w:eastAsia="cs-CZ"/>
        </w:rPr>
        <w:t xml:space="preserve">2016 a </w:t>
      </w:r>
      <w:r w:rsidR="00692FF1">
        <w:rPr>
          <w:i/>
          <w:lang w:eastAsia="cs-CZ"/>
        </w:rPr>
        <w:t>f</w:t>
      </w:r>
      <w:r w:rsidRPr="00387011">
        <w:rPr>
          <w:i/>
          <w:lang w:eastAsia="cs-CZ"/>
        </w:rPr>
        <w:t xml:space="preserve">ormulář žádosti o stanovisko </w:t>
      </w:r>
      <w:r w:rsidR="00692FF1">
        <w:rPr>
          <w:i/>
          <w:lang w:eastAsia="cs-CZ"/>
        </w:rPr>
        <w:t>h</w:t>
      </w:r>
      <w:r w:rsidRPr="00387011">
        <w:rPr>
          <w:i/>
          <w:lang w:eastAsia="cs-CZ"/>
        </w:rPr>
        <w:t xml:space="preserve">lavního architekta </w:t>
      </w:r>
      <w:proofErr w:type="spellStart"/>
      <w:r w:rsidRPr="00387011">
        <w:rPr>
          <w:i/>
          <w:lang w:eastAsia="cs-CZ"/>
        </w:rPr>
        <w:t>eGovernmentu</w:t>
      </w:r>
      <w:proofErr w:type="spellEnd"/>
      <w:r w:rsidRPr="00387011">
        <w:rPr>
          <w:i/>
          <w:lang w:eastAsia="cs-CZ"/>
        </w:rPr>
        <w:t xml:space="preserve"> k plánovanému ICT projektu – typ A</w:t>
      </w:r>
      <w:r>
        <w:rPr>
          <w:lang w:eastAsia="cs-CZ"/>
        </w:rPr>
        <w:t xml:space="preserve"> z července 2016</w:t>
      </w:r>
      <w:r w:rsidR="007A21D6">
        <w:rPr>
          <w:lang w:eastAsia="cs-CZ"/>
        </w:rPr>
        <w:t>.</w:t>
      </w:r>
      <w:r>
        <w:rPr>
          <w:lang w:eastAsia="cs-CZ"/>
        </w:rPr>
        <w:t xml:space="preserve"> Projekt byl schválen 25. 1. 2017</w:t>
      </w:r>
      <w:r w:rsidR="00511E38">
        <w:rPr>
          <w:lang w:eastAsia="cs-CZ"/>
        </w:rPr>
        <w:t>.</w:t>
      </w:r>
      <w:r w:rsidR="00692FF1">
        <w:rPr>
          <w:lang w:eastAsia="cs-CZ"/>
        </w:rPr>
        <w:t xml:space="preserve"> </w:t>
      </w:r>
      <w:r w:rsidR="00511E38">
        <w:rPr>
          <w:lang w:eastAsia="cs-CZ"/>
        </w:rPr>
        <w:t>J</w:t>
      </w:r>
      <w:r w:rsidR="00692FF1">
        <w:rPr>
          <w:lang w:eastAsia="cs-CZ"/>
        </w:rPr>
        <w:t>eho realizace měla být ukončena do 31. 12. 2019</w:t>
      </w:r>
      <w:r>
        <w:rPr>
          <w:lang w:eastAsia="cs-CZ"/>
        </w:rPr>
        <w:t>.</w:t>
      </w:r>
    </w:p>
    <w:p w14:paraId="6C48C740" w14:textId="77777777" w:rsidR="00D3669D" w:rsidRPr="00BC792B" w:rsidRDefault="00D3669D" w:rsidP="00317D87">
      <w:pPr>
        <w:pStyle w:val="Nadpis2"/>
        <w:ind w:left="426" w:hanging="426"/>
        <w:rPr>
          <w:lang w:eastAsia="cs-CZ"/>
        </w:rPr>
      </w:pPr>
      <w:r w:rsidRPr="00BC792B">
        <w:rPr>
          <w:lang w:eastAsia="cs-CZ"/>
        </w:rPr>
        <w:lastRenderedPageBreak/>
        <w:t xml:space="preserve">Nastavení projektu </w:t>
      </w:r>
      <w:proofErr w:type="spellStart"/>
      <w:r w:rsidRPr="00BC792B">
        <w:rPr>
          <w:lang w:eastAsia="cs-CZ"/>
        </w:rPr>
        <w:t>eISIR</w:t>
      </w:r>
      <w:proofErr w:type="spellEnd"/>
    </w:p>
    <w:p w14:paraId="3F10E081" w14:textId="0A3AB9FE" w:rsidR="007D38F6" w:rsidRDefault="00E76B8F" w:rsidP="009A3EDF">
      <w:pPr>
        <w:rPr>
          <w:lang w:eastAsia="cs-CZ"/>
        </w:rPr>
      </w:pPr>
      <w:r>
        <w:rPr>
          <w:lang w:eastAsia="cs-CZ"/>
        </w:rPr>
        <w:t xml:space="preserve">Předmětem projektu </w:t>
      </w:r>
      <w:proofErr w:type="spellStart"/>
      <w:r>
        <w:rPr>
          <w:lang w:eastAsia="cs-CZ"/>
        </w:rPr>
        <w:t>eISIR</w:t>
      </w:r>
      <w:proofErr w:type="spellEnd"/>
      <w:r>
        <w:rPr>
          <w:lang w:eastAsia="cs-CZ"/>
        </w:rPr>
        <w:t xml:space="preserve"> je </w:t>
      </w:r>
      <w:r w:rsidRPr="00BC4AEC">
        <w:rPr>
          <w:lang w:eastAsia="cs-CZ"/>
        </w:rPr>
        <w:t xml:space="preserve">vytvoření </w:t>
      </w:r>
      <w:r w:rsidR="00E63032">
        <w:rPr>
          <w:lang w:eastAsia="cs-CZ"/>
        </w:rPr>
        <w:t xml:space="preserve">nového </w:t>
      </w:r>
      <w:proofErr w:type="spellStart"/>
      <w:r w:rsidR="00E63032">
        <w:rPr>
          <w:lang w:eastAsia="cs-CZ"/>
        </w:rPr>
        <w:t>agendového</w:t>
      </w:r>
      <w:proofErr w:type="spellEnd"/>
      <w:r w:rsidR="00E63032">
        <w:rPr>
          <w:lang w:eastAsia="cs-CZ"/>
        </w:rPr>
        <w:t xml:space="preserve"> </w:t>
      </w:r>
      <w:r w:rsidR="00653B2A">
        <w:rPr>
          <w:lang w:eastAsia="cs-CZ"/>
        </w:rPr>
        <w:t>IS</w:t>
      </w:r>
      <w:r w:rsidRPr="00BC4AEC">
        <w:rPr>
          <w:lang w:eastAsia="cs-CZ"/>
        </w:rPr>
        <w:t xml:space="preserve"> insolvenčního rejstříku</w:t>
      </w:r>
      <w:r w:rsidR="00DA4196">
        <w:rPr>
          <w:lang w:eastAsia="cs-CZ"/>
        </w:rPr>
        <w:t>.</w:t>
      </w:r>
      <w:r w:rsidR="00387011">
        <w:rPr>
          <w:lang w:eastAsia="cs-CZ"/>
        </w:rPr>
        <w:t xml:space="preserve"> </w:t>
      </w:r>
      <w:r w:rsidR="00DA4196">
        <w:rPr>
          <w:lang w:eastAsia="cs-CZ"/>
        </w:rPr>
        <w:t>Tento nový systém</w:t>
      </w:r>
      <w:r>
        <w:rPr>
          <w:lang w:eastAsia="cs-CZ"/>
        </w:rPr>
        <w:t xml:space="preserve"> </w:t>
      </w:r>
      <w:r w:rsidR="00DA4196">
        <w:rPr>
          <w:lang w:eastAsia="cs-CZ"/>
        </w:rPr>
        <w:t>by měl zavést</w:t>
      </w:r>
      <w:r>
        <w:rPr>
          <w:lang w:eastAsia="cs-CZ"/>
        </w:rPr>
        <w:t xml:space="preserve"> do insolvenčního řízení plně elektronické podání a plně elektronický spis.</w:t>
      </w:r>
      <w:r w:rsidR="00387011">
        <w:rPr>
          <w:lang w:eastAsia="cs-CZ"/>
        </w:rPr>
        <w:t xml:space="preserve"> </w:t>
      </w:r>
      <w:r w:rsidR="00DA4196">
        <w:rPr>
          <w:lang w:eastAsia="cs-CZ"/>
        </w:rPr>
        <w:t>V</w:t>
      </w:r>
      <w:r w:rsidR="0076047D">
        <w:rPr>
          <w:lang w:eastAsia="cs-CZ"/>
        </w:rPr>
        <w:t xml:space="preserve"> rámci projektu </w:t>
      </w:r>
      <w:proofErr w:type="spellStart"/>
      <w:r w:rsidR="00DA4196">
        <w:rPr>
          <w:lang w:eastAsia="cs-CZ"/>
        </w:rPr>
        <w:t>eISIR</w:t>
      </w:r>
      <w:proofErr w:type="spellEnd"/>
      <w:r w:rsidR="00DA4196">
        <w:rPr>
          <w:lang w:eastAsia="cs-CZ"/>
        </w:rPr>
        <w:t xml:space="preserve"> hodlalo </w:t>
      </w:r>
      <w:proofErr w:type="spellStart"/>
      <w:r w:rsidR="00DA4196">
        <w:rPr>
          <w:lang w:eastAsia="cs-CZ"/>
        </w:rPr>
        <w:t>MSp</w:t>
      </w:r>
      <w:proofErr w:type="spellEnd"/>
      <w:r w:rsidR="00DA4196">
        <w:rPr>
          <w:lang w:eastAsia="cs-CZ"/>
        </w:rPr>
        <w:t xml:space="preserve"> </w:t>
      </w:r>
      <w:r>
        <w:rPr>
          <w:lang w:eastAsia="cs-CZ"/>
        </w:rPr>
        <w:t xml:space="preserve">realizovat </w:t>
      </w:r>
      <w:r w:rsidR="00DA4196">
        <w:rPr>
          <w:lang w:eastAsia="cs-CZ"/>
        </w:rPr>
        <w:t>kromě</w:t>
      </w:r>
      <w:r w:rsidR="00E63032">
        <w:rPr>
          <w:lang w:eastAsia="cs-CZ"/>
        </w:rPr>
        <w:t xml:space="preserve"> nového </w:t>
      </w:r>
      <w:proofErr w:type="spellStart"/>
      <w:r w:rsidR="006E1BF4">
        <w:rPr>
          <w:lang w:eastAsia="cs-CZ"/>
        </w:rPr>
        <w:t>agendov</w:t>
      </w:r>
      <w:r w:rsidR="00E63032">
        <w:rPr>
          <w:lang w:eastAsia="cs-CZ"/>
        </w:rPr>
        <w:t>ého</w:t>
      </w:r>
      <w:proofErr w:type="spellEnd"/>
      <w:r w:rsidR="006E1BF4">
        <w:rPr>
          <w:lang w:eastAsia="cs-CZ"/>
        </w:rPr>
        <w:t xml:space="preserve"> </w:t>
      </w:r>
      <w:r w:rsidRPr="00BC4AEC">
        <w:rPr>
          <w:lang w:eastAsia="cs-CZ"/>
        </w:rPr>
        <w:t xml:space="preserve">IS insolvenčního </w:t>
      </w:r>
      <w:r w:rsidR="00653B2A">
        <w:rPr>
          <w:lang w:eastAsia="cs-CZ"/>
        </w:rPr>
        <w:t>rejstříku</w:t>
      </w:r>
      <w:r w:rsidR="00653B2A" w:rsidRPr="00BC4AEC">
        <w:rPr>
          <w:lang w:eastAsia="cs-CZ"/>
        </w:rPr>
        <w:t xml:space="preserve"> </w:t>
      </w:r>
      <w:r w:rsidR="00E63032">
        <w:rPr>
          <w:lang w:eastAsia="cs-CZ"/>
        </w:rPr>
        <w:t>i</w:t>
      </w:r>
      <w:r w:rsidR="0086438B">
        <w:rPr>
          <w:lang w:eastAsia="cs-CZ"/>
        </w:rPr>
        <w:t xml:space="preserve"> </w:t>
      </w:r>
      <w:r w:rsidRPr="00BC4AEC">
        <w:rPr>
          <w:lang w:eastAsia="cs-CZ"/>
        </w:rPr>
        <w:t>podpůrn</w:t>
      </w:r>
      <w:r w:rsidR="00E63032">
        <w:rPr>
          <w:lang w:eastAsia="cs-CZ"/>
        </w:rPr>
        <w:t>é</w:t>
      </w:r>
      <w:r w:rsidRPr="00BC4AEC">
        <w:rPr>
          <w:lang w:eastAsia="cs-CZ"/>
        </w:rPr>
        <w:t xml:space="preserve"> aplikace</w:t>
      </w:r>
      <w:r>
        <w:rPr>
          <w:lang w:eastAsia="cs-CZ"/>
        </w:rPr>
        <w:t xml:space="preserve">, které budou sloužit jako informační platforma i pro ostatní systémy </w:t>
      </w:r>
      <w:proofErr w:type="spellStart"/>
      <w:r>
        <w:rPr>
          <w:lang w:eastAsia="cs-CZ"/>
        </w:rPr>
        <w:t>eJustice</w:t>
      </w:r>
      <w:proofErr w:type="spellEnd"/>
      <w:r w:rsidR="00E63032">
        <w:rPr>
          <w:lang w:eastAsia="cs-CZ"/>
        </w:rPr>
        <w:t xml:space="preserve"> (tzv. </w:t>
      </w:r>
      <w:r w:rsidR="00C9093C" w:rsidRPr="00317D87">
        <w:rPr>
          <w:lang w:eastAsia="cs-CZ"/>
        </w:rPr>
        <w:t>c</w:t>
      </w:r>
      <w:r w:rsidR="00E63032" w:rsidRPr="00C9093C">
        <w:rPr>
          <w:lang w:eastAsia="cs-CZ"/>
        </w:rPr>
        <w:t>entrum justice</w:t>
      </w:r>
      <w:r w:rsidR="00E63032">
        <w:rPr>
          <w:lang w:eastAsia="cs-CZ"/>
        </w:rPr>
        <w:t>)</w:t>
      </w:r>
      <w:r>
        <w:rPr>
          <w:lang w:eastAsia="cs-CZ"/>
        </w:rPr>
        <w:t>.</w:t>
      </w:r>
      <w:r w:rsidR="00455F1E">
        <w:rPr>
          <w:lang w:eastAsia="cs-CZ"/>
        </w:rPr>
        <w:t xml:space="preserve"> </w:t>
      </w:r>
      <w:r w:rsidR="00485779">
        <w:rPr>
          <w:lang w:eastAsia="cs-CZ"/>
        </w:rPr>
        <w:t>V</w:t>
      </w:r>
      <w:r w:rsidR="00455F1E">
        <w:rPr>
          <w:lang w:eastAsia="cs-CZ"/>
        </w:rPr>
        <w:t>ýstup projektu</w:t>
      </w:r>
      <w:r w:rsidR="00485779">
        <w:rPr>
          <w:lang w:eastAsia="cs-CZ"/>
        </w:rPr>
        <w:t xml:space="preserve"> měl</w:t>
      </w:r>
      <w:r w:rsidR="00455F1E">
        <w:rPr>
          <w:lang w:eastAsia="cs-CZ"/>
        </w:rPr>
        <w:t xml:space="preserve"> zah</w:t>
      </w:r>
      <w:r w:rsidR="005557EA">
        <w:rPr>
          <w:lang w:eastAsia="cs-CZ"/>
        </w:rPr>
        <w:t xml:space="preserve">rnovat </w:t>
      </w:r>
      <w:r w:rsidR="0063607A">
        <w:rPr>
          <w:lang w:eastAsia="cs-CZ"/>
        </w:rPr>
        <w:t xml:space="preserve">nejen </w:t>
      </w:r>
      <w:r w:rsidR="005557EA">
        <w:rPr>
          <w:lang w:eastAsia="cs-CZ"/>
        </w:rPr>
        <w:t xml:space="preserve">vytvoření </w:t>
      </w:r>
      <w:proofErr w:type="spellStart"/>
      <w:r w:rsidR="006E1BF4">
        <w:rPr>
          <w:lang w:eastAsia="cs-CZ"/>
        </w:rPr>
        <w:t>agendového</w:t>
      </w:r>
      <w:proofErr w:type="spellEnd"/>
      <w:r w:rsidR="006E1BF4">
        <w:rPr>
          <w:lang w:eastAsia="cs-CZ"/>
        </w:rPr>
        <w:t xml:space="preserve"> IS insolvenčního </w:t>
      </w:r>
      <w:r w:rsidR="00653B2A">
        <w:rPr>
          <w:lang w:eastAsia="cs-CZ"/>
        </w:rPr>
        <w:t>rejstříku</w:t>
      </w:r>
      <w:r w:rsidR="0063607A">
        <w:rPr>
          <w:lang w:eastAsia="cs-CZ"/>
        </w:rPr>
        <w:t xml:space="preserve"> a</w:t>
      </w:r>
      <w:r w:rsidR="005557EA">
        <w:rPr>
          <w:lang w:eastAsia="cs-CZ"/>
        </w:rPr>
        <w:t xml:space="preserve"> </w:t>
      </w:r>
      <w:r w:rsidR="00C9093C" w:rsidRPr="00317D87">
        <w:rPr>
          <w:lang w:eastAsia="cs-CZ"/>
        </w:rPr>
        <w:t>c</w:t>
      </w:r>
      <w:r w:rsidR="005557EA" w:rsidRPr="00C9093C">
        <w:rPr>
          <w:lang w:eastAsia="cs-CZ"/>
        </w:rPr>
        <w:t>entra justice</w:t>
      </w:r>
      <w:r w:rsidR="005557EA">
        <w:rPr>
          <w:lang w:eastAsia="cs-CZ"/>
        </w:rPr>
        <w:t>,</w:t>
      </w:r>
      <w:r w:rsidR="0063607A">
        <w:rPr>
          <w:lang w:eastAsia="cs-CZ"/>
        </w:rPr>
        <w:t xml:space="preserve"> ale i</w:t>
      </w:r>
      <w:r w:rsidR="005557EA">
        <w:rPr>
          <w:lang w:eastAsia="cs-CZ"/>
        </w:rPr>
        <w:t xml:space="preserve"> </w:t>
      </w:r>
      <w:r w:rsidR="00DA4196">
        <w:rPr>
          <w:lang w:eastAsia="cs-CZ"/>
        </w:rPr>
        <w:t>c</w:t>
      </w:r>
      <w:r w:rsidR="005557EA">
        <w:rPr>
          <w:lang w:eastAsia="cs-CZ"/>
        </w:rPr>
        <w:t>entrálního modulu správy uživatelů a rolí</w:t>
      </w:r>
      <w:r w:rsidR="00DA4196">
        <w:rPr>
          <w:lang w:eastAsia="cs-CZ"/>
        </w:rPr>
        <w:t>, vytvoření</w:t>
      </w:r>
      <w:r w:rsidR="005557EA">
        <w:rPr>
          <w:lang w:eastAsia="cs-CZ"/>
        </w:rPr>
        <w:t xml:space="preserve"> </w:t>
      </w:r>
      <w:r w:rsidR="00DA4196">
        <w:rPr>
          <w:lang w:eastAsia="cs-CZ"/>
        </w:rPr>
        <w:t>j</w:t>
      </w:r>
      <w:r w:rsidR="005557EA">
        <w:rPr>
          <w:lang w:eastAsia="cs-CZ"/>
        </w:rPr>
        <w:t xml:space="preserve">ustičního </w:t>
      </w:r>
      <w:proofErr w:type="spellStart"/>
      <w:r w:rsidR="005557EA">
        <w:rPr>
          <w:lang w:eastAsia="cs-CZ"/>
        </w:rPr>
        <w:t>service</w:t>
      </w:r>
      <w:proofErr w:type="spellEnd"/>
      <w:r w:rsidR="005557EA">
        <w:rPr>
          <w:lang w:eastAsia="cs-CZ"/>
        </w:rPr>
        <w:t xml:space="preserve"> bus, konfiguraci již existující komunikační brány justice a</w:t>
      </w:r>
      <w:r w:rsidR="00BB244D">
        <w:rPr>
          <w:lang w:eastAsia="cs-CZ"/>
        </w:rPr>
        <w:t> </w:t>
      </w:r>
      <w:r w:rsidR="005557EA">
        <w:rPr>
          <w:lang w:eastAsia="cs-CZ"/>
        </w:rPr>
        <w:t>vytvoření dalších nezbytných podpůrných komponent.</w:t>
      </w:r>
    </w:p>
    <w:p w14:paraId="05819141" w14:textId="175EC9B8" w:rsidR="00024E4B" w:rsidRDefault="00E76B8F" w:rsidP="007D38F6">
      <w:pPr>
        <w:rPr>
          <w:lang w:eastAsia="cs-CZ"/>
        </w:rPr>
      </w:pPr>
      <w:r>
        <w:rPr>
          <w:lang w:eastAsia="cs-CZ"/>
        </w:rPr>
        <w:t xml:space="preserve">Celkové způsobilé výdaje (dále také „CZV“) projektu </w:t>
      </w:r>
      <w:proofErr w:type="spellStart"/>
      <w:r>
        <w:rPr>
          <w:lang w:eastAsia="cs-CZ"/>
        </w:rPr>
        <w:t>eISIR</w:t>
      </w:r>
      <w:proofErr w:type="spellEnd"/>
      <w:r>
        <w:rPr>
          <w:lang w:eastAsia="cs-CZ"/>
        </w:rPr>
        <w:t xml:space="preserve"> byly </w:t>
      </w:r>
      <w:r w:rsidR="0076047D">
        <w:rPr>
          <w:lang w:eastAsia="cs-CZ"/>
        </w:rPr>
        <w:t>stanoveny</w:t>
      </w:r>
      <w:r>
        <w:rPr>
          <w:lang w:eastAsia="cs-CZ"/>
        </w:rPr>
        <w:t xml:space="preserve"> na 219 946 300 Kč, z toho </w:t>
      </w:r>
      <w:r w:rsidR="00DE47D3">
        <w:rPr>
          <w:lang w:eastAsia="cs-CZ"/>
        </w:rPr>
        <w:t xml:space="preserve">peněžní prostředky z </w:t>
      </w:r>
      <w:r w:rsidR="00BB3DE2">
        <w:rPr>
          <w:lang w:eastAsia="cs-CZ"/>
        </w:rPr>
        <w:t>EU</w:t>
      </w:r>
      <w:r>
        <w:rPr>
          <w:lang w:eastAsia="cs-CZ"/>
        </w:rPr>
        <w:t xml:space="preserve"> </w:t>
      </w:r>
      <w:r w:rsidR="00511E38">
        <w:rPr>
          <w:lang w:eastAsia="cs-CZ"/>
        </w:rPr>
        <w:t xml:space="preserve">mají </w:t>
      </w:r>
      <w:r>
        <w:rPr>
          <w:lang w:eastAsia="cs-CZ"/>
        </w:rPr>
        <w:t>čini</w:t>
      </w:r>
      <w:r w:rsidR="00511E38">
        <w:rPr>
          <w:lang w:eastAsia="cs-CZ"/>
        </w:rPr>
        <w:t>t</w:t>
      </w:r>
      <w:r>
        <w:rPr>
          <w:lang w:eastAsia="cs-CZ"/>
        </w:rPr>
        <w:t xml:space="preserve"> 177 848 578 Kč (80,86 % CZV) a </w:t>
      </w:r>
      <w:r w:rsidR="00DE47D3">
        <w:rPr>
          <w:lang w:eastAsia="cs-CZ"/>
        </w:rPr>
        <w:t xml:space="preserve">peněžní prostředky ze státního rozpočtu </w:t>
      </w:r>
      <w:r>
        <w:rPr>
          <w:lang w:eastAsia="cs-CZ"/>
        </w:rPr>
        <w:t>42 097 72</w:t>
      </w:r>
      <w:r w:rsidR="00B4353E">
        <w:rPr>
          <w:lang w:eastAsia="cs-CZ"/>
        </w:rPr>
        <w:t>2</w:t>
      </w:r>
      <w:r>
        <w:rPr>
          <w:lang w:eastAsia="cs-CZ"/>
        </w:rPr>
        <w:t xml:space="preserve"> Kč (</w:t>
      </w:r>
      <w:r w:rsidRPr="003818FE">
        <w:rPr>
          <w:lang w:eastAsia="cs-CZ"/>
        </w:rPr>
        <w:t>19,14</w:t>
      </w:r>
      <w:r>
        <w:rPr>
          <w:lang w:eastAsia="cs-CZ"/>
        </w:rPr>
        <w:t> % CZV). Výdaje na hlavní aktivitu byly vyčísleny na 191 475 000 Kč, výdaje na vedlejší aktivity byly vyčísleny na 28 471 300 Kč. Hlavní aktivitou bylo pořízení dlouhodobého nehmotného majetku (softwar</w:t>
      </w:r>
      <w:r w:rsidR="00DA4196">
        <w:rPr>
          <w:lang w:eastAsia="cs-CZ"/>
        </w:rPr>
        <w:t>u</w:t>
      </w:r>
      <w:r>
        <w:rPr>
          <w:lang w:eastAsia="cs-CZ"/>
        </w:rPr>
        <w:t>). Vedlejšími aktivitami byly pořízení koncov</w:t>
      </w:r>
      <w:r w:rsidR="00DA4196">
        <w:rPr>
          <w:lang w:eastAsia="cs-CZ"/>
        </w:rPr>
        <w:t>ých</w:t>
      </w:r>
      <w:r>
        <w:rPr>
          <w:lang w:eastAsia="cs-CZ"/>
        </w:rPr>
        <w:t xml:space="preserve"> hardwar</w:t>
      </w:r>
      <w:r w:rsidR="00DA4196">
        <w:rPr>
          <w:lang w:eastAsia="cs-CZ"/>
        </w:rPr>
        <w:t>ových</w:t>
      </w:r>
      <w:r>
        <w:rPr>
          <w:lang w:eastAsia="cs-CZ"/>
        </w:rPr>
        <w:t xml:space="preserve"> zařízení – skenerů (56</w:t>
      </w:r>
      <w:r w:rsidR="007E11F3">
        <w:rPr>
          <w:lang w:eastAsia="cs-CZ"/>
        </w:rPr>
        <w:t> </w:t>
      </w:r>
      <w:r>
        <w:rPr>
          <w:lang w:eastAsia="cs-CZ"/>
        </w:rPr>
        <w:t xml:space="preserve">ks), zpracování zadávacích dokumentací </w:t>
      </w:r>
      <w:r w:rsidR="00DA4196">
        <w:rPr>
          <w:lang w:eastAsia="cs-CZ"/>
        </w:rPr>
        <w:t xml:space="preserve">pro </w:t>
      </w:r>
      <w:r>
        <w:rPr>
          <w:lang w:eastAsia="cs-CZ"/>
        </w:rPr>
        <w:t xml:space="preserve">VZ a </w:t>
      </w:r>
      <w:r w:rsidR="00DA4196">
        <w:rPr>
          <w:lang w:eastAsia="cs-CZ"/>
        </w:rPr>
        <w:t>pro</w:t>
      </w:r>
      <w:r>
        <w:rPr>
          <w:lang w:eastAsia="cs-CZ"/>
        </w:rPr>
        <w:t xml:space="preserve"> organiz</w:t>
      </w:r>
      <w:r w:rsidR="00DA4196">
        <w:rPr>
          <w:lang w:eastAsia="cs-CZ"/>
        </w:rPr>
        <w:t>ování</w:t>
      </w:r>
      <w:r>
        <w:rPr>
          <w:lang w:eastAsia="cs-CZ"/>
        </w:rPr>
        <w:t xml:space="preserve"> výběrových a zadávacích řízení, </w:t>
      </w:r>
      <w:r w:rsidR="00DA4196">
        <w:rPr>
          <w:lang w:eastAsia="cs-CZ"/>
        </w:rPr>
        <w:t xml:space="preserve">nákup </w:t>
      </w:r>
      <w:r>
        <w:rPr>
          <w:lang w:eastAsia="cs-CZ"/>
        </w:rPr>
        <w:t>služ</w:t>
      </w:r>
      <w:r w:rsidR="00DA4196">
        <w:rPr>
          <w:lang w:eastAsia="cs-CZ"/>
        </w:rPr>
        <w:t>e</w:t>
      </w:r>
      <w:r>
        <w:rPr>
          <w:lang w:eastAsia="cs-CZ"/>
        </w:rPr>
        <w:t xml:space="preserve">b odborné konzultace a dozoru </w:t>
      </w:r>
      <w:r w:rsidR="00DA4196">
        <w:rPr>
          <w:lang w:eastAsia="cs-CZ"/>
        </w:rPr>
        <w:t xml:space="preserve">pro </w:t>
      </w:r>
      <w:r>
        <w:rPr>
          <w:lang w:eastAsia="cs-CZ"/>
        </w:rPr>
        <w:t>implementac</w:t>
      </w:r>
      <w:r w:rsidR="00DA4196">
        <w:rPr>
          <w:lang w:eastAsia="cs-CZ"/>
        </w:rPr>
        <w:t>i</w:t>
      </w:r>
      <w:r>
        <w:rPr>
          <w:lang w:eastAsia="cs-CZ"/>
        </w:rPr>
        <w:t xml:space="preserve"> IS.</w:t>
      </w:r>
    </w:p>
    <w:p w14:paraId="56AE1CAA" w14:textId="31699BB1" w:rsidR="00024E4B" w:rsidRDefault="00024E4B" w:rsidP="00024E4B">
      <w:pPr>
        <w:keepNext/>
        <w:rPr>
          <w:lang w:eastAsia="cs-CZ"/>
        </w:rPr>
      </w:pP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zvolilo dva monitorovací indikátory: </w:t>
      </w:r>
      <w:r w:rsidR="00DA4196">
        <w:rPr>
          <w:lang w:eastAsia="cs-CZ"/>
        </w:rPr>
        <w:t>„</w:t>
      </w:r>
      <w:r w:rsidR="00DA4196">
        <w:rPr>
          <w:i/>
          <w:lang w:eastAsia="cs-CZ"/>
        </w:rPr>
        <w:t>p</w:t>
      </w:r>
      <w:r w:rsidRPr="003F1D24">
        <w:rPr>
          <w:i/>
          <w:lang w:eastAsia="cs-CZ"/>
        </w:rPr>
        <w:t>očet pořízených IS</w:t>
      </w:r>
      <w:r w:rsidR="00DA4196">
        <w:rPr>
          <w:lang w:eastAsia="cs-CZ"/>
        </w:rPr>
        <w:t>“</w:t>
      </w:r>
      <w:r>
        <w:rPr>
          <w:lang w:eastAsia="cs-CZ"/>
        </w:rPr>
        <w:t xml:space="preserve"> s cílovou hodnotou 1 (měl být vytvořen nový </w:t>
      </w:r>
      <w:proofErr w:type="spellStart"/>
      <w:r w:rsidR="00597F00">
        <w:rPr>
          <w:lang w:eastAsia="cs-CZ"/>
        </w:rPr>
        <w:t>agendový</w:t>
      </w:r>
      <w:proofErr w:type="spellEnd"/>
      <w:r>
        <w:rPr>
          <w:lang w:eastAsia="cs-CZ"/>
        </w:rPr>
        <w:t xml:space="preserve"> IS insolvenčního rejstříku) a </w:t>
      </w:r>
      <w:r w:rsidR="00DA4196">
        <w:rPr>
          <w:lang w:eastAsia="cs-CZ"/>
        </w:rPr>
        <w:t>„</w:t>
      </w:r>
      <w:r w:rsidR="00DA4196">
        <w:rPr>
          <w:i/>
          <w:lang w:eastAsia="cs-CZ"/>
        </w:rPr>
        <w:t>n</w:t>
      </w:r>
      <w:r w:rsidRPr="003F1D24">
        <w:rPr>
          <w:i/>
          <w:lang w:eastAsia="cs-CZ"/>
        </w:rPr>
        <w:t>ová funkcionalita IS</w:t>
      </w:r>
      <w:r w:rsidR="00DA4196" w:rsidRPr="00317D87">
        <w:rPr>
          <w:lang w:eastAsia="cs-CZ"/>
        </w:rPr>
        <w:t>“</w:t>
      </w:r>
      <w:r>
        <w:rPr>
          <w:lang w:eastAsia="cs-CZ"/>
        </w:rPr>
        <w:t xml:space="preserve"> s cílovou hodnotou 5.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vybralo následující nové funkcionality: </w:t>
      </w:r>
      <w:r w:rsidR="00BC5689">
        <w:rPr>
          <w:lang w:eastAsia="cs-CZ"/>
        </w:rPr>
        <w:t>1) s</w:t>
      </w:r>
      <w:r>
        <w:rPr>
          <w:lang w:eastAsia="cs-CZ"/>
        </w:rPr>
        <w:t xml:space="preserve">amoobslužný proces veřejné správy, </w:t>
      </w:r>
      <w:r w:rsidR="00BC5689">
        <w:rPr>
          <w:lang w:eastAsia="cs-CZ"/>
        </w:rPr>
        <w:t>2) i</w:t>
      </w:r>
      <w:r>
        <w:rPr>
          <w:lang w:eastAsia="cs-CZ"/>
        </w:rPr>
        <w:t xml:space="preserve">ntegrace datového fondu orgánu veřejné moci a jeho propojení s dalšími orgány, aby bylo možné data sdílet a využívat </w:t>
      </w:r>
      <w:r w:rsidR="000E7557">
        <w:rPr>
          <w:lang w:eastAsia="cs-CZ"/>
        </w:rPr>
        <w:t xml:space="preserve">je </w:t>
      </w:r>
      <w:r>
        <w:rPr>
          <w:lang w:eastAsia="cs-CZ"/>
        </w:rPr>
        <w:t>i v jiných IS</w:t>
      </w:r>
      <w:r w:rsidR="001D23C5">
        <w:rPr>
          <w:lang w:eastAsia="cs-CZ"/>
        </w:rPr>
        <w:t xml:space="preserve"> veřejné</w:t>
      </w:r>
      <w:r w:rsidR="000E7557">
        <w:rPr>
          <w:lang w:eastAsia="cs-CZ"/>
        </w:rPr>
        <w:t xml:space="preserve"> správy</w:t>
      </w:r>
      <w:r>
        <w:rPr>
          <w:lang w:eastAsia="cs-CZ"/>
        </w:rPr>
        <w:t xml:space="preserve">, </w:t>
      </w:r>
      <w:r w:rsidR="00BC5689">
        <w:rPr>
          <w:lang w:eastAsia="cs-CZ"/>
        </w:rPr>
        <w:t>3) i</w:t>
      </w:r>
      <w:r>
        <w:rPr>
          <w:lang w:eastAsia="cs-CZ"/>
        </w:rPr>
        <w:t xml:space="preserve">nteroperabilita na území státu s přesahem i např. v rámci </w:t>
      </w:r>
      <w:r w:rsidR="000E7557">
        <w:rPr>
          <w:lang w:eastAsia="cs-CZ"/>
        </w:rPr>
        <w:t>E</w:t>
      </w:r>
      <w:r w:rsidR="00BB3DE2">
        <w:rPr>
          <w:lang w:eastAsia="cs-CZ"/>
        </w:rPr>
        <w:t>U</w:t>
      </w:r>
      <w:r>
        <w:rPr>
          <w:lang w:eastAsia="cs-CZ"/>
        </w:rPr>
        <w:t xml:space="preserve">, </w:t>
      </w:r>
      <w:r w:rsidR="00BC5689">
        <w:rPr>
          <w:lang w:eastAsia="cs-CZ"/>
        </w:rPr>
        <w:t>4) c</w:t>
      </w:r>
      <w:r>
        <w:rPr>
          <w:lang w:eastAsia="cs-CZ"/>
        </w:rPr>
        <w:t xml:space="preserve">eloplošná dostupnost, </w:t>
      </w:r>
      <w:r w:rsidR="00BC5689">
        <w:rPr>
          <w:lang w:eastAsia="cs-CZ"/>
        </w:rPr>
        <w:t>5) z</w:t>
      </w:r>
      <w:r>
        <w:rPr>
          <w:lang w:eastAsia="cs-CZ"/>
        </w:rPr>
        <w:t>ajištění provozní bezpečnosti a</w:t>
      </w:r>
      <w:r w:rsidR="00BB244D">
        <w:rPr>
          <w:lang w:eastAsia="cs-CZ"/>
        </w:rPr>
        <w:t> </w:t>
      </w:r>
      <w:r>
        <w:rPr>
          <w:lang w:eastAsia="cs-CZ"/>
        </w:rPr>
        <w:t>spolehlivosti.</w:t>
      </w:r>
    </w:p>
    <w:p w14:paraId="708E8C7B" w14:textId="2A1544BD" w:rsidR="00024E4B" w:rsidRPr="00024E4B" w:rsidRDefault="00024E4B" w:rsidP="00024E4B">
      <w:pPr>
        <w:rPr>
          <w:lang w:eastAsia="cs-CZ"/>
        </w:rPr>
      </w:pPr>
      <w:proofErr w:type="spellStart"/>
      <w:r w:rsidRPr="00024E4B">
        <w:rPr>
          <w:lang w:eastAsia="cs-CZ"/>
        </w:rPr>
        <w:t>MSp</w:t>
      </w:r>
      <w:proofErr w:type="spellEnd"/>
      <w:r w:rsidRPr="00024E4B">
        <w:rPr>
          <w:lang w:eastAsia="cs-CZ"/>
        </w:rPr>
        <w:t xml:space="preserve"> v</w:t>
      </w:r>
      <w:r w:rsidR="00A82034">
        <w:rPr>
          <w:lang w:eastAsia="cs-CZ"/>
        </w:rPr>
        <w:t xml:space="preserve"> </w:t>
      </w:r>
      <w:r w:rsidRPr="00024E4B">
        <w:rPr>
          <w:lang w:eastAsia="cs-CZ"/>
        </w:rPr>
        <w:t xml:space="preserve">souladu se </w:t>
      </w:r>
      <w:r w:rsidR="00DA4196">
        <w:rPr>
          <w:lang w:eastAsia="cs-CZ"/>
        </w:rPr>
        <w:t>s</w:t>
      </w:r>
      <w:r w:rsidRPr="00317D87">
        <w:rPr>
          <w:lang w:eastAsia="cs-CZ"/>
        </w:rPr>
        <w:t>tudií proveditelnosti</w:t>
      </w:r>
      <w:r w:rsidRPr="00024E4B">
        <w:rPr>
          <w:lang w:eastAsia="cs-CZ"/>
        </w:rPr>
        <w:t xml:space="preserve"> a </w:t>
      </w:r>
      <w:r w:rsidRPr="000E7557">
        <w:rPr>
          <w:i/>
          <w:lang w:eastAsia="cs-CZ"/>
        </w:rPr>
        <w:t xml:space="preserve">Metodickým manuálem projektového řízení </w:t>
      </w:r>
      <w:r w:rsidRPr="00024E4B">
        <w:rPr>
          <w:lang w:eastAsia="cs-CZ"/>
        </w:rPr>
        <w:t xml:space="preserve">vytvořilo realizační tým, který řídil a koordinoval realizaci projektu </w:t>
      </w:r>
      <w:proofErr w:type="spellStart"/>
      <w:r w:rsidRPr="00024E4B">
        <w:rPr>
          <w:lang w:eastAsia="cs-CZ"/>
        </w:rPr>
        <w:t>eISIR</w:t>
      </w:r>
      <w:proofErr w:type="spellEnd"/>
      <w:r w:rsidRPr="00024E4B">
        <w:rPr>
          <w:lang w:eastAsia="cs-CZ"/>
        </w:rPr>
        <w:t xml:space="preserve"> a</w:t>
      </w:r>
      <w:r w:rsidR="00BC5689">
        <w:rPr>
          <w:lang w:eastAsia="cs-CZ"/>
        </w:rPr>
        <w:t xml:space="preserve"> </w:t>
      </w:r>
      <w:r w:rsidRPr="00024E4B">
        <w:rPr>
          <w:lang w:eastAsia="cs-CZ"/>
        </w:rPr>
        <w:t>dohlížel na plnění věcného, časového a finančního plánu. Ne vždy byla dodržena stanovená frekvence jednání, a to zejména v letech 2017 a 2018.</w:t>
      </w:r>
    </w:p>
    <w:p w14:paraId="0E137CBE" w14:textId="0FC29D54" w:rsidR="00074D04" w:rsidRDefault="00024E4B" w:rsidP="00024E4B">
      <w:pPr>
        <w:rPr>
          <w:lang w:eastAsia="cs-CZ"/>
        </w:rPr>
      </w:pP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v době od </w:t>
      </w:r>
      <w:r w:rsidR="00784482">
        <w:rPr>
          <w:lang w:eastAsia="cs-CZ"/>
        </w:rPr>
        <w:t xml:space="preserve">24. 11. 2016 </w:t>
      </w:r>
      <w:r>
        <w:rPr>
          <w:lang w:eastAsia="cs-CZ"/>
        </w:rPr>
        <w:t xml:space="preserve">do 31. 5. 2022 </w:t>
      </w:r>
      <w:r w:rsidR="00A37C11">
        <w:rPr>
          <w:lang w:eastAsia="cs-CZ"/>
        </w:rPr>
        <w:t xml:space="preserve">provedlo celkem 10 změn projektu </w:t>
      </w:r>
      <w:proofErr w:type="spellStart"/>
      <w:r w:rsidR="00A37C11">
        <w:rPr>
          <w:lang w:eastAsia="cs-CZ"/>
        </w:rPr>
        <w:t>eISIR</w:t>
      </w:r>
      <w:proofErr w:type="spellEnd"/>
      <w:r>
        <w:rPr>
          <w:lang w:eastAsia="cs-CZ"/>
        </w:rPr>
        <w:t>.</w:t>
      </w:r>
      <w:r w:rsidR="00A27156">
        <w:rPr>
          <w:lang w:eastAsia="cs-CZ"/>
        </w:rPr>
        <w:t xml:space="preserve"> Opakovaně prodlužovalo termín ukončení realizace a upravovalo a posouvalo jednotlivé etapy. </w:t>
      </w:r>
      <w:r w:rsidR="00BC5689">
        <w:rPr>
          <w:lang w:eastAsia="cs-CZ"/>
        </w:rPr>
        <w:t>Z</w:t>
      </w:r>
      <w:r w:rsidR="00A27156" w:rsidRPr="00E532D5">
        <w:rPr>
          <w:lang w:eastAsia="cs-CZ"/>
        </w:rPr>
        <w:t>pracování</w:t>
      </w:r>
      <w:r w:rsidR="00BC5689">
        <w:rPr>
          <w:lang w:eastAsia="cs-CZ"/>
        </w:rPr>
        <w:t>m</w:t>
      </w:r>
      <w:r w:rsidR="00A27156" w:rsidRPr="00E532D5">
        <w:rPr>
          <w:lang w:eastAsia="cs-CZ"/>
        </w:rPr>
        <w:t xml:space="preserve"> analýzy technických a věcných požadavků na fungování </w:t>
      </w:r>
      <w:r w:rsidR="00A27156">
        <w:rPr>
          <w:lang w:eastAsia="cs-CZ"/>
        </w:rPr>
        <w:t>IS</w:t>
      </w:r>
      <w:r w:rsidR="00A27156" w:rsidRPr="00E532D5">
        <w:rPr>
          <w:lang w:eastAsia="cs-CZ"/>
        </w:rPr>
        <w:t xml:space="preserve"> </w:t>
      </w:r>
      <w:r w:rsidR="00BC5689">
        <w:rPr>
          <w:lang w:eastAsia="cs-CZ"/>
        </w:rPr>
        <w:t xml:space="preserve">pověřilo oproti </w:t>
      </w:r>
      <w:r w:rsidR="00BC5689" w:rsidRPr="00E532D5">
        <w:rPr>
          <w:lang w:eastAsia="cs-CZ"/>
        </w:rPr>
        <w:t xml:space="preserve">původnímu záměru </w:t>
      </w:r>
      <w:r w:rsidR="00BC5689">
        <w:rPr>
          <w:lang w:eastAsia="cs-CZ"/>
        </w:rPr>
        <w:t>vlastní</w:t>
      </w:r>
      <w:r w:rsidR="00A27156" w:rsidRPr="00E532D5">
        <w:rPr>
          <w:lang w:eastAsia="cs-CZ"/>
        </w:rPr>
        <w:t xml:space="preserve"> zaměstnanc</w:t>
      </w:r>
      <w:r w:rsidR="00BC5689">
        <w:rPr>
          <w:lang w:eastAsia="cs-CZ"/>
        </w:rPr>
        <w:t>e</w:t>
      </w:r>
      <w:r w:rsidR="00A27156">
        <w:rPr>
          <w:lang w:eastAsia="cs-CZ"/>
        </w:rPr>
        <w:t>. O</w:t>
      </w:r>
      <w:r w:rsidR="00A27156" w:rsidRPr="00E532D5">
        <w:rPr>
          <w:lang w:eastAsia="cs-CZ"/>
        </w:rPr>
        <w:t xml:space="preserve">pakovaně přeskupovalo VZ a posouvalo jejich realizaci. Nejprve </w:t>
      </w:r>
      <w:r w:rsidR="00A27156">
        <w:rPr>
          <w:lang w:eastAsia="cs-CZ"/>
        </w:rPr>
        <w:t xml:space="preserve">komplexní </w:t>
      </w:r>
      <w:r w:rsidR="00BC5689">
        <w:rPr>
          <w:lang w:eastAsia="cs-CZ"/>
        </w:rPr>
        <w:t>veřejnou zakázku</w:t>
      </w:r>
      <w:r w:rsidR="00A27156" w:rsidRPr="00E532D5">
        <w:rPr>
          <w:lang w:eastAsia="cs-CZ"/>
        </w:rPr>
        <w:t xml:space="preserve"> na vývoj a implementaci </w:t>
      </w:r>
      <w:r w:rsidR="00A27156">
        <w:rPr>
          <w:lang w:eastAsia="cs-CZ"/>
        </w:rPr>
        <w:t xml:space="preserve">požadovaných IS </w:t>
      </w:r>
      <w:r w:rsidR="00A27156" w:rsidRPr="00E532D5">
        <w:rPr>
          <w:lang w:eastAsia="cs-CZ"/>
        </w:rPr>
        <w:t>rozdělilo na 7</w:t>
      </w:r>
      <w:r w:rsidR="00BC5689">
        <w:rPr>
          <w:lang w:eastAsia="cs-CZ"/>
        </w:rPr>
        <w:t xml:space="preserve"> </w:t>
      </w:r>
      <w:r w:rsidR="00A27156" w:rsidRPr="00E532D5">
        <w:rPr>
          <w:lang w:eastAsia="cs-CZ"/>
        </w:rPr>
        <w:t xml:space="preserve">menších VZ. O dva roky později je téměř všechny opět sloučilo do jedné velké VZ. </w:t>
      </w:r>
      <w:proofErr w:type="spellStart"/>
      <w:r w:rsidR="00A27156" w:rsidRPr="00E532D5">
        <w:rPr>
          <w:lang w:eastAsia="cs-CZ"/>
        </w:rPr>
        <w:t>MSp</w:t>
      </w:r>
      <w:proofErr w:type="spellEnd"/>
      <w:r w:rsidR="00A27156" w:rsidRPr="00E532D5">
        <w:rPr>
          <w:lang w:eastAsia="cs-CZ"/>
        </w:rPr>
        <w:t xml:space="preserve"> doplňovalo, rozšiřovalo a zároveň vynechávalo </w:t>
      </w:r>
      <w:r w:rsidR="00A27156">
        <w:rPr>
          <w:lang w:eastAsia="cs-CZ"/>
        </w:rPr>
        <w:t xml:space="preserve">dílčí </w:t>
      </w:r>
      <w:r w:rsidR="00A27156" w:rsidRPr="00E532D5">
        <w:rPr>
          <w:lang w:eastAsia="cs-CZ"/>
        </w:rPr>
        <w:t>aktivity</w:t>
      </w:r>
      <w:bookmarkStart w:id="3" w:name="_Hlk109294121"/>
      <w:r w:rsidR="00A27156">
        <w:rPr>
          <w:lang w:eastAsia="cs-CZ"/>
        </w:rPr>
        <w:t xml:space="preserve"> (</w:t>
      </w:r>
      <w:r w:rsidR="00BC5689">
        <w:rPr>
          <w:lang w:eastAsia="cs-CZ"/>
        </w:rPr>
        <w:t>j</w:t>
      </w:r>
      <w:r w:rsidR="00A27156">
        <w:rPr>
          <w:lang w:eastAsia="cs-CZ"/>
        </w:rPr>
        <w:t xml:space="preserve">ustiční </w:t>
      </w:r>
      <w:proofErr w:type="spellStart"/>
      <w:r w:rsidR="00A27156">
        <w:rPr>
          <w:lang w:eastAsia="cs-CZ"/>
        </w:rPr>
        <w:t>service</w:t>
      </w:r>
      <w:proofErr w:type="spellEnd"/>
      <w:r w:rsidR="00A27156">
        <w:rPr>
          <w:lang w:eastAsia="cs-CZ"/>
        </w:rPr>
        <w:t xml:space="preserve"> bus). P</w:t>
      </w:r>
      <w:r w:rsidRPr="00024E4B">
        <w:rPr>
          <w:lang w:eastAsia="cs-CZ"/>
        </w:rPr>
        <w:t xml:space="preserve">řepracovalo architekturu projektu. Systém </w:t>
      </w:r>
      <w:proofErr w:type="spellStart"/>
      <w:r w:rsidRPr="00024E4B">
        <w:rPr>
          <w:lang w:eastAsia="cs-CZ"/>
        </w:rPr>
        <w:t>eSpis</w:t>
      </w:r>
      <w:proofErr w:type="spellEnd"/>
      <w:r w:rsidRPr="00024E4B">
        <w:rPr>
          <w:lang w:eastAsia="cs-CZ"/>
        </w:rPr>
        <w:t xml:space="preserve"> vyčlenilo z</w:t>
      </w:r>
      <w:r w:rsidR="00BC5689">
        <w:rPr>
          <w:lang w:eastAsia="cs-CZ"/>
        </w:rPr>
        <w:t xml:space="preserve"> </w:t>
      </w:r>
      <w:proofErr w:type="spellStart"/>
      <w:r w:rsidR="00121C7E">
        <w:rPr>
          <w:lang w:eastAsia="cs-CZ"/>
        </w:rPr>
        <w:t>agendového</w:t>
      </w:r>
      <w:proofErr w:type="spellEnd"/>
      <w:r w:rsidR="00121C7E">
        <w:rPr>
          <w:lang w:eastAsia="cs-CZ"/>
        </w:rPr>
        <w:t xml:space="preserve"> IS insolvenčního rejstříku</w:t>
      </w:r>
      <w:r w:rsidRPr="00024E4B">
        <w:rPr>
          <w:lang w:eastAsia="cs-CZ"/>
        </w:rPr>
        <w:t xml:space="preserve"> a zahrnulo ho do </w:t>
      </w:r>
      <w:r w:rsidR="00C9093C" w:rsidRPr="00317D87">
        <w:rPr>
          <w:lang w:eastAsia="cs-CZ"/>
        </w:rPr>
        <w:t>c</w:t>
      </w:r>
      <w:r w:rsidR="00D71AE8" w:rsidRPr="00C9093C">
        <w:rPr>
          <w:lang w:eastAsia="cs-CZ"/>
        </w:rPr>
        <w:t>entra justice</w:t>
      </w:r>
      <w:r w:rsidRPr="00024E4B">
        <w:rPr>
          <w:lang w:eastAsia="cs-CZ"/>
        </w:rPr>
        <w:t xml:space="preserve"> jako je</w:t>
      </w:r>
      <w:r w:rsidR="00E72D39">
        <w:rPr>
          <w:lang w:eastAsia="cs-CZ"/>
        </w:rPr>
        <w:t>ho</w:t>
      </w:r>
      <w:r w:rsidRPr="00024E4B">
        <w:rPr>
          <w:lang w:eastAsia="cs-CZ"/>
        </w:rPr>
        <w:t xml:space="preserve"> nejvýznamnější složku. Nově </w:t>
      </w:r>
      <w:r w:rsidR="00A27156">
        <w:rPr>
          <w:lang w:eastAsia="cs-CZ"/>
        </w:rPr>
        <w:t xml:space="preserve">tak </w:t>
      </w:r>
      <w:r w:rsidRPr="00024E4B">
        <w:rPr>
          <w:lang w:eastAsia="cs-CZ"/>
        </w:rPr>
        <w:t xml:space="preserve">má být </w:t>
      </w:r>
      <w:proofErr w:type="spellStart"/>
      <w:r w:rsidRPr="00024E4B">
        <w:rPr>
          <w:lang w:eastAsia="cs-CZ"/>
        </w:rPr>
        <w:t>eSpis</w:t>
      </w:r>
      <w:proofErr w:type="spellEnd"/>
      <w:r w:rsidRPr="00024E4B">
        <w:rPr>
          <w:lang w:eastAsia="cs-CZ"/>
        </w:rPr>
        <w:t xml:space="preserve"> robustním modulárním systémem spisové služby pro celou justici </w:t>
      </w:r>
      <w:r w:rsidR="0086438B">
        <w:rPr>
          <w:lang w:eastAsia="cs-CZ"/>
        </w:rPr>
        <w:br/>
      </w:r>
      <w:r w:rsidRPr="00024E4B">
        <w:rPr>
          <w:lang w:eastAsia="cs-CZ"/>
        </w:rPr>
        <w:t>a</w:t>
      </w:r>
      <w:r w:rsidR="0086438B">
        <w:rPr>
          <w:lang w:eastAsia="cs-CZ"/>
        </w:rPr>
        <w:t xml:space="preserve"> </w:t>
      </w:r>
      <w:r w:rsidRPr="00024E4B">
        <w:rPr>
          <w:lang w:eastAsia="cs-CZ"/>
        </w:rPr>
        <w:t>samostatnou aplikací propojenou s</w:t>
      </w:r>
      <w:r w:rsidR="00A82034">
        <w:rPr>
          <w:lang w:eastAsia="cs-CZ"/>
        </w:rPr>
        <w:t xml:space="preserve"> </w:t>
      </w:r>
      <w:proofErr w:type="spellStart"/>
      <w:r w:rsidR="00121C7E">
        <w:rPr>
          <w:lang w:eastAsia="cs-CZ"/>
        </w:rPr>
        <w:t>agendovým</w:t>
      </w:r>
      <w:proofErr w:type="spellEnd"/>
      <w:r w:rsidR="00121C7E">
        <w:rPr>
          <w:lang w:eastAsia="cs-CZ"/>
        </w:rPr>
        <w:t xml:space="preserve"> IS insolvenčního rejstříku</w:t>
      </w:r>
      <w:r w:rsidRPr="00024E4B">
        <w:rPr>
          <w:lang w:eastAsia="cs-CZ"/>
        </w:rPr>
        <w:t xml:space="preserve">, resp. </w:t>
      </w:r>
      <w:r w:rsidR="00121C7E">
        <w:rPr>
          <w:lang w:eastAsia="cs-CZ"/>
        </w:rPr>
        <w:t xml:space="preserve">jinými </w:t>
      </w:r>
      <w:proofErr w:type="spellStart"/>
      <w:r w:rsidR="00CF6D1B">
        <w:rPr>
          <w:lang w:eastAsia="cs-CZ"/>
        </w:rPr>
        <w:t>agendovými</w:t>
      </w:r>
      <w:proofErr w:type="spellEnd"/>
      <w:r w:rsidR="00CF6D1B">
        <w:rPr>
          <w:lang w:eastAsia="cs-CZ"/>
        </w:rPr>
        <w:t xml:space="preserve"> </w:t>
      </w:r>
      <w:r w:rsidRPr="00024E4B">
        <w:rPr>
          <w:lang w:eastAsia="cs-CZ"/>
        </w:rPr>
        <w:t>IS, a</w:t>
      </w:r>
      <w:r w:rsidR="006C2882">
        <w:rPr>
          <w:lang w:eastAsia="cs-CZ"/>
        </w:rPr>
        <w:t> </w:t>
      </w:r>
      <w:r w:rsidR="00D71AE8">
        <w:rPr>
          <w:lang w:eastAsia="cs-CZ"/>
        </w:rPr>
        <w:t>ostatními</w:t>
      </w:r>
      <w:r w:rsidR="00D71AE8" w:rsidRPr="00024E4B">
        <w:rPr>
          <w:lang w:eastAsia="cs-CZ"/>
        </w:rPr>
        <w:t xml:space="preserve"> </w:t>
      </w:r>
      <w:r w:rsidRPr="00024E4B">
        <w:rPr>
          <w:lang w:eastAsia="cs-CZ"/>
        </w:rPr>
        <w:t xml:space="preserve">prvky </w:t>
      </w:r>
      <w:r w:rsidR="00C9093C" w:rsidRPr="00317D87">
        <w:rPr>
          <w:lang w:eastAsia="cs-CZ"/>
        </w:rPr>
        <w:t>c</w:t>
      </w:r>
      <w:r w:rsidRPr="00C9093C">
        <w:rPr>
          <w:lang w:eastAsia="cs-CZ"/>
        </w:rPr>
        <w:t>entra justice</w:t>
      </w:r>
      <w:r w:rsidRPr="00024E4B">
        <w:rPr>
          <w:lang w:eastAsia="cs-CZ"/>
        </w:rPr>
        <w:t>.</w:t>
      </w:r>
    </w:p>
    <w:p w14:paraId="378B5D83" w14:textId="70D41AA4" w:rsidR="00A27156" w:rsidRDefault="00A27156" w:rsidP="00317D87">
      <w:pPr>
        <w:pStyle w:val="Nadpis2"/>
        <w:ind w:left="426" w:hanging="437"/>
        <w:rPr>
          <w:lang w:eastAsia="cs-CZ"/>
        </w:rPr>
      </w:pPr>
      <w:r>
        <w:rPr>
          <w:lang w:eastAsia="cs-CZ"/>
        </w:rPr>
        <w:t xml:space="preserve">Veřejné zakázky projektu </w:t>
      </w:r>
      <w:proofErr w:type="spellStart"/>
      <w:r>
        <w:rPr>
          <w:lang w:eastAsia="cs-CZ"/>
        </w:rPr>
        <w:t>eISIR</w:t>
      </w:r>
      <w:proofErr w:type="spellEnd"/>
    </w:p>
    <w:p w14:paraId="6B0BE434" w14:textId="3764F812" w:rsidR="0002198E" w:rsidRPr="001352E6" w:rsidRDefault="0002198E" w:rsidP="0002198E">
      <w:pPr>
        <w:rPr>
          <w:i/>
          <w:lang w:eastAsia="cs-CZ"/>
        </w:rPr>
      </w:pP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v rámci projektu </w:t>
      </w:r>
      <w:proofErr w:type="spellStart"/>
      <w:r>
        <w:rPr>
          <w:lang w:eastAsia="cs-CZ"/>
        </w:rPr>
        <w:t>eISIR</w:t>
      </w:r>
      <w:proofErr w:type="spellEnd"/>
      <w:r>
        <w:rPr>
          <w:lang w:eastAsia="cs-CZ"/>
        </w:rPr>
        <w:t xml:space="preserve"> </w:t>
      </w:r>
      <w:r w:rsidR="00B4353E">
        <w:rPr>
          <w:lang w:eastAsia="cs-CZ"/>
        </w:rPr>
        <w:t xml:space="preserve">zahájilo </w:t>
      </w:r>
      <w:r w:rsidR="0077245C">
        <w:rPr>
          <w:lang w:eastAsia="cs-CZ"/>
        </w:rPr>
        <w:t xml:space="preserve">zadávací řízení ke </w:t>
      </w:r>
      <w:r>
        <w:rPr>
          <w:lang w:eastAsia="cs-CZ"/>
        </w:rPr>
        <w:t>čtyř</w:t>
      </w:r>
      <w:r w:rsidR="0077245C">
        <w:rPr>
          <w:lang w:eastAsia="cs-CZ"/>
        </w:rPr>
        <w:t>em</w:t>
      </w:r>
      <w:r>
        <w:rPr>
          <w:lang w:eastAsia="cs-CZ"/>
        </w:rPr>
        <w:t xml:space="preserve"> VZ, z toho jedn</w:t>
      </w:r>
      <w:r w:rsidR="0077245C">
        <w:rPr>
          <w:lang w:eastAsia="cs-CZ"/>
        </w:rPr>
        <w:t>o</w:t>
      </w:r>
      <w:r>
        <w:rPr>
          <w:lang w:eastAsia="cs-CZ"/>
        </w:rPr>
        <w:t xml:space="preserve"> zrušilo (</w:t>
      </w:r>
      <w:r w:rsidRPr="00E15B9F">
        <w:rPr>
          <w:i/>
          <w:lang w:eastAsia="cs-CZ"/>
        </w:rPr>
        <w:t xml:space="preserve">Vývoj a implementace </w:t>
      </w:r>
      <w:proofErr w:type="spellStart"/>
      <w:r w:rsidRPr="00E15B9F">
        <w:rPr>
          <w:i/>
          <w:lang w:eastAsia="cs-CZ"/>
        </w:rPr>
        <w:t>eISIR</w:t>
      </w:r>
      <w:proofErr w:type="spellEnd"/>
      <w:r>
        <w:rPr>
          <w:lang w:eastAsia="cs-CZ"/>
        </w:rPr>
        <w:t>), dvě dokončilo (</w:t>
      </w:r>
      <w:r w:rsidRPr="00E15B9F">
        <w:rPr>
          <w:i/>
          <w:lang w:eastAsia="cs-CZ"/>
        </w:rPr>
        <w:t xml:space="preserve">Vývoj a implementace </w:t>
      </w:r>
      <w:r w:rsidR="0078626D">
        <w:rPr>
          <w:i/>
        </w:rPr>
        <w:t xml:space="preserve">– </w:t>
      </w:r>
      <w:r w:rsidRPr="00E15B9F">
        <w:rPr>
          <w:i/>
          <w:lang w:eastAsia="cs-CZ"/>
        </w:rPr>
        <w:t>Registry justičních činitelů</w:t>
      </w:r>
      <w:r>
        <w:rPr>
          <w:lang w:eastAsia="cs-CZ"/>
        </w:rPr>
        <w:t xml:space="preserve">, </w:t>
      </w:r>
      <w:r w:rsidRPr="00E15B9F">
        <w:rPr>
          <w:i/>
          <w:lang w:eastAsia="cs-CZ"/>
        </w:rPr>
        <w:lastRenderedPageBreak/>
        <w:t>Vývoj a implementace</w:t>
      </w:r>
      <w:r w:rsidR="0078626D">
        <w:rPr>
          <w:i/>
          <w:lang w:eastAsia="cs-CZ"/>
        </w:rPr>
        <w:t xml:space="preserve"> </w:t>
      </w:r>
      <w:r w:rsidR="0078626D" w:rsidRPr="005906B9">
        <w:rPr>
          <w:i/>
          <w:lang w:eastAsia="cs-CZ"/>
        </w:rPr>
        <w:t>–</w:t>
      </w:r>
      <w:r w:rsidRPr="00E15B9F">
        <w:rPr>
          <w:i/>
          <w:lang w:eastAsia="cs-CZ"/>
        </w:rPr>
        <w:t xml:space="preserve"> </w:t>
      </w:r>
      <w:r>
        <w:rPr>
          <w:i/>
          <w:lang w:eastAsia="cs-CZ"/>
        </w:rPr>
        <w:t>G</w:t>
      </w:r>
      <w:r w:rsidRPr="00E15B9F">
        <w:rPr>
          <w:i/>
          <w:lang w:eastAsia="cs-CZ"/>
        </w:rPr>
        <w:t>enerátor náhodného přiděl</w:t>
      </w:r>
      <w:r>
        <w:rPr>
          <w:i/>
          <w:lang w:eastAsia="cs-CZ"/>
        </w:rPr>
        <w:t>e</w:t>
      </w:r>
      <w:r w:rsidRPr="00E15B9F">
        <w:rPr>
          <w:i/>
          <w:lang w:eastAsia="cs-CZ"/>
        </w:rPr>
        <w:t>ní</w:t>
      </w:r>
      <w:r>
        <w:rPr>
          <w:lang w:eastAsia="cs-CZ"/>
        </w:rPr>
        <w:t>) a jedn</w:t>
      </w:r>
      <w:r w:rsidR="0077245C">
        <w:rPr>
          <w:lang w:eastAsia="cs-CZ"/>
        </w:rPr>
        <w:t>o</w:t>
      </w:r>
      <w:r w:rsidR="005557EA">
        <w:rPr>
          <w:lang w:eastAsia="cs-CZ"/>
        </w:rPr>
        <w:t xml:space="preserve"> v době ukončení kontroly </w:t>
      </w:r>
      <w:r w:rsidR="00B47EDC">
        <w:rPr>
          <w:lang w:eastAsia="cs-CZ"/>
        </w:rPr>
        <w:t xml:space="preserve">NKÚ </w:t>
      </w:r>
      <w:r w:rsidR="005557EA">
        <w:rPr>
          <w:lang w:eastAsia="cs-CZ"/>
        </w:rPr>
        <w:t>stále realizovalo</w:t>
      </w:r>
      <w:r>
        <w:rPr>
          <w:lang w:eastAsia="cs-CZ"/>
        </w:rPr>
        <w:t xml:space="preserve"> (</w:t>
      </w:r>
      <w:r w:rsidRPr="00E15B9F">
        <w:rPr>
          <w:i/>
          <w:lang w:eastAsia="cs-CZ"/>
        </w:rPr>
        <w:t xml:space="preserve">Vývoj a implementace </w:t>
      </w:r>
      <w:proofErr w:type="spellStart"/>
      <w:r w:rsidRPr="00E15B9F">
        <w:rPr>
          <w:i/>
          <w:lang w:eastAsia="cs-CZ"/>
        </w:rPr>
        <w:t>eISIR</w:t>
      </w:r>
      <w:proofErr w:type="spellEnd"/>
      <w:r w:rsidRPr="00E15B9F">
        <w:rPr>
          <w:i/>
          <w:lang w:eastAsia="cs-CZ"/>
        </w:rPr>
        <w:t xml:space="preserve"> a společných částí</w:t>
      </w:r>
      <w:r>
        <w:rPr>
          <w:lang w:eastAsia="cs-CZ"/>
        </w:rPr>
        <w:t>).</w:t>
      </w:r>
    </w:p>
    <w:p w14:paraId="423E90DB" w14:textId="7D037824" w:rsidR="00E57F2C" w:rsidRDefault="005D5E8D" w:rsidP="00713026">
      <w:pPr>
        <w:rPr>
          <w:b/>
        </w:rPr>
      </w:pPr>
      <w:r>
        <w:t xml:space="preserve">Zadávací řízení </w:t>
      </w:r>
      <w:r w:rsidR="00713026">
        <w:t>k</w:t>
      </w:r>
      <w:r w:rsidR="00A82034">
        <w:t xml:space="preserve"> </w:t>
      </w:r>
      <w:r w:rsidR="00713026">
        <w:t xml:space="preserve">nadlimitní </w:t>
      </w:r>
      <w:r w:rsidR="00BC5689">
        <w:t>veřejné zakázce</w:t>
      </w:r>
      <w:r w:rsidR="00713026">
        <w:t xml:space="preserve"> </w:t>
      </w:r>
      <w:r w:rsidR="00713026" w:rsidRPr="00715C1C">
        <w:rPr>
          <w:i/>
        </w:rPr>
        <w:t xml:space="preserve">Vývoj a implementace </w:t>
      </w:r>
      <w:proofErr w:type="spellStart"/>
      <w:r w:rsidR="00713026" w:rsidRPr="00715C1C">
        <w:rPr>
          <w:i/>
        </w:rPr>
        <w:t>eISIR</w:t>
      </w:r>
      <w:proofErr w:type="spellEnd"/>
      <w:r w:rsidR="00713026">
        <w:t xml:space="preserve"> zadávané </w:t>
      </w:r>
      <w:r w:rsidR="00A82034">
        <w:br/>
      </w:r>
      <w:r w:rsidR="00713026">
        <w:t>v</w:t>
      </w:r>
      <w:r w:rsidR="00A82034">
        <w:t xml:space="preserve"> </w:t>
      </w:r>
      <w:r w:rsidR="00713026">
        <w:t xml:space="preserve">otevřeném řízení </w:t>
      </w:r>
      <w:r>
        <w:t xml:space="preserve">zahájilo </w:t>
      </w:r>
      <w:proofErr w:type="spellStart"/>
      <w:r w:rsidR="00BC5689">
        <w:t>MSp</w:t>
      </w:r>
      <w:proofErr w:type="spellEnd"/>
      <w:r w:rsidR="00BC5689">
        <w:t xml:space="preserve"> </w:t>
      </w:r>
      <w:r w:rsidR="00713026">
        <w:t>1.</w:t>
      </w:r>
      <w:r w:rsidR="0086438B">
        <w:t xml:space="preserve"> </w:t>
      </w:r>
      <w:r w:rsidR="00713026">
        <w:t>10.</w:t>
      </w:r>
      <w:r w:rsidR="0086438B">
        <w:t xml:space="preserve"> </w:t>
      </w:r>
      <w:r w:rsidR="00713026">
        <w:t xml:space="preserve">2018. </w:t>
      </w:r>
      <w:r w:rsidR="00713026">
        <w:rPr>
          <w:lang w:eastAsia="cs-CZ"/>
        </w:rPr>
        <w:t xml:space="preserve">Předmětem plnění této VZ bylo vytvoření </w:t>
      </w:r>
      <w:r w:rsidR="0086438B">
        <w:rPr>
          <w:lang w:eastAsia="cs-CZ"/>
        </w:rPr>
        <w:br/>
      </w:r>
      <w:r w:rsidR="008F6BAC">
        <w:rPr>
          <w:lang w:eastAsia="cs-CZ"/>
        </w:rPr>
        <w:t xml:space="preserve">a implementace </w:t>
      </w:r>
      <w:proofErr w:type="spellStart"/>
      <w:r w:rsidR="008F6BAC">
        <w:rPr>
          <w:lang w:eastAsia="cs-CZ"/>
        </w:rPr>
        <w:t>eSpis</w:t>
      </w:r>
      <w:r w:rsidR="00BC5689">
        <w:rPr>
          <w:lang w:eastAsia="cs-CZ"/>
        </w:rPr>
        <w:t>u</w:t>
      </w:r>
      <w:proofErr w:type="spellEnd"/>
      <w:r w:rsidR="008F6BAC">
        <w:rPr>
          <w:lang w:eastAsia="cs-CZ"/>
        </w:rPr>
        <w:t xml:space="preserve"> </w:t>
      </w:r>
      <w:r w:rsidR="00713026">
        <w:rPr>
          <w:lang w:eastAsia="cs-CZ"/>
        </w:rPr>
        <w:t xml:space="preserve">a jeho nástavby pro agendu insolvenčního řízení a zajištění jejich provozu, podpory a rozvoje po dobu </w:t>
      </w:r>
      <w:r w:rsidR="0078626D">
        <w:rPr>
          <w:lang w:eastAsia="cs-CZ"/>
        </w:rPr>
        <w:t>5</w:t>
      </w:r>
      <w:r w:rsidR="00713026">
        <w:rPr>
          <w:lang w:eastAsia="cs-CZ"/>
        </w:rPr>
        <w:t xml:space="preserve"> let. V průběhu zadávacího řízení obdrželo </w:t>
      </w:r>
      <w:proofErr w:type="spellStart"/>
      <w:r w:rsidR="00713026">
        <w:rPr>
          <w:lang w:eastAsia="cs-CZ"/>
        </w:rPr>
        <w:t>MSp</w:t>
      </w:r>
      <w:proofErr w:type="spellEnd"/>
      <w:r w:rsidR="00713026">
        <w:rPr>
          <w:lang w:eastAsia="cs-CZ"/>
        </w:rPr>
        <w:t xml:space="preserve"> od uchazečů </w:t>
      </w:r>
      <w:r w:rsidR="005911B0">
        <w:rPr>
          <w:lang w:eastAsia="cs-CZ"/>
        </w:rPr>
        <w:t>33</w:t>
      </w:r>
      <w:r w:rsidR="00713026">
        <w:rPr>
          <w:lang w:eastAsia="cs-CZ"/>
        </w:rPr>
        <w:t xml:space="preserve"> žádostí </w:t>
      </w:r>
      <w:r w:rsidR="00713026" w:rsidRPr="008037E1">
        <w:t xml:space="preserve">o vysvětlení zadávací dokumentace s více </w:t>
      </w:r>
      <w:r w:rsidR="00BC5689">
        <w:t>než</w:t>
      </w:r>
      <w:r w:rsidR="00713026" w:rsidRPr="008037E1">
        <w:t xml:space="preserve"> 200 dílčí</w:t>
      </w:r>
      <w:r w:rsidR="00713026">
        <w:t>mi</w:t>
      </w:r>
      <w:r w:rsidR="00713026" w:rsidRPr="008037E1">
        <w:t xml:space="preserve"> dotaz</w:t>
      </w:r>
      <w:r w:rsidR="00713026">
        <w:t>y</w:t>
      </w:r>
      <w:r w:rsidR="0035381A">
        <w:t>.</w:t>
      </w:r>
      <w:r w:rsidR="006C02C7">
        <w:t xml:space="preserve"> </w:t>
      </w:r>
      <w:r w:rsidR="006C02C7">
        <w:rPr>
          <w:lang w:eastAsia="cs-CZ"/>
        </w:rPr>
        <w:t>Po opakovaném vysvětlování a</w:t>
      </w:r>
      <w:r w:rsidR="0086438B">
        <w:rPr>
          <w:lang w:eastAsia="cs-CZ"/>
        </w:rPr>
        <w:t xml:space="preserve"> </w:t>
      </w:r>
      <w:r w:rsidR="006C02C7">
        <w:rPr>
          <w:lang w:eastAsia="cs-CZ"/>
        </w:rPr>
        <w:t xml:space="preserve">doplňování zadávací dokumentace a prodlužování lhůty pro doručení nabídek </w:t>
      </w:r>
      <w:r w:rsidR="00BC5689">
        <w:t xml:space="preserve">Ministerstvo spravedlnosti </w:t>
      </w:r>
      <w:r w:rsidR="006C02C7">
        <w:t>zadávací řízení ukonči</w:t>
      </w:r>
      <w:r w:rsidR="00BE2A18">
        <w:t>lo</w:t>
      </w:r>
      <w:r w:rsidR="006C02C7" w:rsidRPr="00317D87">
        <w:t>.</w:t>
      </w:r>
      <w:r w:rsidR="0035381A">
        <w:t xml:space="preserve"> </w:t>
      </w:r>
      <w:proofErr w:type="spellStart"/>
      <w:r w:rsidR="0035381A" w:rsidRPr="001D3ED2">
        <w:t>MSp</w:t>
      </w:r>
      <w:proofErr w:type="spellEnd"/>
      <w:r w:rsidR="0035381A" w:rsidRPr="001D3ED2">
        <w:t xml:space="preserve"> nebylo </w:t>
      </w:r>
      <w:r w:rsidR="0035381A">
        <w:t xml:space="preserve">u této VZ </w:t>
      </w:r>
      <w:r w:rsidR="0035381A" w:rsidRPr="001D3ED2">
        <w:t>schopno definovat technické a obchodní podmínky</w:t>
      </w:r>
      <w:r w:rsidR="00675F66">
        <w:t xml:space="preserve"> tak, aby</w:t>
      </w:r>
      <w:r w:rsidR="0035381A" w:rsidRPr="001D3ED2">
        <w:t xml:space="preserve"> zadávací podmínky umožňovaly podat vzájemně porovnatelné nabídky</w:t>
      </w:r>
      <w:r w:rsidR="00540F81">
        <w:t>.</w:t>
      </w:r>
    </w:p>
    <w:p w14:paraId="4A1BFA6F" w14:textId="7FF3916B" w:rsidR="00474E6B" w:rsidRDefault="00933550" w:rsidP="00713026">
      <w:pPr>
        <w:rPr>
          <w:lang w:eastAsia="cs-CZ"/>
        </w:rPr>
      </w:pPr>
      <w:r>
        <w:t>Z</w:t>
      </w:r>
      <w:r w:rsidR="00713026">
        <w:t>adávací řízení k</w:t>
      </w:r>
      <w:r w:rsidR="0086438B">
        <w:t xml:space="preserve"> </w:t>
      </w:r>
      <w:r w:rsidR="00713026">
        <w:t xml:space="preserve">nadlimitní VZ </w:t>
      </w:r>
      <w:r w:rsidR="00713026">
        <w:rPr>
          <w:i/>
        </w:rPr>
        <w:t>Ministerstvo spravedlnosti – Registry justičních činitelů</w:t>
      </w:r>
      <w:r w:rsidR="00713026">
        <w:t xml:space="preserve"> zadávané v otevřeném řízení </w:t>
      </w:r>
      <w:r>
        <w:t xml:space="preserve">zahájilo </w:t>
      </w:r>
      <w:proofErr w:type="spellStart"/>
      <w:r w:rsidR="00BC5689">
        <w:t>MSp</w:t>
      </w:r>
      <w:proofErr w:type="spellEnd"/>
      <w:r w:rsidR="00BC5689">
        <w:t xml:space="preserve"> </w:t>
      </w:r>
      <w:r w:rsidR="00713026">
        <w:t xml:space="preserve">15. 1. 2018. </w:t>
      </w:r>
      <w:r w:rsidR="00713026">
        <w:rPr>
          <w:lang w:eastAsia="cs-CZ"/>
        </w:rPr>
        <w:t>Předmětem</w:t>
      </w:r>
      <w:r w:rsidR="0035381A">
        <w:rPr>
          <w:lang w:eastAsia="cs-CZ"/>
        </w:rPr>
        <w:t xml:space="preserve"> plnění</w:t>
      </w:r>
      <w:r w:rsidR="00713026">
        <w:rPr>
          <w:lang w:eastAsia="cs-CZ"/>
        </w:rPr>
        <w:t xml:space="preserve"> této VZ byly vývoj a </w:t>
      </w:r>
      <w:r w:rsidR="0035381A">
        <w:rPr>
          <w:lang w:eastAsia="cs-CZ"/>
        </w:rPr>
        <w:t xml:space="preserve">implementace </w:t>
      </w:r>
      <w:r w:rsidR="00713026">
        <w:rPr>
          <w:lang w:eastAsia="cs-CZ"/>
        </w:rPr>
        <w:t xml:space="preserve">dvou </w:t>
      </w:r>
      <w:r w:rsidR="00BC5689">
        <w:rPr>
          <w:lang w:eastAsia="cs-CZ"/>
        </w:rPr>
        <w:t>r</w:t>
      </w:r>
      <w:r w:rsidR="005242C0">
        <w:rPr>
          <w:lang w:eastAsia="cs-CZ"/>
        </w:rPr>
        <w:t>egistrů justičních činitelů</w:t>
      </w:r>
      <w:r w:rsidR="00713026">
        <w:rPr>
          <w:lang w:eastAsia="cs-CZ"/>
        </w:rPr>
        <w:t xml:space="preserve">, a to </w:t>
      </w:r>
      <w:r w:rsidR="00BC5689">
        <w:rPr>
          <w:lang w:eastAsia="cs-CZ"/>
        </w:rPr>
        <w:t>r</w:t>
      </w:r>
      <w:r w:rsidR="00713026">
        <w:rPr>
          <w:lang w:eastAsia="cs-CZ"/>
        </w:rPr>
        <w:t xml:space="preserve">egistru soudců a </w:t>
      </w:r>
      <w:r w:rsidR="00BC5689">
        <w:rPr>
          <w:lang w:eastAsia="cs-CZ"/>
        </w:rPr>
        <w:t>r</w:t>
      </w:r>
      <w:r w:rsidR="00713026">
        <w:rPr>
          <w:lang w:eastAsia="cs-CZ"/>
        </w:rPr>
        <w:t xml:space="preserve">egistru státních zástupců, </w:t>
      </w:r>
      <w:r w:rsidR="0035381A">
        <w:rPr>
          <w:lang w:eastAsia="cs-CZ"/>
        </w:rPr>
        <w:t>a</w:t>
      </w:r>
      <w:r w:rsidR="00713026">
        <w:rPr>
          <w:lang w:eastAsia="cs-CZ"/>
        </w:rPr>
        <w:t xml:space="preserve"> zajištění služeb podpory a rozvoje </w:t>
      </w:r>
      <w:r w:rsidR="0057228B">
        <w:rPr>
          <w:lang w:eastAsia="cs-CZ"/>
        </w:rPr>
        <w:t xml:space="preserve">pro tyto registry </w:t>
      </w:r>
      <w:r w:rsidR="00713026">
        <w:rPr>
          <w:lang w:eastAsia="cs-CZ"/>
        </w:rPr>
        <w:t>po dobu 5 let. Jako ekonomi</w:t>
      </w:r>
      <w:r w:rsidR="006C64B1">
        <w:rPr>
          <w:lang w:eastAsia="cs-CZ"/>
        </w:rPr>
        <w:t>c</w:t>
      </w:r>
      <w:r w:rsidR="00713026">
        <w:rPr>
          <w:lang w:eastAsia="cs-CZ"/>
        </w:rPr>
        <w:t xml:space="preserve">ky nejvýhodnější </w:t>
      </w:r>
      <w:r w:rsidR="005242C0">
        <w:rPr>
          <w:lang w:eastAsia="cs-CZ"/>
        </w:rPr>
        <w:t>vyhodno</w:t>
      </w:r>
      <w:r w:rsidR="0035381A">
        <w:rPr>
          <w:lang w:eastAsia="cs-CZ"/>
        </w:rPr>
        <w:t>tilo</w:t>
      </w:r>
      <w:r w:rsidR="00713026">
        <w:rPr>
          <w:lang w:eastAsia="cs-CZ"/>
        </w:rPr>
        <w:t xml:space="preserve"> </w:t>
      </w:r>
      <w:proofErr w:type="spellStart"/>
      <w:r w:rsidR="0057228B">
        <w:rPr>
          <w:lang w:eastAsia="cs-CZ"/>
        </w:rPr>
        <w:t>MSp</w:t>
      </w:r>
      <w:proofErr w:type="spellEnd"/>
      <w:r w:rsidR="0057228B">
        <w:rPr>
          <w:lang w:eastAsia="cs-CZ"/>
        </w:rPr>
        <w:t xml:space="preserve"> </w:t>
      </w:r>
      <w:r w:rsidR="00713026">
        <w:rPr>
          <w:lang w:eastAsia="cs-CZ"/>
        </w:rPr>
        <w:t>nabídk</w:t>
      </w:r>
      <w:r w:rsidR="0035381A">
        <w:rPr>
          <w:lang w:eastAsia="cs-CZ"/>
        </w:rPr>
        <w:t>u</w:t>
      </w:r>
      <w:r w:rsidR="005242C0">
        <w:rPr>
          <w:lang w:eastAsia="cs-CZ"/>
        </w:rPr>
        <w:t xml:space="preserve"> </w:t>
      </w:r>
      <w:r w:rsidR="00713026">
        <w:rPr>
          <w:lang w:eastAsia="cs-CZ"/>
        </w:rPr>
        <w:t>s nabídkovou cenou 2 868</w:t>
      </w:r>
      <w:r w:rsidR="006C64B1">
        <w:rPr>
          <w:lang w:eastAsia="cs-CZ"/>
        </w:rPr>
        <w:t> </w:t>
      </w:r>
      <w:r w:rsidR="00713026">
        <w:rPr>
          <w:lang w:eastAsia="cs-CZ"/>
        </w:rPr>
        <w:t>000</w:t>
      </w:r>
      <w:r w:rsidR="006C64B1">
        <w:rPr>
          <w:lang w:eastAsia="cs-CZ"/>
        </w:rPr>
        <w:t> </w:t>
      </w:r>
      <w:r w:rsidR="00713026">
        <w:rPr>
          <w:lang w:eastAsia="cs-CZ"/>
        </w:rPr>
        <w:t xml:space="preserve">Kč bez DPH. </w:t>
      </w:r>
      <w:r w:rsidR="008D0915">
        <w:rPr>
          <w:lang w:eastAsia="cs-CZ"/>
        </w:rPr>
        <w:t xml:space="preserve">Dne </w:t>
      </w:r>
      <w:r w:rsidR="00713026">
        <w:rPr>
          <w:lang w:eastAsia="cs-CZ"/>
        </w:rPr>
        <w:t>14.</w:t>
      </w:r>
      <w:r w:rsidR="0086438B">
        <w:rPr>
          <w:lang w:eastAsia="cs-CZ"/>
        </w:rPr>
        <w:t xml:space="preserve"> </w:t>
      </w:r>
      <w:r w:rsidR="00713026">
        <w:rPr>
          <w:lang w:eastAsia="cs-CZ"/>
        </w:rPr>
        <w:t>6.</w:t>
      </w:r>
      <w:r w:rsidR="0086438B">
        <w:rPr>
          <w:lang w:eastAsia="cs-CZ"/>
        </w:rPr>
        <w:t xml:space="preserve"> </w:t>
      </w:r>
      <w:r w:rsidR="00713026">
        <w:rPr>
          <w:lang w:eastAsia="cs-CZ"/>
        </w:rPr>
        <w:t>2018</w:t>
      </w:r>
      <w:r w:rsidR="008D0915">
        <w:rPr>
          <w:lang w:eastAsia="cs-CZ"/>
        </w:rPr>
        <w:t xml:space="preserve"> uzavřelo </w:t>
      </w:r>
      <w:proofErr w:type="spellStart"/>
      <w:r w:rsidR="008D0915">
        <w:rPr>
          <w:lang w:eastAsia="cs-CZ"/>
        </w:rPr>
        <w:t>MSp</w:t>
      </w:r>
      <w:proofErr w:type="spellEnd"/>
      <w:r w:rsidR="00713026">
        <w:rPr>
          <w:lang w:eastAsia="cs-CZ"/>
        </w:rPr>
        <w:t xml:space="preserve"> </w:t>
      </w:r>
      <w:r w:rsidR="00713026" w:rsidRPr="00497916">
        <w:rPr>
          <w:i/>
          <w:lang w:eastAsia="cs-CZ"/>
        </w:rPr>
        <w:t xml:space="preserve">Smlouvu </w:t>
      </w:r>
      <w:r w:rsidR="00713026">
        <w:rPr>
          <w:i/>
          <w:lang w:eastAsia="cs-CZ"/>
        </w:rPr>
        <w:t>o</w:t>
      </w:r>
      <w:r w:rsidR="00713026" w:rsidRPr="00DF38EA">
        <w:rPr>
          <w:i/>
          <w:lang w:eastAsia="cs-CZ"/>
        </w:rPr>
        <w:t xml:space="preserve"> vytvoření informačního systému – Ministerstvo spravedlnosti – Registry justičních činitelů</w:t>
      </w:r>
      <w:r w:rsidR="008D0915">
        <w:rPr>
          <w:lang w:eastAsia="cs-CZ"/>
        </w:rPr>
        <w:t xml:space="preserve"> </w:t>
      </w:r>
      <w:r w:rsidR="00713026">
        <w:rPr>
          <w:lang w:eastAsia="cs-CZ"/>
        </w:rPr>
        <w:t xml:space="preserve">a </w:t>
      </w:r>
      <w:r w:rsidR="00713026" w:rsidRPr="00497916">
        <w:rPr>
          <w:i/>
          <w:lang w:eastAsia="cs-CZ"/>
        </w:rPr>
        <w:t xml:space="preserve">Smlouvu </w:t>
      </w:r>
      <w:r w:rsidR="00713026">
        <w:rPr>
          <w:i/>
          <w:lang w:eastAsia="cs-CZ"/>
        </w:rPr>
        <w:t>o</w:t>
      </w:r>
      <w:r w:rsidR="00713026" w:rsidRPr="00DF38EA">
        <w:rPr>
          <w:i/>
          <w:lang w:eastAsia="cs-CZ"/>
        </w:rPr>
        <w:t xml:space="preserve"> </w:t>
      </w:r>
      <w:r w:rsidR="00713026">
        <w:rPr>
          <w:i/>
          <w:lang w:eastAsia="cs-CZ"/>
        </w:rPr>
        <w:t>podpoře informačního systému – Ministerstvo spravedlnosti – Registry justičních činitelů</w:t>
      </w:r>
      <w:r w:rsidR="00713026">
        <w:rPr>
          <w:lang w:eastAsia="cs-CZ"/>
        </w:rPr>
        <w:t xml:space="preserve">. </w:t>
      </w:r>
      <w:r w:rsidR="00474E6B">
        <w:rPr>
          <w:lang w:eastAsia="cs-CZ"/>
        </w:rPr>
        <w:t>Na základě smlouvy o dílo dodavatel vytvořil a</w:t>
      </w:r>
      <w:r w:rsidR="00966E9E">
        <w:rPr>
          <w:lang w:eastAsia="cs-CZ"/>
        </w:rPr>
        <w:t xml:space="preserve"> </w:t>
      </w:r>
      <w:r w:rsidR="00474E6B">
        <w:rPr>
          <w:lang w:eastAsia="cs-CZ"/>
        </w:rPr>
        <w:t>17. 12. 2018 předal k akceptaci IS</w:t>
      </w:r>
      <w:r w:rsidR="00966E9E">
        <w:rPr>
          <w:lang w:eastAsia="cs-CZ"/>
        </w:rPr>
        <w:t xml:space="preserve"> </w:t>
      </w:r>
      <w:r w:rsidR="00474E6B" w:rsidRPr="00317D87">
        <w:rPr>
          <w:i/>
          <w:lang w:eastAsia="cs-CZ"/>
        </w:rPr>
        <w:t>Registr soudců</w:t>
      </w:r>
      <w:r w:rsidR="00474E6B">
        <w:rPr>
          <w:lang w:eastAsia="cs-CZ"/>
        </w:rPr>
        <w:t xml:space="preserve"> a </w:t>
      </w:r>
      <w:r w:rsidR="007E11F3">
        <w:rPr>
          <w:lang w:eastAsia="cs-CZ"/>
        </w:rPr>
        <w:t xml:space="preserve">IS </w:t>
      </w:r>
      <w:r w:rsidR="00474E6B" w:rsidRPr="00317D87">
        <w:rPr>
          <w:i/>
          <w:lang w:eastAsia="cs-CZ"/>
        </w:rPr>
        <w:t>Registr státních zástupců</w:t>
      </w:r>
      <w:r w:rsidR="00474E6B">
        <w:rPr>
          <w:lang w:eastAsia="cs-CZ"/>
        </w:rPr>
        <w:t xml:space="preserve">. </w:t>
      </w:r>
      <w:r w:rsidR="001D6304">
        <w:rPr>
          <w:lang w:eastAsia="cs-CZ"/>
        </w:rPr>
        <w:t xml:space="preserve">Oba registry byly do ostrého provozu spuštěny 8. 1. 2019. </w:t>
      </w:r>
      <w:r w:rsidR="00474E6B">
        <w:rPr>
          <w:lang w:eastAsia="cs-CZ"/>
        </w:rPr>
        <w:t xml:space="preserve">Následně </w:t>
      </w:r>
      <w:proofErr w:type="spellStart"/>
      <w:r w:rsidR="00474E6B">
        <w:rPr>
          <w:lang w:eastAsia="cs-CZ"/>
        </w:rPr>
        <w:t>MSp</w:t>
      </w:r>
      <w:proofErr w:type="spellEnd"/>
      <w:r w:rsidR="00474E6B">
        <w:rPr>
          <w:lang w:eastAsia="cs-CZ"/>
        </w:rPr>
        <w:t xml:space="preserve"> 13. 2. 2019 uhradilo dodavateli smluvní cenu ve výši 1 570 580 Kč. </w:t>
      </w:r>
      <w:r w:rsidR="00F165DA">
        <w:rPr>
          <w:lang w:eastAsia="cs-CZ"/>
        </w:rPr>
        <w:t xml:space="preserve">Pořízené </w:t>
      </w:r>
      <w:r w:rsidR="0057228B">
        <w:rPr>
          <w:lang w:eastAsia="cs-CZ"/>
        </w:rPr>
        <w:t>r</w:t>
      </w:r>
      <w:r w:rsidR="00F165DA">
        <w:rPr>
          <w:lang w:eastAsia="cs-CZ"/>
        </w:rPr>
        <w:t xml:space="preserve">egistry justičních činitelů nemohou být plně využívány ke svému účelu, neboť nebyly dokončeny </w:t>
      </w:r>
      <w:proofErr w:type="spellStart"/>
      <w:r w:rsidR="00F165DA">
        <w:rPr>
          <w:lang w:eastAsia="cs-CZ"/>
        </w:rPr>
        <w:t>eSpis</w:t>
      </w:r>
      <w:proofErr w:type="spellEnd"/>
      <w:r w:rsidR="00F165DA">
        <w:rPr>
          <w:lang w:eastAsia="cs-CZ"/>
        </w:rPr>
        <w:t xml:space="preserve"> a </w:t>
      </w:r>
      <w:proofErr w:type="spellStart"/>
      <w:r w:rsidR="00F165DA">
        <w:rPr>
          <w:lang w:eastAsia="cs-CZ"/>
        </w:rPr>
        <w:t>agendový</w:t>
      </w:r>
      <w:proofErr w:type="spellEnd"/>
      <w:r w:rsidR="00F165DA">
        <w:rPr>
          <w:lang w:eastAsia="cs-CZ"/>
        </w:rPr>
        <w:t xml:space="preserve"> IS insolvenčního rejstříku, které na ně mají být napojeny a mají z nich čerpat údaje.</w:t>
      </w:r>
    </w:p>
    <w:p w14:paraId="2E635163" w14:textId="33196A0E" w:rsidR="00E0765E" w:rsidRDefault="00933550" w:rsidP="00713026">
      <w:pPr>
        <w:rPr>
          <w:lang w:eastAsia="cs-CZ"/>
        </w:rPr>
      </w:pPr>
      <w:r>
        <w:t>Z</w:t>
      </w:r>
      <w:r w:rsidR="00713026">
        <w:t xml:space="preserve">adávací řízení k nadlimitní VZ </w:t>
      </w:r>
      <w:r w:rsidR="00713026" w:rsidRPr="005906B9">
        <w:rPr>
          <w:i/>
          <w:lang w:eastAsia="cs-CZ"/>
        </w:rPr>
        <w:t xml:space="preserve">Ministerstvo spravedlnosti – </w:t>
      </w:r>
      <w:r w:rsidR="00713026">
        <w:rPr>
          <w:i/>
          <w:lang w:eastAsia="cs-CZ"/>
        </w:rPr>
        <w:t xml:space="preserve">Generátor náhodného přidělení </w:t>
      </w:r>
      <w:r w:rsidR="00713026">
        <w:t xml:space="preserve">zadávané v otevřeném řízení </w:t>
      </w:r>
      <w:r>
        <w:t xml:space="preserve">zahájilo </w:t>
      </w:r>
      <w:proofErr w:type="spellStart"/>
      <w:r w:rsidR="0057228B">
        <w:t>MSp</w:t>
      </w:r>
      <w:proofErr w:type="spellEnd"/>
      <w:r w:rsidR="0057228B">
        <w:t xml:space="preserve"> </w:t>
      </w:r>
      <w:r w:rsidR="00713026">
        <w:t xml:space="preserve">15. 2. 2019. </w:t>
      </w:r>
      <w:r w:rsidR="00713026">
        <w:rPr>
          <w:lang w:eastAsia="cs-CZ"/>
        </w:rPr>
        <w:t xml:space="preserve">Předmětem </w:t>
      </w:r>
      <w:r w:rsidR="006C02C7">
        <w:rPr>
          <w:lang w:eastAsia="cs-CZ"/>
        </w:rPr>
        <w:t>plnění</w:t>
      </w:r>
      <w:r w:rsidR="0035381A">
        <w:rPr>
          <w:lang w:eastAsia="cs-CZ"/>
        </w:rPr>
        <w:t xml:space="preserve"> </w:t>
      </w:r>
      <w:r w:rsidR="00713026">
        <w:rPr>
          <w:lang w:eastAsia="cs-CZ"/>
        </w:rPr>
        <w:t xml:space="preserve">této VZ byly vývoj a </w:t>
      </w:r>
      <w:r w:rsidR="0035381A">
        <w:rPr>
          <w:lang w:eastAsia="cs-CZ"/>
        </w:rPr>
        <w:t>implementace</w:t>
      </w:r>
      <w:r w:rsidR="00713026">
        <w:rPr>
          <w:lang w:eastAsia="cs-CZ"/>
        </w:rPr>
        <w:t xml:space="preserve"> </w:t>
      </w:r>
      <w:r w:rsidR="0057228B">
        <w:rPr>
          <w:lang w:eastAsia="cs-CZ"/>
        </w:rPr>
        <w:t>g</w:t>
      </w:r>
      <w:r w:rsidR="005242C0">
        <w:rPr>
          <w:lang w:eastAsia="cs-CZ"/>
        </w:rPr>
        <w:t>enerátoru náhodného přidělení</w:t>
      </w:r>
      <w:r w:rsidR="00485779">
        <w:rPr>
          <w:rStyle w:val="Znakapoznpodarou"/>
          <w:lang w:eastAsia="cs-CZ"/>
        </w:rPr>
        <w:footnoteReference w:id="11"/>
      </w:r>
      <w:r w:rsidR="00713026">
        <w:rPr>
          <w:lang w:eastAsia="cs-CZ"/>
        </w:rPr>
        <w:t xml:space="preserve"> </w:t>
      </w:r>
      <w:r w:rsidR="0035381A">
        <w:rPr>
          <w:lang w:eastAsia="cs-CZ"/>
        </w:rPr>
        <w:t xml:space="preserve">a </w:t>
      </w:r>
      <w:r w:rsidR="00713026">
        <w:rPr>
          <w:lang w:eastAsia="cs-CZ"/>
        </w:rPr>
        <w:t xml:space="preserve">zajištění služeb jeho podpory a rozvoje po dobu 5 let. Jako ekonomicky nejvýhodnější </w:t>
      </w:r>
      <w:r w:rsidR="005242C0">
        <w:rPr>
          <w:lang w:eastAsia="cs-CZ"/>
        </w:rPr>
        <w:t>vyhodno</w:t>
      </w:r>
      <w:r w:rsidR="0035381A">
        <w:rPr>
          <w:lang w:eastAsia="cs-CZ"/>
        </w:rPr>
        <w:t>tilo</w:t>
      </w:r>
      <w:r w:rsidR="00713026">
        <w:rPr>
          <w:lang w:eastAsia="cs-CZ"/>
        </w:rPr>
        <w:t xml:space="preserve"> </w:t>
      </w:r>
      <w:proofErr w:type="spellStart"/>
      <w:r w:rsidR="0057228B">
        <w:rPr>
          <w:lang w:eastAsia="cs-CZ"/>
        </w:rPr>
        <w:t>MSp</w:t>
      </w:r>
      <w:proofErr w:type="spellEnd"/>
      <w:r w:rsidR="0057228B">
        <w:rPr>
          <w:lang w:eastAsia="cs-CZ"/>
        </w:rPr>
        <w:t xml:space="preserve"> </w:t>
      </w:r>
      <w:r w:rsidR="00713026">
        <w:rPr>
          <w:lang w:eastAsia="cs-CZ"/>
        </w:rPr>
        <w:t xml:space="preserve">nabídku s nabídkovou cenou 3 890 000 Kč bez DPH. </w:t>
      </w:r>
      <w:r w:rsidR="008D0915">
        <w:rPr>
          <w:lang w:eastAsia="cs-CZ"/>
        </w:rPr>
        <w:t>Dne</w:t>
      </w:r>
      <w:r w:rsidR="00713026">
        <w:rPr>
          <w:lang w:eastAsia="cs-CZ"/>
        </w:rPr>
        <w:t xml:space="preserve"> 10. 5. 2019 </w:t>
      </w:r>
      <w:r w:rsidR="008D0915">
        <w:rPr>
          <w:lang w:eastAsia="cs-CZ"/>
        </w:rPr>
        <w:t xml:space="preserve">uzavřelo </w:t>
      </w:r>
      <w:proofErr w:type="spellStart"/>
      <w:r w:rsidR="008D0915">
        <w:rPr>
          <w:lang w:eastAsia="cs-CZ"/>
        </w:rPr>
        <w:t>MSp</w:t>
      </w:r>
      <w:proofErr w:type="spellEnd"/>
      <w:r w:rsidR="008D0915">
        <w:rPr>
          <w:lang w:eastAsia="cs-CZ"/>
        </w:rPr>
        <w:t xml:space="preserve"> </w:t>
      </w:r>
      <w:r w:rsidR="00713026" w:rsidRPr="00A310F7">
        <w:rPr>
          <w:i/>
          <w:lang w:eastAsia="cs-CZ"/>
        </w:rPr>
        <w:t>Smlouvu o</w:t>
      </w:r>
      <w:r w:rsidR="001D1A71">
        <w:rPr>
          <w:i/>
          <w:lang w:eastAsia="cs-CZ"/>
        </w:rPr>
        <w:t> </w:t>
      </w:r>
      <w:r w:rsidR="00713026">
        <w:rPr>
          <w:i/>
          <w:lang w:eastAsia="cs-CZ"/>
        </w:rPr>
        <w:t xml:space="preserve">dílo na vývoj a implementaci generátoru </w:t>
      </w:r>
      <w:r w:rsidR="00713026" w:rsidRPr="00457707">
        <w:rPr>
          <w:i/>
          <w:lang w:eastAsia="cs-CZ"/>
        </w:rPr>
        <w:t>přidělování</w:t>
      </w:r>
      <w:r w:rsidR="00713026">
        <w:rPr>
          <w:lang w:eastAsia="cs-CZ"/>
        </w:rPr>
        <w:t xml:space="preserve"> a </w:t>
      </w:r>
      <w:r w:rsidR="00713026">
        <w:rPr>
          <w:i/>
          <w:lang w:eastAsia="cs-CZ"/>
        </w:rPr>
        <w:t>Servisní smlouvu o údržbě a podpoře generátoru přidělování</w:t>
      </w:r>
      <w:r w:rsidR="00713026" w:rsidRPr="00C526B1">
        <w:rPr>
          <w:lang w:eastAsia="cs-CZ"/>
        </w:rPr>
        <w:t>.</w:t>
      </w:r>
      <w:r w:rsidR="00713026">
        <w:rPr>
          <w:lang w:eastAsia="cs-CZ"/>
        </w:rPr>
        <w:t xml:space="preserve"> </w:t>
      </w:r>
      <w:r w:rsidR="00E0765E">
        <w:rPr>
          <w:lang w:eastAsia="cs-CZ"/>
        </w:rPr>
        <w:t xml:space="preserve">V průběhu realizace díla se doba jeho provedení prodloužila z původních 140 na 158 pracovních dnů. Na základě smlouvy o dílo dodavatel vytvořil a 19. 12. 2019 předal k akceptaci IS </w:t>
      </w:r>
      <w:r w:rsidR="00E0765E" w:rsidRPr="00317D87">
        <w:rPr>
          <w:i/>
          <w:lang w:eastAsia="cs-CZ"/>
        </w:rPr>
        <w:t>Generátor náhodného přidělení</w:t>
      </w:r>
      <w:r w:rsidR="00E0765E">
        <w:rPr>
          <w:lang w:eastAsia="cs-CZ"/>
        </w:rPr>
        <w:t xml:space="preserve">. Následně </w:t>
      </w:r>
      <w:proofErr w:type="spellStart"/>
      <w:r w:rsidR="00E0765E">
        <w:rPr>
          <w:lang w:eastAsia="cs-CZ"/>
        </w:rPr>
        <w:t>MSp</w:t>
      </w:r>
      <w:proofErr w:type="spellEnd"/>
      <w:r w:rsidR="00E0765E">
        <w:rPr>
          <w:lang w:eastAsia="cs-CZ"/>
        </w:rPr>
        <w:t xml:space="preserve"> 3. 2. 2020 uhradilo dodavateli smluvní cenu ve výši 2 571 250 Kč. Do ostrého </w:t>
      </w:r>
      <w:r w:rsidR="00BC792B">
        <w:rPr>
          <w:lang w:eastAsia="cs-CZ"/>
        </w:rPr>
        <w:t xml:space="preserve">provozu </w:t>
      </w:r>
      <w:r w:rsidR="00E0765E">
        <w:rPr>
          <w:lang w:eastAsia="cs-CZ"/>
        </w:rPr>
        <w:t xml:space="preserve">byl generátor spuštěn 1. 3. 2020. </w:t>
      </w:r>
      <w:r w:rsidR="00F165DA">
        <w:rPr>
          <w:lang w:eastAsia="cs-CZ"/>
        </w:rPr>
        <w:t xml:space="preserve">Pořízený </w:t>
      </w:r>
      <w:r w:rsidR="0057228B">
        <w:rPr>
          <w:lang w:eastAsia="cs-CZ"/>
        </w:rPr>
        <w:t>g</w:t>
      </w:r>
      <w:r w:rsidR="00F165DA">
        <w:rPr>
          <w:lang w:eastAsia="cs-CZ"/>
        </w:rPr>
        <w:t xml:space="preserve">enerátor náhodného přidělení nemůže být plně využíván ke svému účelu, neboť nebyly dokončeny </w:t>
      </w:r>
      <w:proofErr w:type="spellStart"/>
      <w:r w:rsidR="00F165DA">
        <w:rPr>
          <w:lang w:eastAsia="cs-CZ"/>
        </w:rPr>
        <w:t>eSpis</w:t>
      </w:r>
      <w:proofErr w:type="spellEnd"/>
      <w:r w:rsidR="00F165DA">
        <w:rPr>
          <w:lang w:eastAsia="cs-CZ"/>
        </w:rPr>
        <w:t xml:space="preserve"> a </w:t>
      </w:r>
      <w:proofErr w:type="spellStart"/>
      <w:r w:rsidR="00F165DA">
        <w:rPr>
          <w:lang w:eastAsia="cs-CZ"/>
        </w:rPr>
        <w:t>agendový</w:t>
      </w:r>
      <w:proofErr w:type="spellEnd"/>
      <w:r w:rsidR="00F165DA">
        <w:rPr>
          <w:lang w:eastAsia="cs-CZ"/>
        </w:rPr>
        <w:t xml:space="preserve"> IS insolvenčního rejstříku, které mají využívat jeho funkcí.</w:t>
      </w:r>
    </w:p>
    <w:p w14:paraId="33360D5F" w14:textId="098FF42C" w:rsidR="00713026" w:rsidRDefault="00331776" w:rsidP="00713026">
      <w:pPr>
        <w:rPr>
          <w:lang w:eastAsia="cs-CZ"/>
        </w:rPr>
      </w:pPr>
      <w:r w:rsidRPr="00667617">
        <w:t>Z</w:t>
      </w:r>
      <w:r w:rsidR="00713026" w:rsidRPr="00667617">
        <w:t xml:space="preserve">adávací řízení k nadlimitní VZ </w:t>
      </w:r>
      <w:r w:rsidR="00713026" w:rsidRPr="00667617">
        <w:rPr>
          <w:i/>
        </w:rPr>
        <w:t xml:space="preserve">Vývoj a implementace </w:t>
      </w:r>
      <w:proofErr w:type="spellStart"/>
      <w:r w:rsidR="00713026" w:rsidRPr="00667617">
        <w:rPr>
          <w:i/>
        </w:rPr>
        <w:t>eISIR</w:t>
      </w:r>
      <w:proofErr w:type="spellEnd"/>
      <w:r w:rsidR="00713026" w:rsidRPr="00667617">
        <w:rPr>
          <w:i/>
        </w:rPr>
        <w:t xml:space="preserve"> a společných částí</w:t>
      </w:r>
      <w:r w:rsidR="00713026" w:rsidRPr="00667617">
        <w:t xml:space="preserve"> zadávané </w:t>
      </w:r>
      <w:r w:rsidR="00966E9E">
        <w:br/>
      </w:r>
      <w:r w:rsidR="00713026" w:rsidRPr="00667617">
        <w:t>v</w:t>
      </w:r>
      <w:r w:rsidR="00966E9E">
        <w:t xml:space="preserve"> </w:t>
      </w:r>
      <w:r w:rsidR="00713026" w:rsidRPr="00667617">
        <w:t xml:space="preserve">soutěžním dialogu </w:t>
      </w:r>
      <w:r w:rsidRPr="00667617">
        <w:t xml:space="preserve">zahájilo </w:t>
      </w:r>
      <w:proofErr w:type="spellStart"/>
      <w:r w:rsidR="0057228B" w:rsidRPr="00667617">
        <w:t>MSp</w:t>
      </w:r>
      <w:proofErr w:type="spellEnd"/>
      <w:r w:rsidR="0057228B" w:rsidRPr="00667617">
        <w:t xml:space="preserve"> </w:t>
      </w:r>
      <w:r w:rsidR="00713026" w:rsidRPr="00667617">
        <w:t xml:space="preserve">3. 2. 2020. </w:t>
      </w:r>
      <w:r w:rsidR="00713026" w:rsidRPr="00667617">
        <w:rPr>
          <w:lang w:eastAsia="cs-CZ"/>
        </w:rPr>
        <w:t>Předmětem plnění této VZ byl</w:t>
      </w:r>
      <w:r w:rsidR="0057228B">
        <w:rPr>
          <w:lang w:eastAsia="cs-CZ"/>
        </w:rPr>
        <w:t>y</w:t>
      </w:r>
      <w:r w:rsidR="00713026" w:rsidRPr="00667617">
        <w:rPr>
          <w:lang w:eastAsia="cs-CZ"/>
        </w:rPr>
        <w:t xml:space="preserve"> vytvoření </w:t>
      </w:r>
      <w:r w:rsidR="00966E9E">
        <w:rPr>
          <w:lang w:eastAsia="cs-CZ"/>
        </w:rPr>
        <w:br/>
      </w:r>
      <w:r w:rsidR="0035381A" w:rsidRPr="00667617">
        <w:rPr>
          <w:lang w:eastAsia="cs-CZ"/>
        </w:rPr>
        <w:t>a</w:t>
      </w:r>
      <w:r w:rsidR="00966E9E">
        <w:rPr>
          <w:lang w:eastAsia="cs-CZ"/>
        </w:rPr>
        <w:t xml:space="preserve"> </w:t>
      </w:r>
      <w:r w:rsidR="0035381A" w:rsidRPr="00667617">
        <w:rPr>
          <w:lang w:eastAsia="cs-CZ"/>
        </w:rPr>
        <w:t xml:space="preserve">implementace </w:t>
      </w:r>
      <w:proofErr w:type="spellStart"/>
      <w:r w:rsidR="00BC792B" w:rsidRPr="00667617">
        <w:rPr>
          <w:lang w:eastAsia="cs-CZ"/>
        </w:rPr>
        <w:t>eSpis</w:t>
      </w:r>
      <w:r w:rsidR="0057228B">
        <w:rPr>
          <w:lang w:eastAsia="cs-CZ"/>
        </w:rPr>
        <w:t>u</w:t>
      </w:r>
      <w:proofErr w:type="spellEnd"/>
      <w:r w:rsidR="00BC792B" w:rsidRPr="00667617">
        <w:rPr>
          <w:lang w:eastAsia="cs-CZ"/>
        </w:rPr>
        <w:t xml:space="preserve"> </w:t>
      </w:r>
      <w:r w:rsidR="00713026" w:rsidRPr="00667617">
        <w:rPr>
          <w:lang w:eastAsia="cs-CZ"/>
        </w:rPr>
        <w:t xml:space="preserve">a jeho nástavby pro agendu insolvenčního řízení a zajištění </w:t>
      </w:r>
      <w:r w:rsidR="0035381A" w:rsidRPr="00667617">
        <w:rPr>
          <w:lang w:eastAsia="cs-CZ"/>
        </w:rPr>
        <w:t xml:space="preserve">jejich </w:t>
      </w:r>
      <w:r w:rsidR="00713026" w:rsidRPr="00667617">
        <w:rPr>
          <w:lang w:eastAsia="cs-CZ"/>
        </w:rPr>
        <w:t xml:space="preserve">provozu, podpory a rozvoje. </w:t>
      </w:r>
      <w:r w:rsidR="006C02C7" w:rsidRPr="00667617">
        <w:rPr>
          <w:lang w:eastAsia="cs-CZ"/>
        </w:rPr>
        <w:t xml:space="preserve">Kromě </w:t>
      </w:r>
      <w:proofErr w:type="spellStart"/>
      <w:r w:rsidR="00713026" w:rsidRPr="00667617">
        <w:t>eSpis</w:t>
      </w:r>
      <w:r w:rsidR="0057228B">
        <w:t>u</w:t>
      </w:r>
      <w:proofErr w:type="spellEnd"/>
      <w:r w:rsidR="006C02C7" w:rsidRPr="00667617">
        <w:t xml:space="preserve"> a</w:t>
      </w:r>
      <w:r w:rsidR="00713026" w:rsidRPr="00667617">
        <w:t xml:space="preserve"> </w:t>
      </w:r>
      <w:r w:rsidR="0078626D" w:rsidRPr="00667617">
        <w:t xml:space="preserve">nového </w:t>
      </w:r>
      <w:proofErr w:type="spellStart"/>
      <w:r w:rsidR="0078626D" w:rsidRPr="00667617">
        <w:t>agendového</w:t>
      </w:r>
      <w:proofErr w:type="spellEnd"/>
      <w:r w:rsidR="0078626D" w:rsidRPr="00667617">
        <w:t xml:space="preserve"> IS insolvenčního rejstříku</w:t>
      </w:r>
      <w:r w:rsidR="00713026" w:rsidRPr="00667617">
        <w:t xml:space="preserve"> </w:t>
      </w:r>
      <w:r w:rsidR="00540F81">
        <w:t>zamýšlelo</w:t>
      </w:r>
      <w:r w:rsidR="00540F81" w:rsidRPr="00667617">
        <w:t xml:space="preserve"> </w:t>
      </w:r>
      <w:proofErr w:type="spellStart"/>
      <w:r w:rsidR="006C02C7" w:rsidRPr="00667617">
        <w:t>MSp</w:t>
      </w:r>
      <w:proofErr w:type="spellEnd"/>
      <w:r w:rsidR="006C02C7" w:rsidRPr="00667617">
        <w:t xml:space="preserve"> touto VZ </w:t>
      </w:r>
      <w:r w:rsidR="0078626D" w:rsidRPr="00667617">
        <w:t>pořídit</w:t>
      </w:r>
      <w:r w:rsidR="006C02C7" w:rsidRPr="00667617">
        <w:t xml:space="preserve"> i</w:t>
      </w:r>
      <w:r w:rsidR="00713026" w:rsidRPr="00667617">
        <w:t xml:space="preserve"> </w:t>
      </w:r>
      <w:r w:rsidR="0077245C" w:rsidRPr="00667617">
        <w:t xml:space="preserve">zbývající </w:t>
      </w:r>
      <w:r w:rsidR="00713026" w:rsidRPr="00667617">
        <w:t xml:space="preserve">prvky </w:t>
      </w:r>
      <w:r w:rsidR="00C9093C" w:rsidRPr="00317D87">
        <w:t>c</w:t>
      </w:r>
      <w:r w:rsidR="00713026" w:rsidRPr="00C9093C">
        <w:t>entra justice</w:t>
      </w:r>
      <w:r w:rsidR="00713026" w:rsidRPr="00667617">
        <w:t xml:space="preserve"> – </w:t>
      </w:r>
      <w:r w:rsidR="0057228B">
        <w:t>tj. r</w:t>
      </w:r>
      <w:r w:rsidR="00713026" w:rsidRPr="00667617">
        <w:t xml:space="preserve">egistr jmen, </w:t>
      </w:r>
      <w:r w:rsidR="0057228B">
        <w:t>č</w:t>
      </w:r>
      <w:r w:rsidR="00713026" w:rsidRPr="00667617">
        <w:t xml:space="preserve">íselníky, </w:t>
      </w:r>
      <w:r w:rsidR="0057228B">
        <w:lastRenderedPageBreak/>
        <w:t>c</w:t>
      </w:r>
      <w:r w:rsidR="00CF6D1B" w:rsidRPr="00667617">
        <w:t>entrální tvorb</w:t>
      </w:r>
      <w:r w:rsidR="0057228B">
        <w:t>u</w:t>
      </w:r>
      <w:r w:rsidR="00CF6D1B" w:rsidRPr="00667617">
        <w:t xml:space="preserve"> dokumentů</w:t>
      </w:r>
      <w:r w:rsidR="00713026" w:rsidRPr="00667617">
        <w:t xml:space="preserve"> a </w:t>
      </w:r>
      <w:r w:rsidR="0057228B">
        <w:t>r</w:t>
      </w:r>
      <w:r w:rsidR="00713026" w:rsidRPr="00667617">
        <w:t xml:space="preserve">ozvrh práce. </w:t>
      </w:r>
      <w:r w:rsidRPr="00667617">
        <w:rPr>
          <w:lang w:eastAsia="cs-CZ"/>
        </w:rPr>
        <w:t>Po několika podaných námitkách, návrzích na přezkum k</w:t>
      </w:r>
      <w:r w:rsidR="00966E9E">
        <w:rPr>
          <w:lang w:eastAsia="cs-CZ"/>
        </w:rPr>
        <w:t xml:space="preserve"> </w:t>
      </w:r>
      <w:r w:rsidR="001D3ED2" w:rsidRPr="00667617">
        <w:rPr>
          <w:lang w:eastAsia="cs-CZ"/>
        </w:rPr>
        <w:t>Úřadu pro ochranu hospodářské soutěže</w:t>
      </w:r>
      <w:r w:rsidRPr="00667617">
        <w:rPr>
          <w:lang w:eastAsia="cs-CZ"/>
        </w:rPr>
        <w:t>, žádoste</w:t>
      </w:r>
      <w:r w:rsidR="0057228B">
        <w:rPr>
          <w:lang w:eastAsia="cs-CZ"/>
        </w:rPr>
        <w:t>ch</w:t>
      </w:r>
      <w:r w:rsidRPr="00667617">
        <w:rPr>
          <w:lang w:eastAsia="cs-CZ"/>
        </w:rPr>
        <w:t xml:space="preserve"> o</w:t>
      </w:r>
      <w:r w:rsidR="00C1217A">
        <w:rPr>
          <w:lang w:eastAsia="cs-CZ"/>
        </w:rPr>
        <w:t xml:space="preserve"> </w:t>
      </w:r>
      <w:r w:rsidRPr="00667617">
        <w:rPr>
          <w:lang w:eastAsia="cs-CZ"/>
        </w:rPr>
        <w:t xml:space="preserve">vysvětlení mimořádně nízké nabídkové ceny a vyloučení jednoho z uchazečů </w:t>
      </w:r>
      <w:r w:rsidR="0057228B">
        <w:rPr>
          <w:lang w:eastAsia="cs-CZ"/>
        </w:rPr>
        <w:t xml:space="preserve">vybralo </w:t>
      </w:r>
      <w:proofErr w:type="spellStart"/>
      <w:r w:rsidR="009974C3">
        <w:rPr>
          <w:lang w:eastAsia="cs-CZ"/>
        </w:rPr>
        <w:t>MSp</w:t>
      </w:r>
      <w:proofErr w:type="spellEnd"/>
      <w:r w:rsidR="009974C3">
        <w:rPr>
          <w:lang w:eastAsia="cs-CZ"/>
        </w:rPr>
        <w:t xml:space="preserve"> </w:t>
      </w:r>
      <w:r w:rsidR="00713026">
        <w:rPr>
          <w:lang w:eastAsia="cs-CZ"/>
        </w:rPr>
        <w:t>10.</w:t>
      </w:r>
      <w:r w:rsidR="001D3ED2">
        <w:rPr>
          <w:lang w:eastAsia="cs-CZ"/>
        </w:rPr>
        <w:t> </w:t>
      </w:r>
      <w:r w:rsidR="00713026">
        <w:rPr>
          <w:lang w:eastAsia="cs-CZ"/>
        </w:rPr>
        <w:t>2.</w:t>
      </w:r>
      <w:r w:rsidR="001D3ED2">
        <w:rPr>
          <w:lang w:eastAsia="cs-CZ"/>
        </w:rPr>
        <w:t> </w:t>
      </w:r>
      <w:r w:rsidR="00713026">
        <w:rPr>
          <w:lang w:eastAsia="cs-CZ"/>
        </w:rPr>
        <w:t>2022</w:t>
      </w:r>
      <w:r w:rsidR="00F729F1">
        <w:rPr>
          <w:lang w:eastAsia="cs-CZ"/>
        </w:rPr>
        <w:t>, tj. po dvou letech od zahájení zadávacího řízení,</w:t>
      </w:r>
      <w:r w:rsidR="00713026">
        <w:rPr>
          <w:lang w:eastAsia="cs-CZ"/>
        </w:rPr>
        <w:t xml:space="preserve"> dodavatele s nabídkovou cenou ve výši 98 829 760 Kč bez DPH.</w:t>
      </w:r>
      <w:r w:rsidR="00F729F1">
        <w:rPr>
          <w:lang w:eastAsia="cs-CZ"/>
        </w:rPr>
        <w:t xml:space="preserve"> S tímto dodavatelem</w:t>
      </w:r>
      <w:r w:rsidR="00713026">
        <w:rPr>
          <w:lang w:eastAsia="cs-CZ"/>
        </w:rPr>
        <w:t xml:space="preserve"> 2.</w:t>
      </w:r>
      <w:r w:rsidR="001D1A71">
        <w:rPr>
          <w:lang w:eastAsia="cs-CZ"/>
        </w:rPr>
        <w:t> </w:t>
      </w:r>
      <w:r w:rsidR="00713026">
        <w:rPr>
          <w:lang w:eastAsia="cs-CZ"/>
        </w:rPr>
        <w:t>6</w:t>
      </w:r>
      <w:r w:rsidR="001D1A71">
        <w:rPr>
          <w:lang w:eastAsia="cs-CZ"/>
        </w:rPr>
        <w:t>. </w:t>
      </w:r>
      <w:r w:rsidR="00713026">
        <w:rPr>
          <w:lang w:eastAsia="cs-CZ"/>
        </w:rPr>
        <w:t xml:space="preserve">2022 </w:t>
      </w:r>
      <w:r w:rsidR="008D0915">
        <w:rPr>
          <w:lang w:eastAsia="cs-CZ"/>
        </w:rPr>
        <w:t xml:space="preserve">uzavřelo </w:t>
      </w:r>
      <w:r w:rsidR="00713026">
        <w:rPr>
          <w:i/>
          <w:lang w:eastAsia="cs-CZ"/>
        </w:rPr>
        <w:t>Smlouvu o</w:t>
      </w:r>
      <w:r w:rsidR="00C1217A">
        <w:rPr>
          <w:i/>
          <w:lang w:eastAsia="cs-CZ"/>
        </w:rPr>
        <w:t xml:space="preserve"> </w:t>
      </w:r>
      <w:r w:rsidR="00713026">
        <w:rPr>
          <w:i/>
          <w:lang w:eastAsia="cs-CZ"/>
        </w:rPr>
        <w:t xml:space="preserve">vývoji a implementaci </w:t>
      </w:r>
      <w:proofErr w:type="spellStart"/>
      <w:r w:rsidR="00713026">
        <w:rPr>
          <w:i/>
          <w:lang w:eastAsia="cs-CZ"/>
        </w:rPr>
        <w:t>eISIR</w:t>
      </w:r>
      <w:proofErr w:type="spellEnd"/>
      <w:r w:rsidR="00713026">
        <w:rPr>
          <w:i/>
          <w:lang w:eastAsia="cs-CZ"/>
        </w:rPr>
        <w:t xml:space="preserve"> a</w:t>
      </w:r>
      <w:r w:rsidR="00BB4557">
        <w:rPr>
          <w:i/>
          <w:lang w:eastAsia="cs-CZ"/>
        </w:rPr>
        <w:t> </w:t>
      </w:r>
      <w:r w:rsidR="00713026">
        <w:rPr>
          <w:i/>
          <w:lang w:eastAsia="cs-CZ"/>
        </w:rPr>
        <w:t>společných částí</w:t>
      </w:r>
      <w:r w:rsidR="00713026">
        <w:rPr>
          <w:lang w:eastAsia="cs-CZ"/>
        </w:rPr>
        <w:t xml:space="preserve"> a </w:t>
      </w:r>
      <w:r w:rsidR="00713026">
        <w:rPr>
          <w:i/>
          <w:lang w:eastAsia="cs-CZ"/>
        </w:rPr>
        <w:t xml:space="preserve">Smlouvu o zajištění servisních a rozvojových služeb systému </w:t>
      </w:r>
      <w:proofErr w:type="spellStart"/>
      <w:r w:rsidR="00713026">
        <w:rPr>
          <w:i/>
          <w:lang w:eastAsia="cs-CZ"/>
        </w:rPr>
        <w:t>eISIR</w:t>
      </w:r>
      <w:proofErr w:type="spellEnd"/>
      <w:r w:rsidR="00713026">
        <w:rPr>
          <w:lang w:eastAsia="cs-CZ"/>
        </w:rPr>
        <w:t>.</w:t>
      </w:r>
    </w:p>
    <w:p w14:paraId="3BABB726" w14:textId="77777777" w:rsidR="00BC792B" w:rsidRPr="00BC792B" w:rsidRDefault="00BC792B" w:rsidP="00317D87">
      <w:pPr>
        <w:pStyle w:val="Nadpis2"/>
        <w:ind w:left="426" w:hanging="426"/>
        <w:rPr>
          <w:lang w:eastAsia="cs-CZ"/>
        </w:rPr>
      </w:pPr>
      <w:r w:rsidRPr="00BC792B">
        <w:rPr>
          <w:lang w:eastAsia="cs-CZ"/>
        </w:rPr>
        <w:t xml:space="preserve">Realizace projektu </w:t>
      </w:r>
      <w:proofErr w:type="spellStart"/>
      <w:r w:rsidRPr="00BC792B">
        <w:rPr>
          <w:lang w:eastAsia="cs-CZ"/>
        </w:rPr>
        <w:t>eISIR</w:t>
      </w:r>
      <w:proofErr w:type="spellEnd"/>
    </w:p>
    <w:p w14:paraId="459E0B24" w14:textId="39981B88" w:rsidR="00713026" w:rsidRDefault="00E118C1" w:rsidP="00713026">
      <w:pPr>
        <w:rPr>
          <w:lang w:eastAsia="cs-CZ"/>
        </w:rPr>
      </w:pP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podalo dvě zprávy o realizaci a dvě zjednodušené žádosti o platbu. První zpráva o realizaci </w:t>
      </w:r>
      <w:r w:rsidR="004E68A9">
        <w:rPr>
          <w:lang w:eastAsia="cs-CZ"/>
        </w:rPr>
        <w:t>se týkala</w:t>
      </w:r>
      <w:r>
        <w:rPr>
          <w:lang w:eastAsia="cs-CZ"/>
        </w:rPr>
        <w:t xml:space="preserve"> období od 1. 1. 2016 do 30. 6. 2019. Podána byla 26. 7. 2019. Dokončena a schválena byla 25. 9. 2019. Současně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předložilo 29. 7. 2019 první zjednodušenou žádost o platbu, ve které uvedlo CZV ve výši 1 570 570 Kč. Veškeré tyto výdaje byly investiční a týkaly se vytvoření dvou nových IS (</w:t>
      </w:r>
      <w:r w:rsidR="0057228B">
        <w:rPr>
          <w:lang w:eastAsia="cs-CZ"/>
        </w:rPr>
        <w:t>r</w:t>
      </w:r>
      <w:r w:rsidR="00FE5FE8">
        <w:rPr>
          <w:lang w:eastAsia="cs-CZ"/>
        </w:rPr>
        <w:t>egistr</w:t>
      </w:r>
      <w:r w:rsidR="0078626D">
        <w:rPr>
          <w:lang w:eastAsia="cs-CZ"/>
        </w:rPr>
        <w:t>y</w:t>
      </w:r>
      <w:r w:rsidR="00FE5FE8">
        <w:rPr>
          <w:lang w:eastAsia="cs-CZ"/>
        </w:rPr>
        <w:t xml:space="preserve"> justičních činitelů</w:t>
      </w:r>
      <w:r>
        <w:rPr>
          <w:lang w:eastAsia="cs-CZ"/>
        </w:rPr>
        <w:t xml:space="preserve">). Žádost byla 5. 9. 2019 finalizována a následně proplacena. Druhá zpráva o realizaci </w:t>
      </w:r>
      <w:r w:rsidR="004E68A9">
        <w:rPr>
          <w:lang w:eastAsia="cs-CZ"/>
        </w:rPr>
        <w:t xml:space="preserve">se týkala </w:t>
      </w:r>
      <w:r>
        <w:rPr>
          <w:lang w:eastAsia="cs-CZ"/>
        </w:rPr>
        <w:t xml:space="preserve">období od 1. 7. 2019 do 31. 12. 2020. Podána byla 29. 1. 2021. Dokončena a schválena byla 4. 3. 2021. Současně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předložilo </w:t>
      </w:r>
      <w:r w:rsidR="00362311" w:rsidRPr="00362311">
        <w:rPr>
          <w:lang w:eastAsia="cs-CZ"/>
        </w:rPr>
        <w:t xml:space="preserve">29. 1. 2021 </w:t>
      </w:r>
      <w:r w:rsidR="00713026">
        <w:rPr>
          <w:lang w:eastAsia="cs-CZ"/>
        </w:rPr>
        <w:t>druhou zjednodušenou žádost o platbu</w:t>
      </w:r>
      <w:r>
        <w:rPr>
          <w:lang w:eastAsia="cs-CZ"/>
        </w:rPr>
        <w:t xml:space="preserve">, </w:t>
      </w:r>
      <w:r w:rsidR="00713026">
        <w:rPr>
          <w:lang w:eastAsia="cs-CZ"/>
        </w:rPr>
        <w:t>ve které uvedlo CZV ve výši 2</w:t>
      </w:r>
      <w:r w:rsidR="00966E9E">
        <w:rPr>
          <w:lang w:eastAsia="cs-CZ"/>
        </w:rPr>
        <w:t xml:space="preserve"> </w:t>
      </w:r>
      <w:r w:rsidR="00713026">
        <w:rPr>
          <w:lang w:eastAsia="cs-CZ"/>
        </w:rPr>
        <w:t>571 250 Kč. Veškeré tyto výdaje byly investiční a týkaly se vytvoření nového IS (</w:t>
      </w:r>
      <w:r w:rsidR="0057228B">
        <w:rPr>
          <w:lang w:eastAsia="cs-CZ"/>
        </w:rPr>
        <w:t>g</w:t>
      </w:r>
      <w:r w:rsidR="00FE5FE8">
        <w:rPr>
          <w:lang w:eastAsia="cs-CZ"/>
        </w:rPr>
        <w:t>enerátor náhodného přidělení</w:t>
      </w:r>
      <w:r w:rsidR="00713026">
        <w:rPr>
          <w:lang w:eastAsia="cs-CZ"/>
        </w:rPr>
        <w:t>). Žádost byla 1. 3.</w:t>
      </w:r>
      <w:r w:rsidR="00BC792B">
        <w:rPr>
          <w:lang w:eastAsia="cs-CZ"/>
        </w:rPr>
        <w:t> </w:t>
      </w:r>
      <w:r w:rsidR="00713026">
        <w:rPr>
          <w:lang w:eastAsia="cs-CZ"/>
        </w:rPr>
        <w:t>2021 finalizována a následně proplacena.</w:t>
      </w:r>
    </w:p>
    <w:p w14:paraId="5B1E31DA" w14:textId="10CFDB53" w:rsidR="00362311" w:rsidRDefault="00E532D5" w:rsidP="00E532D5">
      <w:pPr>
        <w:rPr>
          <w:lang w:eastAsia="cs-CZ"/>
        </w:rPr>
      </w:pPr>
      <w:proofErr w:type="spellStart"/>
      <w:r w:rsidRPr="00E532D5">
        <w:rPr>
          <w:lang w:eastAsia="cs-CZ"/>
        </w:rPr>
        <w:t>MSp</w:t>
      </w:r>
      <w:proofErr w:type="spellEnd"/>
      <w:r w:rsidRPr="00E532D5">
        <w:rPr>
          <w:lang w:eastAsia="cs-CZ"/>
        </w:rPr>
        <w:t xml:space="preserve"> ve zprávách o realizaci nevykazovalo hodnoty monitorovacích indikátorů</w:t>
      </w:r>
      <w:r w:rsidR="00511E38">
        <w:rPr>
          <w:lang w:eastAsia="cs-CZ"/>
        </w:rPr>
        <w:t>.</w:t>
      </w:r>
      <w:r w:rsidRPr="00E532D5">
        <w:rPr>
          <w:lang w:eastAsia="cs-CZ"/>
        </w:rPr>
        <w:t xml:space="preserve"> </w:t>
      </w:r>
      <w:proofErr w:type="spellStart"/>
      <w:r w:rsidR="003F6380">
        <w:rPr>
          <w:lang w:eastAsia="cs-CZ"/>
        </w:rPr>
        <w:t>MSp</w:t>
      </w:r>
      <w:proofErr w:type="spellEnd"/>
      <w:r w:rsidR="003F6380">
        <w:rPr>
          <w:lang w:eastAsia="cs-CZ"/>
        </w:rPr>
        <w:t xml:space="preserve"> zároveň </w:t>
      </w:r>
      <w:r w:rsidR="005821CF">
        <w:rPr>
          <w:lang w:eastAsia="cs-CZ"/>
        </w:rPr>
        <w:t xml:space="preserve">průběžně </w:t>
      </w:r>
      <w:r w:rsidRPr="00E532D5">
        <w:rPr>
          <w:lang w:eastAsia="cs-CZ"/>
        </w:rPr>
        <w:t xml:space="preserve">nesledovalo a nevyhodnocovalo </w:t>
      </w:r>
      <w:r w:rsidR="003F6380">
        <w:rPr>
          <w:lang w:eastAsia="cs-CZ"/>
        </w:rPr>
        <w:t xml:space="preserve">ani </w:t>
      </w:r>
      <w:r w:rsidRPr="00E532D5">
        <w:rPr>
          <w:lang w:eastAsia="cs-CZ"/>
        </w:rPr>
        <w:t xml:space="preserve">plnění cílů projektu </w:t>
      </w:r>
      <w:proofErr w:type="spellStart"/>
      <w:r w:rsidRPr="00E532D5">
        <w:rPr>
          <w:lang w:eastAsia="cs-CZ"/>
        </w:rPr>
        <w:t>eISIR</w:t>
      </w:r>
      <w:proofErr w:type="spellEnd"/>
      <w:r w:rsidRPr="00E532D5">
        <w:rPr>
          <w:lang w:eastAsia="cs-CZ"/>
        </w:rPr>
        <w:t>. S</w:t>
      </w:r>
      <w:r w:rsidR="003F6380">
        <w:rPr>
          <w:lang w:eastAsia="cs-CZ"/>
        </w:rPr>
        <w:t xml:space="preserve"> </w:t>
      </w:r>
      <w:r w:rsidRPr="00E532D5">
        <w:rPr>
          <w:lang w:eastAsia="cs-CZ"/>
        </w:rPr>
        <w:t xml:space="preserve">ohledem na postup realizace </w:t>
      </w:r>
      <w:r w:rsidR="0057228B">
        <w:t xml:space="preserve">Ministerstvo spravedlnosti </w:t>
      </w:r>
      <w:r w:rsidRPr="00E532D5">
        <w:rPr>
          <w:lang w:eastAsia="cs-CZ"/>
        </w:rPr>
        <w:t xml:space="preserve">do doby ukončení kontroly </w:t>
      </w:r>
      <w:r w:rsidR="0078626D">
        <w:rPr>
          <w:lang w:eastAsia="cs-CZ"/>
        </w:rPr>
        <w:t xml:space="preserve">NKÚ </w:t>
      </w:r>
      <w:r w:rsidRPr="00E532D5">
        <w:rPr>
          <w:lang w:eastAsia="cs-CZ"/>
        </w:rPr>
        <w:t>monitorovací indikátory ani cíle nenaplnilo.</w:t>
      </w:r>
    </w:p>
    <w:p w14:paraId="306B66DE" w14:textId="3EBCDFC7" w:rsidR="00DB7F1E" w:rsidRPr="00E532D5" w:rsidRDefault="00DB7F1E" w:rsidP="00DB7F1E">
      <w:pPr>
        <w:rPr>
          <w:lang w:eastAsia="cs-CZ"/>
        </w:rPr>
      </w:pPr>
      <w:proofErr w:type="spellStart"/>
      <w:r w:rsidRPr="00E532D5">
        <w:rPr>
          <w:lang w:eastAsia="cs-CZ"/>
        </w:rPr>
        <w:t>MSp</w:t>
      </w:r>
      <w:proofErr w:type="spellEnd"/>
      <w:r w:rsidRPr="00E532D5">
        <w:rPr>
          <w:lang w:eastAsia="cs-CZ"/>
        </w:rPr>
        <w:t xml:space="preserve"> </w:t>
      </w:r>
      <w:r w:rsidR="00607A17">
        <w:rPr>
          <w:lang w:eastAsia="cs-CZ"/>
        </w:rPr>
        <w:t xml:space="preserve">do </w:t>
      </w:r>
      <w:r w:rsidR="0078626D">
        <w:rPr>
          <w:lang w:eastAsia="cs-CZ"/>
        </w:rPr>
        <w:t>června</w:t>
      </w:r>
      <w:r w:rsidR="00966E9E">
        <w:rPr>
          <w:lang w:eastAsia="cs-CZ"/>
        </w:rPr>
        <w:t xml:space="preserve"> </w:t>
      </w:r>
      <w:r w:rsidRPr="00E532D5">
        <w:rPr>
          <w:lang w:eastAsia="cs-CZ"/>
        </w:rPr>
        <w:t xml:space="preserve">2022 dokončilo v rámci projektu </w:t>
      </w:r>
      <w:proofErr w:type="spellStart"/>
      <w:r w:rsidRPr="00E532D5">
        <w:rPr>
          <w:lang w:eastAsia="cs-CZ"/>
        </w:rPr>
        <w:t>eISIR</w:t>
      </w:r>
      <w:proofErr w:type="spellEnd"/>
      <w:r w:rsidRPr="00E532D5">
        <w:rPr>
          <w:lang w:eastAsia="cs-CZ"/>
        </w:rPr>
        <w:t xml:space="preserve"> pouze IS </w:t>
      </w:r>
      <w:r w:rsidRPr="00317D87">
        <w:rPr>
          <w:i/>
          <w:lang w:eastAsia="cs-CZ"/>
        </w:rPr>
        <w:t>Registr soudců</w:t>
      </w:r>
      <w:r w:rsidRPr="00E532D5">
        <w:rPr>
          <w:lang w:eastAsia="cs-CZ"/>
        </w:rPr>
        <w:t xml:space="preserve"> a IS </w:t>
      </w:r>
      <w:r w:rsidRPr="00317D87">
        <w:rPr>
          <w:i/>
          <w:lang w:eastAsia="cs-CZ"/>
        </w:rPr>
        <w:t>Registr státních zástupců</w:t>
      </w:r>
      <w:r>
        <w:rPr>
          <w:lang w:eastAsia="cs-CZ"/>
        </w:rPr>
        <w:t xml:space="preserve">, tj. </w:t>
      </w:r>
      <w:r w:rsidR="00877E92">
        <w:rPr>
          <w:lang w:eastAsia="cs-CZ"/>
        </w:rPr>
        <w:t>r</w:t>
      </w:r>
      <w:r>
        <w:rPr>
          <w:lang w:eastAsia="cs-CZ"/>
        </w:rPr>
        <w:t>egistry justičních činitelů, a</w:t>
      </w:r>
      <w:r w:rsidRPr="00E532D5">
        <w:rPr>
          <w:lang w:eastAsia="cs-CZ"/>
        </w:rPr>
        <w:t xml:space="preserve"> IS </w:t>
      </w:r>
      <w:r w:rsidRPr="00317D87">
        <w:rPr>
          <w:i/>
          <w:lang w:eastAsia="cs-CZ"/>
        </w:rPr>
        <w:t>Generátor náhodného přidělení</w:t>
      </w:r>
      <w:r w:rsidR="00017B6F">
        <w:rPr>
          <w:lang w:eastAsia="cs-CZ"/>
        </w:rPr>
        <w:t>. Na tyto IS vynaložilo celkem 4 141 830 Kč.</w:t>
      </w:r>
      <w:r w:rsidRPr="00E532D5">
        <w:rPr>
          <w:lang w:eastAsia="cs-CZ"/>
        </w:rPr>
        <w:t xml:space="preserve"> </w:t>
      </w:r>
      <w:r>
        <w:rPr>
          <w:lang w:eastAsia="cs-CZ"/>
        </w:rPr>
        <w:t xml:space="preserve">Vytvořením </w:t>
      </w:r>
      <w:r w:rsidR="00F61791">
        <w:rPr>
          <w:lang w:eastAsia="cs-CZ"/>
        </w:rPr>
        <w:t xml:space="preserve">generátoru splnilo specifický cíl 1.6 Strategie </w:t>
      </w:r>
      <w:proofErr w:type="spellStart"/>
      <w:r w:rsidR="00F61791">
        <w:rPr>
          <w:lang w:eastAsia="cs-CZ"/>
        </w:rPr>
        <w:t>eJustice</w:t>
      </w:r>
      <w:proofErr w:type="spellEnd"/>
      <w:r w:rsidR="00F61791">
        <w:rPr>
          <w:lang w:eastAsia="cs-CZ"/>
        </w:rPr>
        <w:t xml:space="preserve"> a </w:t>
      </w:r>
      <w:r w:rsidR="00017B6F">
        <w:rPr>
          <w:lang w:eastAsia="cs-CZ"/>
        </w:rPr>
        <w:t>vytvořením registrů přispělo k</w:t>
      </w:r>
      <w:r w:rsidR="00966E9E">
        <w:rPr>
          <w:lang w:eastAsia="cs-CZ"/>
        </w:rPr>
        <w:t xml:space="preserve"> </w:t>
      </w:r>
      <w:r w:rsidR="00017B6F">
        <w:rPr>
          <w:lang w:eastAsia="cs-CZ"/>
        </w:rPr>
        <w:t xml:space="preserve">plnění cíle 1.2 Strategie </w:t>
      </w:r>
      <w:proofErr w:type="spellStart"/>
      <w:r w:rsidR="00017B6F">
        <w:rPr>
          <w:lang w:eastAsia="cs-CZ"/>
        </w:rPr>
        <w:t>eJustice</w:t>
      </w:r>
      <w:proofErr w:type="spellEnd"/>
      <w:r w:rsidR="00017B6F">
        <w:rPr>
          <w:lang w:eastAsia="cs-CZ"/>
        </w:rPr>
        <w:t xml:space="preserve">. </w:t>
      </w:r>
      <w:r w:rsidRPr="00E532D5">
        <w:rPr>
          <w:lang w:eastAsia="cs-CZ"/>
        </w:rPr>
        <w:t xml:space="preserve">Zároveň </w:t>
      </w:r>
      <w:proofErr w:type="spellStart"/>
      <w:r w:rsidRPr="00E532D5">
        <w:rPr>
          <w:lang w:eastAsia="cs-CZ"/>
        </w:rPr>
        <w:t>MSp</w:t>
      </w:r>
      <w:proofErr w:type="spellEnd"/>
      <w:r w:rsidRPr="00E532D5">
        <w:rPr>
          <w:lang w:eastAsia="cs-CZ"/>
        </w:rPr>
        <w:t xml:space="preserve"> v souvislosti s projektem </w:t>
      </w:r>
      <w:proofErr w:type="spellStart"/>
      <w:r w:rsidRPr="00E532D5">
        <w:rPr>
          <w:lang w:eastAsia="cs-CZ"/>
        </w:rPr>
        <w:t>eISIR</w:t>
      </w:r>
      <w:proofErr w:type="spellEnd"/>
      <w:r w:rsidRPr="00E532D5">
        <w:rPr>
          <w:lang w:eastAsia="cs-CZ"/>
        </w:rPr>
        <w:t xml:space="preserve"> zpracovalo </w:t>
      </w:r>
      <w:r w:rsidRPr="00E532D5">
        <w:rPr>
          <w:i/>
          <w:lang w:eastAsia="cs-CZ"/>
        </w:rPr>
        <w:t>Analýzu insolvenční agendy soudů</w:t>
      </w:r>
      <w:r w:rsidRPr="00E532D5">
        <w:rPr>
          <w:lang w:eastAsia="cs-CZ"/>
        </w:rPr>
        <w:t xml:space="preserve"> a </w:t>
      </w:r>
      <w:r w:rsidRPr="00E532D5">
        <w:rPr>
          <w:i/>
          <w:lang w:eastAsia="cs-CZ"/>
        </w:rPr>
        <w:t>Analýzu tvorby a oběhu dokumentů na soudech</w:t>
      </w:r>
      <w:r w:rsidR="00A75C3A">
        <w:rPr>
          <w:lang w:eastAsia="cs-CZ"/>
        </w:rPr>
        <w:t>.</w:t>
      </w:r>
      <w:r w:rsidRPr="00E532D5">
        <w:rPr>
          <w:lang w:eastAsia="cs-CZ"/>
        </w:rPr>
        <w:t xml:space="preserve"> </w:t>
      </w:r>
      <w:r w:rsidR="00A75C3A">
        <w:rPr>
          <w:lang w:eastAsia="cs-CZ"/>
        </w:rPr>
        <w:t>V</w:t>
      </w:r>
      <w:r w:rsidR="00966E9E">
        <w:rPr>
          <w:lang w:eastAsia="cs-CZ"/>
        </w:rPr>
        <w:t xml:space="preserve"> </w:t>
      </w:r>
      <w:r w:rsidRPr="00E532D5">
        <w:rPr>
          <w:lang w:eastAsia="cs-CZ"/>
        </w:rPr>
        <w:t xml:space="preserve">rámci projektu </w:t>
      </w:r>
      <w:proofErr w:type="spellStart"/>
      <w:r w:rsidRPr="00E532D5">
        <w:rPr>
          <w:lang w:eastAsia="cs-CZ"/>
        </w:rPr>
        <w:t>eISIR</w:t>
      </w:r>
      <w:proofErr w:type="spellEnd"/>
      <w:r w:rsidRPr="00E532D5">
        <w:rPr>
          <w:lang w:eastAsia="cs-CZ"/>
        </w:rPr>
        <w:t xml:space="preserve"> pak byly zpracovány funkční požadavky na </w:t>
      </w:r>
      <w:proofErr w:type="spellStart"/>
      <w:r w:rsidR="00477241">
        <w:rPr>
          <w:lang w:eastAsia="cs-CZ"/>
        </w:rPr>
        <w:t>eSpis</w:t>
      </w:r>
      <w:proofErr w:type="spellEnd"/>
      <w:r w:rsidRPr="00E532D5">
        <w:rPr>
          <w:lang w:eastAsia="cs-CZ"/>
        </w:rPr>
        <w:t xml:space="preserve">. </w:t>
      </w:r>
      <w:r w:rsidR="00877E92">
        <w:rPr>
          <w:lang w:eastAsia="cs-CZ"/>
        </w:rPr>
        <w:t>T</w:t>
      </w:r>
      <w:r w:rsidR="00877E92" w:rsidRPr="00E532D5">
        <w:rPr>
          <w:lang w:eastAsia="cs-CZ"/>
        </w:rPr>
        <w:t xml:space="preserve">aké </w:t>
      </w:r>
      <w:r w:rsidR="00877E92">
        <w:rPr>
          <w:lang w:eastAsia="cs-CZ"/>
        </w:rPr>
        <w:t>t</w:t>
      </w:r>
      <w:r w:rsidRPr="00E532D5">
        <w:rPr>
          <w:lang w:eastAsia="cs-CZ"/>
        </w:rPr>
        <w:t xml:space="preserve">ěmito aktivitami </w:t>
      </w:r>
      <w:r w:rsidR="00877E92" w:rsidRPr="00E532D5">
        <w:rPr>
          <w:lang w:eastAsia="cs-CZ"/>
        </w:rPr>
        <w:t xml:space="preserve">přispělo </w:t>
      </w:r>
      <w:proofErr w:type="spellStart"/>
      <w:r w:rsidRPr="00E532D5">
        <w:rPr>
          <w:lang w:eastAsia="cs-CZ"/>
        </w:rPr>
        <w:t>MSp</w:t>
      </w:r>
      <w:proofErr w:type="spellEnd"/>
      <w:r w:rsidRPr="00E532D5">
        <w:rPr>
          <w:lang w:eastAsia="cs-CZ"/>
        </w:rPr>
        <w:t xml:space="preserve"> k plnění cíle 1.2</w:t>
      </w:r>
      <w:r w:rsidR="00017B6F">
        <w:rPr>
          <w:lang w:eastAsia="cs-CZ"/>
        </w:rPr>
        <w:t xml:space="preserve"> Strategie </w:t>
      </w:r>
      <w:proofErr w:type="spellStart"/>
      <w:r w:rsidR="00017B6F">
        <w:rPr>
          <w:lang w:eastAsia="cs-CZ"/>
        </w:rPr>
        <w:t>eJustice</w:t>
      </w:r>
      <w:proofErr w:type="spellEnd"/>
      <w:r w:rsidRPr="00E532D5">
        <w:rPr>
          <w:lang w:eastAsia="cs-CZ"/>
        </w:rPr>
        <w:t>.</w:t>
      </w:r>
      <w:r w:rsidR="00FE5FE8">
        <w:rPr>
          <w:lang w:eastAsia="cs-CZ"/>
        </w:rPr>
        <w:t xml:space="preserve"> </w:t>
      </w:r>
      <w:proofErr w:type="spellStart"/>
      <w:r w:rsidRPr="00E532D5">
        <w:rPr>
          <w:lang w:eastAsia="cs-CZ"/>
        </w:rPr>
        <w:t>MSp</w:t>
      </w:r>
      <w:proofErr w:type="spellEnd"/>
      <w:r w:rsidRPr="00E532D5">
        <w:rPr>
          <w:lang w:eastAsia="cs-CZ"/>
        </w:rPr>
        <w:t xml:space="preserve"> se naopak nepodařilo vytvořit a implementovat </w:t>
      </w:r>
      <w:proofErr w:type="spellStart"/>
      <w:r w:rsidR="00685AD0" w:rsidRPr="00E532D5">
        <w:rPr>
          <w:lang w:eastAsia="cs-CZ"/>
        </w:rPr>
        <w:t>eSpis</w:t>
      </w:r>
      <w:proofErr w:type="spellEnd"/>
      <w:r w:rsidR="00685AD0">
        <w:rPr>
          <w:lang w:eastAsia="cs-CZ"/>
        </w:rPr>
        <w:t>,</w:t>
      </w:r>
      <w:r w:rsidR="00685AD0" w:rsidRPr="00E532D5">
        <w:rPr>
          <w:lang w:eastAsia="cs-CZ"/>
        </w:rPr>
        <w:t xml:space="preserve"> </w:t>
      </w:r>
      <w:r w:rsidR="0065418E">
        <w:rPr>
          <w:lang w:eastAsia="cs-CZ"/>
        </w:rPr>
        <w:t xml:space="preserve">nový </w:t>
      </w:r>
      <w:proofErr w:type="spellStart"/>
      <w:r w:rsidR="008E1D19">
        <w:rPr>
          <w:lang w:eastAsia="cs-CZ"/>
        </w:rPr>
        <w:t>agendový</w:t>
      </w:r>
      <w:proofErr w:type="spellEnd"/>
      <w:r w:rsidR="008E1D19">
        <w:rPr>
          <w:lang w:eastAsia="cs-CZ"/>
        </w:rPr>
        <w:t xml:space="preserve"> IS insolvenčního rejstříku</w:t>
      </w:r>
      <w:r w:rsidRPr="00E532D5">
        <w:rPr>
          <w:lang w:eastAsia="cs-CZ"/>
        </w:rPr>
        <w:t xml:space="preserve"> a prvky </w:t>
      </w:r>
      <w:r w:rsidR="00C9093C" w:rsidRPr="00317D87">
        <w:rPr>
          <w:lang w:eastAsia="cs-CZ"/>
        </w:rPr>
        <w:t>c</w:t>
      </w:r>
      <w:r w:rsidRPr="00C9093C">
        <w:rPr>
          <w:lang w:eastAsia="cs-CZ"/>
        </w:rPr>
        <w:t>entra justice</w:t>
      </w:r>
      <w:r w:rsidRPr="00E532D5">
        <w:rPr>
          <w:lang w:eastAsia="cs-CZ"/>
        </w:rPr>
        <w:t xml:space="preserve"> – </w:t>
      </w:r>
      <w:r w:rsidR="00877E92">
        <w:rPr>
          <w:lang w:eastAsia="cs-CZ"/>
        </w:rPr>
        <w:t>r</w:t>
      </w:r>
      <w:r w:rsidRPr="00E532D5">
        <w:rPr>
          <w:lang w:eastAsia="cs-CZ"/>
        </w:rPr>
        <w:t xml:space="preserve">egistr jmen, </w:t>
      </w:r>
      <w:r w:rsidR="00877E92">
        <w:rPr>
          <w:lang w:eastAsia="cs-CZ"/>
        </w:rPr>
        <w:t>č</w:t>
      </w:r>
      <w:r w:rsidRPr="00E532D5">
        <w:rPr>
          <w:lang w:eastAsia="cs-CZ"/>
        </w:rPr>
        <w:t xml:space="preserve">íselníky, </w:t>
      </w:r>
      <w:r w:rsidR="00877E92">
        <w:rPr>
          <w:lang w:eastAsia="cs-CZ"/>
        </w:rPr>
        <w:t>c</w:t>
      </w:r>
      <w:r w:rsidR="004E2F8F">
        <w:rPr>
          <w:lang w:eastAsia="cs-CZ"/>
        </w:rPr>
        <w:t>entrální tvorb</w:t>
      </w:r>
      <w:r w:rsidR="00877E92">
        <w:rPr>
          <w:lang w:eastAsia="cs-CZ"/>
        </w:rPr>
        <w:t>u</w:t>
      </w:r>
      <w:r w:rsidR="004E2F8F">
        <w:rPr>
          <w:lang w:eastAsia="cs-CZ"/>
        </w:rPr>
        <w:t xml:space="preserve"> dokumentů</w:t>
      </w:r>
      <w:r w:rsidRPr="00E532D5">
        <w:rPr>
          <w:lang w:eastAsia="cs-CZ"/>
        </w:rPr>
        <w:t xml:space="preserve"> a</w:t>
      </w:r>
      <w:r w:rsidR="00877E92">
        <w:rPr>
          <w:lang w:eastAsia="cs-CZ"/>
        </w:rPr>
        <w:t>ni r</w:t>
      </w:r>
      <w:r w:rsidRPr="00E532D5">
        <w:rPr>
          <w:lang w:eastAsia="cs-CZ"/>
        </w:rPr>
        <w:t xml:space="preserve">ozvrh práce. Vytvoření </w:t>
      </w:r>
      <w:proofErr w:type="spellStart"/>
      <w:r w:rsidRPr="00E532D5">
        <w:rPr>
          <w:lang w:eastAsia="cs-CZ"/>
        </w:rPr>
        <w:t>eSpis</w:t>
      </w:r>
      <w:r w:rsidR="00877E92">
        <w:rPr>
          <w:lang w:eastAsia="cs-CZ"/>
        </w:rPr>
        <w:t>u</w:t>
      </w:r>
      <w:proofErr w:type="spellEnd"/>
      <w:r w:rsidRPr="00E532D5">
        <w:rPr>
          <w:lang w:eastAsia="cs-CZ"/>
        </w:rPr>
        <w:t xml:space="preserve">, </w:t>
      </w:r>
      <w:proofErr w:type="spellStart"/>
      <w:r w:rsidR="00477241">
        <w:rPr>
          <w:lang w:eastAsia="cs-CZ"/>
        </w:rPr>
        <w:t>agendového</w:t>
      </w:r>
      <w:proofErr w:type="spellEnd"/>
      <w:r w:rsidR="00477241">
        <w:rPr>
          <w:lang w:eastAsia="cs-CZ"/>
        </w:rPr>
        <w:t xml:space="preserve"> IS insolvenčního rejstříku</w:t>
      </w:r>
      <w:r w:rsidR="00477241" w:rsidRPr="00E532D5">
        <w:rPr>
          <w:lang w:eastAsia="cs-CZ"/>
        </w:rPr>
        <w:t xml:space="preserve"> </w:t>
      </w:r>
      <w:r w:rsidRPr="00E532D5">
        <w:rPr>
          <w:lang w:eastAsia="cs-CZ"/>
        </w:rPr>
        <w:t>a ostatních IS</w:t>
      </w:r>
      <w:r>
        <w:rPr>
          <w:lang w:eastAsia="cs-CZ"/>
        </w:rPr>
        <w:t xml:space="preserve"> </w:t>
      </w:r>
      <w:r w:rsidRPr="00E532D5">
        <w:rPr>
          <w:lang w:eastAsia="cs-CZ"/>
        </w:rPr>
        <w:t xml:space="preserve">je klíčové pro naplnění pěti specifických cílů Strategie </w:t>
      </w:r>
      <w:proofErr w:type="spellStart"/>
      <w:r w:rsidR="00607A17">
        <w:rPr>
          <w:lang w:eastAsia="cs-CZ"/>
        </w:rPr>
        <w:t>eJustice</w:t>
      </w:r>
      <w:proofErr w:type="spellEnd"/>
      <w:r w:rsidRPr="00E532D5">
        <w:rPr>
          <w:lang w:eastAsia="cs-CZ"/>
        </w:rPr>
        <w:t xml:space="preserve"> (1.1, 1.2, 1.3, 1.7 a 2.2). Vybudování </w:t>
      </w:r>
      <w:proofErr w:type="spellStart"/>
      <w:r w:rsidRPr="00E532D5">
        <w:rPr>
          <w:lang w:eastAsia="cs-CZ"/>
        </w:rPr>
        <w:t>eSpis</w:t>
      </w:r>
      <w:r w:rsidR="00877E92">
        <w:rPr>
          <w:lang w:eastAsia="cs-CZ"/>
        </w:rPr>
        <w:t>u</w:t>
      </w:r>
      <w:proofErr w:type="spellEnd"/>
      <w:r w:rsidRPr="00E532D5">
        <w:rPr>
          <w:lang w:eastAsia="cs-CZ"/>
        </w:rPr>
        <w:t xml:space="preserve"> je zároveň </w:t>
      </w:r>
      <w:proofErr w:type="spellStart"/>
      <w:r w:rsidRPr="00E532D5">
        <w:rPr>
          <w:lang w:eastAsia="cs-CZ"/>
        </w:rPr>
        <w:t>prerekvizitou</w:t>
      </w:r>
      <w:proofErr w:type="spellEnd"/>
      <w:r w:rsidRPr="00E532D5">
        <w:rPr>
          <w:lang w:eastAsia="cs-CZ"/>
        </w:rPr>
        <w:t xml:space="preserve"> k</w:t>
      </w:r>
      <w:r w:rsidR="00966E9E">
        <w:rPr>
          <w:lang w:eastAsia="cs-CZ"/>
        </w:rPr>
        <w:t xml:space="preserve"> </w:t>
      </w:r>
      <w:r w:rsidRPr="00E532D5">
        <w:rPr>
          <w:lang w:eastAsia="cs-CZ"/>
        </w:rPr>
        <w:t>zahájení realizace jiných aktivit, a tedy k naplnění dalších specifických cílů.</w:t>
      </w:r>
    </w:p>
    <w:p w14:paraId="235610FE" w14:textId="70F859D8" w:rsidR="00DB7F1E" w:rsidRPr="00E532D5" w:rsidRDefault="00DB7F1E" w:rsidP="00DB7F1E">
      <w:pPr>
        <w:rPr>
          <w:lang w:eastAsia="cs-CZ"/>
        </w:rPr>
      </w:pPr>
      <w:r w:rsidRPr="00E532D5">
        <w:rPr>
          <w:lang w:eastAsia="cs-CZ"/>
        </w:rPr>
        <w:t xml:space="preserve">Prodlužování realizace projektu </w:t>
      </w:r>
      <w:proofErr w:type="spellStart"/>
      <w:r w:rsidRPr="00E532D5">
        <w:rPr>
          <w:lang w:eastAsia="cs-CZ"/>
        </w:rPr>
        <w:t>eISIR</w:t>
      </w:r>
      <w:proofErr w:type="spellEnd"/>
      <w:r w:rsidRPr="00E532D5">
        <w:rPr>
          <w:lang w:eastAsia="cs-CZ"/>
        </w:rPr>
        <w:t>, či dokonce jeho neúspěšná realizace, a tedy nevytvoření plánovaných IS s</w:t>
      </w:r>
      <w:r w:rsidR="00877E92">
        <w:rPr>
          <w:lang w:eastAsia="cs-CZ"/>
        </w:rPr>
        <w:t xml:space="preserve"> </w:t>
      </w:r>
      <w:r w:rsidRPr="00E532D5">
        <w:rPr>
          <w:lang w:eastAsia="cs-CZ"/>
        </w:rPr>
        <w:t>sebou přináší značná rizika. Současný</w:t>
      </w:r>
      <w:r w:rsidR="00477241">
        <w:rPr>
          <w:lang w:eastAsia="cs-CZ"/>
        </w:rPr>
        <w:t xml:space="preserve"> </w:t>
      </w:r>
      <w:proofErr w:type="spellStart"/>
      <w:r w:rsidR="00477241">
        <w:rPr>
          <w:lang w:eastAsia="cs-CZ"/>
        </w:rPr>
        <w:t>agendový</w:t>
      </w:r>
      <w:proofErr w:type="spellEnd"/>
      <w:r w:rsidRPr="00E532D5">
        <w:rPr>
          <w:lang w:eastAsia="cs-CZ"/>
        </w:rPr>
        <w:t xml:space="preserve"> IS</w:t>
      </w:r>
      <w:r w:rsidR="004E2F8F">
        <w:rPr>
          <w:lang w:eastAsia="cs-CZ"/>
        </w:rPr>
        <w:t xml:space="preserve"> insolvenčního rejstříku</w:t>
      </w:r>
      <w:r w:rsidRPr="00E532D5">
        <w:rPr>
          <w:lang w:eastAsia="cs-CZ"/>
        </w:rPr>
        <w:t xml:space="preserve"> je technologicky </w:t>
      </w:r>
      <w:r w:rsidR="00877E92">
        <w:rPr>
          <w:lang w:eastAsia="cs-CZ"/>
        </w:rPr>
        <w:t>i</w:t>
      </w:r>
      <w:r w:rsidRPr="00E532D5">
        <w:rPr>
          <w:lang w:eastAsia="cs-CZ"/>
        </w:rPr>
        <w:t xml:space="preserve"> morálně zastaralý a nevyhovující, architektura řešení je složitá a nepružná, dochází k pomalé odezvě. Při zachování současného stavu bude dále v insolvenční agendě soudní spis veden duálně, primárně v listinné podobě. Veškeré elektronické dokumenty se budou dále tisknout a veškeré listinné dokumenty se budou dále skenovat. Nedojde k zajištění vyšší transparentnosti a dlouhodobé archivace dat, ke zrychlení výkonu, k úspoře nákladů, času a práce, ke zvýšení počtu elektronických podání, bezpečnosti a zabezpečení dat, ke snížení počtu špatných informačních vazeb a výpadků systému. </w:t>
      </w:r>
      <w:r w:rsidR="00540F81">
        <w:rPr>
          <w:lang w:eastAsia="cs-CZ"/>
        </w:rPr>
        <w:t>U</w:t>
      </w:r>
      <w:r w:rsidR="009A0C7B">
        <w:rPr>
          <w:lang w:eastAsia="cs-CZ"/>
        </w:rPr>
        <w:t> </w:t>
      </w:r>
      <w:r w:rsidRPr="00E532D5">
        <w:rPr>
          <w:lang w:eastAsia="cs-CZ"/>
        </w:rPr>
        <w:t>aplikace</w:t>
      </w:r>
      <w:r w:rsidR="004E2F8F">
        <w:rPr>
          <w:lang w:eastAsia="cs-CZ"/>
        </w:rPr>
        <w:t>,</w:t>
      </w:r>
      <w:r w:rsidRPr="00E532D5">
        <w:rPr>
          <w:lang w:eastAsia="cs-CZ"/>
        </w:rPr>
        <w:t xml:space="preserve"> která slouží pro vedení </w:t>
      </w:r>
      <w:r w:rsidR="0044458D">
        <w:rPr>
          <w:lang w:eastAsia="cs-CZ"/>
        </w:rPr>
        <w:t xml:space="preserve">evidence </w:t>
      </w:r>
      <w:r w:rsidRPr="00E532D5">
        <w:rPr>
          <w:lang w:eastAsia="cs-CZ"/>
        </w:rPr>
        <w:t xml:space="preserve">insolvenčních správců, hrozí dokonce nebezpečí ztráty funkčnosti, neboť </w:t>
      </w:r>
      <w:r w:rsidR="00BC792B">
        <w:rPr>
          <w:lang w:eastAsia="cs-CZ"/>
        </w:rPr>
        <w:t xml:space="preserve">dodavatel ukončil její vývoj a podporu a není možné </w:t>
      </w:r>
      <w:r w:rsidR="0053381D">
        <w:rPr>
          <w:lang w:eastAsia="cs-CZ"/>
        </w:rPr>
        <w:t xml:space="preserve">ji dále </w:t>
      </w:r>
      <w:r w:rsidR="0053381D">
        <w:rPr>
          <w:lang w:eastAsia="cs-CZ"/>
        </w:rPr>
        <w:lastRenderedPageBreak/>
        <w:t xml:space="preserve">upravovat a modernizovat. </w:t>
      </w:r>
      <w:r w:rsidRPr="00E532D5">
        <w:rPr>
          <w:lang w:eastAsia="cs-CZ"/>
        </w:rPr>
        <w:t>Obdobně jsou i systémy spisové služby v</w:t>
      </w:r>
      <w:r w:rsidR="00C1217A">
        <w:rPr>
          <w:lang w:eastAsia="cs-CZ"/>
        </w:rPr>
        <w:t xml:space="preserve"> </w:t>
      </w:r>
      <w:r w:rsidRPr="00E532D5">
        <w:rPr>
          <w:lang w:eastAsia="cs-CZ"/>
        </w:rPr>
        <w:t xml:space="preserve">justici technicky </w:t>
      </w:r>
      <w:r w:rsidR="00C1217A">
        <w:rPr>
          <w:lang w:eastAsia="cs-CZ"/>
        </w:rPr>
        <w:br/>
      </w:r>
      <w:r w:rsidRPr="00E532D5">
        <w:rPr>
          <w:lang w:eastAsia="cs-CZ"/>
        </w:rPr>
        <w:t>a</w:t>
      </w:r>
      <w:r w:rsidR="00C1217A">
        <w:rPr>
          <w:lang w:eastAsia="cs-CZ"/>
        </w:rPr>
        <w:t xml:space="preserve"> </w:t>
      </w:r>
      <w:r w:rsidRPr="00E532D5">
        <w:rPr>
          <w:lang w:eastAsia="cs-CZ"/>
        </w:rPr>
        <w:t xml:space="preserve">morálně zastaralé a mají omezenou funkčnost. Implementace většiny nástrojů moderní </w:t>
      </w:r>
      <w:proofErr w:type="spellStart"/>
      <w:r w:rsidRPr="00E532D5">
        <w:rPr>
          <w:lang w:eastAsia="cs-CZ"/>
        </w:rPr>
        <w:t>eJustice</w:t>
      </w:r>
      <w:proofErr w:type="spellEnd"/>
      <w:r w:rsidRPr="00E532D5">
        <w:rPr>
          <w:lang w:eastAsia="cs-CZ"/>
        </w:rPr>
        <w:t xml:space="preserve"> je </w:t>
      </w:r>
      <w:r w:rsidR="004E2F8F">
        <w:rPr>
          <w:lang w:eastAsia="cs-CZ"/>
        </w:rPr>
        <w:t xml:space="preserve">bez výstupů projektu </w:t>
      </w:r>
      <w:proofErr w:type="spellStart"/>
      <w:r w:rsidR="004E2F8F">
        <w:rPr>
          <w:lang w:eastAsia="cs-CZ"/>
        </w:rPr>
        <w:t>eISIR</w:t>
      </w:r>
      <w:proofErr w:type="spellEnd"/>
      <w:r w:rsidRPr="00E532D5">
        <w:rPr>
          <w:lang w:eastAsia="cs-CZ"/>
        </w:rPr>
        <w:t xml:space="preserve"> takřka vyloučena. Např. bez funkčního </w:t>
      </w:r>
      <w:r w:rsidR="00877E92">
        <w:rPr>
          <w:lang w:eastAsia="cs-CZ"/>
        </w:rPr>
        <w:t>r</w:t>
      </w:r>
      <w:r w:rsidRPr="00E532D5">
        <w:rPr>
          <w:lang w:eastAsia="cs-CZ"/>
        </w:rPr>
        <w:t>egistru jmen nebude možné realizovat propojený datový fond.</w:t>
      </w:r>
      <w:r w:rsidR="00FE5FE8">
        <w:rPr>
          <w:lang w:eastAsia="cs-CZ"/>
        </w:rPr>
        <w:t xml:space="preserve"> </w:t>
      </w:r>
      <w:r w:rsidRPr="00E532D5">
        <w:rPr>
          <w:lang w:eastAsia="cs-CZ"/>
        </w:rPr>
        <w:t>Zpožďování realizace s</w:t>
      </w:r>
      <w:r w:rsidR="00877E92">
        <w:rPr>
          <w:lang w:eastAsia="cs-CZ"/>
        </w:rPr>
        <w:t xml:space="preserve"> </w:t>
      </w:r>
      <w:r w:rsidRPr="00E532D5">
        <w:rPr>
          <w:lang w:eastAsia="cs-CZ"/>
        </w:rPr>
        <w:t>sebou přináší i</w:t>
      </w:r>
      <w:r w:rsidR="00BD1B0F">
        <w:rPr>
          <w:lang w:eastAsia="cs-CZ"/>
        </w:rPr>
        <w:t> </w:t>
      </w:r>
      <w:r w:rsidRPr="00E532D5">
        <w:rPr>
          <w:lang w:eastAsia="cs-CZ"/>
        </w:rPr>
        <w:t>riziko, že v</w:t>
      </w:r>
      <w:r w:rsidR="00877E92">
        <w:rPr>
          <w:lang w:eastAsia="cs-CZ"/>
        </w:rPr>
        <w:t> </w:t>
      </w:r>
      <w:r w:rsidRPr="00E532D5">
        <w:rPr>
          <w:lang w:eastAsia="cs-CZ"/>
        </w:rPr>
        <w:t>době</w:t>
      </w:r>
      <w:r w:rsidR="00877E92">
        <w:rPr>
          <w:lang w:eastAsia="cs-CZ"/>
        </w:rPr>
        <w:t xml:space="preserve"> spuštění</w:t>
      </w:r>
      <w:r w:rsidRPr="00E532D5">
        <w:rPr>
          <w:lang w:eastAsia="cs-CZ"/>
        </w:rPr>
        <w:t xml:space="preserve"> </w:t>
      </w:r>
      <w:proofErr w:type="spellStart"/>
      <w:r w:rsidR="00121C7E" w:rsidRPr="00E532D5">
        <w:rPr>
          <w:lang w:eastAsia="cs-CZ"/>
        </w:rPr>
        <w:t>eSpis</w:t>
      </w:r>
      <w:r w:rsidR="00877E92">
        <w:rPr>
          <w:lang w:eastAsia="cs-CZ"/>
        </w:rPr>
        <w:t>u</w:t>
      </w:r>
      <w:proofErr w:type="spellEnd"/>
      <w:r w:rsidR="00121C7E">
        <w:rPr>
          <w:lang w:eastAsia="cs-CZ"/>
        </w:rPr>
        <w:t>,</w:t>
      </w:r>
      <w:r w:rsidR="00121C7E" w:rsidRPr="00E532D5">
        <w:rPr>
          <w:lang w:eastAsia="cs-CZ"/>
        </w:rPr>
        <w:t xml:space="preserve"> </w:t>
      </w:r>
      <w:r w:rsidR="00477241">
        <w:rPr>
          <w:lang w:eastAsia="cs-CZ"/>
        </w:rPr>
        <w:t>nov</w:t>
      </w:r>
      <w:r w:rsidR="00877E92">
        <w:rPr>
          <w:lang w:eastAsia="cs-CZ"/>
        </w:rPr>
        <w:t>ého</w:t>
      </w:r>
      <w:r w:rsidR="00477241">
        <w:rPr>
          <w:lang w:eastAsia="cs-CZ"/>
        </w:rPr>
        <w:t xml:space="preserve"> </w:t>
      </w:r>
      <w:proofErr w:type="spellStart"/>
      <w:r w:rsidR="00121C7E">
        <w:rPr>
          <w:lang w:eastAsia="cs-CZ"/>
        </w:rPr>
        <w:t>agendov</w:t>
      </w:r>
      <w:r w:rsidR="00877E92">
        <w:rPr>
          <w:lang w:eastAsia="cs-CZ"/>
        </w:rPr>
        <w:t>ého</w:t>
      </w:r>
      <w:proofErr w:type="spellEnd"/>
      <w:r w:rsidR="00121C7E">
        <w:rPr>
          <w:lang w:eastAsia="cs-CZ"/>
        </w:rPr>
        <w:t xml:space="preserve"> IS insolvenčního rejstříku</w:t>
      </w:r>
      <w:r w:rsidRPr="00E532D5">
        <w:rPr>
          <w:lang w:eastAsia="cs-CZ"/>
        </w:rPr>
        <w:t xml:space="preserve"> a další</w:t>
      </w:r>
      <w:r w:rsidR="00877E92">
        <w:rPr>
          <w:lang w:eastAsia="cs-CZ"/>
        </w:rPr>
        <w:t>ch</w:t>
      </w:r>
      <w:r w:rsidRPr="00E532D5">
        <w:rPr>
          <w:lang w:eastAsia="cs-CZ"/>
        </w:rPr>
        <w:t xml:space="preserve"> IS </w:t>
      </w:r>
      <w:r w:rsidR="00877E92">
        <w:rPr>
          <w:lang w:eastAsia="cs-CZ"/>
        </w:rPr>
        <w:t>budou definované funkční požadavky</w:t>
      </w:r>
      <w:r w:rsidR="002C019D">
        <w:rPr>
          <w:lang w:eastAsia="cs-CZ"/>
        </w:rPr>
        <w:t xml:space="preserve"> i použité technologie </w:t>
      </w:r>
      <w:r w:rsidR="003F6380">
        <w:rPr>
          <w:lang w:eastAsia="cs-CZ"/>
        </w:rPr>
        <w:t xml:space="preserve">již </w:t>
      </w:r>
      <w:r w:rsidRPr="00E532D5">
        <w:rPr>
          <w:lang w:eastAsia="cs-CZ"/>
        </w:rPr>
        <w:t>překonan</w:t>
      </w:r>
      <w:r w:rsidR="002C019D">
        <w:rPr>
          <w:lang w:eastAsia="cs-CZ"/>
        </w:rPr>
        <w:t>é</w:t>
      </w:r>
      <w:r w:rsidRPr="00E532D5">
        <w:rPr>
          <w:lang w:eastAsia="cs-CZ"/>
        </w:rPr>
        <w:t xml:space="preserve"> a technologicky zastaral</w:t>
      </w:r>
      <w:r w:rsidR="002C019D">
        <w:rPr>
          <w:lang w:eastAsia="cs-CZ"/>
        </w:rPr>
        <w:t>é</w:t>
      </w:r>
      <w:r w:rsidRPr="00E532D5">
        <w:rPr>
          <w:lang w:eastAsia="cs-CZ"/>
        </w:rPr>
        <w:t>.</w:t>
      </w:r>
    </w:p>
    <w:p w14:paraId="263DC7A1" w14:textId="2205452D" w:rsidR="00DB7F1E" w:rsidRPr="00E532D5" w:rsidRDefault="009974C3" w:rsidP="00DB7F1E">
      <w:pPr>
        <w:rPr>
          <w:lang w:eastAsia="cs-CZ"/>
        </w:rPr>
      </w:pPr>
      <w:r>
        <w:rPr>
          <w:lang w:eastAsia="cs-CZ"/>
        </w:rPr>
        <w:t xml:space="preserve">Dosavadní průběh realizace projektu </w:t>
      </w:r>
      <w:proofErr w:type="spellStart"/>
      <w:r>
        <w:rPr>
          <w:lang w:eastAsia="cs-CZ"/>
        </w:rPr>
        <w:t>eISIR</w:t>
      </w:r>
      <w:proofErr w:type="spellEnd"/>
      <w:r>
        <w:rPr>
          <w:lang w:eastAsia="cs-CZ"/>
        </w:rPr>
        <w:t xml:space="preserve"> ukazuje </w:t>
      </w:r>
      <w:r w:rsidR="00DB7F1E" w:rsidRPr="00377930">
        <w:rPr>
          <w:lang w:eastAsia="cs-CZ"/>
        </w:rPr>
        <w:t>na</w:t>
      </w:r>
      <w:r>
        <w:rPr>
          <w:lang w:eastAsia="cs-CZ"/>
        </w:rPr>
        <w:t xml:space="preserve"> </w:t>
      </w:r>
      <w:r w:rsidR="00DB7F1E" w:rsidRPr="00377930">
        <w:rPr>
          <w:lang w:eastAsia="cs-CZ"/>
        </w:rPr>
        <w:t>nekoncepčnost řízení a nevyjasněnou představu o podobě a rozsahu projektu</w:t>
      </w:r>
      <w:r w:rsidR="00540F81">
        <w:rPr>
          <w:lang w:eastAsia="cs-CZ"/>
        </w:rPr>
        <w:t>.</w:t>
      </w:r>
      <w:r w:rsidRPr="009974C3">
        <w:rPr>
          <w:lang w:eastAsia="cs-CZ"/>
        </w:rPr>
        <w:t xml:space="preserve"> </w:t>
      </w:r>
      <w:r w:rsidRPr="00E532D5">
        <w:rPr>
          <w:lang w:eastAsia="cs-CZ"/>
        </w:rPr>
        <w:t>Nutnost prodl</w:t>
      </w:r>
      <w:r>
        <w:rPr>
          <w:lang w:eastAsia="cs-CZ"/>
        </w:rPr>
        <w:t>o</w:t>
      </w:r>
      <w:r w:rsidRPr="00E532D5">
        <w:rPr>
          <w:lang w:eastAsia="cs-CZ"/>
        </w:rPr>
        <w:t xml:space="preserve">užit </w:t>
      </w:r>
      <w:r>
        <w:rPr>
          <w:lang w:eastAsia="cs-CZ"/>
        </w:rPr>
        <w:t xml:space="preserve">jeho </w:t>
      </w:r>
      <w:r w:rsidRPr="00E532D5">
        <w:rPr>
          <w:lang w:eastAsia="cs-CZ"/>
        </w:rPr>
        <w:t>realizaci do 31. 12. 2023</w:t>
      </w:r>
      <w:r>
        <w:rPr>
          <w:lang w:eastAsia="cs-CZ"/>
        </w:rPr>
        <w:t xml:space="preserve"> </w:t>
      </w:r>
      <w:r w:rsidRPr="00E532D5">
        <w:rPr>
          <w:lang w:eastAsia="cs-CZ"/>
        </w:rPr>
        <w:t>byl</w:t>
      </w:r>
      <w:r w:rsidR="002C019D">
        <w:rPr>
          <w:lang w:eastAsia="cs-CZ"/>
        </w:rPr>
        <w:t>a</w:t>
      </w:r>
      <w:r w:rsidRPr="00E532D5">
        <w:rPr>
          <w:lang w:eastAsia="cs-CZ"/>
        </w:rPr>
        <w:t xml:space="preserve"> minimálně v</w:t>
      </w:r>
      <w:r w:rsidR="00E2460F">
        <w:rPr>
          <w:lang w:eastAsia="cs-CZ"/>
        </w:rPr>
        <w:t xml:space="preserve"> </w:t>
      </w:r>
      <w:r w:rsidRPr="00E532D5">
        <w:rPr>
          <w:lang w:eastAsia="cs-CZ"/>
        </w:rPr>
        <w:t>prvních letech realizace způsoben</w:t>
      </w:r>
      <w:r w:rsidR="002C019D">
        <w:rPr>
          <w:lang w:eastAsia="cs-CZ"/>
        </w:rPr>
        <w:t>a</w:t>
      </w:r>
      <w:r w:rsidRPr="00E532D5">
        <w:rPr>
          <w:lang w:eastAsia="cs-CZ"/>
        </w:rPr>
        <w:t xml:space="preserve"> </w:t>
      </w:r>
      <w:proofErr w:type="spellStart"/>
      <w:r w:rsidRPr="00E532D5">
        <w:rPr>
          <w:lang w:eastAsia="cs-CZ"/>
        </w:rPr>
        <w:t>MSp</w:t>
      </w:r>
      <w:proofErr w:type="spellEnd"/>
      <w:r w:rsidRPr="00E532D5">
        <w:rPr>
          <w:lang w:eastAsia="cs-CZ"/>
        </w:rPr>
        <w:t>.</w:t>
      </w:r>
      <w:r>
        <w:rPr>
          <w:lang w:eastAsia="cs-CZ"/>
        </w:rPr>
        <w:t xml:space="preserve"> Vzhledem k</w:t>
      </w:r>
      <w:r w:rsidR="00E2460F">
        <w:rPr>
          <w:lang w:eastAsia="cs-CZ"/>
        </w:rPr>
        <w:t xml:space="preserve"> </w:t>
      </w:r>
      <w:r>
        <w:rPr>
          <w:lang w:eastAsia="cs-CZ"/>
        </w:rPr>
        <w:t xml:space="preserve">malému pokroku v jeho realizaci se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zároveň dostalo </w:t>
      </w:r>
      <w:r w:rsidR="00DB7F1E" w:rsidRPr="00E532D5">
        <w:rPr>
          <w:lang w:eastAsia="cs-CZ"/>
        </w:rPr>
        <w:t xml:space="preserve">do časové tísně. Pokud nedokončí realizaci projektu </w:t>
      </w:r>
      <w:proofErr w:type="spellStart"/>
      <w:r w:rsidR="00DB7F1E" w:rsidRPr="00E532D5">
        <w:rPr>
          <w:lang w:eastAsia="cs-CZ"/>
        </w:rPr>
        <w:t>eISIR</w:t>
      </w:r>
      <w:proofErr w:type="spellEnd"/>
      <w:r w:rsidR="00DB7F1E" w:rsidRPr="00E532D5">
        <w:rPr>
          <w:lang w:eastAsia="cs-CZ"/>
        </w:rPr>
        <w:t xml:space="preserve"> a nenaplní jeho účel do 31. 12. 2023, stanou se výdaje </w:t>
      </w:r>
      <w:r w:rsidR="00E51FB2">
        <w:rPr>
          <w:lang w:eastAsia="cs-CZ"/>
        </w:rPr>
        <w:t>až do výše</w:t>
      </w:r>
      <w:r w:rsidR="00DB7F1E" w:rsidRPr="00E532D5">
        <w:rPr>
          <w:lang w:eastAsia="cs-CZ"/>
        </w:rPr>
        <w:t xml:space="preserve"> </w:t>
      </w:r>
      <w:r w:rsidR="00AD421B" w:rsidRPr="00E51FB2">
        <w:rPr>
          <w:lang w:eastAsia="cs-CZ"/>
        </w:rPr>
        <w:t>177 848</w:t>
      </w:r>
      <w:r>
        <w:rPr>
          <w:lang w:eastAsia="cs-CZ"/>
        </w:rPr>
        <w:t> </w:t>
      </w:r>
      <w:r w:rsidR="00AD421B" w:rsidRPr="00E51FB2">
        <w:rPr>
          <w:lang w:eastAsia="cs-CZ"/>
        </w:rPr>
        <w:t>578</w:t>
      </w:r>
      <w:r>
        <w:rPr>
          <w:lang w:eastAsia="cs-CZ"/>
        </w:rPr>
        <w:t> </w:t>
      </w:r>
      <w:r w:rsidR="00DB7F1E" w:rsidRPr="00E51FB2">
        <w:rPr>
          <w:lang w:eastAsia="cs-CZ"/>
        </w:rPr>
        <w:t>Kč</w:t>
      </w:r>
      <w:r w:rsidR="00DB7F1E" w:rsidRPr="00E532D5">
        <w:rPr>
          <w:lang w:eastAsia="cs-CZ"/>
        </w:rPr>
        <w:t xml:space="preserve"> nezpůsobilými</w:t>
      </w:r>
      <w:r w:rsidR="00607A17">
        <w:rPr>
          <w:lang w:eastAsia="cs-CZ"/>
        </w:rPr>
        <w:t xml:space="preserve"> k proplacení z fondů </w:t>
      </w:r>
      <w:r w:rsidR="00BB3DE2">
        <w:rPr>
          <w:lang w:eastAsia="cs-CZ"/>
        </w:rPr>
        <w:t>EU</w:t>
      </w:r>
      <w:r w:rsidR="00607A17">
        <w:rPr>
          <w:lang w:eastAsia="cs-CZ"/>
        </w:rPr>
        <w:t>.</w:t>
      </w:r>
      <w:r w:rsidR="00DB7F1E" w:rsidRPr="00E532D5">
        <w:rPr>
          <w:lang w:eastAsia="cs-CZ"/>
        </w:rPr>
        <w:t xml:space="preserve"> </w:t>
      </w:r>
      <w:proofErr w:type="spellStart"/>
      <w:r w:rsidR="00DB7F1E" w:rsidRPr="00E532D5">
        <w:rPr>
          <w:lang w:eastAsia="cs-CZ"/>
        </w:rPr>
        <w:t>MSp</w:t>
      </w:r>
      <w:proofErr w:type="spellEnd"/>
      <w:r w:rsidR="00017B6F">
        <w:rPr>
          <w:lang w:eastAsia="cs-CZ"/>
        </w:rPr>
        <w:t xml:space="preserve"> by</w:t>
      </w:r>
      <w:r>
        <w:rPr>
          <w:lang w:eastAsia="cs-CZ"/>
        </w:rPr>
        <w:t xml:space="preserve"> </w:t>
      </w:r>
      <w:r w:rsidR="00DB7F1E" w:rsidRPr="00E532D5">
        <w:rPr>
          <w:lang w:eastAsia="cs-CZ"/>
        </w:rPr>
        <w:t xml:space="preserve">tak </w:t>
      </w:r>
      <w:r>
        <w:rPr>
          <w:lang w:eastAsia="cs-CZ"/>
        </w:rPr>
        <w:t xml:space="preserve">muselo </w:t>
      </w:r>
      <w:r w:rsidR="00DB7F1E" w:rsidRPr="00E532D5">
        <w:rPr>
          <w:lang w:eastAsia="cs-CZ"/>
        </w:rPr>
        <w:t xml:space="preserve">veškeré výdaje projektu </w:t>
      </w:r>
      <w:proofErr w:type="spellStart"/>
      <w:r w:rsidR="00DB7F1E" w:rsidRPr="00E532D5">
        <w:rPr>
          <w:lang w:eastAsia="cs-CZ"/>
        </w:rPr>
        <w:t>eISIR</w:t>
      </w:r>
      <w:proofErr w:type="spellEnd"/>
      <w:r w:rsidR="00DB7F1E" w:rsidRPr="00E532D5">
        <w:rPr>
          <w:lang w:eastAsia="cs-CZ"/>
        </w:rPr>
        <w:t xml:space="preserve"> hradit z</w:t>
      </w:r>
      <w:r w:rsidR="0044458D">
        <w:rPr>
          <w:lang w:eastAsia="cs-CZ"/>
        </w:rPr>
        <w:t>e státního rozpočtu</w:t>
      </w:r>
      <w:r w:rsidR="00DB7F1E" w:rsidRPr="00E532D5">
        <w:rPr>
          <w:lang w:eastAsia="cs-CZ"/>
        </w:rPr>
        <w:t xml:space="preserve">. </w:t>
      </w:r>
      <w:r w:rsidR="00017B6F">
        <w:rPr>
          <w:lang w:eastAsia="cs-CZ"/>
        </w:rPr>
        <w:t xml:space="preserve">Zároveň by muselo </w:t>
      </w:r>
      <w:r w:rsidR="00DB7F1E" w:rsidRPr="00E532D5">
        <w:rPr>
          <w:lang w:eastAsia="cs-CZ"/>
        </w:rPr>
        <w:t xml:space="preserve">vrátit již </w:t>
      </w:r>
      <w:r w:rsidR="00477241">
        <w:rPr>
          <w:lang w:eastAsia="cs-CZ"/>
        </w:rPr>
        <w:t>z</w:t>
      </w:r>
      <w:r w:rsidR="00E2460F">
        <w:rPr>
          <w:lang w:eastAsia="cs-CZ"/>
        </w:rPr>
        <w:t xml:space="preserve"> </w:t>
      </w:r>
      <w:r w:rsidR="00477241">
        <w:rPr>
          <w:lang w:eastAsia="cs-CZ"/>
        </w:rPr>
        <w:t xml:space="preserve">EU </w:t>
      </w:r>
      <w:r w:rsidR="00DB7F1E" w:rsidRPr="00E532D5">
        <w:rPr>
          <w:lang w:eastAsia="cs-CZ"/>
        </w:rPr>
        <w:t xml:space="preserve">proplacené </w:t>
      </w:r>
      <w:r w:rsidR="00540F81">
        <w:rPr>
          <w:lang w:eastAsia="cs-CZ"/>
        </w:rPr>
        <w:t>prostředky</w:t>
      </w:r>
      <w:r w:rsidR="00DB7F1E" w:rsidRPr="00E532D5">
        <w:rPr>
          <w:lang w:eastAsia="cs-CZ"/>
        </w:rPr>
        <w:t>. Specifická pravidla pro žadatele a příjemce přitom považují za ukončení realizace projektu prokazatelné ukončení všech jeho aktivit. Pořízený IS musí sloužit nejpozději ke dni ukončení realizace svému účelu a umožnit výkon</w:t>
      </w:r>
      <w:r w:rsidR="00540F81">
        <w:rPr>
          <w:lang w:eastAsia="cs-CZ"/>
        </w:rPr>
        <w:t xml:space="preserve"> příslušných</w:t>
      </w:r>
      <w:r w:rsidR="00DB7F1E" w:rsidRPr="00E532D5">
        <w:rPr>
          <w:lang w:eastAsia="cs-CZ"/>
        </w:rPr>
        <w:t xml:space="preserve"> agend. Předání a převzetí díla musí být včetně odstranění vad a nedodělků bránících užívání.</w:t>
      </w:r>
    </w:p>
    <w:p w14:paraId="2B202B54" w14:textId="2171E62D" w:rsidR="00362311" w:rsidRDefault="002548F9" w:rsidP="00E532D5">
      <w:pPr>
        <w:rPr>
          <w:lang w:eastAsia="cs-CZ"/>
        </w:rPr>
      </w:pPr>
      <w:r>
        <w:rPr>
          <w:lang w:eastAsia="cs-CZ"/>
        </w:rPr>
        <w:t>V souvislosti s potřebou</w:t>
      </w:r>
      <w:r w:rsidR="00DB7F1E" w:rsidRPr="00E532D5">
        <w:rPr>
          <w:lang w:eastAsia="cs-CZ"/>
        </w:rPr>
        <w:t xml:space="preserve"> dokončit projekt </w:t>
      </w:r>
      <w:proofErr w:type="spellStart"/>
      <w:r w:rsidR="00DB7F1E" w:rsidRPr="00E532D5">
        <w:rPr>
          <w:lang w:eastAsia="cs-CZ"/>
        </w:rPr>
        <w:t>eISIR</w:t>
      </w:r>
      <w:proofErr w:type="spellEnd"/>
      <w:r w:rsidR="00DB7F1E" w:rsidRPr="00E532D5">
        <w:rPr>
          <w:lang w:eastAsia="cs-CZ"/>
        </w:rPr>
        <w:t xml:space="preserve"> </w:t>
      </w:r>
      <w:r>
        <w:rPr>
          <w:lang w:eastAsia="cs-CZ"/>
        </w:rPr>
        <w:t>do 31. 12. 2023</w:t>
      </w:r>
      <w:r w:rsidR="00DB7F1E" w:rsidRPr="00E532D5" w:rsidDel="00F165DA">
        <w:rPr>
          <w:lang w:eastAsia="cs-CZ"/>
        </w:rPr>
        <w:t xml:space="preserve"> </w:t>
      </w:r>
      <w:proofErr w:type="spellStart"/>
      <w:r w:rsidR="00DB7F1E" w:rsidRPr="00E532D5">
        <w:rPr>
          <w:lang w:eastAsia="cs-CZ"/>
        </w:rPr>
        <w:t>MSp</w:t>
      </w:r>
      <w:proofErr w:type="spellEnd"/>
      <w:r w:rsidR="00DB7F1E" w:rsidRPr="00E532D5">
        <w:rPr>
          <w:lang w:eastAsia="cs-CZ"/>
        </w:rPr>
        <w:t xml:space="preserve"> </w:t>
      </w:r>
      <w:r w:rsidR="00F165DA">
        <w:rPr>
          <w:lang w:eastAsia="cs-CZ"/>
        </w:rPr>
        <w:t>plánovalo</w:t>
      </w:r>
      <w:r w:rsidR="00675F66">
        <w:rPr>
          <w:lang w:eastAsia="cs-CZ"/>
        </w:rPr>
        <w:t xml:space="preserve"> v průběhu kontroly NKÚ</w:t>
      </w:r>
      <w:r w:rsidR="00F165DA">
        <w:rPr>
          <w:lang w:eastAsia="cs-CZ"/>
        </w:rPr>
        <w:t xml:space="preserve"> </w:t>
      </w:r>
      <w:r w:rsidR="00DB7F1E" w:rsidRPr="00E532D5">
        <w:rPr>
          <w:lang w:eastAsia="cs-CZ"/>
        </w:rPr>
        <w:t xml:space="preserve">u VZ </w:t>
      </w:r>
      <w:r w:rsidR="00DB7F1E" w:rsidRPr="007B1FA1">
        <w:rPr>
          <w:i/>
          <w:lang w:eastAsia="cs-CZ"/>
        </w:rPr>
        <w:t xml:space="preserve">Vývoj a implementace </w:t>
      </w:r>
      <w:proofErr w:type="spellStart"/>
      <w:r w:rsidR="00DB7F1E" w:rsidRPr="007B1FA1">
        <w:rPr>
          <w:i/>
          <w:lang w:eastAsia="cs-CZ"/>
        </w:rPr>
        <w:t>eISIR</w:t>
      </w:r>
      <w:proofErr w:type="spellEnd"/>
      <w:r w:rsidR="00DB7F1E" w:rsidRPr="007B1FA1">
        <w:rPr>
          <w:i/>
          <w:lang w:eastAsia="cs-CZ"/>
        </w:rPr>
        <w:t xml:space="preserve"> a společných částí</w:t>
      </w:r>
      <w:r w:rsidR="00DB7F1E" w:rsidRPr="00E532D5">
        <w:rPr>
          <w:lang w:eastAsia="cs-CZ"/>
        </w:rPr>
        <w:t xml:space="preserve"> </w:t>
      </w:r>
      <w:r w:rsidR="00F165DA">
        <w:rPr>
          <w:lang w:eastAsia="cs-CZ"/>
        </w:rPr>
        <w:t>zkrátit jednotlivé milníky</w:t>
      </w:r>
      <w:r w:rsidR="00DB7F1E" w:rsidRPr="00E532D5" w:rsidDel="00F165DA">
        <w:rPr>
          <w:lang w:eastAsia="cs-CZ"/>
        </w:rPr>
        <w:t xml:space="preserve"> </w:t>
      </w:r>
      <w:r w:rsidR="00C1217A">
        <w:rPr>
          <w:lang w:eastAsia="cs-CZ"/>
        </w:rPr>
        <w:br/>
      </w:r>
      <w:r w:rsidR="00DB7F1E" w:rsidRPr="00E532D5" w:rsidDel="00F165DA">
        <w:rPr>
          <w:lang w:eastAsia="cs-CZ"/>
        </w:rPr>
        <w:t>a</w:t>
      </w:r>
      <w:r w:rsidR="00C1217A">
        <w:rPr>
          <w:lang w:eastAsia="cs-CZ"/>
        </w:rPr>
        <w:t xml:space="preserve"> </w:t>
      </w:r>
      <w:r w:rsidR="00F165DA">
        <w:rPr>
          <w:lang w:eastAsia="cs-CZ"/>
        </w:rPr>
        <w:t>vynechat</w:t>
      </w:r>
      <w:r w:rsidR="00DB7F1E" w:rsidRPr="00E532D5">
        <w:rPr>
          <w:lang w:eastAsia="cs-CZ"/>
        </w:rPr>
        <w:t xml:space="preserve"> </w:t>
      </w:r>
      <w:r w:rsidR="0020381C" w:rsidRPr="009974C3">
        <w:rPr>
          <w:lang w:eastAsia="cs-CZ"/>
        </w:rPr>
        <w:t>p</w:t>
      </w:r>
      <w:r w:rsidR="00DB7F1E" w:rsidRPr="009974C3">
        <w:rPr>
          <w:lang w:eastAsia="cs-CZ"/>
        </w:rPr>
        <w:t>ilotní provoz</w:t>
      </w:r>
      <w:r w:rsidR="00DB7F1E" w:rsidRPr="00E532D5">
        <w:rPr>
          <w:lang w:eastAsia="cs-CZ"/>
        </w:rPr>
        <w:t xml:space="preserve">. </w:t>
      </w:r>
      <w:r w:rsidR="002C019D">
        <w:rPr>
          <w:lang w:eastAsia="cs-CZ"/>
        </w:rPr>
        <w:t>K</w:t>
      </w:r>
      <w:r w:rsidR="00C1217A">
        <w:rPr>
          <w:lang w:eastAsia="cs-CZ"/>
        </w:rPr>
        <w:t xml:space="preserve"> </w:t>
      </w:r>
      <w:r w:rsidR="002C019D">
        <w:rPr>
          <w:lang w:eastAsia="cs-CZ"/>
        </w:rPr>
        <w:t>tomu je nutno</w:t>
      </w:r>
      <w:r w:rsidR="00DB7F1E" w:rsidRPr="00E532D5">
        <w:rPr>
          <w:lang w:eastAsia="cs-CZ"/>
        </w:rPr>
        <w:t xml:space="preserve"> </w:t>
      </w:r>
      <w:r w:rsidR="0020381C">
        <w:rPr>
          <w:lang w:eastAsia="cs-CZ"/>
        </w:rPr>
        <w:t>uzavř</w:t>
      </w:r>
      <w:r w:rsidR="002C019D">
        <w:rPr>
          <w:lang w:eastAsia="cs-CZ"/>
        </w:rPr>
        <w:t>ít</w:t>
      </w:r>
      <w:r w:rsidR="00DB7F1E" w:rsidRPr="00E532D5">
        <w:rPr>
          <w:lang w:eastAsia="cs-CZ"/>
        </w:rPr>
        <w:t xml:space="preserve"> dodat</w:t>
      </w:r>
      <w:r w:rsidR="002C019D">
        <w:rPr>
          <w:lang w:eastAsia="cs-CZ"/>
        </w:rPr>
        <w:t>e</w:t>
      </w:r>
      <w:r w:rsidR="00DB7F1E" w:rsidRPr="00E532D5">
        <w:rPr>
          <w:lang w:eastAsia="cs-CZ"/>
        </w:rPr>
        <w:t>k ke smlouvě</w:t>
      </w:r>
      <w:r w:rsidR="0020381C">
        <w:rPr>
          <w:lang w:eastAsia="cs-CZ"/>
        </w:rPr>
        <w:t xml:space="preserve">, který </w:t>
      </w:r>
      <w:proofErr w:type="spellStart"/>
      <w:r w:rsidR="0020381C">
        <w:rPr>
          <w:lang w:eastAsia="cs-CZ"/>
        </w:rPr>
        <w:t>MSp</w:t>
      </w:r>
      <w:proofErr w:type="spellEnd"/>
      <w:r w:rsidR="0020381C">
        <w:rPr>
          <w:lang w:eastAsia="cs-CZ"/>
        </w:rPr>
        <w:t xml:space="preserve"> </w:t>
      </w:r>
      <w:r w:rsidR="00D74B81">
        <w:rPr>
          <w:lang w:eastAsia="cs-CZ"/>
        </w:rPr>
        <w:t xml:space="preserve">do </w:t>
      </w:r>
      <w:r w:rsidR="0020381C">
        <w:rPr>
          <w:lang w:eastAsia="cs-CZ"/>
        </w:rPr>
        <w:t xml:space="preserve">ukončení kontroly </w:t>
      </w:r>
      <w:r w:rsidR="00A35565">
        <w:rPr>
          <w:lang w:eastAsia="cs-CZ"/>
        </w:rPr>
        <w:t xml:space="preserve">NKÚ </w:t>
      </w:r>
      <w:r w:rsidR="0020381C">
        <w:rPr>
          <w:lang w:eastAsia="cs-CZ"/>
        </w:rPr>
        <w:t>nepodepsalo</w:t>
      </w:r>
      <w:r w:rsidR="00DB7F1E" w:rsidRPr="00E532D5">
        <w:rPr>
          <w:lang w:eastAsia="cs-CZ"/>
        </w:rPr>
        <w:t xml:space="preserve">. </w:t>
      </w:r>
      <w:r w:rsidR="00DB7F1E">
        <w:rPr>
          <w:lang w:eastAsia="cs-CZ"/>
        </w:rPr>
        <w:t>T</w:t>
      </w:r>
      <w:r w:rsidR="00DB7F1E" w:rsidRPr="00E532D5">
        <w:rPr>
          <w:lang w:eastAsia="cs-CZ"/>
        </w:rPr>
        <w:t xml:space="preserve">oto řešení </w:t>
      </w:r>
      <w:r w:rsidR="00DB7F1E">
        <w:rPr>
          <w:lang w:eastAsia="cs-CZ"/>
        </w:rPr>
        <w:t>je však z</w:t>
      </w:r>
      <w:r w:rsidR="00DB7F1E" w:rsidRPr="00E532D5">
        <w:rPr>
          <w:lang w:eastAsia="cs-CZ"/>
        </w:rPr>
        <w:t xml:space="preserve">načně problematické. Při zkrácení jednotlivých milníků hrozí riziko nekvalitního a uspěchaného provedení, které v budoucnu </w:t>
      </w:r>
      <w:r w:rsidR="00F165DA">
        <w:rPr>
          <w:lang w:eastAsia="cs-CZ"/>
        </w:rPr>
        <w:t xml:space="preserve">může vést </w:t>
      </w:r>
      <w:r w:rsidR="00DB7F1E" w:rsidRPr="00E532D5">
        <w:rPr>
          <w:lang w:eastAsia="cs-CZ"/>
        </w:rPr>
        <w:t xml:space="preserve">k nefunkčnosti či dalším výdajům. Původní harmonogram realizace VZ z konce roku 2019 počítal s plněním smlouvy v délce 34 měsíců. S podpisem smlouvy v červnu 2022 se doba plnění zkrátila na pouhých 19 měsíců. </w:t>
      </w:r>
      <w:r w:rsidR="002C019D">
        <w:rPr>
          <w:lang w:eastAsia="cs-CZ"/>
        </w:rPr>
        <w:t>Zrušení</w:t>
      </w:r>
      <w:r w:rsidR="00DB7F1E" w:rsidRPr="00E532D5">
        <w:rPr>
          <w:lang w:eastAsia="cs-CZ"/>
        </w:rPr>
        <w:t xml:space="preserve"> pilotního provozu s</w:t>
      </w:r>
      <w:r w:rsidR="00C1217A">
        <w:rPr>
          <w:lang w:eastAsia="cs-CZ"/>
        </w:rPr>
        <w:t xml:space="preserve"> </w:t>
      </w:r>
      <w:r w:rsidR="00DB7F1E" w:rsidRPr="00E532D5">
        <w:rPr>
          <w:lang w:eastAsia="cs-CZ"/>
        </w:rPr>
        <w:t xml:space="preserve">sebou přináší riziko, že </w:t>
      </w:r>
      <w:proofErr w:type="spellStart"/>
      <w:r w:rsidR="00DB7F1E" w:rsidRPr="00E532D5">
        <w:rPr>
          <w:lang w:eastAsia="cs-CZ"/>
        </w:rPr>
        <w:t>MSp</w:t>
      </w:r>
      <w:proofErr w:type="spellEnd"/>
      <w:r w:rsidR="00DB7F1E" w:rsidRPr="00E532D5">
        <w:rPr>
          <w:lang w:eastAsia="cs-CZ"/>
        </w:rPr>
        <w:t xml:space="preserve"> </w:t>
      </w:r>
      <w:r w:rsidR="00F165DA">
        <w:rPr>
          <w:lang w:eastAsia="cs-CZ"/>
        </w:rPr>
        <w:t xml:space="preserve">může převzít a akceptovat </w:t>
      </w:r>
      <w:r w:rsidR="00DB7F1E" w:rsidRPr="00E532D5">
        <w:rPr>
          <w:lang w:eastAsia="cs-CZ"/>
        </w:rPr>
        <w:t>IS, kter</w:t>
      </w:r>
      <w:r w:rsidR="00DB7F1E">
        <w:rPr>
          <w:lang w:eastAsia="cs-CZ"/>
        </w:rPr>
        <w:t>é</w:t>
      </w:r>
      <w:r w:rsidR="00DB7F1E" w:rsidRPr="00E532D5">
        <w:rPr>
          <w:lang w:eastAsia="cs-CZ"/>
        </w:rPr>
        <w:t xml:space="preserve"> nebud</w:t>
      </w:r>
      <w:r w:rsidR="00DB7F1E">
        <w:rPr>
          <w:lang w:eastAsia="cs-CZ"/>
        </w:rPr>
        <w:t>ou</w:t>
      </w:r>
      <w:r w:rsidR="00DB7F1E" w:rsidRPr="00E532D5">
        <w:rPr>
          <w:lang w:eastAsia="cs-CZ"/>
        </w:rPr>
        <w:t xml:space="preserve"> dostatečně vyzkoušen</w:t>
      </w:r>
      <w:r w:rsidR="00DB7F1E">
        <w:rPr>
          <w:lang w:eastAsia="cs-CZ"/>
        </w:rPr>
        <w:t>y</w:t>
      </w:r>
      <w:r w:rsidR="00DB7F1E" w:rsidRPr="00E532D5">
        <w:rPr>
          <w:lang w:eastAsia="cs-CZ"/>
        </w:rPr>
        <w:t xml:space="preserve"> </w:t>
      </w:r>
      <w:r w:rsidR="00C1217A">
        <w:rPr>
          <w:lang w:eastAsia="cs-CZ"/>
        </w:rPr>
        <w:br/>
      </w:r>
      <w:r w:rsidR="00DB7F1E" w:rsidRPr="00E532D5">
        <w:rPr>
          <w:lang w:eastAsia="cs-CZ"/>
        </w:rPr>
        <w:t>a</w:t>
      </w:r>
      <w:r w:rsidR="002C019D">
        <w:rPr>
          <w:lang w:eastAsia="cs-CZ"/>
        </w:rPr>
        <w:t xml:space="preserve"> </w:t>
      </w:r>
      <w:r w:rsidR="00DB7F1E" w:rsidRPr="00E532D5">
        <w:rPr>
          <w:lang w:eastAsia="cs-CZ"/>
        </w:rPr>
        <w:t>u</w:t>
      </w:r>
      <w:r w:rsidR="002C019D">
        <w:rPr>
          <w:lang w:eastAsia="cs-CZ"/>
        </w:rPr>
        <w:t xml:space="preserve"> </w:t>
      </w:r>
      <w:r w:rsidR="00DB7F1E" w:rsidRPr="00E532D5">
        <w:rPr>
          <w:lang w:eastAsia="cs-CZ"/>
        </w:rPr>
        <w:t>kter</w:t>
      </w:r>
      <w:r w:rsidR="00DB7F1E">
        <w:rPr>
          <w:lang w:eastAsia="cs-CZ"/>
        </w:rPr>
        <w:t>ých</w:t>
      </w:r>
      <w:r w:rsidR="00DB7F1E" w:rsidRPr="00E532D5">
        <w:rPr>
          <w:lang w:eastAsia="cs-CZ"/>
        </w:rPr>
        <w:t xml:space="preserve"> nebudou odhaleny a odstraněny veškeré vady.</w:t>
      </w:r>
      <w:r w:rsidR="008138F3">
        <w:rPr>
          <w:lang w:eastAsia="cs-CZ"/>
        </w:rPr>
        <w:t xml:space="preserve"> </w:t>
      </w:r>
      <w:r w:rsidR="008138F3" w:rsidRPr="00E532D5">
        <w:rPr>
          <w:lang w:eastAsia="cs-CZ"/>
        </w:rPr>
        <w:t xml:space="preserve">V neposlední řadě hrozí riziko, že </w:t>
      </w:r>
      <w:proofErr w:type="spellStart"/>
      <w:r w:rsidR="008138F3" w:rsidRPr="00E532D5">
        <w:rPr>
          <w:lang w:eastAsia="cs-CZ"/>
        </w:rPr>
        <w:t>MSp</w:t>
      </w:r>
      <w:proofErr w:type="spellEnd"/>
      <w:r w:rsidR="008138F3" w:rsidRPr="00E532D5">
        <w:rPr>
          <w:lang w:eastAsia="cs-CZ"/>
        </w:rPr>
        <w:t xml:space="preserve"> tímto postupem poruší ustanovení § 222 zákona </w:t>
      </w:r>
      <w:r w:rsidR="008138F3">
        <w:rPr>
          <w:lang w:eastAsia="cs-CZ"/>
        </w:rPr>
        <w:t>č.</w:t>
      </w:r>
      <w:r>
        <w:rPr>
          <w:lang w:eastAsia="cs-CZ"/>
        </w:rPr>
        <w:t> </w:t>
      </w:r>
      <w:r w:rsidR="008138F3">
        <w:rPr>
          <w:lang w:eastAsia="cs-CZ"/>
        </w:rPr>
        <w:t>134/2016 Sb.</w:t>
      </w:r>
      <w:r w:rsidR="008138F3" w:rsidRPr="00E532D5">
        <w:rPr>
          <w:lang w:eastAsia="cs-CZ"/>
        </w:rPr>
        <w:t xml:space="preserve">, </w:t>
      </w:r>
      <w:r w:rsidR="00BA1BA5">
        <w:rPr>
          <w:lang w:eastAsia="cs-CZ"/>
        </w:rPr>
        <w:t>které</w:t>
      </w:r>
      <w:r w:rsidR="008138F3" w:rsidRPr="00E532D5">
        <w:rPr>
          <w:lang w:eastAsia="cs-CZ"/>
        </w:rPr>
        <w:t xml:space="preserve"> zadavateli zakazuje umožnit podstatnou změnu závazku ze smlouvy na VZ po dobu jeho trvání bez provedení nového zadávacího řízení.</w:t>
      </w:r>
    </w:p>
    <w:p w14:paraId="699477C4" w14:textId="7E826642" w:rsidR="00E532D5" w:rsidRPr="00A25D09" w:rsidRDefault="00F165DA" w:rsidP="00317D87">
      <w:pPr>
        <w:pStyle w:val="Nadpis1"/>
        <w:ind w:left="284" w:hanging="284"/>
      </w:pPr>
      <w:r>
        <w:t xml:space="preserve">Projekty realizované </w:t>
      </w:r>
      <w:r w:rsidR="002C019D">
        <w:t>Probační a mediační službou</w:t>
      </w:r>
    </w:p>
    <w:p w14:paraId="7FC37FE1" w14:textId="3E4AF37E" w:rsidR="00F165DA" w:rsidRDefault="00F165DA" w:rsidP="00317D87">
      <w:pPr>
        <w:pStyle w:val="Nadpis2"/>
        <w:ind w:left="426" w:hanging="426"/>
        <w:rPr>
          <w:lang w:eastAsia="cs-CZ"/>
        </w:rPr>
      </w:pPr>
      <w:bookmarkStart w:id="4" w:name="_Hlk109124033"/>
      <w:r>
        <w:rPr>
          <w:lang w:eastAsia="cs-CZ"/>
        </w:rPr>
        <w:t xml:space="preserve">Elektronický monitoring </w:t>
      </w:r>
      <w:r w:rsidR="000C4E1C">
        <w:rPr>
          <w:lang w:eastAsia="cs-CZ"/>
        </w:rPr>
        <w:t>osob</w:t>
      </w:r>
    </w:p>
    <w:p w14:paraId="0A0DC73D" w14:textId="0A5E4C9A" w:rsidR="00AF6462" w:rsidRDefault="00AF6462" w:rsidP="00E532D5">
      <w:pPr>
        <w:rPr>
          <w:bCs/>
          <w:lang w:eastAsia="cs-CZ"/>
        </w:rPr>
      </w:pPr>
      <w:r w:rsidRPr="00BB08D0">
        <w:rPr>
          <w:bCs/>
          <w:lang w:eastAsia="cs-CZ"/>
        </w:rPr>
        <w:t>Zavedení EMS bylo jedním</w:t>
      </w:r>
      <w:r>
        <w:rPr>
          <w:bCs/>
          <w:lang w:eastAsia="cs-CZ"/>
        </w:rPr>
        <w:t xml:space="preserve"> z</w:t>
      </w:r>
      <w:r w:rsidR="00607A17">
        <w:rPr>
          <w:bCs/>
          <w:lang w:eastAsia="cs-CZ"/>
        </w:rPr>
        <w:t>e specifických</w:t>
      </w:r>
      <w:r>
        <w:rPr>
          <w:bCs/>
          <w:lang w:eastAsia="cs-CZ"/>
        </w:rPr>
        <w:t xml:space="preserve"> cílů </w:t>
      </w:r>
      <w:r w:rsidR="00607A17">
        <w:rPr>
          <w:bCs/>
          <w:lang w:eastAsia="cs-CZ"/>
        </w:rPr>
        <w:t>S</w:t>
      </w:r>
      <w:r>
        <w:rPr>
          <w:bCs/>
          <w:lang w:eastAsia="cs-CZ"/>
        </w:rPr>
        <w:t xml:space="preserve">trategie </w:t>
      </w:r>
      <w:proofErr w:type="spellStart"/>
      <w:r>
        <w:rPr>
          <w:bCs/>
          <w:lang w:eastAsia="cs-CZ"/>
        </w:rPr>
        <w:t>eJustice</w:t>
      </w:r>
      <w:proofErr w:type="spellEnd"/>
      <w:r w:rsidR="009547B8">
        <w:rPr>
          <w:bCs/>
          <w:lang w:eastAsia="cs-CZ"/>
        </w:rPr>
        <w:t xml:space="preserve">. EMS </w:t>
      </w:r>
      <w:r w:rsidR="00E52B8D">
        <w:rPr>
          <w:bCs/>
          <w:lang w:eastAsia="cs-CZ"/>
        </w:rPr>
        <w:t>měl</w:t>
      </w:r>
      <w:r w:rsidRPr="001D23A7">
        <w:rPr>
          <w:bCs/>
          <w:lang w:eastAsia="cs-CZ"/>
        </w:rPr>
        <w:t xml:space="preserve"> umož</w:t>
      </w:r>
      <w:r w:rsidR="00E52B8D">
        <w:rPr>
          <w:bCs/>
          <w:lang w:eastAsia="cs-CZ"/>
        </w:rPr>
        <w:t>nit</w:t>
      </w:r>
      <w:r w:rsidRPr="001D23A7">
        <w:rPr>
          <w:bCs/>
          <w:lang w:eastAsia="cs-CZ"/>
        </w:rPr>
        <w:t xml:space="preserve"> účinnou </w:t>
      </w:r>
      <w:r w:rsidR="0018055A">
        <w:rPr>
          <w:bCs/>
          <w:lang w:eastAsia="cs-CZ"/>
        </w:rPr>
        <w:br/>
      </w:r>
      <w:r w:rsidRPr="001D23A7">
        <w:rPr>
          <w:bCs/>
          <w:lang w:eastAsia="cs-CZ"/>
        </w:rPr>
        <w:t>a</w:t>
      </w:r>
      <w:r w:rsidR="0018055A">
        <w:rPr>
          <w:bCs/>
          <w:lang w:eastAsia="cs-CZ"/>
        </w:rPr>
        <w:t xml:space="preserve"> </w:t>
      </w:r>
      <w:r w:rsidRPr="001D23A7">
        <w:rPr>
          <w:bCs/>
          <w:lang w:eastAsia="cs-CZ"/>
        </w:rPr>
        <w:t xml:space="preserve">bezprostřední kontrolu výkonu </w:t>
      </w:r>
      <w:r w:rsidR="00E52B8D">
        <w:rPr>
          <w:bCs/>
          <w:lang w:eastAsia="cs-CZ"/>
        </w:rPr>
        <w:t>uložených</w:t>
      </w:r>
      <w:r w:rsidRPr="001D23A7">
        <w:rPr>
          <w:bCs/>
          <w:lang w:eastAsia="cs-CZ"/>
        </w:rPr>
        <w:t xml:space="preserve"> alternativních trestů </w:t>
      </w:r>
      <w:r w:rsidR="00E52B8D">
        <w:rPr>
          <w:bCs/>
          <w:lang w:eastAsia="cs-CZ"/>
        </w:rPr>
        <w:t xml:space="preserve">či jiných omezujících </w:t>
      </w:r>
      <w:r w:rsidRPr="001D23A7">
        <w:rPr>
          <w:bCs/>
          <w:lang w:eastAsia="cs-CZ"/>
        </w:rPr>
        <w:t xml:space="preserve">opatření. </w:t>
      </w:r>
      <w:r w:rsidR="00B71204">
        <w:rPr>
          <w:bCs/>
          <w:lang w:eastAsia="cs-CZ"/>
        </w:rPr>
        <w:t>Zároveň měl být</w:t>
      </w:r>
      <w:r w:rsidRPr="001D23A7">
        <w:rPr>
          <w:bCs/>
          <w:lang w:eastAsia="cs-CZ"/>
        </w:rPr>
        <w:t xml:space="preserve"> nezbytnou podmínkou pro širší uplatnění </w:t>
      </w:r>
      <w:r w:rsidR="009547B8">
        <w:rPr>
          <w:bCs/>
          <w:lang w:eastAsia="cs-CZ"/>
        </w:rPr>
        <w:t xml:space="preserve">mimo jiné </w:t>
      </w:r>
      <w:r w:rsidRPr="001D23A7">
        <w:rPr>
          <w:bCs/>
          <w:lang w:eastAsia="cs-CZ"/>
        </w:rPr>
        <w:t>trestu domácího vězení.</w:t>
      </w:r>
      <w:r>
        <w:rPr>
          <w:bCs/>
          <w:lang w:eastAsia="cs-CZ"/>
        </w:rPr>
        <w:t xml:space="preserve"> </w:t>
      </w:r>
      <w:r w:rsidRPr="00AF6462">
        <w:rPr>
          <w:bCs/>
          <w:lang w:eastAsia="cs-CZ"/>
        </w:rPr>
        <w:t xml:space="preserve">Přínosem zavedení EMS mělo </w:t>
      </w:r>
      <w:r w:rsidR="00E52B8D">
        <w:rPr>
          <w:bCs/>
          <w:lang w:eastAsia="cs-CZ"/>
        </w:rPr>
        <w:t xml:space="preserve">být </w:t>
      </w:r>
      <w:r w:rsidR="009547B8">
        <w:rPr>
          <w:bCs/>
          <w:lang w:eastAsia="cs-CZ"/>
        </w:rPr>
        <w:t>například</w:t>
      </w:r>
      <w:r w:rsidR="00D74B81">
        <w:rPr>
          <w:bCs/>
          <w:lang w:eastAsia="cs-CZ"/>
        </w:rPr>
        <w:t xml:space="preserve"> </w:t>
      </w:r>
      <w:r w:rsidR="00A35565">
        <w:rPr>
          <w:bCs/>
          <w:lang w:eastAsia="cs-CZ"/>
        </w:rPr>
        <w:t>snížení</w:t>
      </w:r>
      <w:r w:rsidR="00D868F4">
        <w:rPr>
          <w:bCs/>
          <w:lang w:eastAsia="cs-CZ"/>
        </w:rPr>
        <w:t xml:space="preserve"> </w:t>
      </w:r>
      <w:r w:rsidR="00E52B8D">
        <w:rPr>
          <w:bCs/>
          <w:lang w:eastAsia="cs-CZ"/>
        </w:rPr>
        <w:t xml:space="preserve">četnosti </w:t>
      </w:r>
      <w:r w:rsidRPr="00AF6462">
        <w:rPr>
          <w:bCs/>
          <w:lang w:eastAsia="cs-CZ"/>
        </w:rPr>
        <w:t>namátkov</w:t>
      </w:r>
      <w:r w:rsidR="00C82603">
        <w:rPr>
          <w:bCs/>
          <w:lang w:eastAsia="cs-CZ"/>
        </w:rPr>
        <w:t>ých</w:t>
      </w:r>
      <w:r w:rsidRPr="00AF6462">
        <w:rPr>
          <w:bCs/>
          <w:lang w:eastAsia="cs-CZ"/>
        </w:rPr>
        <w:t xml:space="preserve"> osobní</w:t>
      </w:r>
      <w:r w:rsidR="00C82603">
        <w:rPr>
          <w:bCs/>
          <w:lang w:eastAsia="cs-CZ"/>
        </w:rPr>
        <w:t>ch</w:t>
      </w:r>
      <w:r w:rsidRPr="00AF6462">
        <w:rPr>
          <w:bCs/>
          <w:lang w:eastAsia="cs-CZ"/>
        </w:rPr>
        <w:t xml:space="preserve"> kontrol </w:t>
      </w:r>
      <w:r w:rsidR="003F6380">
        <w:rPr>
          <w:bCs/>
          <w:lang w:eastAsia="cs-CZ"/>
        </w:rPr>
        <w:t xml:space="preserve">prováděných </w:t>
      </w:r>
      <w:r w:rsidR="00BB08D0">
        <w:rPr>
          <w:bCs/>
          <w:lang w:eastAsia="cs-CZ"/>
        </w:rPr>
        <w:t>pracovník</w:t>
      </w:r>
      <w:r w:rsidR="003F6380">
        <w:rPr>
          <w:bCs/>
          <w:lang w:eastAsia="cs-CZ"/>
        </w:rPr>
        <w:t>y</w:t>
      </w:r>
      <w:r w:rsidR="00BB08D0">
        <w:rPr>
          <w:bCs/>
          <w:lang w:eastAsia="cs-CZ"/>
        </w:rPr>
        <w:t xml:space="preserve"> PMS</w:t>
      </w:r>
      <w:r w:rsidR="00BB08D0" w:rsidRPr="00AF6462">
        <w:rPr>
          <w:bCs/>
          <w:lang w:eastAsia="cs-CZ"/>
        </w:rPr>
        <w:t xml:space="preserve"> </w:t>
      </w:r>
      <w:r w:rsidRPr="00AF6462">
        <w:rPr>
          <w:bCs/>
          <w:lang w:eastAsia="cs-CZ"/>
        </w:rPr>
        <w:t>v bydlištích odsouzených</w:t>
      </w:r>
      <w:r w:rsidR="00C82603">
        <w:rPr>
          <w:bCs/>
          <w:lang w:eastAsia="cs-CZ"/>
        </w:rPr>
        <w:t>.</w:t>
      </w:r>
    </w:p>
    <w:p w14:paraId="4DA1233C" w14:textId="67295C22" w:rsidR="00AF6462" w:rsidRDefault="00AF6462" w:rsidP="00E532D5">
      <w:pPr>
        <w:rPr>
          <w:bCs/>
          <w:lang w:eastAsia="cs-CZ"/>
        </w:rPr>
      </w:pPr>
      <w:r>
        <w:rPr>
          <w:bCs/>
          <w:lang w:eastAsia="cs-CZ"/>
        </w:rPr>
        <w:t>V</w:t>
      </w:r>
      <w:r w:rsidR="0018055A">
        <w:rPr>
          <w:bCs/>
          <w:lang w:eastAsia="cs-CZ"/>
        </w:rPr>
        <w:t xml:space="preserve"> </w:t>
      </w:r>
      <w:r>
        <w:rPr>
          <w:bCs/>
          <w:lang w:eastAsia="cs-CZ"/>
        </w:rPr>
        <w:t xml:space="preserve">roce 2012 realizovala PMS zkušební projekt </w:t>
      </w:r>
      <w:r>
        <w:rPr>
          <w:bCs/>
          <w:i/>
          <w:lang w:eastAsia="cs-CZ"/>
        </w:rPr>
        <w:t>Experiment elektronického monitoringu</w:t>
      </w:r>
      <w:r w:rsidR="00B71204">
        <w:rPr>
          <w:bCs/>
          <w:lang w:eastAsia="cs-CZ"/>
        </w:rPr>
        <w:t>.</w:t>
      </w:r>
      <w:r>
        <w:rPr>
          <w:bCs/>
          <w:i/>
          <w:lang w:eastAsia="cs-CZ"/>
        </w:rPr>
        <w:t xml:space="preserve"> </w:t>
      </w:r>
      <w:r w:rsidR="00B71204">
        <w:rPr>
          <w:bCs/>
          <w:lang w:eastAsia="cs-CZ"/>
        </w:rPr>
        <w:t>S</w:t>
      </w:r>
      <w:r>
        <w:rPr>
          <w:bCs/>
          <w:lang w:eastAsia="cs-CZ"/>
        </w:rPr>
        <w:t xml:space="preserve"> ohledem na tuto zkušenost měla realizovat i </w:t>
      </w:r>
      <w:r w:rsidR="00B71204">
        <w:rPr>
          <w:bCs/>
          <w:lang w:eastAsia="cs-CZ"/>
        </w:rPr>
        <w:t>VZ</w:t>
      </w:r>
      <w:r>
        <w:rPr>
          <w:bCs/>
          <w:lang w:eastAsia="cs-CZ"/>
        </w:rPr>
        <w:t xml:space="preserve"> na pořízení celého systému</w:t>
      </w:r>
      <w:r w:rsidR="00234402">
        <w:rPr>
          <w:bCs/>
          <w:lang w:eastAsia="cs-CZ"/>
        </w:rPr>
        <w:t xml:space="preserve">, přičemž </w:t>
      </w:r>
      <w:proofErr w:type="spellStart"/>
      <w:r w:rsidR="00234402">
        <w:rPr>
          <w:bCs/>
          <w:lang w:eastAsia="cs-CZ"/>
        </w:rPr>
        <w:t>MSp</w:t>
      </w:r>
      <w:proofErr w:type="spellEnd"/>
      <w:r w:rsidR="00234402">
        <w:rPr>
          <w:bCs/>
          <w:lang w:eastAsia="cs-CZ"/>
        </w:rPr>
        <w:t xml:space="preserve"> mělo mít nad projektem dohled. Tato </w:t>
      </w:r>
      <w:r w:rsidR="00B71204">
        <w:rPr>
          <w:bCs/>
          <w:lang w:eastAsia="cs-CZ"/>
        </w:rPr>
        <w:t>VZ</w:t>
      </w:r>
      <w:r w:rsidR="00234402">
        <w:rPr>
          <w:bCs/>
          <w:lang w:eastAsia="cs-CZ"/>
        </w:rPr>
        <w:t xml:space="preserve"> však byla zrušena v důsledku amnestie prezidenta republiky z ledna 2013 a s tím související změny předpokládan</w:t>
      </w:r>
      <w:r w:rsidR="00C82603">
        <w:rPr>
          <w:bCs/>
          <w:lang w:eastAsia="cs-CZ"/>
        </w:rPr>
        <w:t>ého</w:t>
      </w:r>
      <w:r w:rsidR="00234402">
        <w:rPr>
          <w:bCs/>
          <w:lang w:eastAsia="cs-CZ"/>
        </w:rPr>
        <w:t xml:space="preserve"> počt</w:t>
      </w:r>
      <w:r w:rsidR="00C82603">
        <w:rPr>
          <w:bCs/>
          <w:lang w:eastAsia="cs-CZ"/>
        </w:rPr>
        <w:t>u</w:t>
      </w:r>
      <w:r w:rsidR="00234402">
        <w:rPr>
          <w:bCs/>
          <w:lang w:eastAsia="cs-CZ"/>
        </w:rPr>
        <w:t xml:space="preserve"> odsouzených.</w:t>
      </w:r>
    </w:p>
    <w:p w14:paraId="39D197DA" w14:textId="3BF4619B" w:rsidR="00DE7476" w:rsidRDefault="002D3DF8" w:rsidP="00E532D5">
      <w:pPr>
        <w:rPr>
          <w:bCs/>
          <w:lang w:eastAsia="cs-CZ"/>
        </w:rPr>
      </w:pPr>
      <w:r>
        <w:rPr>
          <w:bCs/>
          <w:lang w:eastAsia="cs-CZ"/>
        </w:rPr>
        <w:t>V</w:t>
      </w:r>
      <w:r w:rsidR="0018055A">
        <w:rPr>
          <w:bCs/>
          <w:lang w:eastAsia="cs-CZ"/>
        </w:rPr>
        <w:t xml:space="preserve"> </w:t>
      </w:r>
      <w:r>
        <w:rPr>
          <w:bCs/>
          <w:lang w:eastAsia="cs-CZ"/>
        </w:rPr>
        <w:t xml:space="preserve">roce 2014 </w:t>
      </w:r>
      <w:proofErr w:type="spellStart"/>
      <w:r>
        <w:rPr>
          <w:bCs/>
          <w:lang w:eastAsia="cs-CZ"/>
        </w:rPr>
        <w:t>MSp</w:t>
      </w:r>
      <w:proofErr w:type="spellEnd"/>
      <w:r>
        <w:rPr>
          <w:bCs/>
          <w:lang w:eastAsia="cs-CZ"/>
        </w:rPr>
        <w:t xml:space="preserve"> pověřilo </w:t>
      </w:r>
      <w:r w:rsidR="00BB08D0">
        <w:t>Probační a mediační službu</w:t>
      </w:r>
      <w:r>
        <w:rPr>
          <w:bCs/>
          <w:lang w:eastAsia="cs-CZ"/>
        </w:rPr>
        <w:t xml:space="preserve"> přípravou nové </w:t>
      </w:r>
      <w:r w:rsidR="00B71204">
        <w:rPr>
          <w:bCs/>
          <w:lang w:eastAsia="cs-CZ"/>
        </w:rPr>
        <w:t>VZ</w:t>
      </w:r>
      <w:r>
        <w:rPr>
          <w:bCs/>
          <w:lang w:eastAsia="cs-CZ"/>
        </w:rPr>
        <w:t>, kterou však v polovině roku 2014</w:t>
      </w:r>
      <w:r w:rsidR="00DE7476">
        <w:rPr>
          <w:bCs/>
          <w:lang w:eastAsia="cs-CZ"/>
        </w:rPr>
        <w:t xml:space="preserve"> zastavilo z důvod</w:t>
      </w:r>
      <w:r w:rsidR="00BB08D0">
        <w:rPr>
          <w:bCs/>
          <w:lang w:eastAsia="cs-CZ"/>
        </w:rPr>
        <w:t>u</w:t>
      </w:r>
      <w:r w:rsidR="00DE7476">
        <w:rPr>
          <w:bCs/>
          <w:lang w:eastAsia="cs-CZ"/>
        </w:rPr>
        <w:t xml:space="preserve"> pochybnost</w:t>
      </w:r>
      <w:r w:rsidR="00BB08D0">
        <w:rPr>
          <w:bCs/>
          <w:lang w:eastAsia="cs-CZ"/>
        </w:rPr>
        <w:t>í</w:t>
      </w:r>
      <w:r w:rsidR="00DE7476">
        <w:rPr>
          <w:bCs/>
          <w:lang w:eastAsia="cs-CZ"/>
        </w:rPr>
        <w:t xml:space="preserve"> o transparentnosti </w:t>
      </w:r>
      <w:r w:rsidR="0044458D">
        <w:rPr>
          <w:bCs/>
          <w:lang w:eastAsia="cs-CZ"/>
        </w:rPr>
        <w:t xml:space="preserve">zadávacího </w:t>
      </w:r>
      <w:r w:rsidR="00DE7476">
        <w:rPr>
          <w:bCs/>
          <w:lang w:eastAsia="cs-CZ"/>
        </w:rPr>
        <w:t>řízení</w:t>
      </w:r>
      <w:r w:rsidR="00B71204">
        <w:rPr>
          <w:bCs/>
          <w:lang w:eastAsia="cs-CZ"/>
        </w:rPr>
        <w:t xml:space="preserve">. </w:t>
      </w:r>
      <w:r w:rsidR="00B71204">
        <w:rPr>
          <w:bCs/>
          <w:lang w:eastAsia="cs-CZ"/>
        </w:rPr>
        <w:lastRenderedPageBreak/>
        <w:t>Samo pak převzalo</w:t>
      </w:r>
      <w:r w:rsidR="00DE7476">
        <w:rPr>
          <w:bCs/>
          <w:lang w:eastAsia="cs-CZ"/>
        </w:rPr>
        <w:t xml:space="preserve"> realizaci projektu. Ještě téhož roku však </w:t>
      </w:r>
      <w:proofErr w:type="spellStart"/>
      <w:r w:rsidR="00DE7476">
        <w:rPr>
          <w:bCs/>
          <w:lang w:eastAsia="cs-CZ"/>
        </w:rPr>
        <w:t>MSp</w:t>
      </w:r>
      <w:proofErr w:type="spellEnd"/>
      <w:r w:rsidR="00DE7476">
        <w:rPr>
          <w:bCs/>
          <w:lang w:eastAsia="cs-CZ"/>
        </w:rPr>
        <w:t xml:space="preserve"> zjistilo, že zadavatelem </w:t>
      </w:r>
      <w:r w:rsidR="00B71204">
        <w:rPr>
          <w:bCs/>
          <w:lang w:eastAsia="cs-CZ"/>
        </w:rPr>
        <w:t>VZ</w:t>
      </w:r>
      <w:r w:rsidR="00DE7476">
        <w:rPr>
          <w:bCs/>
          <w:lang w:eastAsia="cs-CZ"/>
        </w:rPr>
        <w:t xml:space="preserve"> musí být PMS</w:t>
      </w:r>
      <w:r w:rsidR="006E2651">
        <w:rPr>
          <w:bCs/>
          <w:lang w:eastAsia="cs-CZ"/>
        </w:rPr>
        <w:t>,</w:t>
      </w:r>
      <w:r w:rsidR="00DE7476">
        <w:rPr>
          <w:bCs/>
          <w:lang w:eastAsia="cs-CZ"/>
        </w:rPr>
        <w:t xml:space="preserve"> a tak její realizací </w:t>
      </w:r>
      <w:r w:rsidR="00B71204">
        <w:rPr>
          <w:bCs/>
          <w:lang w:eastAsia="cs-CZ"/>
        </w:rPr>
        <w:t xml:space="preserve">opět </w:t>
      </w:r>
      <w:r w:rsidR="00DE7476">
        <w:rPr>
          <w:bCs/>
          <w:lang w:eastAsia="cs-CZ"/>
        </w:rPr>
        <w:t>pověřilo PMS.</w:t>
      </w:r>
      <w:r w:rsidR="006C23F6">
        <w:rPr>
          <w:bCs/>
          <w:lang w:eastAsia="cs-CZ"/>
        </w:rPr>
        <w:t xml:space="preserve"> Ta</w:t>
      </w:r>
      <w:r w:rsidR="00DE7476">
        <w:rPr>
          <w:bCs/>
          <w:lang w:eastAsia="cs-CZ"/>
        </w:rPr>
        <w:t xml:space="preserve"> se </w:t>
      </w:r>
      <w:r w:rsidR="00B71204">
        <w:rPr>
          <w:bCs/>
          <w:lang w:eastAsia="cs-CZ"/>
        </w:rPr>
        <w:t xml:space="preserve">nejprve </w:t>
      </w:r>
      <w:r w:rsidR="00DE7476">
        <w:rPr>
          <w:bCs/>
          <w:lang w:eastAsia="cs-CZ"/>
        </w:rPr>
        <w:t xml:space="preserve">pokusila o zadání </w:t>
      </w:r>
      <w:r w:rsidR="00C82603">
        <w:rPr>
          <w:bCs/>
          <w:lang w:eastAsia="cs-CZ"/>
        </w:rPr>
        <w:t>VZ</w:t>
      </w:r>
      <w:r w:rsidR="00DE7476">
        <w:rPr>
          <w:bCs/>
          <w:lang w:eastAsia="cs-CZ"/>
        </w:rPr>
        <w:t xml:space="preserve"> v otevřeném zadávacím řízení</w:t>
      </w:r>
      <w:r w:rsidR="00B71204">
        <w:rPr>
          <w:bCs/>
          <w:lang w:eastAsia="cs-CZ"/>
        </w:rPr>
        <w:t xml:space="preserve">. Do tohoto řízení </w:t>
      </w:r>
      <w:r w:rsidR="00DE7476">
        <w:rPr>
          <w:bCs/>
          <w:lang w:eastAsia="cs-CZ"/>
        </w:rPr>
        <w:t xml:space="preserve">se však nepřihlásil žádný uchazeč. Následně PMS přistoupila k zadání </w:t>
      </w:r>
      <w:r w:rsidR="00B71204">
        <w:rPr>
          <w:bCs/>
          <w:lang w:eastAsia="cs-CZ"/>
        </w:rPr>
        <w:t xml:space="preserve">VZ </w:t>
      </w:r>
      <w:r w:rsidR="00DE7476">
        <w:rPr>
          <w:bCs/>
          <w:lang w:eastAsia="cs-CZ"/>
        </w:rPr>
        <w:t>v režimu soutěžního dialogu</w:t>
      </w:r>
      <w:r w:rsidR="00B71204">
        <w:rPr>
          <w:bCs/>
          <w:lang w:eastAsia="cs-CZ"/>
        </w:rPr>
        <w:t>.</w:t>
      </w:r>
    </w:p>
    <w:p w14:paraId="38BB64FB" w14:textId="752FFAD8" w:rsidR="003F340E" w:rsidRDefault="00BB08D0" w:rsidP="00E532D5">
      <w:pPr>
        <w:rPr>
          <w:bCs/>
          <w:lang w:eastAsia="cs-CZ"/>
        </w:rPr>
      </w:pPr>
      <w:r>
        <w:rPr>
          <w:bCs/>
          <w:lang w:eastAsia="cs-CZ"/>
        </w:rPr>
        <w:t>PMS uzavřela s</w:t>
      </w:r>
      <w:r w:rsidR="006E2651" w:rsidRPr="005C2319">
        <w:rPr>
          <w:lang w:eastAsia="cs-CZ"/>
        </w:rPr>
        <w:t>mlouvu</w:t>
      </w:r>
      <w:r w:rsidR="006E2651">
        <w:rPr>
          <w:bCs/>
          <w:lang w:eastAsia="cs-CZ"/>
        </w:rPr>
        <w:t xml:space="preserve"> s vybraným dodavatelem EMS 26. 9. 2017</w:t>
      </w:r>
      <w:r w:rsidR="0091168D">
        <w:rPr>
          <w:bCs/>
          <w:lang w:eastAsia="cs-CZ"/>
        </w:rPr>
        <w:t xml:space="preserve">. </w:t>
      </w:r>
      <w:r w:rsidR="00255C6C">
        <w:rPr>
          <w:bCs/>
          <w:lang w:eastAsia="cs-CZ"/>
        </w:rPr>
        <w:t xml:space="preserve">Předmětem smluvního vztahu byla dodávka tzv. koncových zařízení, což byly elektronické náramky, dále základnové stanice k náramkům, komunikátory a </w:t>
      </w:r>
      <w:proofErr w:type="spellStart"/>
      <w:r w:rsidR="00255C6C">
        <w:rPr>
          <w:bCs/>
          <w:lang w:eastAsia="cs-CZ"/>
        </w:rPr>
        <w:t>alkoholtestery</w:t>
      </w:r>
      <w:proofErr w:type="spellEnd"/>
      <w:r w:rsidR="0091168D">
        <w:rPr>
          <w:bCs/>
          <w:lang w:eastAsia="cs-CZ"/>
        </w:rPr>
        <w:t>. D</w:t>
      </w:r>
      <w:r w:rsidR="00255C6C">
        <w:rPr>
          <w:bCs/>
          <w:lang w:eastAsia="cs-CZ"/>
        </w:rPr>
        <w:t xml:space="preserve">ále mělo být dodáno monitorovací centrum, včetně příslušného </w:t>
      </w:r>
      <w:r w:rsidR="0091168D">
        <w:rPr>
          <w:bCs/>
          <w:lang w:eastAsia="cs-CZ"/>
        </w:rPr>
        <w:t>softwar</w:t>
      </w:r>
      <w:r>
        <w:rPr>
          <w:bCs/>
          <w:lang w:eastAsia="cs-CZ"/>
        </w:rPr>
        <w:t>u</w:t>
      </w:r>
      <w:r w:rsidR="0091168D">
        <w:rPr>
          <w:bCs/>
          <w:lang w:eastAsia="cs-CZ"/>
        </w:rPr>
        <w:t xml:space="preserve">, a měly být </w:t>
      </w:r>
      <w:r w:rsidR="00255C6C">
        <w:rPr>
          <w:bCs/>
          <w:lang w:eastAsia="cs-CZ"/>
        </w:rPr>
        <w:t>poskytovány servisní a rozvojové služby.</w:t>
      </w:r>
      <w:r w:rsidR="003F340E">
        <w:rPr>
          <w:bCs/>
          <w:lang w:eastAsia="cs-CZ"/>
        </w:rPr>
        <w:t xml:space="preserve"> </w:t>
      </w:r>
      <w:r w:rsidR="0091168D">
        <w:rPr>
          <w:bCs/>
          <w:lang w:eastAsia="cs-CZ"/>
        </w:rPr>
        <w:t xml:space="preserve">Celková hodnota smluvního vztahu činila </w:t>
      </w:r>
      <w:r w:rsidR="0091168D" w:rsidRPr="00BB7370">
        <w:rPr>
          <w:bCs/>
          <w:lang w:eastAsia="cs-CZ"/>
        </w:rPr>
        <w:t>92 923 857 Kč</w:t>
      </w:r>
      <w:r w:rsidR="0091168D">
        <w:rPr>
          <w:bCs/>
          <w:lang w:eastAsia="cs-CZ"/>
        </w:rPr>
        <w:t xml:space="preserve">. </w:t>
      </w:r>
      <w:r w:rsidR="003F340E">
        <w:rPr>
          <w:bCs/>
          <w:lang w:eastAsia="cs-CZ"/>
        </w:rPr>
        <w:t xml:space="preserve">PMS ve smlouvě stanovila široké spektrum smluvních sankcí a uložila dodavateli povinnost </w:t>
      </w:r>
      <w:r w:rsidR="00FD14A6">
        <w:rPr>
          <w:bCs/>
          <w:lang w:eastAsia="cs-CZ"/>
        </w:rPr>
        <w:t xml:space="preserve">doložit vystavení neodvolatelné bankovní záruky </w:t>
      </w:r>
      <w:r w:rsidR="003F340E">
        <w:rPr>
          <w:bCs/>
          <w:lang w:eastAsia="cs-CZ"/>
        </w:rPr>
        <w:t>ve výši 15 mil. Kč.</w:t>
      </w:r>
    </w:p>
    <w:p w14:paraId="081DC269" w14:textId="2FE50D81" w:rsidR="001443CE" w:rsidRDefault="003F340E" w:rsidP="00E532D5">
      <w:pPr>
        <w:rPr>
          <w:bCs/>
          <w:lang w:eastAsia="cs-CZ"/>
        </w:rPr>
      </w:pPr>
      <w:r>
        <w:rPr>
          <w:bCs/>
          <w:lang w:eastAsia="cs-CZ"/>
        </w:rPr>
        <w:t xml:space="preserve">První komplikace ve smluvním vztahu </w:t>
      </w:r>
      <w:r w:rsidR="00306433">
        <w:rPr>
          <w:bCs/>
          <w:lang w:eastAsia="cs-CZ"/>
        </w:rPr>
        <w:t xml:space="preserve">se </w:t>
      </w:r>
      <w:r w:rsidR="00BB08D0">
        <w:rPr>
          <w:bCs/>
          <w:lang w:eastAsia="cs-CZ"/>
        </w:rPr>
        <w:t>objevily</w:t>
      </w:r>
      <w:r w:rsidR="00306433">
        <w:rPr>
          <w:bCs/>
          <w:lang w:eastAsia="cs-CZ"/>
        </w:rPr>
        <w:t xml:space="preserve"> již 5 dní po podpisu smlouvy</w:t>
      </w:r>
      <w:r w:rsidR="00DD1731">
        <w:rPr>
          <w:bCs/>
          <w:lang w:eastAsia="cs-CZ"/>
        </w:rPr>
        <w:t xml:space="preserve">. Dodavatel </w:t>
      </w:r>
      <w:r w:rsidR="00FD14A6">
        <w:rPr>
          <w:bCs/>
          <w:lang w:eastAsia="cs-CZ"/>
        </w:rPr>
        <w:t xml:space="preserve">nedoložil </w:t>
      </w:r>
      <w:r w:rsidR="00DD1731">
        <w:rPr>
          <w:bCs/>
          <w:lang w:eastAsia="cs-CZ"/>
        </w:rPr>
        <w:t xml:space="preserve">ve stanoveném termínu </w:t>
      </w:r>
      <w:r w:rsidR="00FD14A6">
        <w:rPr>
          <w:bCs/>
          <w:lang w:eastAsia="cs-CZ"/>
        </w:rPr>
        <w:t>vystavení bankovní záruky</w:t>
      </w:r>
      <w:r w:rsidR="00DD1731">
        <w:rPr>
          <w:bCs/>
          <w:lang w:eastAsia="cs-CZ"/>
        </w:rPr>
        <w:t>.</w:t>
      </w:r>
      <w:r>
        <w:rPr>
          <w:bCs/>
          <w:lang w:eastAsia="cs-CZ"/>
        </w:rPr>
        <w:t xml:space="preserve"> </w:t>
      </w:r>
      <w:r w:rsidR="00306433">
        <w:rPr>
          <w:bCs/>
          <w:lang w:eastAsia="cs-CZ"/>
        </w:rPr>
        <w:t xml:space="preserve">Monitorovací systém a první dodávku koncových zařízení měl dodavatel dodat v rámci tzv. úvodní dodávky. </w:t>
      </w:r>
      <w:r w:rsidR="00B14007">
        <w:rPr>
          <w:bCs/>
          <w:lang w:eastAsia="cs-CZ"/>
        </w:rPr>
        <w:t>T</w:t>
      </w:r>
      <w:r w:rsidR="00306433">
        <w:rPr>
          <w:bCs/>
          <w:lang w:eastAsia="cs-CZ"/>
        </w:rPr>
        <w:t xml:space="preserve">u </w:t>
      </w:r>
      <w:r w:rsidR="00B14007">
        <w:rPr>
          <w:bCs/>
          <w:lang w:eastAsia="cs-CZ"/>
        </w:rPr>
        <w:t>dodavatel dokonči</w:t>
      </w:r>
      <w:r w:rsidR="00DD1731">
        <w:rPr>
          <w:bCs/>
          <w:lang w:eastAsia="cs-CZ"/>
        </w:rPr>
        <w:t>l</w:t>
      </w:r>
      <w:r w:rsidR="00B14007">
        <w:rPr>
          <w:bCs/>
          <w:lang w:eastAsia="cs-CZ"/>
        </w:rPr>
        <w:t xml:space="preserve"> </w:t>
      </w:r>
      <w:r w:rsidR="00DD1731">
        <w:rPr>
          <w:bCs/>
          <w:lang w:eastAsia="cs-CZ"/>
        </w:rPr>
        <w:t>se 197denním prodlením</w:t>
      </w:r>
      <w:r w:rsidR="00B14007">
        <w:rPr>
          <w:bCs/>
          <w:lang w:eastAsia="cs-CZ"/>
        </w:rPr>
        <w:t xml:space="preserve">, které vzniklo především při implementaci monitorovacího centra. PMS za </w:t>
      </w:r>
      <w:r w:rsidR="00DD1731">
        <w:rPr>
          <w:bCs/>
          <w:lang w:eastAsia="cs-CZ"/>
        </w:rPr>
        <w:t xml:space="preserve">toto </w:t>
      </w:r>
      <w:r w:rsidR="00B14007">
        <w:rPr>
          <w:bCs/>
          <w:lang w:eastAsia="cs-CZ"/>
        </w:rPr>
        <w:t>prodlení uplatnila vůči dodavateli smluvní sankce. Provoz EMS byl zahájen 7.</w:t>
      </w:r>
      <w:r w:rsidR="00C82603">
        <w:rPr>
          <w:bCs/>
          <w:lang w:eastAsia="cs-CZ"/>
        </w:rPr>
        <w:t> </w:t>
      </w:r>
      <w:r w:rsidR="00B14007">
        <w:rPr>
          <w:bCs/>
          <w:lang w:eastAsia="cs-CZ"/>
        </w:rPr>
        <w:t>9.</w:t>
      </w:r>
      <w:r w:rsidR="00C82603">
        <w:rPr>
          <w:bCs/>
          <w:lang w:eastAsia="cs-CZ"/>
        </w:rPr>
        <w:t> </w:t>
      </w:r>
      <w:r w:rsidR="00B14007">
        <w:rPr>
          <w:bCs/>
          <w:lang w:eastAsia="cs-CZ"/>
        </w:rPr>
        <w:t>2018. V roce 2019 objednala PMS další dodávku koncových zařízení v celkové hodnotě 2 995 89</w:t>
      </w:r>
      <w:r w:rsidR="00B4353E">
        <w:rPr>
          <w:bCs/>
          <w:lang w:eastAsia="cs-CZ"/>
        </w:rPr>
        <w:t>8</w:t>
      </w:r>
      <w:r w:rsidR="00B14007">
        <w:rPr>
          <w:bCs/>
          <w:lang w:eastAsia="cs-CZ"/>
        </w:rPr>
        <w:t xml:space="preserve"> Kč. Ani tuto dodávku nebyl dodavatel schop</w:t>
      </w:r>
      <w:r w:rsidR="00BB08D0">
        <w:rPr>
          <w:bCs/>
          <w:lang w:eastAsia="cs-CZ"/>
        </w:rPr>
        <w:t>e</w:t>
      </w:r>
      <w:r w:rsidR="00B14007">
        <w:rPr>
          <w:bCs/>
          <w:lang w:eastAsia="cs-CZ"/>
        </w:rPr>
        <w:t>n doručit v</w:t>
      </w:r>
      <w:r w:rsidR="00DD1731">
        <w:rPr>
          <w:bCs/>
          <w:lang w:eastAsia="cs-CZ"/>
        </w:rPr>
        <w:t> </w:t>
      </w:r>
      <w:r w:rsidR="00B14007">
        <w:rPr>
          <w:bCs/>
          <w:lang w:eastAsia="cs-CZ"/>
        </w:rPr>
        <w:t>termínu</w:t>
      </w:r>
      <w:r w:rsidR="00DD1731">
        <w:rPr>
          <w:bCs/>
          <w:lang w:eastAsia="cs-CZ"/>
        </w:rPr>
        <w:t xml:space="preserve">. </w:t>
      </w:r>
      <w:r w:rsidR="00B14007">
        <w:rPr>
          <w:bCs/>
          <w:lang w:eastAsia="cs-CZ"/>
        </w:rPr>
        <w:t xml:space="preserve">PMS </w:t>
      </w:r>
      <w:r w:rsidR="00DD1731">
        <w:rPr>
          <w:bCs/>
          <w:lang w:eastAsia="cs-CZ"/>
        </w:rPr>
        <w:t xml:space="preserve">tak </w:t>
      </w:r>
      <w:r w:rsidR="00B14007">
        <w:rPr>
          <w:bCs/>
          <w:lang w:eastAsia="cs-CZ"/>
        </w:rPr>
        <w:t>uplatnila smluvní sankci</w:t>
      </w:r>
      <w:r w:rsidR="00DD1731">
        <w:rPr>
          <w:bCs/>
          <w:lang w:eastAsia="cs-CZ"/>
        </w:rPr>
        <w:t xml:space="preserve"> ve výši </w:t>
      </w:r>
      <w:r w:rsidR="00B14007">
        <w:rPr>
          <w:bCs/>
          <w:lang w:eastAsia="cs-CZ"/>
        </w:rPr>
        <w:t>100 % hodnoty objednávky.</w:t>
      </w:r>
      <w:r w:rsidR="0022382E">
        <w:rPr>
          <w:bCs/>
          <w:lang w:eastAsia="cs-CZ"/>
        </w:rPr>
        <w:t xml:space="preserve"> V průběhu provozu EMS uplatňovala PMS vůči dodavateli další sankce za neplnění smluvních povinností, </w:t>
      </w:r>
      <w:r w:rsidR="00BB08D0">
        <w:rPr>
          <w:bCs/>
          <w:lang w:eastAsia="cs-CZ"/>
        </w:rPr>
        <w:t xml:space="preserve">neboť docházelo </w:t>
      </w:r>
      <w:r w:rsidR="003F6380">
        <w:rPr>
          <w:bCs/>
          <w:lang w:eastAsia="cs-CZ"/>
        </w:rPr>
        <w:t xml:space="preserve">zejména </w:t>
      </w:r>
      <w:r w:rsidR="00BB08D0">
        <w:rPr>
          <w:bCs/>
          <w:lang w:eastAsia="cs-CZ"/>
        </w:rPr>
        <w:t>k prodlení</w:t>
      </w:r>
      <w:r w:rsidR="0022382E">
        <w:rPr>
          <w:bCs/>
          <w:lang w:eastAsia="cs-CZ"/>
        </w:rPr>
        <w:t xml:space="preserve"> </w:t>
      </w:r>
      <w:r w:rsidR="00BB08D0">
        <w:rPr>
          <w:bCs/>
          <w:lang w:eastAsia="cs-CZ"/>
        </w:rPr>
        <w:t xml:space="preserve">při </w:t>
      </w:r>
      <w:r w:rsidR="0022382E">
        <w:rPr>
          <w:bCs/>
          <w:lang w:eastAsia="cs-CZ"/>
        </w:rPr>
        <w:t>řešení provozních incidentů</w:t>
      </w:r>
      <w:r w:rsidR="00DD1731" w:rsidRPr="00DD1731">
        <w:rPr>
          <w:bCs/>
          <w:lang w:eastAsia="cs-CZ"/>
        </w:rPr>
        <w:t xml:space="preserve"> </w:t>
      </w:r>
      <w:r w:rsidR="00184739">
        <w:rPr>
          <w:bCs/>
          <w:lang w:eastAsia="cs-CZ"/>
        </w:rPr>
        <w:t>i při</w:t>
      </w:r>
      <w:r w:rsidR="00DD1731">
        <w:rPr>
          <w:bCs/>
          <w:lang w:eastAsia="cs-CZ"/>
        </w:rPr>
        <w:t xml:space="preserve"> zasílání pravidelných reportů o</w:t>
      </w:r>
      <w:r w:rsidR="0018055A">
        <w:rPr>
          <w:bCs/>
          <w:lang w:eastAsia="cs-CZ"/>
        </w:rPr>
        <w:t xml:space="preserve"> </w:t>
      </w:r>
      <w:r w:rsidR="00DD1731">
        <w:rPr>
          <w:bCs/>
          <w:lang w:eastAsia="cs-CZ"/>
        </w:rPr>
        <w:t xml:space="preserve">provozu a </w:t>
      </w:r>
      <w:r w:rsidR="00184739">
        <w:rPr>
          <w:bCs/>
          <w:lang w:eastAsia="cs-CZ"/>
        </w:rPr>
        <w:t xml:space="preserve">nebyly </w:t>
      </w:r>
      <w:r w:rsidR="0022382E">
        <w:rPr>
          <w:bCs/>
          <w:lang w:eastAsia="cs-CZ"/>
        </w:rPr>
        <w:t>řešen</w:t>
      </w:r>
      <w:r w:rsidR="00184739">
        <w:rPr>
          <w:bCs/>
          <w:lang w:eastAsia="cs-CZ"/>
        </w:rPr>
        <w:t>y</w:t>
      </w:r>
      <w:r w:rsidR="0022382E">
        <w:rPr>
          <w:bCs/>
          <w:lang w:eastAsia="cs-CZ"/>
        </w:rPr>
        <w:t xml:space="preserve"> reklamac</w:t>
      </w:r>
      <w:r w:rsidR="00184739">
        <w:rPr>
          <w:bCs/>
          <w:lang w:eastAsia="cs-CZ"/>
        </w:rPr>
        <w:t>e</w:t>
      </w:r>
      <w:r w:rsidR="0022382E">
        <w:rPr>
          <w:bCs/>
          <w:lang w:eastAsia="cs-CZ"/>
        </w:rPr>
        <w:t xml:space="preserve"> koncových zařízení</w:t>
      </w:r>
      <w:r w:rsidR="00DD1731">
        <w:rPr>
          <w:bCs/>
          <w:lang w:eastAsia="cs-CZ"/>
        </w:rPr>
        <w:t>.</w:t>
      </w:r>
      <w:r w:rsidR="001443CE">
        <w:rPr>
          <w:bCs/>
          <w:lang w:eastAsia="cs-CZ"/>
        </w:rPr>
        <w:t xml:space="preserve"> Dne 15. 6. 2020 zaslala PMS dodavateli souhrnnou výzvu k </w:t>
      </w:r>
      <w:r w:rsidR="003F6380">
        <w:rPr>
          <w:bCs/>
          <w:lang w:eastAsia="cs-CZ"/>
        </w:rPr>
        <w:t>uhrazení</w:t>
      </w:r>
      <w:r w:rsidR="001443CE">
        <w:rPr>
          <w:bCs/>
          <w:lang w:eastAsia="cs-CZ"/>
        </w:rPr>
        <w:t xml:space="preserve"> smluvních sankcí ve výši </w:t>
      </w:r>
      <w:r w:rsidR="001443CE" w:rsidRPr="001443CE">
        <w:rPr>
          <w:bCs/>
          <w:lang w:eastAsia="cs-CZ"/>
        </w:rPr>
        <w:t>36 720 6</w:t>
      </w:r>
      <w:r w:rsidR="00B4353E">
        <w:rPr>
          <w:bCs/>
          <w:lang w:eastAsia="cs-CZ"/>
        </w:rPr>
        <w:t>20</w:t>
      </w:r>
      <w:r w:rsidR="001443CE" w:rsidRPr="001443CE">
        <w:rPr>
          <w:bCs/>
          <w:lang w:eastAsia="cs-CZ"/>
        </w:rPr>
        <w:t xml:space="preserve"> Kč</w:t>
      </w:r>
      <w:r w:rsidR="001443CE">
        <w:rPr>
          <w:bCs/>
          <w:lang w:eastAsia="cs-CZ"/>
        </w:rPr>
        <w:t>.</w:t>
      </w:r>
    </w:p>
    <w:p w14:paraId="105DEAD4" w14:textId="73913235" w:rsidR="00EF337E" w:rsidRDefault="00FD7F14" w:rsidP="00E532D5">
      <w:r>
        <w:rPr>
          <w:bCs/>
          <w:lang w:eastAsia="cs-CZ"/>
        </w:rPr>
        <w:t xml:space="preserve">Přes </w:t>
      </w:r>
      <w:r w:rsidR="001443CE">
        <w:rPr>
          <w:bCs/>
          <w:lang w:eastAsia="cs-CZ"/>
        </w:rPr>
        <w:t>výše uvedené</w:t>
      </w:r>
      <w:r>
        <w:rPr>
          <w:bCs/>
          <w:lang w:eastAsia="cs-CZ"/>
        </w:rPr>
        <w:t xml:space="preserve"> komplikace </w:t>
      </w:r>
      <w:r w:rsidR="00DD1731">
        <w:rPr>
          <w:bCs/>
          <w:lang w:eastAsia="cs-CZ"/>
        </w:rPr>
        <w:t>pokračovala</w:t>
      </w:r>
      <w:r>
        <w:rPr>
          <w:bCs/>
          <w:lang w:eastAsia="cs-CZ"/>
        </w:rPr>
        <w:t xml:space="preserve"> </w:t>
      </w:r>
      <w:r w:rsidR="00184739">
        <w:rPr>
          <w:bCs/>
          <w:lang w:eastAsia="cs-CZ"/>
        </w:rPr>
        <w:t xml:space="preserve">PMS </w:t>
      </w:r>
      <w:r>
        <w:rPr>
          <w:bCs/>
          <w:lang w:eastAsia="cs-CZ"/>
        </w:rPr>
        <w:t>ve smluvním vztahu ve snaze udržet EMS v provozu, neboť vyhodnotila, že tato možnost je pro ni ekonomicky výhodnější.</w:t>
      </w:r>
      <w:r w:rsidR="00203BC0">
        <w:rPr>
          <w:bCs/>
          <w:lang w:eastAsia="cs-CZ"/>
        </w:rPr>
        <w:t xml:space="preserve"> Dodavatel však ne</w:t>
      </w:r>
      <w:r w:rsidR="003D7201">
        <w:rPr>
          <w:bCs/>
          <w:lang w:eastAsia="cs-CZ"/>
        </w:rPr>
        <w:t>hradil smluvní sankce</w:t>
      </w:r>
      <w:r w:rsidR="00DD1731">
        <w:rPr>
          <w:bCs/>
          <w:lang w:eastAsia="cs-CZ"/>
        </w:rPr>
        <w:t xml:space="preserve">, což PMS </w:t>
      </w:r>
      <w:r w:rsidR="00777858">
        <w:rPr>
          <w:bCs/>
          <w:lang w:eastAsia="cs-CZ"/>
        </w:rPr>
        <w:t xml:space="preserve">řešila jejich započtením </w:t>
      </w:r>
      <w:r w:rsidR="00DD1731">
        <w:rPr>
          <w:bCs/>
          <w:lang w:eastAsia="cs-CZ"/>
        </w:rPr>
        <w:t>s </w:t>
      </w:r>
      <w:r w:rsidR="00777858">
        <w:rPr>
          <w:bCs/>
          <w:lang w:eastAsia="cs-CZ"/>
        </w:rPr>
        <w:t>faktur</w:t>
      </w:r>
      <w:r w:rsidR="00DD1731">
        <w:rPr>
          <w:bCs/>
          <w:lang w:eastAsia="cs-CZ"/>
        </w:rPr>
        <w:t>ami</w:t>
      </w:r>
      <w:r w:rsidR="00777858">
        <w:rPr>
          <w:bCs/>
          <w:lang w:eastAsia="cs-CZ"/>
        </w:rPr>
        <w:t xml:space="preserve"> za servisní služby </w:t>
      </w:r>
      <w:r w:rsidR="00456880">
        <w:rPr>
          <w:bCs/>
          <w:lang w:eastAsia="cs-CZ"/>
        </w:rPr>
        <w:t xml:space="preserve">poskytované </w:t>
      </w:r>
      <w:r w:rsidR="00777858">
        <w:rPr>
          <w:bCs/>
          <w:lang w:eastAsia="cs-CZ"/>
        </w:rPr>
        <w:t xml:space="preserve">v září 2019 </w:t>
      </w:r>
      <w:r w:rsidR="00B4353E">
        <w:rPr>
          <w:bCs/>
          <w:lang w:eastAsia="cs-CZ"/>
        </w:rPr>
        <w:t xml:space="preserve">až </w:t>
      </w:r>
      <w:r w:rsidR="00777858">
        <w:rPr>
          <w:bCs/>
          <w:lang w:eastAsia="cs-CZ"/>
        </w:rPr>
        <w:t>květn</w:t>
      </w:r>
      <w:r w:rsidR="00B4353E">
        <w:rPr>
          <w:bCs/>
          <w:lang w:eastAsia="cs-CZ"/>
        </w:rPr>
        <w:t>u</w:t>
      </w:r>
      <w:r w:rsidR="00777858">
        <w:rPr>
          <w:bCs/>
          <w:lang w:eastAsia="cs-CZ"/>
        </w:rPr>
        <w:t xml:space="preserve"> 2020</w:t>
      </w:r>
      <w:r w:rsidR="00DD1731">
        <w:rPr>
          <w:bCs/>
          <w:lang w:eastAsia="cs-CZ"/>
        </w:rPr>
        <w:t xml:space="preserve">. </w:t>
      </w:r>
      <w:r w:rsidR="00456880">
        <w:rPr>
          <w:bCs/>
          <w:lang w:eastAsia="cs-CZ"/>
        </w:rPr>
        <w:t xml:space="preserve">Tyto faktury dodavateli nehradila a </w:t>
      </w:r>
      <w:r w:rsidR="00777858">
        <w:rPr>
          <w:bCs/>
          <w:lang w:eastAsia="cs-CZ"/>
        </w:rPr>
        <w:t>místo toho je odečítala od celkové výše sankce. Nakonec PMS</w:t>
      </w:r>
      <w:r w:rsidR="003D7201">
        <w:rPr>
          <w:bCs/>
          <w:lang w:eastAsia="cs-CZ"/>
        </w:rPr>
        <w:t xml:space="preserve"> přistoupila</w:t>
      </w:r>
      <w:r w:rsidR="00777858">
        <w:rPr>
          <w:bCs/>
          <w:lang w:eastAsia="cs-CZ"/>
        </w:rPr>
        <w:t xml:space="preserve"> k</w:t>
      </w:r>
      <w:r w:rsidR="003D7201">
        <w:rPr>
          <w:bCs/>
          <w:lang w:eastAsia="cs-CZ"/>
        </w:rPr>
        <w:t xml:space="preserve"> čerpání bankovní záruky a</w:t>
      </w:r>
      <w:r w:rsidR="004D06B4">
        <w:rPr>
          <w:bCs/>
          <w:lang w:eastAsia="cs-CZ"/>
        </w:rPr>
        <w:t> </w:t>
      </w:r>
      <w:r w:rsidR="003D7201">
        <w:rPr>
          <w:bCs/>
          <w:lang w:eastAsia="cs-CZ"/>
        </w:rPr>
        <w:t>2.</w:t>
      </w:r>
      <w:r w:rsidR="00456880">
        <w:rPr>
          <w:bCs/>
          <w:lang w:eastAsia="cs-CZ"/>
        </w:rPr>
        <w:t> </w:t>
      </w:r>
      <w:r w:rsidR="003D7201">
        <w:rPr>
          <w:bCs/>
          <w:lang w:eastAsia="cs-CZ"/>
        </w:rPr>
        <w:t>12.</w:t>
      </w:r>
      <w:r w:rsidR="00456880">
        <w:rPr>
          <w:bCs/>
          <w:lang w:eastAsia="cs-CZ"/>
        </w:rPr>
        <w:t> </w:t>
      </w:r>
      <w:r w:rsidR="003D7201">
        <w:rPr>
          <w:bCs/>
          <w:lang w:eastAsia="cs-CZ"/>
        </w:rPr>
        <w:t>2021 odstoupila od smlouvy.</w:t>
      </w:r>
      <w:r w:rsidR="001443CE">
        <w:rPr>
          <w:bCs/>
          <w:lang w:eastAsia="cs-CZ"/>
        </w:rPr>
        <w:t xml:space="preserve"> </w:t>
      </w:r>
      <w:r w:rsidR="00777858">
        <w:rPr>
          <w:bCs/>
          <w:lang w:eastAsia="cs-CZ"/>
        </w:rPr>
        <w:t>Po ukončení smluvního vztahu podal dodavatel na PMS žalobu o zaplacení částky 3 659 024 Kč, která představuje neuhrazené faktury za servisní služby. PMS podala proti žalobě</w:t>
      </w:r>
      <w:r w:rsidR="004E719C">
        <w:rPr>
          <w:bCs/>
          <w:lang w:eastAsia="cs-CZ"/>
        </w:rPr>
        <w:t xml:space="preserve"> tzv. vzájemný</w:t>
      </w:r>
      <w:r w:rsidR="00777858">
        <w:rPr>
          <w:bCs/>
          <w:lang w:eastAsia="cs-CZ"/>
        </w:rPr>
        <w:t xml:space="preserve"> návrh, ve kterém žaluje dodavatele </w:t>
      </w:r>
      <w:r w:rsidR="0018055A">
        <w:rPr>
          <w:bCs/>
          <w:lang w:eastAsia="cs-CZ"/>
        </w:rPr>
        <w:br/>
      </w:r>
      <w:r w:rsidR="00777858">
        <w:rPr>
          <w:bCs/>
          <w:lang w:eastAsia="cs-CZ"/>
        </w:rPr>
        <w:t>o</w:t>
      </w:r>
      <w:r w:rsidR="0018055A">
        <w:rPr>
          <w:bCs/>
          <w:lang w:eastAsia="cs-CZ"/>
        </w:rPr>
        <w:t xml:space="preserve"> </w:t>
      </w:r>
      <w:r w:rsidR="00777858">
        <w:rPr>
          <w:bCs/>
          <w:lang w:eastAsia="cs-CZ"/>
        </w:rPr>
        <w:t xml:space="preserve">zaplacení neuhrazených smluvních sankcí a náhrady škody, které souhrnně vyčíslila na </w:t>
      </w:r>
      <w:r w:rsidR="00777858" w:rsidRPr="00EB2765">
        <w:t>139 479 859</w:t>
      </w:r>
      <w:r w:rsidR="00456880">
        <w:t> </w:t>
      </w:r>
      <w:r w:rsidR="00777858" w:rsidRPr="00EB2765">
        <w:t>Kč</w:t>
      </w:r>
      <w:r w:rsidR="00777858">
        <w:t>.</w:t>
      </w:r>
      <w:r w:rsidR="00B46AD0">
        <w:t xml:space="preserve"> </w:t>
      </w:r>
      <w:r w:rsidR="00353032">
        <w:t xml:space="preserve">Celkem PMS za dobu trvání smluvního vztahu uhradila dodavateli částku </w:t>
      </w:r>
      <w:r w:rsidR="00353032" w:rsidRPr="00353032">
        <w:t>13</w:t>
      </w:r>
      <w:r w:rsidR="00353032">
        <w:t> </w:t>
      </w:r>
      <w:r w:rsidR="00353032" w:rsidRPr="00353032">
        <w:t>446</w:t>
      </w:r>
      <w:r w:rsidR="00353032">
        <w:t> </w:t>
      </w:r>
      <w:r w:rsidR="00353032" w:rsidRPr="00353032">
        <w:t>3</w:t>
      </w:r>
      <w:r w:rsidR="00540F81">
        <w:t>70</w:t>
      </w:r>
      <w:r w:rsidR="00353032">
        <w:t> </w:t>
      </w:r>
      <w:r w:rsidR="00353032" w:rsidRPr="00353032">
        <w:t>Kč</w:t>
      </w:r>
      <w:r w:rsidR="00456880">
        <w:t xml:space="preserve">. </w:t>
      </w:r>
      <w:r w:rsidR="00540F81">
        <w:t xml:space="preserve">Dne </w:t>
      </w:r>
      <w:r w:rsidR="00353032">
        <w:t xml:space="preserve">24. 5. 2022 byla </w:t>
      </w:r>
      <w:r w:rsidR="00184739">
        <w:t>Probační a mediační službě</w:t>
      </w:r>
      <w:r w:rsidR="00353032">
        <w:t xml:space="preserve"> </w:t>
      </w:r>
      <w:r w:rsidR="004E719C">
        <w:t xml:space="preserve">vyplacena </w:t>
      </w:r>
      <w:r w:rsidR="00353032">
        <w:t>bankovní záruka ve výši 15 </w:t>
      </w:r>
      <w:r w:rsidR="00B4353E">
        <w:t>mil.</w:t>
      </w:r>
      <w:r w:rsidR="00353032">
        <w:t xml:space="preserve"> Kč.</w:t>
      </w:r>
      <w:r w:rsidR="00153F99">
        <w:t xml:space="preserve"> </w:t>
      </w:r>
    </w:p>
    <w:p w14:paraId="41F4D129" w14:textId="2FDDCBCB" w:rsidR="00353032" w:rsidRDefault="00EF337E" w:rsidP="00E532D5">
      <w:r>
        <w:t xml:space="preserve">Se zajištěním EMS souvisely také další služby, jako například </w:t>
      </w:r>
      <w:r w:rsidR="005E78A6">
        <w:t xml:space="preserve">právní a poradenské služby, zpracování studie proveditelnosti a </w:t>
      </w:r>
      <w:r w:rsidR="0031145F">
        <w:t xml:space="preserve">mobilní a datové služby. </w:t>
      </w:r>
      <w:r>
        <w:t xml:space="preserve">Za poskytování těchto služeb uhradila PMS dodavatelům celkem </w:t>
      </w:r>
      <w:r w:rsidR="0031145F">
        <w:t>7 839 09</w:t>
      </w:r>
      <w:r w:rsidR="00B4353E">
        <w:t>9</w:t>
      </w:r>
      <w:r w:rsidR="0031145F">
        <w:t xml:space="preserve"> Kč.</w:t>
      </w:r>
    </w:p>
    <w:p w14:paraId="6808DB8C" w14:textId="77777777" w:rsidR="008C6C4D" w:rsidRDefault="008C6C4D" w:rsidP="00E532D5">
      <w:pPr>
        <w:rPr>
          <w:bCs/>
          <w:lang w:eastAsia="cs-CZ"/>
        </w:rPr>
      </w:pPr>
      <w:r>
        <w:rPr>
          <w:bCs/>
          <w:lang w:eastAsia="cs-CZ"/>
        </w:rPr>
        <w:t xml:space="preserve">Od prosince 2021 přešla PMS při kontrole odsouzených na režim neohlášených fyzických kontrol, které vykonávali probační </w:t>
      </w:r>
      <w:r w:rsidR="005D0477">
        <w:rPr>
          <w:bCs/>
          <w:lang w:eastAsia="cs-CZ"/>
        </w:rPr>
        <w:t>úředníci stejně jako v době před zavedením EMS.</w:t>
      </w:r>
      <w:r w:rsidR="00353032">
        <w:rPr>
          <w:bCs/>
          <w:lang w:eastAsia="cs-CZ"/>
        </w:rPr>
        <w:t xml:space="preserve"> </w:t>
      </w:r>
      <w:r w:rsidR="00C82603">
        <w:rPr>
          <w:bCs/>
          <w:lang w:eastAsia="cs-CZ"/>
        </w:rPr>
        <w:t>P</w:t>
      </w:r>
      <w:r w:rsidR="00353032">
        <w:rPr>
          <w:bCs/>
          <w:lang w:eastAsia="cs-CZ"/>
        </w:rPr>
        <w:t xml:space="preserve">růměrné měsíční náklady na tyto kontroly se </w:t>
      </w:r>
      <w:r w:rsidR="00C82603">
        <w:rPr>
          <w:bCs/>
          <w:lang w:eastAsia="cs-CZ"/>
        </w:rPr>
        <w:t>dle výpočtu NKÚ pohybovaly</w:t>
      </w:r>
      <w:r w:rsidR="00353032">
        <w:rPr>
          <w:bCs/>
          <w:lang w:eastAsia="cs-CZ"/>
        </w:rPr>
        <w:t xml:space="preserve"> v rozmezí </w:t>
      </w:r>
      <w:r w:rsidR="00353032" w:rsidRPr="00353032">
        <w:rPr>
          <w:bCs/>
          <w:lang w:eastAsia="cs-CZ"/>
        </w:rPr>
        <w:t>232</w:t>
      </w:r>
      <w:r w:rsidR="005937EA">
        <w:rPr>
          <w:bCs/>
          <w:lang w:eastAsia="cs-CZ"/>
        </w:rPr>
        <w:t> </w:t>
      </w:r>
      <w:r w:rsidR="00B4353E">
        <w:rPr>
          <w:bCs/>
          <w:lang w:eastAsia="cs-CZ"/>
        </w:rPr>
        <w:t>tis.</w:t>
      </w:r>
      <w:r w:rsidR="005937EA">
        <w:rPr>
          <w:bCs/>
          <w:lang w:eastAsia="cs-CZ"/>
        </w:rPr>
        <w:t> </w:t>
      </w:r>
      <w:r w:rsidR="00353032" w:rsidRPr="00353032">
        <w:rPr>
          <w:bCs/>
          <w:lang w:eastAsia="cs-CZ"/>
        </w:rPr>
        <w:t xml:space="preserve">Kč </w:t>
      </w:r>
      <w:r w:rsidR="00456880">
        <w:rPr>
          <w:bCs/>
          <w:lang w:eastAsia="cs-CZ"/>
        </w:rPr>
        <w:t xml:space="preserve">až </w:t>
      </w:r>
      <w:r w:rsidR="00353032" w:rsidRPr="00353032">
        <w:rPr>
          <w:bCs/>
          <w:lang w:eastAsia="cs-CZ"/>
        </w:rPr>
        <w:t>464</w:t>
      </w:r>
      <w:r w:rsidR="00456880">
        <w:rPr>
          <w:bCs/>
          <w:lang w:eastAsia="cs-CZ"/>
        </w:rPr>
        <w:t> </w:t>
      </w:r>
      <w:r w:rsidR="00B4353E">
        <w:rPr>
          <w:bCs/>
          <w:lang w:eastAsia="cs-CZ"/>
        </w:rPr>
        <w:t>tis. </w:t>
      </w:r>
      <w:r w:rsidR="00353032" w:rsidRPr="00353032">
        <w:rPr>
          <w:bCs/>
          <w:lang w:eastAsia="cs-CZ"/>
        </w:rPr>
        <w:t>Kč.</w:t>
      </w:r>
      <w:r w:rsidR="00353032">
        <w:rPr>
          <w:bCs/>
          <w:lang w:eastAsia="cs-CZ"/>
        </w:rPr>
        <w:t xml:space="preserve"> Vzhledem k inflaci a rostoucím cenám pohonných hmot však lze očekávat, že se tyto náklady </w:t>
      </w:r>
      <w:r w:rsidR="00C82603">
        <w:rPr>
          <w:bCs/>
          <w:lang w:eastAsia="cs-CZ"/>
        </w:rPr>
        <w:t>budou</w:t>
      </w:r>
      <w:r w:rsidR="00353032">
        <w:rPr>
          <w:bCs/>
          <w:lang w:eastAsia="cs-CZ"/>
        </w:rPr>
        <w:t xml:space="preserve"> v budoucnosti zvyšovat.</w:t>
      </w:r>
    </w:p>
    <w:p w14:paraId="36DB78E7" w14:textId="2C645F2F" w:rsidR="00353032" w:rsidRDefault="00353032" w:rsidP="00E532D5">
      <w:pPr>
        <w:rPr>
          <w:bCs/>
          <w:lang w:eastAsia="cs-CZ"/>
        </w:rPr>
      </w:pPr>
      <w:r>
        <w:rPr>
          <w:bCs/>
          <w:lang w:eastAsia="cs-CZ"/>
        </w:rPr>
        <w:t xml:space="preserve">V době ukončení kontroly </w:t>
      </w:r>
      <w:r w:rsidR="005937EA">
        <w:rPr>
          <w:bCs/>
          <w:lang w:eastAsia="cs-CZ"/>
        </w:rPr>
        <w:t xml:space="preserve">NKÚ </w:t>
      </w:r>
      <w:r>
        <w:rPr>
          <w:bCs/>
          <w:lang w:eastAsia="cs-CZ"/>
        </w:rPr>
        <w:t xml:space="preserve">připravovala PMS novou </w:t>
      </w:r>
      <w:r w:rsidR="00456880">
        <w:rPr>
          <w:bCs/>
          <w:lang w:eastAsia="cs-CZ"/>
        </w:rPr>
        <w:t>VZ</w:t>
      </w:r>
      <w:r>
        <w:rPr>
          <w:bCs/>
          <w:lang w:eastAsia="cs-CZ"/>
        </w:rPr>
        <w:t xml:space="preserve"> </w:t>
      </w:r>
      <w:r w:rsidR="00456880">
        <w:rPr>
          <w:bCs/>
          <w:lang w:eastAsia="cs-CZ"/>
        </w:rPr>
        <w:t xml:space="preserve">na </w:t>
      </w:r>
      <w:r>
        <w:rPr>
          <w:bCs/>
          <w:lang w:eastAsia="cs-CZ"/>
        </w:rPr>
        <w:t xml:space="preserve">zajištění elektronického monitoringu </w:t>
      </w:r>
      <w:r w:rsidR="002B569E">
        <w:rPr>
          <w:bCs/>
          <w:lang w:eastAsia="cs-CZ"/>
        </w:rPr>
        <w:t>osob</w:t>
      </w:r>
      <w:r>
        <w:rPr>
          <w:bCs/>
          <w:lang w:eastAsia="cs-CZ"/>
        </w:rPr>
        <w:t>.</w:t>
      </w:r>
    </w:p>
    <w:p w14:paraId="1CBA171A" w14:textId="6CD0FF63" w:rsidR="005937EA" w:rsidRDefault="005937EA" w:rsidP="00E532D5">
      <w:pPr>
        <w:rPr>
          <w:bCs/>
          <w:lang w:eastAsia="cs-CZ"/>
        </w:rPr>
      </w:pPr>
      <w:r>
        <w:rPr>
          <w:bCs/>
          <w:lang w:eastAsia="cs-CZ"/>
        </w:rPr>
        <w:lastRenderedPageBreak/>
        <w:t>PMS pro realizaci projektu EMS neměla dostatečné personální a</w:t>
      </w:r>
      <w:r w:rsidR="00184739">
        <w:rPr>
          <w:bCs/>
          <w:lang w:eastAsia="cs-CZ"/>
        </w:rPr>
        <w:t>ni</w:t>
      </w:r>
      <w:r>
        <w:rPr>
          <w:bCs/>
          <w:lang w:eastAsia="cs-CZ"/>
        </w:rPr>
        <w:t xml:space="preserve"> technické kapacity. Od počátku projektu usilovala o personální posílení </w:t>
      </w:r>
      <w:r w:rsidR="00184739">
        <w:rPr>
          <w:bCs/>
          <w:lang w:eastAsia="cs-CZ"/>
        </w:rPr>
        <w:t xml:space="preserve">svého </w:t>
      </w:r>
      <w:r>
        <w:rPr>
          <w:bCs/>
          <w:lang w:eastAsia="cs-CZ"/>
        </w:rPr>
        <w:t xml:space="preserve">ředitelství, </w:t>
      </w:r>
      <w:r w:rsidR="00184739">
        <w:rPr>
          <w:bCs/>
          <w:lang w:eastAsia="cs-CZ"/>
        </w:rPr>
        <w:t xml:space="preserve">avšak </w:t>
      </w:r>
      <w:r>
        <w:rPr>
          <w:bCs/>
          <w:lang w:eastAsia="cs-CZ"/>
        </w:rPr>
        <w:t xml:space="preserve">ze strany </w:t>
      </w:r>
      <w:proofErr w:type="spellStart"/>
      <w:r>
        <w:rPr>
          <w:bCs/>
          <w:lang w:eastAsia="cs-CZ"/>
        </w:rPr>
        <w:t>MSp</w:t>
      </w:r>
      <w:proofErr w:type="spellEnd"/>
      <w:r>
        <w:rPr>
          <w:bCs/>
          <w:lang w:eastAsia="cs-CZ"/>
        </w:rPr>
        <w:t xml:space="preserve"> jí nebylo </w:t>
      </w:r>
      <w:r w:rsidR="00184739">
        <w:rPr>
          <w:bCs/>
          <w:lang w:eastAsia="cs-CZ"/>
        </w:rPr>
        <w:t xml:space="preserve">v tomto ohledu </w:t>
      </w:r>
      <w:r>
        <w:rPr>
          <w:bCs/>
          <w:lang w:eastAsia="cs-CZ"/>
        </w:rPr>
        <w:t xml:space="preserve">vyhověno. </w:t>
      </w:r>
      <w:r w:rsidR="00E52B8D">
        <w:rPr>
          <w:bCs/>
          <w:lang w:eastAsia="cs-CZ"/>
        </w:rPr>
        <w:t>Zav</w:t>
      </w:r>
      <w:r w:rsidR="00A35565">
        <w:rPr>
          <w:bCs/>
          <w:lang w:eastAsia="cs-CZ"/>
        </w:rPr>
        <w:t xml:space="preserve">edení a provozování </w:t>
      </w:r>
      <w:r>
        <w:rPr>
          <w:bCs/>
          <w:lang w:eastAsia="cs-CZ"/>
        </w:rPr>
        <w:t>EMS byl</w:t>
      </w:r>
      <w:r w:rsidR="00E52B8D">
        <w:rPr>
          <w:bCs/>
          <w:lang w:eastAsia="cs-CZ"/>
        </w:rPr>
        <w:t>o</w:t>
      </w:r>
      <w:r>
        <w:rPr>
          <w:bCs/>
          <w:lang w:eastAsia="cs-CZ"/>
        </w:rPr>
        <w:t xml:space="preserve"> postaven</w:t>
      </w:r>
      <w:r w:rsidR="00E52B8D">
        <w:rPr>
          <w:bCs/>
          <w:lang w:eastAsia="cs-CZ"/>
        </w:rPr>
        <w:t>o</w:t>
      </w:r>
      <w:r>
        <w:rPr>
          <w:bCs/>
          <w:lang w:eastAsia="cs-CZ"/>
        </w:rPr>
        <w:t xml:space="preserve"> na vzájemné spolupráci PMS a </w:t>
      </w:r>
      <w:proofErr w:type="spellStart"/>
      <w:r>
        <w:rPr>
          <w:bCs/>
          <w:lang w:eastAsia="cs-CZ"/>
        </w:rPr>
        <w:t>MSp</w:t>
      </w:r>
      <w:proofErr w:type="spellEnd"/>
      <w:r w:rsidR="00B92586">
        <w:rPr>
          <w:bCs/>
          <w:lang w:eastAsia="cs-CZ"/>
        </w:rPr>
        <w:t>. Ačkoli pouze PMS byla zadavatelem VZ a smluvní stranou, její</w:t>
      </w:r>
      <w:r w:rsidR="00B92586" w:rsidRPr="00B92586">
        <w:rPr>
          <w:bCs/>
          <w:lang w:eastAsia="cs-CZ"/>
        </w:rPr>
        <w:t xml:space="preserve"> </w:t>
      </w:r>
      <w:r w:rsidR="00B92586">
        <w:rPr>
          <w:bCs/>
          <w:lang w:eastAsia="cs-CZ"/>
        </w:rPr>
        <w:t xml:space="preserve">pracovníci zajišťovali jen instalaci elektronických náramků na těle odsouzených </w:t>
      </w:r>
      <w:r w:rsidR="00966E9E">
        <w:rPr>
          <w:bCs/>
          <w:lang w:eastAsia="cs-CZ"/>
        </w:rPr>
        <w:br/>
      </w:r>
      <w:r w:rsidR="00B92586">
        <w:rPr>
          <w:bCs/>
          <w:lang w:eastAsia="cs-CZ"/>
        </w:rPr>
        <w:t>a souvisejících zařízení v</w:t>
      </w:r>
      <w:r w:rsidR="00E2460F">
        <w:rPr>
          <w:bCs/>
          <w:lang w:eastAsia="cs-CZ"/>
        </w:rPr>
        <w:t xml:space="preserve"> </w:t>
      </w:r>
      <w:r w:rsidR="00B92586">
        <w:rPr>
          <w:bCs/>
          <w:lang w:eastAsia="cs-CZ"/>
        </w:rPr>
        <w:t>místě jejich bydliště, řešení dodávek a reklamací těchto elektronických zařízení a administraci smluvního vztahu s</w:t>
      </w:r>
      <w:r w:rsidR="00966E9E">
        <w:rPr>
          <w:bCs/>
          <w:lang w:eastAsia="cs-CZ"/>
        </w:rPr>
        <w:t xml:space="preserve"> </w:t>
      </w:r>
      <w:r w:rsidR="00B92586">
        <w:rPr>
          <w:bCs/>
          <w:lang w:eastAsia="cs-CZ"/>
        </w:rPr>
        <w:t>dodavatelem.</w:t>
      </w:r>
      <w:r>
        <w:rPr>
          <w:bCs/>
          <w:lang w:eastAsia="cs-CZ"/>
        </w:rPr>
        <w:t xml:space="preserve"> Většinu činností souvisejících se samotným monitoringem zajišťova</w:t>
      </w:r>
      <w:r w:rsidR="00B92586">
        <w:rPr>
          <w:bCs/>
          <w:lang w:eastAsia="cs-CZ"/>
        </w:rPr>
        <w:t>lo</w:t>
      </w:r>
      <w:r>
        <w:rPr>
          <w:bCs/>
          <w:lang w:eastAsia="cs-CZ"/>
        </w:rPr>
        <w:t xml:space="preserve"> </w:t>
      </w:r>
      <w:proofErr w:type="spellStart"/>
      <w:r>
        <w:rPr>
          <w:bCs/>
          <w:lang w:eastAsia="cs-CZ"/>
        </w:rPr>
        <w:t>MSp</w:t>
      </w:r>
      <w:proofErr w:type="spellEnd"/>
      <w:r>
        <w:rPr>
          <w:bCs/>
          <w:lang w:eastAsia="cs-CZ"/>
        </w:rPr>
        <w:t>. Jeho pracovníci</w:t>
      </w:r>
      <w:r w:rsidR="00D74B81">
        <w:rPr>
          <w:bCs/>
          <w:lang w:eastAsia="cs-CZ"/>
        </w:rPr>
        <w:t xml:space="preserve"> </w:t>
      </w:r>
      <w:r>
        <w:rPr>
          <w:bCs/>
          <w:lang w:eastAsia="cs-CZ"/>
        </w:rPr>
        <w:t>vykonáva</w:t>
      </w:r>
      <w:r w:rsidR="00B92586">
        <w:rPr>
          <w:bCs/>
          <w:lang w:eastAsia="cs-CZ"/>
        </w:rPr>
        <w:t>li</w:t>
      </w:r>
      <w:r>
        <w:rPr>
          <w:bCs/>
          <w:lang w:eastAsia="cs-CZ"/>
        </w:rPr>
        <w:t xml:space="preserve"> nepřetržitý dohled nad odsouzenými v</w:t>
      </w:r>
      <w:r w:rsidR="00D74B81">
        <w:rPr>
          <w:bCs/>
          <w:lang w:eastAsia="cs-CZ"/>
        </w:rPr>
        <w:t> </w:t>
      </w:r>
      <w:r>
        <w:rPr>
          <w:bCs/>
          <w:lang w:eastAsia="cs-CZ"/>
        </w:rPr>
        <w:t>rámci</w:t>
      </w:r>
      <w:r w:rsidR="00D74B81">
        <w:rPr>
          <w:bCs/>
          <w:lang w:eastAsia="cs-CZ"/>
        </w:rPr>
        <w:t xml:space="preserve"> tzv. </w:t>
      </w:r>
      <w:r>
        <w:rPr>
          <w:bCs/>
          <w:lang w:eastAsia="cs-CZ"/>
        </w:rPr>
        <w:t>monitorovacího centra,</w:t>
      </w:r>
      <w:r w:rsidR="00D74B81">
        <w:rPr>
          <w:bCs/>
          <w:lang w:eastAsia="cs-CZ"/>
        </w:rPr>
        <w:t xml:space="preserve"> </w:t>
      </w:r>
      <w:r>
        <w:rPr>
          <w:bCs/>
          <w:lang w:eastAsia="cs-CZ"/>
        </w:rPr>
        <w:t>zajiš</w:t>
      </w:r>
      <w:r w:rsidR="00B92586">
        <w:rPr>
          <w:bCs/>
          <w:lang w:eastAsia="cs-CZ"/>
        </w:rPr>
        <w:t>ťovali</w:t>
      </w:r>
      <w:r>
        <w:rPr>
          <w:bCs/>
          <w:lang w:eastAsia="cs-CZ"/>
        </w:rPr>
        <w:t xml:space="preserve"> provoz celého systému, řešení incidentů apod. IS monitorovacího centra </w:t>
      </w:r>
      <w:r w:rsidR="00B92586">
        <w:rPr>
          <w:bCs/>
          <w:lang w:eastAsia="cs-CZ"/>
        </w:rPr>
        <w:t>byl</w:t>
      </w:r>
      <w:r>
        <w:rPr>
          <w:bCs/>
          <w:lang w:eastAsia="cs-CZ"/>
        </w:rPr>
        <w:t xml:space="preserve"> instalován na ICT infrastruktuře </w:t>
      </w:r>
      <w:proofErr w:type="spellStart"/>
      <w:r>
        <w:rPr>
          <w:bCs/>
          <w:lang w:eastAsia="cs-CZ"/>
        </w:rPr>
        <w:t>MSp</w:t>
      </w:r>
      <w:proofErr w:type="spellEnd"/>
      <w:r>
        <w:rPr>
          <w:bCs/>
          <w:lang w:eastAsia="cs-CZ"/>
        </w:rPr>
        <w:t xml:space="preserve"> a jeho pracovníci měli klíčovou roli při jeho dodání a implementaci.</w:t>
      </w:r>
      <w:r w:rsidR="00B92586">
        <w:rPr>
          <w:bCs/>
          <w:lang w:eastAsia="cs-CZ"/>
        </w:rPr>
        <w:t xml:space="preserve"> Takto nastavený systém spolupráce</w:t>
      </w:r>
      <w:r w:rsidR="00E52B8D">
        <w:rPr>
          <w:bCs/>
          <w:lang w:eastAsia="cs-CZ"/>
        </w:rPr>
        <w:t xml:space="preserve"> představoval </w:t>
      </w:r>
      <w:r w:rsidR="00A35565">
        <w:rPr>
          <w:bCs/>
          <w:lang w:eastAsia="cs-CZ"/>
        </w:rPr>
        <w:t>dvo</w:t>
      </w:r>
      <w:r w:rsidR="00184739">
        <w:rPr>
          <w:bCs/>
          <w:lang w:eastAsia="cs-CZ"/>
        </w:rPr>
        <w:t>u</w:t>
      </w:r>
      <w:r w:rsidR="00A35565">
        <w:rPr>
          <w:bCs/>
          <w:lang w:eastAsia="cs-CZ"/>
        </w:rPr>
        <w:t xml:space="preserve">kolejné </w:t>
      </w:r>
      <w:r>
        <w:rPr>
          <w:bCs/>
          <w:lang w:eastAsia="cs-CZ"/>
        </w:rPr>
        <w:t>řízen</w:t>
      </w:r>
      <w:r w:rsidR="00E52B8D">
        <w:rPr>
          <w:bCs/>
          <w:lang w:eastAsia="cs-CZ"/>
        </w:rPr>
        <w:t>í</w:t>
      </w:r>
      <w:r>
        <w:rPr>
          <w:bCs/>
          <w:lang w:eastAsia="cs-CZ"/>
        </w:rPr>
        <w:t xml:space="preserve"> </w:t>
      </w:r>
      <w:r w:rsidR="00127B50">
        <w:rPr>
          <w:bCs/>
          <w:lang w:eastAsia="cs-CZ"/>
        </w:rPr>
        <w:t>projektu</w:t>
      </w:r>
      <w:r>
        <w:rPr>
          <w:bCs/>
          <w:lang w:eastAsia="cs-CZ"/>
        </w:rPr>
        <w:t xml:space="preserve">, aniž by byly závazně definovány a rozděleny kompetence a povinnosti </w:t>
      </w:r>
      <w:r w:rsidR="00184739">
        <w:rPr>
          <w:bCs/>
          <w:lang w:eastAsia="cs-CZ"/>
        </w:rPr>
        <w:t xml:space="preserve">mezi </w:t>
      </w:r>
      <w:r w:rsidR="00127B50">
        <w:rPr>
          <w:bCs/>
          <w:lang w:eastAsia="cs-CZ"/>
        </w:rPr>
        <w:t xml:space="preserve">PMS a </w:t>
      </w:r>
      <w:proofErr w:type="spellStart"/>
      <w:r w:rsidR="00127B50">
        <w:rPr>
          <w:bCs/>
          <w:lang w:eastAsia="cs-CZ"/>
        </w:rPr>
        <w:t>MSp</w:t>
      </w:r>
      <w:proofErr w:type="spellEnd"/>
      <w:r w:rsidR="00B46AD0">
        <w:rPr>
          <w:bCs/>
          <w:lang w:eastAsia="cs-CZ"/>
        </w:rPr>
        <w:t xml:space="preserve">. </w:t>
      </w:r>
      <w:r w:rsidR="00127B50">
        <w:rPr>
          <w:bCs/>
          <w:lang w:eastAsia="cs-CZ"/>
        </w:rPr>
        <w:t xml:space="preserve">K nápravě tohoto stavu došlo </w:t>
      </w:r>
      <w:r w:rsidR="00B92586">
        <w:rPr>
          <w:bCs/>
          <w:lang w:eastAsia="cs-CZ"/>
        </w:rPr>
        <w:t xml:space="preserve">až </w:t>
      </w:r>
      <w:r w:rsidR="00127B50">
        <w:rPr>
          <w:bCs/>
          <w:lang w:eastAsia="cs-CZ"/>
        </w:rPr>
        <w:t xml:space="preserve">po </w:t>
      </w:r>
      <w:r>
        <w:rPr>
          <w:bCs/>
          <w:lang w:eastAsia="cs-CZ"/>
        </w:rPr>
        <w:t>deset</w:t>
      </w:r>
      <w:r w:rsidR="00127B50">
        <w:rPr>
          <w:bCs/>
          <w:lang w:eastAsia="cs-CZ"/>
        </w:rPr>
        <w:t>i</w:t>
      </w:r>
      <w:r>
        <w:rPr>
          <w:bCs/>
          <w:lang w:eastAsia="cs-CZ"/>
        </w:rPr>
        <w:t xml:space="preserve"> měsíc</w:t>
      </w:r>
      <w:r w:rsidR="00127B50">
        <w:rPr>
          <w:bCs/>
          <w:lang w:eastAsia="cs-CZ"/>
        </w:rPr>
        <w:t>ích</w:t>
      </w:r>
      <w:r>
        <w:rPr>
          <w:bCs/>
          <w:lang w:eastAsia="cs-CZ"/>
        </w:rPr>
        <w:t xml:space="preserve"> od uzavření smlouvy s dodavatelem, kdy PMS a </w:t>
      </w:r>
      <w:proofErr w:type="spellStart"/>
      <w:r>
        <w:rPr>
          <w:bCs/>
          <w:lang w:eastAsia="cs-CZ"/>
        </w:rPr>
        <w:t>MSp</w:t>
      </w:r>
      <w:proofErr w:type="spellEnd"/>
      <w:r>
        <w:rPr>
          <w:bCs/>
          <w:lang w:eastAsia="cs-CZ"/>
        </w:rPr>
        <w:t xml:space="preserve"> uzavře</w:t>
      </w:r>
      <w:r w:rsidR="00127B50">
        <w:rPr>
          <w:bCs/>
          <w:lang w:eastAsia="cs-CZ"/>
        </w:rPr>
        <w:t>ly písemnou</w:t>
      </w:r>
      <w:r>
        <w:rPr>
          <w:bCs/>
          <w:lang w:eastAsia="cs-CZ"/>
        </w:rPr>
        <w:t xml:space="preserve"> dohod</w:t>
      </w:r>
      <w:r w:rsidR="00127B50">
        <w:rPr>
          <w:bCs/>
          <w:lang w:eastAsia="cs-CZ"/>
        </w:rPr>
        <w:t>u, kter</w:t>
      </w:r>
      <w:r w:rsidR="00184739">
        <w:rPr>
          <w:bCs/>
          <w:lang w:eastAsia="cs-CZ"/>
        </w:rPr>
        <w:t>á</w:t>
      </w:r>
      <w:r w:rsidR="00127B50">
        <w:rPr>
          <w:bCs/>
          <w:lang w:eastAsia="cs-CZ"/>
        </w:rPr>
        <w:t xml:space="preserve"> stanovila jasná pravidla </w:t>
      </w:r>
      <w:r>
        <w:rPr>
          <w:bCs/>
          <w:lang w:eastAsia="cs-CZ"/>
        </w:rPr>
        <w:t>součinnosti.</w:t>
      </w:r>
    </w:p>
    <w:p w14:paraId="2A150A7A" w14:textId="77777777" w:rsidR="00F165DA" w:rsidRDefault="00F165DA" w:rsidP="00317D87">
      <w:pPr>
        <w:pStyle w:val="Nadpis2"/>
        <w:ind w:left="426" w:hanging="426"/>
        <w:rPr>
          <w:lang w:eastAsia="cs-CZ"/>
        </w:rPr>
      </w:pPr>
      <w:proofErr w:type="spellStart"/>
      <w:r>
        <w:rPr>
          <w:lang w:eastAsia="cs-CZ"/>
        </w:rPr>
        <w:t>Agendový</w:t>
      </w:r>
      <w:proofErr w:type="spellEnd"/>
      <w:r>
        <w:rPr>
          <w:lang w:eastAsia="cs-CZ"/>
        </w:rPr>
        <w:t xml:space="preserve"> IS PMS</w:t>
      </w:r>
    </w:p>
    <w:p w14:paraId="043FAF7C" w14:textId="0F6CA51E" w:rsidR="00151E9D" w:rsidRPr="005146F0" w:rsidRDefault="00B17C71" w:rsidP="00F165DA">
      <w:pPr>
        <w:rPr>
          <w:lang w:eastAsia="cs-CZ"/>
        </w:rPr>
      </w:pPr>
      <w:r>
        <w:rPr>
          <w:lang w:eastAsia="cs-CZ"/>
        </w:rPr>
        <w:t xml:space="preserve">Projekt </w:t>
      </w:r>
      <w:proofErr w:type="spellStart"/>
      <w:r w:rsidR="005F715B" w:rsidRPr="005F715B">
        <w:rPr>
          <w:i/>
          <w:lang w:eastAsia="cs-CZ"/>
        </w:rPr>
        <w:t>Agendový</w:t>
      </w:r>
      <w:proofErr w:type="spellEnd"/>
      <w:r w:rsidR="005F715B" w:rsidRPr="005F715B">
        <w:rPr>
          <w:i/>
          <w:lang w:eastAsia="cs-CZ"/>
        </w:rPr>
        <w:t xml:space="preserve"> informační systém </w:t>
      </w:r>
      <w:r w:rsidR="00DC7BEB">
        <w:rPr>
          <w:i/>
          <w:lang w:eastAsia="cs-CZ"/>
        </w:rPr>
        <w:t>PMS</w:t>
      </w:r>
      <w:r w:rsidR="00A42FBA">
        <w:rPr>
          <w:lang w:eastAsia="cs-CZ"/>
        </w:rPr>
        <w:t xml:space="preserve">, </w:t>
      </w:r>
      <w:proofErr w:type="spellStart"/>
      <w:r w:rsidR="00A42FBA">
        <w:rPr>
          <w:lang w:eastAsia="cs-CZ"/>
        </w:rPr>
        <w:t>reg</w:t>
      </w:r>
      <w:proofErr w:type="spellEnd"/>
      <w:r w:rsidR="00A42FBA">
        <w:rPr>
          <w:lang w:eastAsia="cs-CZ"/>
        </w:rPr>
        <w:t xml:space="preserve">. č. </w:t>
      </w:r>
      <w:r w:rsidR="005F715B" w:rsidRPr="005F715B">
        <w:rPr>
          <w:lang w:eastAsia="cs-CZ"/>
        </w:rPr>
        <w:t>CZ.06.3.05/0.0/0.0/16</w:t>
      </w:r>
      <w:r w:rsidR="005F715B">
        <w:rPr>
          <w:lang w:eastAsia="cs-CZ"/>
        </w:rPr>
        <w:t>_</w:t>
      </w:r>
      <w:r w:rsidR="005F715B" w:rsidRPr="005F715B">
        <w:rPr>
          <w:lang w:eastAsia="cs-CZ"/>
        </w:rPr>
        <w:t>034/0006422</w:t>
      </w:r>
      <w:r w:rsidR="00184739">
        <w:rPr>
          <w:lang w:eastAsia="cs-CZ"/>
        </w:rPr>
        <w:t>,</w:t>
      </w:r>
      <w:r w:rsidR="005F715B">
        <w:rPr>
          <w:lang w:eastAsia="cs-CZ"/>
        </w:rPr>
        <w:t xml:space="preserve"> </w:t>
      </w:r>
      <w:r w:rsidR="00A42FBA">
        <w:rPr>
          <w:lang w:eastAsia="cs-CZ"/>
        </w:rPr>
        <w:t>je spolufinancov</w:t>
      </w:r>
      <w:r w:rsidR="00875BB3">
        <w:rPr>
          <w:lang w:eastAsia="cs-CZ"/>
        </w:rPr>
        <w:t>án</w:t>
      </w:r>
      <w:r w:rsidR="00A42FBA">
        <w:rPr>
          <w:lang w:eastAsia="cs-CZ"/>
        </w:rPr>
        <w:t xml:space="preserve"> z</w:t>
      </w:r>
      <w:r w:rsidR="00E2460F">
        <w:rPr>
          <w:lang w:eastAsia="cs-CZ"/>
        </w:rPr>
        <w:t xml:space="preserve"> </w:t>
      </w:r>
      <w:r w:rsidR="00A9044D">
        <w:rPr>
          <w:lang w:eastAsia="cs-CZ"/>
        </w:rPr>
        <w:t>e</w:t>
      </w:r>
      <w:r w:rsidR="00A42FBA">
        <w:rPr>
          <w:lang w:eastAsia="cs-CZ"/>
        </w:rPr>
        <w:t xml:space="preserve">vropských strukturálních a </w:t>
      </w:r>
      <w:r w:rsidR="00A42FBA" w:rsidRPr="005146F0">
        <w:rPr>
          <w:lang w:eastAsia="cs-CZ"/>
        </w:rPr>
        <w:t xml:space="preserve">investičních fondů v rámci </w:t>
      </w:r>
      <w:r w:rsidR="00A42FBA" w:rsidRPr="00317D87">
        <w:rPr>
          <w:i/>
          <w:lang w:eastAsia="cs-CZ"/>
        </w:rPr>
        <w:t>Integrovaného regionálního operačního programu</w:t>
      </w:r>
      <w:r w:rsidR="000A7735">
        <w:rPr>
          <w:lang w:eastAsia="cs-CZ"/>
        </w:rPr>
        <w:t xml:space="preserve">, </w:t>
      </w:r>
      <w:r w:rsidR="00184739">
        <w:rPr>
          <w:lang w:eastAsia="cs-CZ"/>
        </w:rPr>
        <w:t xml:space="preserve">konkrétně z jeho </w:t>
      </w:r>
      <w:r w:rsidR="000A7735">
        <w:rPr>
          <w:lang w:eastAsia="cs-CZ"/>
        </w:rPr>
        <w:t>specifického cíle 3.2</w:t>
      </w:r>
      <w:r w:rsidR="00184739">
        <w:rPr>
          <w:lang w:eastAsia="cs-CZ"/>
        </w:rPr>
        <w:t xml:space="preserve"> prostřednictvím</w:t>
      </w:r>
      <w:r w:rsidR="000A7735">
        <w:rPr>
          <w:lang w:eastAsia="cs-CZ"/>
        </w:rPr>
        <w:t xml:space="preserve"> výzvy č. 26 </w:t>
      </w:r>
      <w:proofErr w:type="spellStart"/>
      <w:r w:rsidR="000A7735" w:rsidRPr="00387011">
        <w:rPr>
          <w:i/>
          <w:lang w:eastAsia="cs-CZ"/>
        </w:rPr>
        <w:t>eGovernment</w:t>
      </w:r>
      <w:proofErr w:type="spellEnd"/>
      <w:r w:rsidR="000A7735" w:rsidRPr="00387011">
        <w:rPr>
          <w:i/>
          <w:lang w:eastAsia="cs-CZ"/>
        </w:rPr>
        <w:t xml:space="preserve"> I</w:t>
      </w:r>
      <w:r w:rsidR="000A7735">
        <w:rPr>
          <w:lang w:eastAsia="cs-CZ"/>
        </w:rPr>
        <w:t xml:space="preserve"> vyhlášené 24. 3. 2016</w:t>
      </w:r>
      <w:r w:rsidR="00A42FBA" w:rsidRPr="005146F0">
        <w:rPr>
          <w:lang w:eastAsia="cs-CZ"/>
        </w:rPr>
        <w:t xml:space="preserve">. Předmětem projektu </w:t>
      </w:r>
      <w:r w:rsidR="00F23A20">
        <w:rPr>
          <w:lang w:eastAsia="cs-CZ"/>
        </w:rPr>
        <w:t xml:space="preserve">je </w:t>
      </w:r>
      <w:r w:rsidR="00A42FBA" w:rsidRPr="005146F0">
        <w:rPr>
          <w:lang w:eastAsia="cs-CZ"/>
        </w:rPr>
        <w:t xml:space="preserve">pořízení nového </w:t>
      </w:r>
      <w:r w:rsidR="005F715B" w:rsidRPr="005146F0">
        <w:rPr>
          <w:lang w:eastAsia="cs-CZ"/>
        </w:rPr>
        <w:t>A</w:t>
      </w:r>
      <w:r w:rsidR="00A42FBA" w:rsidRPr="005146F0">
        <w:rPr>
          <w:lang w:eastAsia="cs-CZ"/>
        </w:rPr>
        <w:t xml:space="preserve">IS PMS, který </w:t>
      </w:r>
      <w:r w:rsidR="00184739">
        <w:rPr>
          <w:lang w:eastAsia="cs-CZ"/>
        </w:rPr>
        <w:t xml:space="preserve">by </w:t>
      </w:r>
      <w:r w:rsidR="00A42FBA" w:rsidRPr="005146F0">
        <w:rPr>
          <w:lang w:eastAsia="cs-CZ"/>
        </w:rPr>
        <w:t xml:space="preserve">měl nahradit starší, již technologicky nevyhovující systém. </w:t>
      </w:r>
      <w:r w:rsidR="00875BB3">
        <w:rPr>
          <w:lang w:eastAsia="cs-CZ"/>
        </w:rPr>
        <w:t>CZV</w:t>
      </w:r>
      <w:r w:rsidR="00A42FBA" w:rsidRPr="005146F0">
        <w:rPr>
          <w:lang w:eastAsia="cs-CZ"/>
        </w:rPr>
        <w:t xml:space="preserve"> </w:t>
      </w:r>
      <w:r w:rsidR="005F715B" w:rsidRPr="005146F0">
        <w:rPr>
          <w:lang w:eastAsia="cs-CZ"/>
        </w:rPr>
        <w:t>byly vyčísleny na</w:t>
      </w:r>
      <w:r w:rsidR="00A42FBA" w:rsidRPr="005146F0">
        <w:rPr>
          <w:lang w:eastAsia="cs-CZ"/>
        </w:rPr>
        <w:t xml:space="preserve"> 48 620 000 Kč, </w:t>
      </w:r>
      <w:r w:rsidR="00875BB3">
        <w:rPr>
          <w:lang w:eastAsia="cs-CZ"/>
        </w:rPr>
        <w:t xml:space="preserve">z toho peněžní prostředky EU </w:t>
      </w:r>
      <w:r w:rsidR="00184739">
        <w:rPr>
          <w:lang w:eastAsia="cs-CZ"/>
        </w:rPr>
        <w:t>mají činit</w:t>
      </w:r>
      <w:r w:rsidR="00875BB3">
        <w:rPr>
          <w:lang w:eastAsia="cs-CZ"/>
        </w:rPr>
        <w:t xml:space="preserve"> </w:t>
      </w:r>
      <w:r w:rsidR="005F715B" w:rsidRPr="005146F0">
        <w:rPr>
          <w:lang w:eastAsia="cs-CZ"/>
        </w:rPr>
        <w:t>39 315 591 </w:t>
      </w:r>
      <w:r w:rsidR="00A42FBA" w:rsidRPr="005146F0">
        <w:rPr>
          <w:lang w:eastAsia="cs-CZ"/>
        </w:rPr>
        <w:t xml:space="preserve">Kč a </w:t>
      </w:r>
      <w:r w:rsidR="00875BB3">
        <w:rPr>
          <w:lang w:eastAsia="cs-CZ"/>
        </w:rPr>
        <w:t xml:space="preserve">peněžní prostředky </w:t>
      </w:r>
      <w:r w:rsidR="00A42FBA" w:rsidRPr="005146F0">
        <w:rPr>
          <w:lang w:eastAsia="cs-CZ"/>
        </w:rPr>
        <w:t xml:space="preserve">státního rozpočtu </w:t>
      </w:r>
      <w:r w:rsidR="005F715B" w:rsidRPr="005146F0">
        <w:rPr>
          <w:lang w:eastAsia="cs-CZ"/>
        </w:rPr>
        <w:t>9 304 409 </w:t>
      </w:r>
      <w:r w:rsidR="00A42FBA" w:rsidRPr="005146F0">
        <w:rPr>
          <w:lang w:eastAsia="cs-CZ"/>
        </w:rPr>
        <w:t xml:space="preserve">Kč. </w:t>
      </w:r>
      <w:r w:rsidR="00161907" w:rsidRPr="00161907">
        <w:rPr>
          <w:lang w:eastAsia="cs-CZ"/>
        </w:rPr>
        <w:t>Předpokládané datum zahájení bylo stanoveno na 1. 1. 2017</w:t>
      </w:r>
      <w:r w:rsidR="003F6380">
        <w:rPr>
          <w:lang w:eastAsia="cs-CZ"/>
        </w:rPr>
        <w:t>.</w:t>
      </w:r>
      <w:r w:rsidR="00161907" w:rsidRPr="00161907">
        <w:rPr>
          <w:lang w:eastAsia="cs-CZ"/>
        </w:rPr>
        <w:t xml:space="preserve"> </w:t>
      </w:r>
      <w:r w:rsidR="003F6380">
        <w:rPr>
          <w:lang w:eastAsia="cs-CZ"/>
        </w:rPr>
        <w:t>R</w:t>
      </w:r>
      <w:r w:rsidR="00A42FBA" w:rsidRPr="00161907">
        <w:rPr>
          <w:lang w:eastAsia="cs-CZ"/>
        </w:rPr>
        <w:t xml:space="preserve">ealizace </w:t>
      </w:r>
      <w:r w:rsidR="00A9044D">
        <w:rPr>
          <w:lang w:eastAsia="cs-CZ"/>
        </w:rPr>
        <w:t xml:space="preserve">měla být ukončena </w:t>
      </w:r>
      <w:r w:rsidR="00A42FBA" w:rsidRPr="00161907">
        <w:rPr>
          <w:lang w:eastAsia="cs-CZ"/>
        </w:rPr>
        <w:t>do 31. 12. 2020.</w:t>
      </w:r>
      <w:r w:rsidR="00875BB3">
        <w:rPr>
          <w:lang w:eastAsia="cs-CZ"/>
        </w:rPr>
        <w:t xml:space="preserve"> </w:t>
      </w:r>
      <w:r w:rsidR="00A42FBA" w:rsidRPr="005146F0">
        <w:rPr>
          <w:lang w:eastAsia="cs-CZ"/>
        </w:rPr>
        <w:t xml:space="preserve">Do </w:t>
      </w:r>
      <w:r w:rsidR="00932690" w:rsidRPr="005146F0">
        <w:rPr>
          <w:lang w:eastAsia="cs-CZ"/>
        </w:rPr>
        <w:t xml:space="preserve">června 2022 </w:t>
      </w:r>
      <w:r w:rsidR="00A42FBA" w:rsidRPr="005146F0">
        <w:rPr>
          <w:lang w:eastAsia="cs-CZ"/>
        </w:rPr>
        <w:t>provedla PMS v projektu celkem 9</w:t>
      </w:r>
      <w:r w:rsidR="0018055A">
        <w:rPr>
          <w:lang w:eastAsia="cs-CZ"/>
        </w:rPr>
        <w:t xml:space="preserve"> </w:t>
      </w:r>
      <w:r w:rsidR="00A42FBA" w:rsidRPr="005146F0">
        <w:rPr>
          <w:lang w:eastAsia="cs-CZ"/>
        </w:rPr>
        <w:t xml:space="preserve">změn, kterými mimo jiné </w:t>
      </w:r>
      <w:r w:rsidR="00184739">
        <w:rPr>
          <w:lang w:eastAsia="cs-CZ"/>
        </w:rPr>
        <w:t>posunula</w:t>
      </w:r>
      <w:r w:rsidR="00A42FBA" w:rsidRPr="005146F0">
        <w:rPr>
          <w:lang w:eastAsia="cs-CZ"/>
        </w:rPr>
        <w:t xml:space="preserve"> termín ukončení realizace až do 30. 9. 2022.</w:t>
      </w:r>
    </w:p>
    <w:p w14:paraId="1A3BCE43" w14:textId="111AD0BB" w:rsidR="00C206D5" w:rsidRDefault="00151E9D" w:rsidP="00F165DA">
      <w:pPr>
        <w:rPr>
          <w:lang w:eastAsia="cs-CZ"/>
        </w:rPr>
      </w:pPr>
      <w:r w:rsidRPr="005146F0">
        <w:rPr>
          <w:lang w:eastAsia="cs-CZ"/>
        </w:rPr>
        <w:t xml:space="preserve">V souvislosti </w:t>
      </w:r>
      <w:r w:rsidR="00F23A20">
        <w:rPr>
          <w:lang w:eastAsia="cs-CZ"/>
        </w:rPr>
        <w:t xml:space="preserve">s </w:t>
      </w:r>
      <w:r w:rsidRPr="005146F0">
        <w:rPr>
          <w:lang w:eastAsia="cs-CZ"/>
        </w:rPr>
        <w:t xml:space="preserve">projektem </w:t>
      </w:r>
      <w:r w:rsidR="00875BB3">
        <w:rPr>
          <w:lang w:eastAsia="cs-CZ"/>
        </w:rPr>
        <w:t xml:space="preserve">AIS PMS zadala </w:t>
      </w:r>
      <w:r w:rsidRPr="005146F0">
        <w:rPr>
          <w:lang w:eastAsia="cs-CZ"/>
        </w:rPr>
        <w:t xml:space="preserve">PMS čtyři VZ. Tři z nich se týkaly podpůrných </w:t>
      </w:r>
      <w:r w:rsidR="005F715B" w:rsidRPr="005146F0">
        <w:rPr>
          <w:lang w:eastAsia="cs-CZ"/>
        </w:rPr>
        <w:t xml:space="preserve">činností – </w:t>
      </w:r>
      <w:r w:rsidR="00A9044D">
        <w:rPr>
          <w:lang w:eastAsia="cs-CZ"/>
        </w:rPr>
        <w:t xml:space="preserve">jednalo se o </w:t>
      </w:r>
      <w:r w:rsidR="005F715B" w:rsidRPr="005146F0">
        <w:rPr>
          <w:lang w:eastAsia="cs-CZ"/>
        </w:rPr>
        <w:t>zpracování</w:t>
      </w:r>
      <w:r w:rsidRPr="005146F0">
        <w:rPr>
          <w:lang w:eastAsia="cs-CZ"/>
        </w:rPr>
        <w:t xml:space="preserve"> projektové žádosti, vypracování podkladů</w:t>
      </w:r>
      <w:r w:rsidR="005F715B" w:rsidRPr="005146F0">
        <w:rPr>
          <w:lang w:eastAsia="cs-CZ"/>
        </w:rPr>
        <w:t xml:space="preserve"> pro technickou část zadávací dokumentace a odborné konzultace a dozor na</w:t>
      </w:r>
      <w:r w:rsidR="008E1D19" w:rsidRPr="005146F0">
        <w:rPr>
          <w:lang w:eastAsia="cs-CZ"/>
        </w:rPr>
        <w:t>d</w:t>
      </w:r>
      <w:r w:rsidR="005F715B" w:rsidRPr="005146F0">
        <w:rPr>
          <w:lang w:eastAsia="cs-CZ"/>
        </w:rPr>
        <w:t xml:space="preserve"> implementací. </w:t>
      </w:r>
      <w:r w:rsidR="00C206D5" w:rsidRPr="005146F0">
        <w:rPr>
          <w:lang w:eastAsia="cs-CZ"/>
        </w:rPr>
        <w:t xml:space="preserve">Za tyto VZ uhradila PMS dodavatelům </w:t>
      </w:r>
      <w:r w:rsidR="00875BB3">
        <w:rPr>
          <w:lang w:eastAsia="cs-CZ"/>
        </w:rPr>
        <w:t xml:space="preserve">celkem </w:t>
      </w:r>
      <w:r w:rsidR="00823CAE" w:rsidRPr="005146F0">
        <w:rPr>
          <w:lang w:eastAsia="cs-CZ"/>
        </w:rPr>
        <w:t>903 870</w:t>
      </w:r>
      <w:r w:rsidR="008E1D19" w:rsidRPr="005146F0">
        <w:rPr>
          <w:lang w:eastAsia="cs-CZ"/>
        </w:rPr>
        <w:t xml:space="preserve"> Kč</w:t>
      </w:r>
      <w:r w:rsidR="00C206D5" w:rsidRPr="005146F0">
        <w:rPr>
          <w:lang w:eastAsia="cs-CZ"/>
        </w:rPr>
        <w:t xml:space="preserve">. </w:t>
      </w:r>
      <w:r w:rsidR="005F715B" w:rsidRPr="005146F0">
        <w:rPr>
          <w:lang w:eastAsia="cs-CZ"/>
        </w:rPr>
        <w:t>Předmětem čtvrté V</w:t>
      </w:r>
      <w:r w:rsidR="00C206D5" w:rsidRPr="005146F0">
        <w:rPr>
          <w:lang w:eastAsia="cs-CZ"/>
        </w:rPr>
        <w:t>Z</w:t>
      </w:r>
      <w:r w:rsidR="005F715B" w:rsidRPr="005146F0">
        <w:rPr>
          <w:lang w:eastAsia="cs-CZ"/>
        </w:rPr>
        <w:t xml:space="preserve"> byl</w:t>
      </w:r>
      <w:r w:rsidR="00A9044D">
        <w:rPr>
          <w:lang w:eastAsia="cs-CZ"/>
        </w:rPr>
        <w:t>y</w:t>
      </w:r>
      <w:r w:rsidR="005F715B" w:rsidRPr="005146F0">
        <w:rPr>
          <w:lang w:eastAsia="cs-CZ"/>
        </w:rPr>
        <w:t xml:space="preserve"> dodávka a</w:t>
      </w:r>
      <w:r w:rsidR="00A9044D">
        <w:rPr>
          <w:lang w:eastAsia="cs-CZ"/>
        </w:rPr>
        <w:t> </w:t>
      </w:r>
      <w:r w:rsidR="005F715B" w:rsidRPr="005146F0">
        <w:rPr>
          <w:lang w:eastAsia="cs-CZ"/>
        </w:rPr>
        <w:t>implementace AIS</w:t>
      </w:r>
      <w:r w:rsidR="00F23A20">
        <w:rPr>
          <w:lang w:eastAsia="cs-CZ"/>
        </w:rPr>
        <w:t> </w:t>
      </w:r>
      <w:r w:rsidR="005F715B" w:rsidRPr="005146F0">
        <w:rPr>
          <w:lang w:eastAsia="cs-CZ"/>
        </w:rPr>
        <w:t xml:space="preserve">PMS. Smlouvu o dílo uzavřela PMS s vybraným dodavatelem </w:t>
      </w:r>
      <w:r w:rsidR="00C206D5" w:rsidRPr="005146F0">
        <w:rPr>
          <w:lang w:eastAsia="cs-CZ"/>
        </w:rPr>
        <w:t>28. 5. 2021</w:t>
      </w:r>
      <w:r w:rsidR="00821B9C">
        <w:rPr>
          <w:lang w:eastAsia="cs-CZ"/>
        </w:rPr>
        <w:t xml:space="preserve"> s hodnotou plnění</w:t>
      </w:r>
      <w:r w:rsidR="00D74B81">
        <w:rPr>
          <w:lang w:eastAsia="cs-CZ"/>
        </w:rPr>
        <w:t xml:space="preserve"> ve výši</w:t>
      </w:r>
      <w:r w:rsidR="00C206D5" w:rsidRPr="005146F0">
        <w:rPr>
          <w:lang w:eastAsia="cs-CZ"/>
        </w:rPr>
        <w:t xml:space="preserve"> 33 740 632 Kč. </w:t>
      </w:r>
      <w:r w:rsidR="009F307A" w:rsidRPr="005146F0">
        <w:rPr>
          <w:lang w:eastAsia="cs-CZ"/>
        </w:rPr>
        <w:t>Do doby ukončení kontroly NKÚ dodavatel dokončil a předal pouze první fázi plnění, kterou bylo dodání architektury a dokumentace</w:t>
      </w:r>
      <w:r w:rsidR="00821B9C">
        <w:rPr>
          <w:lang w:eastAsia="cs-CZ"/>
        </w:rPr>
        <w:t xml:space="preserve"> za</w:t>
      </w:r>
      <w:r w:rsidR="009F307A" w:rsidRPr="005146F0">
        <w:rPr>
          <w:lang w:eastAsia="cs-CZ"/>
        </w:rPr>
        <w:t xml:space="preserve"> 6 748 126 Kč.</w:t>
      </w:r>
      <w:r w:rsidR="009F307A">
        <w:rPr>
          <w:lang w:eastAsia="cs-CZ"/>
        </w:rPr>
        <w:t xml:space="preserve"> </w:t>
      </w:r>
    </w:p>
    <w:bookmarkEnd w:id="3"/>
    <w:bookmarkEnd w:id="4"/>
    <w:p w14:paraId="0364AC3F" w14:textId="77777777" w:rsidR="00102E58" w:rsidRPr="00A25D09" w:rsidRDefault="00102E58" w:rsidP="00317D87">
      <w:pPr>
        <w:pStyle w:val="Nadpis1"/>
        <w:ind w:left="284" w:hanging="284"/>
      </w:pPr>
      <w:r w:rsidRPr="00A25D09">
        <w:t xml:space="preserve">Řízení rozvoje ICT </w:t>
      </w:r>
      <w:r w:rsidR="005C28DE" w:rsidRPr="00A25D09">
        <w:t>a využ</w:t>
      </w:r>
      <w:r w:rsidR="00A25D09" w:rsidRPr="00A25D09">
        <w:t>ívání peněžních prostředků v resortu justice</w:t>
      </w:r>
    </w:p>
    <w:p w14:paraId="4830A070" w14:textId="6CD6352C" w:rsidR="00102E58" w:rsidRDefault="00102E58" w:rsidP="00102E58">
      <w:pPr>
        <w:rPr>
          <w:lang w:eastAsia="cs-CZ"/>
        </w:rPr>
      </w:pPr>
      <w:r>
        <w:rPr>
          <w:lang w:eastAsia="cs-CZ"/>
        </w:rPr>
        <w:t xml:space="preserve">Informační koncepce resortu </w:t>
      </w:r>
      <w:r w:rsidR="00A654AA">
        <w:rPr>
          <w:lang w:eastAsia="cs-CZ"/>
        </w:rPr>
        <w:t>s</w:t>
      </w:r>
      <w:r>
        <w:rPr>
          <w:lang w:eastAsia="cs-CZ"/>
        </w:rPr>
        <w:t>polu s</w:t>
      </w:r>
      <w:r w:rsidR="0018055A">
        <w:rPr>
          <w:lang w:eastAsia="cs-CZ"/>
        </w:rPr>
        <w:t xml:space="preserve"> </w:t>
      </w:r>
      <w:proofErr w:type="spellStart"/>
      <w:r>
        <w:rPr>
          <w:lang w:eastAsia="cs-CZ"/>
        </w:rPr>
        <w:t>Enterprise</w:t>
      </w:r>
      <w:proofErr w:type="spellEnd"/>
      <w:r>
        <w:rPr>
          <w:lang w:eastAsia="cs-CZ"/>
        </w:rPr>
        <w:t xml:space="preserve"> architekturou, </w:t>
      </w:r>
      <w:r w:rsidR="00607A17">
        <w:rPr>
          <w:lang w:eastAsia="cs-CZ"/>
        </w:rPr>
        <w:t>a</w:t>
      </w:r>
      <w:r>
        <w:rPr>
          <w:lang w:eastAsia="cs-CZ"/>
        </w:rPr>
        <w:t xml:space="preserve">rchitektonickým plánem </w:t>
      </w:r>
      <w:r w:rsidR="0018055A">
        <w:rPr>
          <w:lang w:eastAsia="cs-CZ"/>
        </w:rPr>
        <w:br/>
      </w:r>
      <w:r>
        <w:rPr>
          <w:lang w:eastAsia="cs-CZ"/>
        </w:rPr>
        <w:t>a</w:t>
      </w:r>
      <w:r w:rsidR="0018055A">
        <w:rPr>
          <w:lang w:eastAsia="cs-CZ"/>
        </w:rPr>
        <w:t xml:space="preserve"> </w:t>
      </w:r>
      <w:r w:rsidR="00607A17">
        <w:rPr>
          <w:lang w:eastAsia="cs-CZ"/>
        </w:rPr>
        <w:t>a</w:t>
      </w:r>
      <w:r>
        <w:rPr>
          <w:lang w:eastAsia="cs-CZ"/>
        </w:rPr>
        <w:t xml:space="preserve">rchitektonickým modelem jsou základní řídicí dokumenty pro rozvoj ICT a nástroj efektivního řízení. </w:t>
      </w:r>
      <w:proofErr w:type="spellStart"/>
      <w:r w:rsidR="008C5F48">
        <w:rPr>
          <w:lang w:eastAsia="cs-CZ"/>
        </w:rPr>
        <w:t>MSp</w:t>
      </w:r>
      <w:proofErr w:type="spellEnd"/>
      <w:r w:rsidR="008C5F48">
        <w:rPr>
          <w:lang w:eastAsia="cs-CZ"/>
        </w:rPr>
        <w:t xml:space="preserve"> do doby ukončení kontroly NKÚ žádný </w:t>
      </w:r>
      <w:r>
        <w:rPr>
          <w:lang w:eastAsia="cs-CZ"/>
        </w:rPr>
        <w:t>z</w:t>
      </w:r>
      <w:r w:rsidR="00E2460F">
        <w:rPr>
          <w:lang w:eastAsia="cs-CZ"/>
        </w:rPr>
        <w:t xml:space="preserve"> </w:t>
      </w:r>
      <w:r>
        <w:rPr>
          <w:lang w:eastAsia="cs-CZ"/>
        </w:rPr>
        <w:t xml:space="preserve">těchto dokumentů </w:t>
      </w:r>
      <w:r w:rsidR="008C5F48">
        <w:rPr>
          <w:lang w:eastAsia="cs-CZ"/>
        </w:rPr>
        <w:t>neschválilo.</w:t>
      </w:r>
      <w:r>
        <w:rPr>
          <w:lang w:eastAsia="cs-CZ"/>
        </w:rPr>
        <w:t xml:space="preserve"> Informační koncepci i </w:t>
      </w:r>
      <w:proofErr w:type="spellStart"/>
      <w:r>
        <w:rPr>
          <w:lang w:eastAsia="cs-CZ"/>
        </w:rPr>
        <w:t>Enterprise</w:t>
      </w:r>
      <w:proofErr w:type="spellEnd"/>
      <w:r>
        <w:rPr>
          <w:lang w:eastAsia="cs-CZ"/>
        </w:rPr>
        <w:t xml:space="preserve"> architekturu </w:t>
      </w:r>
      <w:r w:rsidDel="00F165DA">
        <w:rPr>
          <w:lang w:eastAsia="cs-CZ"/>
        </w:rPr>
        <w:t xml:space="preserve">teprve </w:t>
      </w:r>
      <w:r>
        <w:rPr>
          <w:lang w:eastAsia="cs-CZ"/>
        </w:rPr>
        <w:t>zpracovávalo a nebylo jasné, kdy budou dokončen</w:t>
      </w:r>
      <w:r w:rsidR="00A9044D">
        <w:rPr>
          <w:lang w:eastAsia="cs-CZ"/>
        </w:rPr>
        <w:t>y</w:t>
      </w:r>
      <w:r>
        <w:rPr>
          <w:lang w:eastAsia="cs-CZ"/>
        </w:rPr>
        <w:t xml:space="preserve">. Tím, že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nemělo zpracovanou, schválenou a akreditovanou informační koncepci resortu,</w:t>
      </w:r>
      <w:r w:rsidR="00F165DA">
        <w:rPr>
          <w:lang w:eastAsia="cs-CZ"/>
        </w:rPr>
        <w:t xml:space="preserve"> </w:t>
      </w:r>
      <w:r>
        <w:rPr>
          <w:lang w:eastAsia="cs-CZ"/>
        </w:rPr>
        <w:t xml:space="preserve">porušilo povinnost danou ustanovením § 5a odst. 2 zákona </w:t>
      </w:r>
      <w:r w:rsidR="00A64EE5">
        <w:rPr>
          <w:lang w:eastAsia="cs-CZ"/>
        </w:rPr>
        <w:t>č.</w:t>
      </w:r>
      <w:r w:rsidR="00C939E6">
        <w:rPr>
          <w:lang w:eastAsia="cs-CZ"/>
        </w:rPr>
        <w:t> </w:t>
      </w:r>
      <w:r w:rsidR="00A64EE5">
        <w:rPr>
          <w:lang w:eastAsia="cs-CZ"/>
        </w:rPr>
        <w:t>365/2000 Sb</w:t>
      </w:r>
      <w:r>
        <w:rPr>
          <w:lang w:eastAsia="cs-CZ"/>
        </w:rPr>
        <w:t>.</w:t>
      </w:r>
      <w:r w:rsidR="008C5F48">
        <w:rPr>
          <w:rStyle w:val="Znakapoznpodarou"/>
          <w:lang w:eastAsia="cs-CZ"/>
        </w:rPr>
        <w:footnoteReference w:id="12"/>
      </w:r>
      <w:r>
        <w:rPr>
          <w:lang w:eastAsia="cs-CZ"/>
        </w:rPr>
        <w:t xml:space="preserve"> Resortům, které nebudou mít schválenou a akreditovanou informační </w:t>
      </w:r>
      <w:r>
        <w:rPr>
          <w:lang w:eastAsia="cs-CZ"/>
        </w:rPr>
        <w:lastRenderedPageBreak/>
        <w:t>koncepci</w:t>
      </w:r>
      <w:r w:rsidR="00A9044D">
        <w:rPr>
          <w:lang w:eastAsia="cs-CZ"/>
        </w:rPr>
        <w:t>,</w:t>
      </w:r>
      <w:r>
        <w:rPr>
          <w:lang w:eastAsia="cs-CZ"/>
        </w:rPr>
        <w:t xml:space="preserve"> nebude v</w:t>
      </w:r>
      <w:r w:rsidR="001F1703">
        <w:rPr>
          <w:lang w:eastAsia="cs-CZ"/>
        </w:rPr>
        <w:t xml:space="preserve"> </w:t>
      </w:r>
      <w:r>
        <w:rPr>
          <w:lang w:eastAsia="cs-CZ"/>
        </w:rPr>
        <w:t xml:space="preserve">blízké budoucnosti </w:t>
      </w:r>
      <w:r w:rsidR="00544906">
        <w:rPr>
          <w:lang w:eastAsia="cs-CZ"/>
        </w:rPr>
        <w:t>o</w:t>
      </w:r>
      <w:r w:rsidR="008C5F48">
        <w:rPr>
          <w:lang w:eastAsia="cs-CZ"/>
        </w:rPr>
        <w:t xml:space="preserve">dbor </w:t>
      </w:r>
      <w:r w:rsidR="00A9044D">
        <w:rPr>
          <w:lang w:eastAsia="cs-CZ"/>
        </w:rPr>
        <w:t>h</w:t>
      </w:r>
      <w:r w:rsidR="008C5F48">
        <w:rPr>
          <w:lang w:eastAsia="cs-CZ"/>
        </w:rPr>
        <w:t>lavního architekta Ministerstva vnitra</w:t>
      </w:r>
      <w:r>
        <w:rPr>
          <w:lang w:eastAsia="cs-CZ"/>
        </w:rPr>
        <w:t xml:space="preserve"> udělovat souhlasy s realizacemi v oblasti ICT.</w:t>
      </w:r>
    </w:p>
    <w:p w14:paraId="4F1088C9" w14:textId="74DD1F6B" w:rsidR="00913586" w:rsidRPr="00A81742" w:rsidRDefault="00102E58" w:rsidP="00102E58">
      <w:pPr>
        <w:rPr>
          <w:lang w:eastAsia="cs-CZ"/>
        </w:rPr>
      </w:pPr>
      <w:r>
        <w:rPr>
          <w:lang w:eastAsia="cs-CZ"/>
        </w:rPr>
        <w:t>Od 14.</w:t>
      </w:r>
      <w:r w:rsidR="001F1703">
        <w:rPr>
          <w:lang w:eastAsia="cs-CZ"/>
        </w:rPr>
        <w:t xml:space="preserve"> </w:t>
      </w:r>
      <w:r>
        <w:rPr>
          <w:lang w:eastAsia="cs-CZ"/>
        </w:rPr>
        <w:t>12.</w:t>
      </w:r>
      <w:r w:rsidR="001F1703">
        <w:rPr>
          <w:lang w:eastAsia="cs-CZ"/>
        </w:rPr>
        <w:t xml:space="preserve"> </w:t>
      </w:r>
      <w:r>
        <w:rPr>
          <w:lang w:eastAsia="cs-CZ"/>
        </w:rPr>
        <w:t xml:space="preserve">2018 má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</w:t>
      </w:r>
      <w:r w:rsidR="00CE729F">
        <w:rPr>
          <w:lang w:eastAsia="cs-CZ"/>
        </w:rPr>
        <w:t xml:space="preserve">uzavřenu </w:t>
      </w:r>
      <w:r>
        <w:rPr>
          <w:lang w:eastAsia="cs-CZ"/>
        </w:rPr>
        <w:t xml:space="preserve">rámcovou smlouvu </w:t>
      </w:r>
      <w:r w:rsidR="00A9044D" w:rsidRPr="00317D87">
        <w:rPr>
          <w:lang w:eastAsia="cs-CZ"/>
        </w:rPr>
        <w:t>o</w:t>
      </w:r>
      <w:r w:rsidRPr="00317D87">
        <w:rPr>
          <w:lang w:eastAsia="cs-CZ"/>
        </w:rPr>
        <w:t xml:space="preserve"> poskytování odborných rolí</w:t>
      </w:r>
      <w:r>
        <w:rPr>
          <w:lang w:eastAsia="cs-CZ"/>
        </w:rPr>
        <w:t xml:space="preserve">. </w:t>
      </w:r>
      <w:r w:rsidR="00FC0E12">
        <w:rPr>
          <w:lang w:eastAsia="cs-CZ"/>
        </w:rPr>
        <w:t>Dodavatel</w:t>
      </w:r>
      <w:r w:rsidR="00EF29A6">
        <w:rPr>
          <w:lang w:eastAsia="cs-CZ"/>
        </w:rPr>
        <w:t xml:space="preserve"> se touto smlouvou zavázal poskytovat </w:t>
      </w:r>
      <w:r w:rsidR="00A9044D">
        <w:rPr>
          <w:lang w:eastAsia="cs-CZ"/>
        </w:rPr>
        <w:t>Ministerstvu spravedlnosti</w:t>
      </w:r>
      <w:r w:rsidR="00EF29A6">
        <w:rPr>
          <w:lang w:eastAsia="cs-CZ"/>
        </w:rPr>
        <w:t xml:space="preserve"> </w:t>
      </w:r>
      <w:r w:rsidR="000F5BD9">
        <w:rPr>
          <w:lang w:eastAsia="cs-CZ"/>
        </w:rPr>
        <w:t>služby konkrétních odborných rolí ICT specialistů</w:t>
      </w:r>
      <w:r w:rsidR="00BB1A23">
        <w:rPr>
          <w:lang w:eastAsia="cs-CZ"/>
        </w:rPr>
        <w:t>, a to</w:t>
      </w:r>
      <w:r w:rsidR="000F5BD9">
        <w:rPr>
          <w:lang w:eastAsia="cs-CZ"/>
        </w:rPr>
        <w:t xml:space="preserve"> zejména v</w:t>
      </w:r>
      <w:r w:rsidR="00E2460F">
        <w:rPr>
          <w:lang w:eastAsia="cs-CZ"/>
        </w:rPr>
        <w:t xml:space="preserve"> </w:t>
      </w:r>
      <w:r w:rsidR="000F5BD9">
        <w:rPr>
          <w:lang w:eastAsia="cs-CZ"/>
        </w:rPr>
        <w:t>oblastech vedení projektů, datových a</w:t>
      </w:r>
      <w:r w:rsidR="001F1703">
        <w:rPr>
          <w:lang w:eastAsia="cs-CZ"/>
        </w:rPr>
        <w:t xml:space="preserve"> </w:t>
      </w:r>
      <w:r w:rsidR="000F5BD9">
        <w:rPr>
          <w:lang w:eastAsia="cs-CZ"/>
        </w:rPr>
        <w:t>procesních analýz a</w:t>
      </w:r>
      <w:r w:rsidR="00BB1A23">
        <w:rPr>
          <w:lang w:eastAsia="cs-CZ"/>
        </w:rPr>
        <w:t xml:space="preserve"> </w:t>
      </w:r>
      <w:r w:rsidR="000F5BD9">
        <w:rPr>
          <w:lang w:eastAsia="cs-CZ"/>
        </w:rPr>
        <w:t>systémového inženýrství.</w:t>
      </w:r>
      <w:r>
        <w:rPr>
          <w:lang w:eastAsia="cs-CZ"/>
        </w:rPr>
        <w:t xml:space="preserve"> Různé činnosti související </w:t>
      </w:r>
      <w:r w:rsidR="001F1703">
        <w:rPr>
          <w:lang w:eastAsia="cs-CZ"/>
        </w:rPr>
        <w:br/>
      </w:r>
      <w:r>
        <w:rPr>
          <w:lang w:eastAsia="cs-CZ"/>
        </w:rPr>
        <w:t>s IK</w:t>
      </w:r>
      <w:r w:rsidR="00BB1A23">
        <w:rPr>
          <w:lang w:eastAsia="cs-CZ"/>
        </w:rPr>
        <w:t> 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>,</w:t>
      </w:r>
      <w:r w:rsidR="001F1703">
        <w:rPr>
          <w:lang w:eastAsia="cs-CZ"/>
        </w:rPr>
        <w:t xml:space="preserve"> </w:t>
      </w:r>
      <w:r w:rsidR="001D1A71">
        <w:rPr>
          <w:lang w:eastAsia="cs-CZ"/>
        </w:rPr>
        <w:t>a</w:t>
      </w:r>
      <w:r>
        <w:rPr>
          <w:lang w:eastAsia="cs-CZ"/>
        </w:rPr>
        <w:t>rchitektonickým modelem a</w:t>
      </w:r>
      <w:r w:rsidR="00BB1A23">
        <w:rPr>
          <w:lang w:eastAsia="cs-CZ"/>
        </w:rPr>
        <w:t xml:space="preserve"> </w:t>
      </w:r>
      <w:proofErr w:type="spellStart"/>
      <w:r>
        <w:rPr>
          <w:lang w:eastAsia="cs-CZ"/>
        </w:rPr>
        <w:t>Enterprise</w:t>
      </w:r>
      <w:proofErr w:type="spellEnd"/>
      <w:r>
        <w:rPr>
          <w:lang w:eastAsia="cs-CZ"/>
        </w:rPr>
        <w:t xml:space="preserve"> architekturou požadovalo </w:t>
      </w:r>
      <w:proofErr w:type="spellStart"/>
      <w:r w:rsidR="00BB1A23">
        <w:rPr>
          <w:lang w:eastAsia="cs-CZ"/>
        </w:rPr>
        <w:t>MSp</w:t>
      </w:r>
      <w:proofErr w:type="spellEnd"/>
      <w:r w:rsidR="00BB1A23">
        <w:rPr>
          <w:lang w:eastAsia="cs-CZ"/>
        </w:rPr>
        <w:t xml:space="preserve"> </w:t>
      </w:r>
      <w:r>
        <w:rPr>
          <w:lang w:eastAsia="cs-CZ"/>
        </w:rPr>
        <w:t xml:space="preserve">od září 2019 po dvou </w:t>
      </w:r>
      <w:r w:rsidR="001D1A71">
        <w:rPr>
          <w:lang w:eastAsia="cs-CZ"/>
        </w:rPr>
        <w:t>pracovnících</w:t>
      </w:r>
      <w:r w:rsidR="00DB55AA">
        <w:rPr>
          <w:lang w:eastAsia="cs-CZ"/>
        </w:rPr>
        <w:t xml:space="preserve"> </w:t>
      </w:r>
      <w:r w:rsidR="00FC0E12">
        <w:rPr>
          <w:lang w:eastAsia="cs-CZ"/>
        </w:rPr>
        <w:t>dodavatele</w:t>
      </w:r>
      <w:r>
        <w:rPr>
          <w:lang w:eastAsia="cs-CZ"/>
        </w:rPr>
        <w:t>. Za 29 měsíců vytvořili</w:t>
      </w:r>
      <w:r w:rsidDel="00913586">
        <w:rPr>
          <w:lang w:eastAsia="cs-CZ"/>
        </w:rPr>
        <w:t xml:space="preserve"> </w:t>
      </w:r>
      <w:r w:rsidR="00FC0E12">
        <w:rPr>
          <w:lang w:eastAsia="cs-CZ"/>
        </w:rPr>
        <w:t xml:space="preserve">tito </w:t>
      </w:r>
      <w:r w:rsidR="00913586">
        <w:rPr>
          <w:lang w:eastAsia="cs-CZ"/>
        </w:rPr>
        <w:t xml:space="preserve">externí </w:t>
      </w:r>
      <w:r w:rsidR="000F5BD9">
        <w:rPr>
          <w:lang w:eastAsia="cs-CZ"/>
        </w:rPr>
        <w:t xml:space="preserve">ICT </w:t>
      </w:r>
      <w:r w:rsidR="00607A17">
        <w:rPr>
          <w:lang w:eastAsia="cs-CZ"/>
        </w:rPr>
        <w:t>odborníci</w:t>
      </w:r>
      <w:r>
        <w:rPr>
          <w:lang w:eastAsia="cs-CZ"/>
        </w:rPr>
        <w:t xml:space="preserve"> pro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celkem 31 po</w:t>
      </w:r>
      <w:r w:rsidR="008C5F48">
        <w:rPr>
          <w:lang w:eastAsia="cs-CZ"/>
        </w:rPr>
        <w:t>d</w:t>
      </w:r>
      <w:r>
        <w:rPr>
          <w:lang w:eastAsia="cs-CZ"/>
        </w:rPr>
        <w:t xml:space="preserve">kladových dokumentů, mimo jiné </w:t>
      </w:r>
      <w:r w:rsidRPr="00317D87">
        <w:rPr>
          <w:i/>
          <w:lang w:eastAsia="cs-CZ"/>
        </w:rPr>
        <w:t xml:space="preserve">Architektonický rámec </w:t>
      </w:r>
      <w:r w:rsidR="001D1A71" w:rsidRPr="00317D87">
        <w:rPr>
          <w:i/>
          <w:lang w:eastAsia="cs-CZ"/>
        </w:rPr>
        <w:t>justice</w:t>
      </w:r>
      <w:r w:rsidR="001D1A71">
        <w:rPr>
          <w:lang w:eastAsia="cs-CZ"/>
        </w:rPr>
        <w:t xml:space="preserve"> </w:t>
      </w:r>
      <w:r>
        <w:rPr>
          <w:lang w:eastAsia="cs-CZ"/>
        </w:rPr>
        <w:t>a</w:t>
      </w:r>
      <w:r w:rsidR="00BB1A23">
        <w:rPr>
          <w:lang w:eastAsia="cs-CZ"/>
        </w:rPr>
        <w:t> </w:t>
      </w:r>
      <w:r w:rsidRPr="00317D87">
        <w:rPr>
          <w:i/>
          <w:lang w:eastAsia="cs-CZ"/>
        </w:rPr>
        <w:t>Architektonickou metodiku</w:t>
      </w:r>
      <w:r w:rsidR="001D1A71" w:rsidRPr="00317D87">
        <w:rPr>
          <w:i/>
          <w:lang w:eastAsia="cs-CZ"/>
        </w:rPr>
        <w:t xml:space="preserve"> justice</w:t>
      </w:r>
      <w:r>
        <w:rPr>
          <w:lang w:eastAsia="cs-CZ"/>
        </w:rPr>
        <w:t>, a</w:t>
      </w:r>
      <w:r w:rsidR="001F1703">
        <w:rPr>
          <w:lang w:eastAsia="cs-CZ"/>
        </w:rPr>
        <w:t xml:space="preserve"> </w:t>
      </w:r>
      <w:r>
        <w:rPr>
          <w:lang w:eastAsia="cs-CZ"/>
        </w:rPr>
        <w:t>vykázali činnosti v rozsahu 379,371</w:t>
      </w:r>
      <w:r w:rsidR="004F0E57">
        <w:rPr>
          <w:lang w:eastAsia="cs-CZ"/>
        </w:rPr>
        <w:t xml:space="preserve"> člověkodní</w:t>
      </w:r>
      <w:r>
        <w:rPr>
          <w:lang w:eastAsia="cs-CZ"/>
        </w:rPr>
        <w:t xml:space="preserve"> v sazbě 14 520</w:t>
      </w:r>
      <w:r w:rsidR="00BB1A23">
        <w:rPr>
          <w:lang w:eastAsia="cs-CZ"/>
        </w:rPr>
        <w:t> </w:t>
      </w:r>
      <w:r>
        <w:rPr>
          <w:lang w:eastAsia="cs-CZ"/>
        </w:rPr>
        <w:t>Kč</w:t>
      </w:r>
      <w:r w:rsidR="00AE6B4E">
        <w:rPr>
          <w:lang w:eastAsia="cs-CZ"/>
        </w:rPr>
        <w:t>/člověkoden</w:t>
      </w:r>
      <w:r>
        <w:rPr>
          <w:lang w:eastAsia="cs-CZ"/>
        </w:rPr>
        <w:t xml:space="preserve">. </w:t>
      </w:r>
      <w:proofErr w:type="spellStart"/>
      <w:r>
        <w:rPr>
          <w:lang w:eastAsia="cs-CZ"/>
        </w:rPr>
        <w:t>MSp</w:t>
      </w:r>
      <w:proofErr w:type="spellEnd"/>
      <w:r>
        <w:rPr>
          <w:lang w:eastAsia="cs-CZ"/>
        </w:rPr>
        <w:t xml:space="preserve"> za činnosti a po</w:t>
      </w:r>
      <w:r w:rsidR="008C5F48">
        <w:rPr>
          <w:lang w:eastAsia="cs-CZ"/>
        </w:rPr>
        <w:t>d</w:t>
      </w:r>
      <w:r>
        <w:rPr>
          <w:lang w:eastAsia="cs-CZ"/>
        </w:rPr>
        <w:t>kladové materiály</w:t>
      </w:r>
      <w:r w:rsidR="004C7872">
        <w:rPr>
          <w:lang w:eastAsia="cs-CZ"/>
        </w:rPr>
        <w:t xml:space="preserve"> </w:t>
      </w:r>
      <w:r>
        <w:rPr>
          <w:lang w:eastAsia="cs-CZ"/>
        </w:rPr>
        <w:t xml:space="preserve">vyplatilo </w:t>
      </w:r>
      <w:r w:rsidR="00FC0E12">
        <w:rPr>
          <w:lang w:eastAsia="cs-CZ"/>
        </w:rPr>
        <w:t>dodavateli</w:t>
      </w:r>
      <w:r>
        <w:rPr>
          <w:lang w:eastAsia="cs-CZ"/>
        </w:rPr>
        <w:t xml:space="preserve"> celkem 5 508 4</w:t>
      </w:r>
      <w:r w:rsidR="00784482">
        <w:rPr>
          <w:lang w:eastAsia="cs-CZ"/>
        </w:rPr>
        <w:t>67</w:t>
      </w:r>
      <w:r>
        <w:rPr>
          <w:lang w:eastAsia="cs-CZ"/>
        </w:rPr>
        <w:t xml:space="preserve"> Kč.</w:t>
      </w:r>
      <w:r w:rsidR="004C7872">
        <w:rPr>
          <w:lang w:eastAsia="cs-CZ"/>
        </w:rPr>
        <w:t xml:space="preserve"> Vzhledem</w:t>
      </w:r>
      <w:r w:rsidR="00A35E8A">
        <w:rPr>
          <w:lang w:eastAsia="cs-CZ"/>
        </w:rPr>
        <w:t xml:space="preserve"> k výše uvedené </w:t>
      </w:r>
      <w:r w:rsidR="0037692E">
        <w:rPr>
          <w:lang w:eastAsia="cs-CZ"/>
        </w:rPr>
        <w:t>zákonné povinnosti</w:t>
      </w:r>
      <w:r w:rsidR="00A35E8A">
        <w:rPr>
          <w:lang w:eastAsia="cs-CZ"/>
        </w:rPr>
        <w:t xml:space="preserve"> </w:t>
      </w:r>
      <w:proofErr w:type="spellStart"/>
      <w:r w:rsidR="00A35E8A">
        <w:rPr>
          <w:lang w:eastAsia="cs-CZ"/>
        </w:rPr>
        <w:t>MSp</w:t>
      </w:r>
      <w:proofErr w:type="spellEnd"/>
      <w:r w:rsidR="00A35E8A">
        <w:rPr>
          <w:lang w:eastAsia="cs-CZ"/>
        </w:rPr>
        <w:t xml:space="preserve"> a s ohledem na </w:t>
      </w:r>
      <w:r w:rsidR="004C7872">
        <w:rPr>
          <w:lang w:eastAsia="cs-CZ"/>
        </w:rPr>
        <w:t>skutečnost, že provedené činnosti a</w:t>
      </w:r>
      <w:r w:rsidR="001F1703">
        <w:rPr>
          <w:lang w:eastAsia="cs-CZ"/>
        </w:rPr>
        <w:t xml:space="preserve"> </w:t>
      </w:r>
      <w:r w:rsidR="004C7872">
        <w:rPr>
          <w:lang w:eastAsia="cs-CZ"/>
        </w:rPr>
        <w:t>podkladové materiály nevedly za 29</w:t>
      </w:r>
      <w:r w:rsidR="00E2460F">
        <w:rPr>
          <w:lang w:eastAsia="cs-CZ"/>
        </w:rPr>
        <w:t xml:space="preserve"> </w:t>
      </w:r>
      <w:r w:rsidR="004C7872">
        <w:rPr>
          <w:lang w:eastAsia="cs-CZ"/>
        </w:rPr>
        <w:t>měsíců</w:t>
      </w:r>
      <w:r w:rsidR="00A35E8A">
        <w:rPr>
          <w:lang w:eastAsia="cs-CZ"/>
        </w:rPr>
        <w:t xml:space="preserve"> </w:t>
      </w:r>
      <w:r w:rsidR="0037692E">
        <w:rPr>
          <w:lang w:eastAsia="cs-CZ"/>
        </w:rPr>
        <w:t xml:space="preserve">trvání spolupráce s dodavatelem </w:t>
      </w:r>
      <w:r w:rsidR="004C7872">
        <w:rPr>
          <w:lang w:eastAsia="cs-CZ"/>
        </w:rPr>
        <w:t>ke zpracování a schválení IK</w:t>
      </w:r>
      <w:r w:rsidR="00D74B81">
        <w:rPr>
          <w:lang w:eastAsia="cs-CZ"/>
        </w:rPr>
        <w:t> </w:t>
      </w:r>
      <w:proofErr w:type="spellStart"/>
      <w:r w:rsidR="004C7872">
        <w:rPr>
          <w:lang w:eastAsia="cs-CZ"/>
        </w:rPr>
        <w:t>MSp</w:t>
      </w:r>
      <w:proofErr w:type="spellEnd"/>
      <w:r w:rsidR="004C7872">
        <w:rPr>
          <w:lang w:eastAsia="cs-CZ"/>
        </w:rPr>
        <w:t xml:space="preserve"> a </w:t>
      </w:r>
      <w:proofErr w:type="spellStart"/>
      <w:r w:rsidR="004C7872">
        <w:rPr>
          <w:lang w:eastAsia="cs-CZ"/>
        </w:rPr>
        <w:t>Enterprise</w:t>
      </w:r>
      <w:proofErr w:type="spellEnd"/>
      <w:r w:rsidR="004C7872">
        <w:rPr>
          <w:lang w:eastAsia="cs-CZ"/>
        </w:rPr>
        <w:t xml:space="preserve"> architektury, NKÚ vyhodnotil, že </w:t>
      </w:r>
      <w:proofErr w:type="spellStart"/>
      <w:r w:rsidR="004C7872">
        <w:rPr>
          <w:lang w:eastAsia="cs-CZ"/>
        </w:rPr>
        <w:t>MSp</w:t>
      </w:r>
      <w:proofErr w:type="spellEnd"/>
      <w:r w:rsidR="004C7872">
        <w:rPr>
          <w:lang w:eastAsia="cs-CZ"/>
        </w:rPr>
        <w:t xml:space="preserve"> peněžní prostředky až do výše 5 508 467 Kč vynaložilo neefektivně.</w:t>
      </w:r>
    </w:p>
    <w:p w14:paraId="194D7CFF" w14:textId="64761485" w:rsidR="00102E58" w:rsidRDefault="00102E58" w:rsidP="00102E58">
      <w:pPr>
        <w:rPr>
          <w:lang w:eastAsia="cs-CZ"/>
        </w:rPr>
      </w:pPr>
      <w:r w:rsidRPr="00102E58">
        <w:rPr>
          <w:lang w:eastAsia="cs-CZ"/>
        </w:rPr>
        <w:t xml:space="preserve">Jednotlivé projektové role poptávalo </w:t>
      </w:r>
      <w:proofErr w:type="spellStart"/>
      <w:r w:rsidRPr="00102E58">
        <w:rPr>
          <w:lang w:eastAsia="cs-CZ"/>
        </w:rPr>
        <w:t>MSp</w:t>
      </w:r>
      <w:proofErr w:type="spellEnd"/>
      <w:r w:rsidRPr="00102E58">
        <w:rPr>
          <w:lang w:eastAsia="cs-CZ"/>
        </w:rPr>
        <w:t xml:space="preserve"> na základě písemných objednávek v</w:t>
      </w:r>
      <w:r w:rsidR="00966E9E">
        <w:rPr>
          <w:lang w:eastAsia="cs-CZ"/>
        </w:rPr>
        <w:t xml:space="preserve"> </w:t>
      </w:r>
      <w:r w:rsidRPr="00102E58">
        <w:rPr>
          <w:lang w:eastAsia="cs-CZ"/>
        </w:rPr>
        <w:t xml:space="preserve">půlročních intervalech. </w:t>
      </w:r>
      <w:r w:rsidR="008C5F48">
        <w:rPr>
          <w:lang w:eastAsia="cs-CZ"/>
        </w:rPr>
        <w:t>Provedené</w:t>
      </w:r>
      <w:r w:rsidR="008C5F48" w:rsidRPr="00102E58">
        <w:rPr>
          <w:lang w:eastAsia="cs-CZ"/>
        </w:rPr>
        <w:t xml:space="preserve"> </w:t>
      </w:r>
      <w:r w:rsidRPr="00102E58">
        <w:rPr>
          <w:lang w:eastAsia="cs-CZ"/>
        </w:rPr>
        <w:t xml:space="preserve">činnosti byly vykazovány každou rolí v měsíčních výkazech práce, které odsouhlasovali zástupci obou smluvních stran. Jednotlivé úkoly byly </w:t>
      </w:r>
      <w:r w:rsidR="00FC0E12">
        <w:rPr>
          <w:lang w:eastAsia="cs-CZ"/>
        </w:rPr>
        <w:t xml:space="preserve">externím </w:t>
      </w:r>
      <w:r w:rsidRPr="00102E58">
        <w:rPr>
          <w:lang w:eastAsia="cs-CZ"/>
        </w:rPr>
        <w:t xml:space="preserve">pracovníkům zadávány většinou oddělením rozvoje služeb a architektury </w:t>
      </w:r>
      <w:proofErr w:type="spellStart"/>
      <w:r w:rsidRPr="00102E58">
        <w:rPr>
          <w:lang w:eastAsia="cs-CZ"/>
        </w:rPr>
        <w:t>MSp</w:t>
      </w:r>
      <w:proofErr w:type="spellEnd"/>
      <w:r w:rsidRPr="00102E58">
        <w:rPr>
          <w:lang w:eastAsia="cs-CZ"/>
        </w:rPr>
        <w:t>. Toto oddělení mělo plně v gesci tvorbu informační koncepce a po</w:t>
      </w:r>
      <w:r w:rsidR="008C5F48">
        <w:rPr>
          <w:lang w:eastAsia="cs-CZ"/>
        </w:rPr>
        <w:t>d</w:t>
      </w:r>
      <w:r w:rsidRPr="00102E58">
        <w:rPr>
          <w:lang w:eastAsia="cs-CZ"/>
        </w:rPr>
        <w:t>kladů k </w:t>
      </w:r>
      <w:proofErr w:type="spellStart"/>
      <w:r w:rsidRPr="00102E58">
        <w:rPr>
          <w:lang w:eastAsia="cs-CZ"/>
        </w:rPr>
        <w:t>Enterprise</w:t>
      </w:r>
      <w:proofErr w:type="spellEnd"/>
      <w:r w:rsidRPr="00102E58">
        <w:rPr>
          <w:lang w:eastAsia="cs-CZ"/>
        </w:rPr>
        <w:t xml:space="preserve"> architektuře. Na všech služebních místech byl hlavním oborem služby </w:t>
      </w:r>
      <w:r w:rsidR="003F6380" w:rsidRPr="003F6380">
        <w:rPr>
          <w:i/>
          <w:lang w:eastAsia="cs-CZ"/>
        </w:rPr>
        <w:t>IKT</w:t>
      </w:r>
      <w:r w:rsidR="003F6380" w:rsidRPr="00102E58">
        <w:rPr>
          <w:lang w:eastAsia="cs-CZ"/>
        </w:rPr>
        <w:t xml:space="preserve"> </w:t>
      </w:r>
      <w:r w:rsidR="003F6380">
        <w:rPr>
          <w:lang w:eastAsia="cs-CZ"/>
        </w:rPr>
        <w:t>(</w:t>
      </w:r>
      <w:r w:rsidRPr="00102E58">
        <w:rPr>
          <w:lang w:eastAsia="cs-CZ"/>
        </w:rPr>
        <w:t>obor 28</w:t>
      </w:r>
      <w:r w:rsidR="003F6380">
        <w:rPr>
          <w:lang w:eastAsia="cs-CZ"/>
        </w:rPr>
        <w:t>)</w:t>
      </w:r>
      <w:r w:rsidRPr="00102E58">
        <w:rPr>
          <w:lang w:eastAsia="cs-CZ"/>
        </w:rPr>
        <w:t xml:space="preserve">. Zejména dva pracovníci měli mimo jiné zpracovávat analytické dokumentace jednodušších IS, aplikací nebo dílčích aplikačních celků a logické a strukturální diagramy aplikací. Dále se měli podílet na definování požadavků na vývoj IS, na návrhu a tvorbě aplikační architektury, IT architektury justice, IT koncepce a strategie justice. Měli tedy vykonávat činnosti, které byly požadovány po </w:t>
      </w:r>
      <w:r w:rsidR="00FC0E12">
        <w:rPr>
          <w:lang w:eastAsia="cs-CZ"/>
        </w:rPr>
        <w:t xml:space="preserve">externích </w:t>
      </w:r>
      <w:r w:rsidRPr="00102E58">
        <w:rPr>
          <w:lang w:eastAsia="cs-CZ"/>
        </w:rPr>
        <w:t>pracovnících.</w:t>
      </w:r>
    </w:p>
    <w:p w14:paraId="4CC0FA02" w14:textId="2BAB4BE8" w:rsidR="00102E58" w:rsidRPr="00DE7F30" w:rsidRDefault="00102E58" w:rsidP="00102E58">
      <w:proofErr w:type="spellStart"/>
      <w:r w:rsidRPr="00DE7F30">
        <w:rPr>
          <w:bCs/>
        </w:rPr>
        <w:t>MSp</w:t>
      </w:r>
      <w:proofErr w:type="spellEnd"/>
      <w:r w:rsidRPr="00DE7F30">
        <w:rPr>
          <w:bCs/>
        </w:rPr>
        <w:t xml:space="preserve"> využívalo pro řízení provozu a rozvoje ICT běžn</w:t>
      </w:r>
      <w:r w:rsidR="00BB1A23">
        <w:rPr>
          <w:bCs/>
        </w:rPr>
        <w:t>é</w:t>
      </w:r>
      <w:r w:rsidRPr="00DE7F30">
        <w:rPr>
          <w:bCs/>
        </w:rPr>
        <w:t xml:space="preserve"> nástroj</w:t>
      </w:r>
      <w:r w:rsidR="00BB1A23">
        <w:rPr>
          <w:bCs/>
        </w:rPr>
        <w:t>e</w:t>
      </w:r>
      <w:r w:rsidRPr="00DE7F30">
        <w:rPr>
          <w:bCs/>
        </w:rPr>
        <w:t xml:space="preserve"> a projektov</w:t>
      </w:r>
      <w:r w:rsidR="00BB1A23">
        <w:rPr>
          <w:bCs/>
        </w:rPr>
        <w:t>é</w:t>
      </w:r>
      <w:r w:rsidRPr="00DE7F30">
        <w:rPr>
          <w:bCs/>
        </w:rPr>
        <w:t xml:space="preserve"> standard</w:t>
      </w:r>
      <w:r w:rsidR="00BB1A23">
        <w:rPr>
          <w:bCs/>
        </w:rPr>
        <w:t>y</w:t>
      </w:r>
      <w:r w:rsidRPr="00DE7F30">
        <w:rPr>
          <w:bCs/>
        </w:rPr>
        <w:t>.</w:t>
      </w:r>
      <w:r>
        <w:rPr>
          <w:bCs/>
        </w:rPr>
        <w:t xml:space="preserve"> </w:t>
      </w:r>
      <w:r w:rsidRPr="00DE7F30">
        <w:t xml:space="preserve">K řízení provozu a rozvoje ICT </w:t>
      </w:r>
      <w:r w:rsidR="00BB1A23">
        <w:t>vy</w:t>
      </w:r>
      <w:r w:rsidRPr="00DE7F30">
        <w:t>pracovalo metodiku řízení projektu určenou především pro řízení projektů financovaných z</w:t>
      </w:r>
      <w:r w:rsidR="00BB3DE2">
        <w:t> fondů EU</w:t>
      </w:r>
      <w:r w:rsidRPr="00DE7F30">
        <w:t xml:space="preserve">. Její přílohou byl </w:t>
      </w:r>
      <w:r w:rsidRPr="00BB3DE2">
        <w:rPr>
          <w:i/>
        </w:rPr>
        <w:t>Metodický manuál projektového řízení</w:t>
      </w:r>
      <w:r w:rsidRPr="00DE7F30">
        <w:t xml:space="preserve">. Jako </w:t>
      </w:r>
      <w:r w:rsidR="00107F02">
        <w:t>hlavní</w:t>
      </w:r>
      <w:r w:rsidR="00107F02" w:rsidRPr="00DE7F30">
        <w:t xml:space="preserve"> </w:t>
      </w:r>
      <w:r w:rsidRPr="00DE7F30">
        <w:t xml:space="preserve">orgán pro řízení projektů </w:t>
      </w:r>
      <w:r w:rsidR="007E11F3">
        <w:t xml:space="preserve">zřídilo </w:t>
      </w:r>
      <w:proofErr w:type="spellStart"/>
      <w:r w:rsidR="007E11F3">
        <w:t>MSp</w:t>
      </w:r>
      <w:proofErr w:type="spellEnd"/>
      <w:r w:rsidRPr="00DE7F30">
        <w:t xml:space="preserve"> </w:t>
      </w:r>
      <w:r w:rsidR="00BB1A23">
        <w:t>„</w:t>
      </w:r>
      <w:r w:rsidR="00BB1A23" w:rsidRPr="00317D87">
        <w:t>ř</w:t>
      </w:r>
      <w:r w:rsidRPr="00317D87">
        <w:t>ídicí výbor pro projektové řízení</w:t>
      </w:r>
      <w:r w:rsidR="00BB1A23">
        <w:t>“</w:t>
      </w:r>
      <w:r w:rsidRPr="00BB1A23">
        <w:t>,</w:t>
      </w:r>
      <w:r w:rsidRPr="00DE7F30">
        <w:t xml:space="preserve"> jehož činnost zajišťoval odbor evropských dotací. Faktické řídicí a koordinační činnosti vykonávaly pracovní skupiny, zřizované pro jednotlivé IS, a realizační týmy, zřizované pro jednotlivé projekty. V roce 2019 </w:t>
      </w:r>
      <w:proofErr w:type="spellStart"/>
      <w:r w:rsidRPr="00DE7F30">
        <w:t>MSp</w:t>
      </w:r>
      <w:proofErr w:type="spellEnd"/>
      <w:r w:rsidRPr="00DE7F30">
        <w:t xml:space="preserve"> </w:t>
      </w:r>
      <w:r w:rsidR="00BB1A23">
        <w:t>vytvořilo</w:t>
      </w:r>
      <w:r w:rsidRPr="00DE7F30">
        <w:t xml:space="preserve"> nový odbor určený pro řízení </w:t>
      </w:r>
      <w:proofErr w:type="spellStart"/>
      <w:r w:rsidRPr="00DE7F30">
        <w:t>eJustice</w:t>
      </w:r>
      <w:proofErr w:type="spellEnd"/>
      <w:r w:rsidRPr="00DE7F30">
        <w:t xml:space="preserve">. Takto nastavené řízení provozu a rozvoje ICT však nemohlo plně nahradit úlohu IK </w:t>
      </w:r>
      <w:proofErr w:type="spellStart"/>
      <w:r w:rsidRPr="00DE7F30">
        <w:t>MSp</w:t>
      </w:r>
      <w:proofErr w:type="spellEnd"/>
      <w:r w:rsidRPr="00DE7F30">
        <w:t>.</w:t>
      </w:r>
    </w:p>
    <w:p w14:paraId="2244017C" w14:textId="3DF6F26A" w:rsidR="00DE7F30" w:rsidRPr="00DE7F30" w:rsidRDefault="00102E58" w:rsidP="00DE7F30">
      <w:pPr>
        <w:rPr>
          <w:lang w:eastAsia="cs-CZ"/>
        </w:rPr>
      </w:pPr>
      <w:r w:rsidRPr="00DE7F30">
        <w:rPr>
          <w:bCs/>
        </w:rPr>
        <w:t xml:space="preserve">Ačkoli </w:t>
      </w:r>
      <w:proofErr w:type="spellStart"/>
      <w:r w:rsidRPr="00DE7F30">
        <w:rPr>
          <w:bCs/>
        </w:rPr>
        <w:t>MSp</w:t>
      </w:r>
      <w:proofErr w:type="spellEnd"/>
      <w:r w:rsidRPr="00DE7F30">
        <w:rPr>
          <w:bCs/>
        </w:rPr>
        <w:t xml:space="preserve"> zřídilo nový odbor pro koordinaci projektů v oblasti </w:t>
      </w:r>
      <w:proofErr w:type="spellStart"/>
      <w:r w:rsidRPr="00DE7F30">
        <w:rPr>
          <w:bCs/>
        </w:rPr>
        <w:t>eJustice</w:t>
      </w:r>
      <w:proofErr w:type="spellEnd"/>
      <w:r w:rsidRPr="00DE7F30">
        <w:rPr>
          <w:bCs/>
        </w:rPr>
        <w:t xml:space="preserve"> a vytváření věcných analýz, koncepcí a návrhů funkčních požadavků na IS, tedy pro činnosti vyžadující specifické znalosti </w:t>
      </w:r>
      <w:r w:rsidR="00544906">
        <w:rPr>
          <w:bCs/>
        </w:rPr>
        <w:t>z</w:t>
      </w:r>
      <w:r w:rsidR="001F1703">
        <w:rPr>
          <w:bCs/>
        </w:rPr>
        <w:t xml:space="preserve"> </w:t>
      </w:r>
      <w:r w:rsidRPr="00DE7F30">
        <w:rPr>
          <w:bCs/>
        </w:rPr>
        <w:t>oblasti ICT, obsadilo všechna služební místa právníky s</w:t>
      </w:r>
      <w:r w:rsidR="001F1703">
        <w:rPr>
          <w:bCs/>
        </w:rPr>
        <w:t xml:space="preserve"> </w:t>
      </w:r>
      <w:r w:rsidRPr="00DE7F30">
        <w:rPr>
          <w:bCs/>
        </w:rPr>
        <w:t xml:space="preserve">hlavním oborem služby </w:t>
      </w:r>
      <w:r w:rsidR="006112CC" w:rsidRPr="006112CC">
        <w:rPr>
          <w:bCs/>
          <w:i/>
        </w:rPr>
        <w:t>L</w:t>
      </w:r>
      <w:r w:rsidRPr="00DE7F30">
        <w:rPr>
          <w:bCs/>
          <w:i/>
        </w:rPr>
        <w:t>egislativa a právní činnosti</w:t>
      </w:r>
      <w:r w:rsidRPr="00544906">
        <w:rPr>
          <w:bCs/>
        </w:rPr>
        <w:t xml:space="preserve"> </w:t>
      </w:r>
      <w:r w:rsidRPr="00DE7F30">
        <w:rPr>
          <w:bCs/>
        </w:rPr>
        <w:t xml:space="preserve">(obor 22). </w:t>
      </w:r>
      <w:r w:rsidR="00E05EC0">
        <w:rPr>
          <w:bCs/>
        </w:rPr>
        <w:t xml:space="preserve">I proto se </w:t>
      </w:r>
      <w:proofErr w:type="spellStart"/>
      <w:r w:rsidRPr="00DE7F30">
        <w:rPr>
          <w:bCs/>
        </w:rPr>
        <w:t>MSp</w:t>
      </w:r>
      <w:proofErr w:type="spellEnd"/>
      <w:r w:rsidRPr="00DE7F30">
        <w:rPr>
          <w:bCs/>
        </w:rPr>
        <w:t xml:space="preserve"> dlouhodobě nedařilo v oblasti </w:t>
      </w:r>
      <w:proofErr w:type="spellStart"/>
      <w:r w:rsidRPr="00DE7F30">
        <w:rPr>
          <w:bCs/>
        </w:rPr>
        <w:t>eJustice</w:t>
      </w:r>
      <w:proofErr w:type="spellEnd"/>
      <w:r w:rsidRPr="00DE7F30">
        <w:rPr>
          <w:bCs/>
        </w:rPr>
        <w:t xml:space="preserve"> úspěšně realizovat potřebné projekty</w:t>
      </w:r>
      <w:r w:rsidR="00BB3DE2">
        <w:rPr>
          <w:bCs/>
        </w:rPr>
        <w:t xml:space="preserve"> a</w:t>
      </w:r>
      <w:r w:rsidR="00544906">
        <w:rPr>
          <w:bCs/>
        </w:rPr>
        <w:t>ni</w:t>
      </w:r>
      <w:r w:rsidRPr="00DE7F30">
        <w:rPr>
          <w:bCs/>
        </w:rPr>
        <w:t xml:space="preserve"> zadat </w:t>
      </w:r>
      <w:r w:rsidR="00BB3DE2">
        <w:rPr>
          <w:bCs/>
        </w:rPr>
        <w:t>VZ</w:t>
      </w:r>
      <w:r>
        <w:rPr>
          <w:bCs/>
        </w:rPr>
        <w:t>.</w:t>
      </w:r>
    </w:p>
    <w:p w14:paraId="25F9B4F6" w14:textId="4EFF76DD" w:rsidR="008C5F48" w:rsidRDefault="00325F61" w:rsidP="00325F61">
      <w:r>
        <w:t xml:space="preserve">Se zabezpečením ICT potřeb souvisejí zejména rozpočtové položky </w:t>
      </w:r>
      <w:r w:rsidR="00544906" w:rsidRPr="00257615">
        <w:t>běžn</w:t>
      </w:r>
      <w:r w:rsidR="00544906">
        <w:t>ých</w:t>
      </w:r>
      <w:r w:rsidR="00544906" w:rsidRPr="00257615">
        <w:t xml:space="preserve"> výdaj</w:t>
      </w:r>
      <w:r w:rsidR="00544906">
        <w:t xml:space="preserve">ů </w:t>
      </w:r>
      <w:r w:rsidR="00544906">
        <w:br/>
      </w:r>
      <w:r>
        <w:t xml:space="preserve">5172 </w:t>
      </w:r>
      <w:r w:rsidR="00544906">
        <w:t xml:space="preserve">– </w:t>
      </w:r>
      <w:r>
        <w:rPr>
          <w:i/>
        </w:rPr>
        <w:t>Programové vybavení</w:t>
      </w:r>
      <w:r w:rsidR="00257615">
        <w:rPr>
          <w:i/>
        </w:rPr>
        <w:t xml:space="preserve">, </w:t>
      </w:r>
      <w:r w:rsidR="00257615">
        <w:t xml:space="preserve">5042 </w:t>
      </w:r>
      <w:r w:rsidR="00544906">
        <w:t xml:space="preserve">– </w:t>
      </w:r>
      <w:r w:rsidR="00257615">
        <w:rPr>
          <w:i/>
        </w:rPr>
        <w:t>Odměny za užití počítačových programů</w:t>
      </w:r>
      <w:r w:rsidR="00257615">
        <w:t>, 5162</w:t>
      </w:r>
      <w:r w:rsidR="00544906">
        <w:t xml:space="preserve"> –</w:t>
      </w:r>
      <w:r w:rsidR="00257615">
        <w:t xml:space="preserve"> </w:t>
      </w:r>
      <w:r w:rsidR="00257615">
        <w:rPr>
          <w:i/>
        </w:rPr>
        <w:t>Služby elektronických komunikací</w:t>
      </w:r>
      <w:r w:rsidR="00257615">
        <w:t xml:space="preserve">, 5168 </w:t>
      </w:r>
      <w:r w:rsidR="00544906">
        <w:t xml:space="preserve">– </w:t>
      </w:r>
      <w:r w:rsidR="00257615">
        <w:rPr>
          <w:i/>
        </w:rPr>
        <w:t xml:space="preserve">Služby zpracování dat </w:t>
      </w:r>
      <w:r w:rsidR="00257615" w:rsidRPr="00887F00">
        <w:t xml:space="preserve">a rozpočtové </w:t>
      </w:r>
      <w:bookmarkStart w:id="5" w:name="_Hlk117605872"/>
      <w:r w:rsidR="00257615" w:rsidRPr="00887F00">
        <w:t>položky</w:t>
      </w:r>
      <w:r w:rsidR="00257615">
        <w:rPr>
          <w:i/>
        </w:rPr>
        <w:t xml:space="preserve"> </w:t>
      </w:r>
      <w:r w:rsidR="00544906" w:rsidRPr="00257615">
        <w:t>kapitálov</w:t>
      </w:r>
      <w:r w:rsidR="00544906">
        <w:t>ých</w:t>
      </w:r>
      <w:r w:rsidR="00544906" w:rsidRPr="00257615">
        <w:t xml:space="preserve"> výdaj</w:t>
      </w:r>
      <w:r w:rsidR="00544906">
        <w:t xml:space="preserve">ů </w:t>
      </w:r>
      <w:r>
        <w:t xml:space="preserve">6111 </w:t>
      </w:r>
      <w:r w:rsidR="00544906">
        <w:t xml:space="preserve">– </w:t>
      </w:r>
      <w:r>
        <w:rPr>
          <w:i/>
        </w:rPr>
        <w:t>Programové vybavení</w:t>
      </w:r>
      <w:r>
        <w:t xml:space="preserve"> a 6125 </w:t>
      </w:r>
      <w:r w:rsidR="00544906">
        <w:t xml:space="preserve">– </w:t>
      </w:r>
      <w:r>
        <w:rPr>
          <w:i/>
        </w:rPr>
        <w:t>Výpočetní technika</w:t>
      </w:r>
      <w:bookmarkEnd w:id="5"/>
      <w:r>
        <w:t xml:space="preserve">. </w:t>
      </w:r>
      <w:r w:rsidR="008C5F48">
        <w:t>Výše vykázaných rozpočtovaných a skutečně vynaložených výdajů</w:t>
      </w:r>
      <w:r w:rsidR="000B1DA3">
        <w:t xml:space="preserve"> na těchto položkách v</w:t>
      </w:r>
      <w:r w:rsidR="00966E9E">
        <w:t xml:space="preserve"> </w:t>
      </w:r>
      <w:r w:rsidR="000B1DA3">
        <w:t>kapitole 336</w:t>
      </w:r>
      <w:r w:rsidR="008C5F48">
        <w:t xml:space="preserve"> dle </w:t>
      </w:r>
      <w:r w:rsidR="008C5F48" w:rsidRPr="00317D87">
        <w:rPr>
          <w:i/>
        </w:rPr>
        <w:lastRenderedPageBreak/>
        <w:t>Integrovaného informační</w:t>
      </w:r>
      <w:r w:rsidR="00544906" w:rsidRPr="00317D87">
        <w:rPr>
          <w:i/>
        </w:rPr>
        <w:t>ho</w:t>
      </w:r>
      <w:r w:rsidR="008C5F48" w:rsidRPr="00317D87">
        <w:rPr>
          <w:i/>
        </w:rPr>
        <w:t xml:space="preserve"> systému Státní pokladn</w:t>
      </w:r>
      <w:r w:rsidR="00544906" w:rsidRPr="00317D87">
        <w:rPr>
          <w:i/>
        </w:rPr>
        <w:t>y</w:t>
      </w:r>
      <w:r w:rsidR="008C5F48" w:rsidRPr="00317D87">
        <w:rPr>
          <w:i/>
        </w:rPr>
        <w:t xml:space="preserve"> </w:t>
      </w:r>
      <w:r w:rsidR="008C5F48">
        <w:t>(dále také „IISSP“) j</w:t>
      </w:r>
      <w:r w:rsidR="00544906">
        <w:t>sou</w:t>
      </w:r>
      <w:r w:rsidR="008C5F48">
        <w:t xml:space="preserve"> uveden</w:t>
      </w:r>
      <w:r w:rsidR="00544906">
        <w:t>y</w:t>
      </w:r>
      <w:r w:rsidR="008C5F48">
        <w:t xml:space="preserve"> v tabulkách </w:t>
      </w:r>
      <w:r w:rsidR="00544906">
        <w:t xml:space="preserve">č. </w:t>
      </w:r>
      <w:r w:rsidR="000B1DA3">
        <w:t>2</w:t>
      </w:r>
      <w:r w:rsidR="008C5F48">
        <w:t xml:space="preserve"> a </w:t>
      </w:r>
      <w:r w:rsidR="000B1DA3">
        <w:t>3</w:t>
      </w:r>
      <w:r w:rsidR="008C5F48">
        <w:t>.</w:t>
      </w:r>
    </w:p>
    <w:p w14:paraId="779FFCB5" w14:textId="013269CE" w:rsidR="000B1DA3" w:rsidRPr="00257615" w:rsidRDefault="000B1DA3" w:rsidP="00317D87">
      <w:pPr>
        <w:pStyle w:val="Titulek"/>
        <w:keepNext/>
        <w:spacing w:after="0"/>
        <w:ind w:left="1304" w:hanging="1304"/>
        <w:rPr>
          <w:b/>
          <w:i w:val="0"/>
          <w:color w:val="000000" w:themeColor="text1"/>
          <w:sz w:val="24"/>
          <w:szCs w:val="24"/>
        </w:rPr>
      </w:pPr>
      <w:r w:rsidRPr="00257615">
        <w:rPr>
          <w:b/>
          <w:i w:val="0"/>
          <w:color w:val="000000" w:themeColor="text1"/>
          <w:sz w:val="24"/>
          <w:szCs w:val="24"/>
        </w:rPr>
        <w:t>Tabulka</w:t>
      </w:r>
      <w:r w:rsidR="00A27B72">
        <w:rPr>
          <w:b/>
          <w:i w:val="0"/>
          <w:color w:val="000000" w:themeColor="text1"/>
          <w:sz w:val="24"/>
          <w:szCs w:val="24"/>
        </w:rPr>
        <w:t xml:space="preserve"> č.</w:t>
      </w:r>
      <w:r w:rsidRPr="00257615">
        <w:rPr>
          <w:b/>
          <w:i w:val="0"/>
          <w:color w:val="000000" w:themeColor="text1"/>
          <w:sz w:val="24"/>
          <w:szCs w:val="24"/>
        </w:rPr>
        <w:t xml:space="preserve"> </w:t>
      </w:r>
      <w:r w:rsidRPr="00257615">
        <w:rPr>
          <w:b/>
          <w:i w:val="0"/>
          <w:color w:val="000000" w:themeColor="text1"/>
          <w:sz w:val="24"/>
          <w:szCs w:val="24"/>
        </w:rPr>
        <w:fldChar w:fldCharType="begin"/>
      </w:r>
      <w:r w:rsidRPr="00257615">
        <w:rPr>
          <w:b/>
          <w:i w:val="0"/>
          <w:color w:val="000000" w:themeColor="text1"/>
          <w:sz w:val="24"/>
          <w:szCs w:val="24"/>
        </w:rPr>
        <w:instrText xml:space="preserve"> SEQ Tabulka \* ARABIC </w:instrText>
      </w:r>
      <w:r w:rsidRPr="00257615">
        <w:rPr>
          <w:b/>
          <w:i w:val="0"/>
          <w:color w:val="000000" w:themeColor="text1"/>
          <w:sz w:val="24"/>
          <w:szCs w:val="24"/>
        </w:rPr>
        <w:fldChar w:fldCharType="separate"/>
      </w:r>
      <w:r w:rsidR="00540BE5">
        <w:rPr>
          <w:b/>
          <w:i w:val="0"/>
          <w:noProof/>
          <w:color w:val="000000" w:themeColor="text1"/>
          <w:sz w:val="24"/>
          <w:szCs w:val="24"/>
        </w:rPr>
        <w:t>2</w:t>
      </w:r>
      <w:r w:rsidRPr="00257615">
        <w:rPr>
          <w:b/>
          <w:i w:val="0"/>
          <w:color w:val="000000" w:themeColor="text1"/>
          <w:sz w:val="24"/>
          <w:szCs w:val="24"/>
        </w:rPr>
        <w:fldChar w:fldCharType="end"/>
      </w:r>
      <w:r w:rsidRPr="00257615">
        <w:rPr>
          <w:b/>
          <w:i w:val="0"/>
          <w:color w:val="000000" w:themeColor="text1"/>
          <w:sz w:val="24"/>
          <w:szCs w:val="24"/>
        </w:rPr>
        <w:t xml:space="preserve">: </w:t>
      </w:r>
      <w:r w:rsidR="00DD0B5D">
        <w:rPr>
          <w:b/>
          <w:i w:val="0"/>
          <w:color w:val="000000" w:themeColor="text1"/>
          <w:sz w:val="24"/>
          <w:szCs w:val="24"/>
        </w:rPr>
        <w:tab/>
      </w:r>
      <w:r w:rsidRPr="00257615">
        <w:rPr>
          <w:b/>
          <w:i w:val="0"/>
          <w:color w:val="000000" w:themeColor="text1"/>
          <w:sz w:val="24"/>
          <w:szCs w:val="24"/>
        </w:rPr>
        <w:t>Výše vykázaných rozpočtovaných výdajů na vybraných položkách v kapitole 336 v období 2016–202</w:t>
      </w:r>
      <w:r w:rsidR="00544906">
        <w:rPr>
          <w:b/>
          <w:i w:val="0"/>
          <w:color w:val="000000" w:themeColor="text1"/>
          <w:sz w:val="24"/>
          <w:szCs w:val="24"/>
        </w:rPr>
        <w:t>1</w:t>
      </w:r>
    </w:p>
    <w:tbl>
      <w:tblPr>
        <w:tblStyle w:val="Mkatabulky"/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71"/>
        <w:gridCol w:w="1361"/>
        <w:gridCol w:w="1363"/>
        <w:gridCol w:w="1363"/>
        <w:gridCol w:w="1363"/>
        <w:gridCol w:w="1418"/>
        <w:gridCol w:w="1363"/>
      </w:tblGrid>
      <w:tr w:rsidR="00DD0B5D" w:rsidRPr="00467C94" w14:paraId="6BED88FA" w14:textId="77777777" w:rsidTr="00317D87">
        <w:tc>
          <w:tcPr>
            <w:tcW w:w="478" w:type="pct"/>
            <w:vMerge w:val="restart"/>
            <w:shd w:val="clear" w:color="auto" w:fill="E5F1FF"/>
            <w:vAlign w:val="center"/>
          </w:tcPr>
          <w:p w14:paraId="4FAEA690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Položka</w:t>
            </w:r>
          </w:p>
        </w:tc>
        <w:tc>
          <w:tcPr>
            <w:tcW w:w="4522" w:type="pct"/>
            <w:gridSpan w:val="6"/>
            <w:shd w:val="clear" w:color="auto" w:fill="E5F1FF"/>
            <w:vAlign w:val="center"/>
          </w:tcPr>
          <w:p w14:paraId="7A38B10F" w14:textId="77777777" w:rsidR="008C5F48" w:rsidRPr="00467C94" w:rsidRDefault="000B1DA3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Rozpočtované výda</w:t>
            </w:r>
            <w:r w:rsidR="00145D43">
              <w:rPr>
                <w:rFonts w:cstheme="minorHAnsi"/>
                <w:b/>
                <w:sz w:val="20"/>
                <w:szCs w:val="20"/>
              </w:rPr>
              <w:t>je</w:t>
            </w:r>
            <w:r w:rsidR="008C5F48">
              <w:rPr>
                <w:rFonts w:cstheme="minorHAnsi"/>
                <w:b/>
                <w:sz w:val="20"/>
                <w:szCs w:val="20"/>
              </w:rPr>
              <w:t xml:space="preserve"> (v Kč)</w:t>
            </w:r>
          </w:p>
        </w:tc>
      </w:tr>
      <w:tr w:rsidR="00DD0B5D" w:rsidRPr="00467C94" w14:paraId="439B1F3B" w14:textId="77777777" w:rsidTr="00317D87">
        <w:tc>
          <w:tcPr>
            <w:tcW w:w="478" w:type="pct"/>
            <w:vMerge/>
            <w:shd w:val="clear" w:color="auto" w:fill="E5F1FF"/>
            <w:vAlign w:val="center"/>
          </w:tcPr>
          <w:p w14:paraId="12ACDAD4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E5F1FF"/>
            <w:vAlign w:val="center"/>
          </w:tcPr>
          <w:p w14:paraId="0C53C22C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749" w:type="pct"/>
            <w:shd w:val="clear" w:color="auto" w:fill="E5F1FF"/>
            <w:vAlign w:val="center"/>
          </w:tcPr>
          <w:p w14:paraId="044CCC95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749" w:type="pct"/>
            <w:shd w:val="clear" w:color="auto" w:fill="E5F1FF"/>
            <w:vAlign w:val="center"/>
          </w:tcPr>
          <w:p w14:paraId="11512542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2018</w:t>
            </w:r>
          </w:p>
        </w:tc>
        <w:tc>
          <w:tcPr>
            <w:tcW w:w="749" w:type="pct"/>
            <w:shd w:val="clear" w:color="auto" w:fill="E5F1FF"/>
            <w:vAlign w:val="center"/>
          </w:tcPr>
          <w:p w14:paraId="710F0022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2019</w:t>
            </w:r>
          </w:p>
        </w:tc>
        <w:tc>
          <w:tcPr>
            <w:tcW w:w="779" w:type="pct"/>
            <w:shd w:val="clear" w:color="auto" w:fill="E5F1FF"/>
            <w:vAlign w:val="center"/>
          </w:tcPr>
          <w:p w14:paraId="67850A2A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2020</w:t>
            </w:r>
          </w:p>
        </w:tc>
        <w:tc>
          <w:tcPr>
            <w:tcW w:w="749" w:type="pct"/>
            <w:shd w:val="clear" w:color="auto" w:fill="E5F1FF"/>
            <w:vAlign w:val="center"/>
          </w:tcPr>
          <w:p w14:paraId="75E3EA29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2021</w:t>
            </w:r>
          </w:p>
        </w:tc>
      </w:tr>
      <w:tr w:rsidR="00DD0B5D" w:rsidRPr="00467C94" w14:paraId="12518C39" w14:textId="77777777" w:rsidTr="00317D87">
        <w:tc>
          <w:tcPr>
            <w:tcW w:w="478" w:type="pct"/>
            <w:vAlign w:val="center"/>
          </w:tcPr>
          <w:p w14:paraId="3109E97C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5042</w:t>
            </w:r>
          </w:p>
        </w:tc>
        <w:tc>
          <w:tcPr>
            <w:tcW w:w="747" w:type="pct"/>
            <w:vAlign w:val="center"/>
          </w:tcPr>
          <w:p w14:paraId="644F05B9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57 453</w:t>
            </w:r>
          </w:p>
        </w:tc>
        <w:tc>
          <w:tcPr>
            <w:tcW w:w="749" w:type="pct"/>
            <w:vAlign w:val="center"/>
          </w:tcPr>
          <w:p w14:paraId="469B7594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43 862</w:t>
            </w:r>
          </w:p>
        </w:tc>
        <w:tc>
          <w:tcPr>
            <w:tcW w:w="749" w:type="pct"/>
            <w:vAlign w:val="center"/>
          </w:tcPr>
          <w:p w14:paraId="54FA93C5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49 951</w:t>
            </w:r>
          </w:p>
        </w:tc>
        <w:tc>
          <w:tcPr>
            <w:tcW w:w="749" w:type="pct"/>
            <w:vAlign w:val="center"/>
          </w:tcPr>
          <w:p w14:paraId="2C03C0B6" w14:textId="0F830595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</w:t>
            </w:r>
            <w:r w:rsidR="006112CC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753</w:t>
            </w:r>
            <w:r w:rsidR="006112C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232</w:t>
            </w:r>
          </w:p>
        </w:tc>
        <w:tc>
          <w:tcPr>
            <w:tcW w:w="779" w:type="pct"/>
            <w:vAlign w:val="center"/>
          </w:tcPr>
          <w:p w14:paraId="2704DF49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173 344 35</w:t>
            </w:r>
            <w:r w:rsidR="0008058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49" w:type="pct"/>
            <w:vAlign w:val="center"/>
          </w:tcPr>
          <w:p w14:paraId="00F6ACD8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113 818 97</w:t>
            </w:r>
            <w:r w:rsidR="00080587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DD0B5D" w:rsidRPr="00467C94" w14:paraId="65ECFACD" w14:textId="77777777" w:rsidTr="00317D87">
        <w:tc>
          <w:tcPr>
            <w:tcW w:w="478" w:type="pct"/>
            <w:vAlign w:val="center"/>
          </w:tcPr>
          <w:p w14:paraId="5D7D318F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5162</w:t>
            </w:r>
          </w:p>
        </w:tc>
        <w:tc>
          <w:tcPr>
            <w:tcW w:w="747" w:type="pct"/>
            <w:vAlign w:val="center"/>
          </w:tcPr>
          <w:p w14:paraId="26E331E6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90 731 820</w:t>
            </w:r>
          </w:p>
        </w:tc>
        <w:tc>
          <w:tcPr>
            <w:tcW w:w="749" w:type="pct"/>
            <w:vAlign w:val="center"/>
          </w:tcPr>
          <w:p w14:paraId="74FE18C5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48 701 68</w:t>
            </w:r>
            <w:r w:rsidR="0008058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49" w:type="pct"/>
            <w:vAlign w:val="center"/>
          </w:tcPr>
          <w:p w14:paraId="53094410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50 906 630</w:t>
            </w:r>
          </w:p>
        </w:tc>
        <w:tc>
          <w:tcPr>
            <w:tcW w:w="749" w:type="pct"/>
            <w:vAlign w:val="center"/>
          </w:tcPr>
          <w:p w14:paraId="2584F574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52 661 982</w:t>
            </w:r>
          </w:p>
        </w:tc>
        <w:tc>
          <w:tcPr>
            <w:tcW w:w="779" w:type="pct"/>
            <w:vAlign w:val="center"/>
          </w:tcPr>
          <w:p w14:paraId="78C91C3C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58</w:t>
            </w:r>
            <w:r w:rsidR="00080587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580</w:t>
            </w:r>
            <w:r w:rsidR="0008058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114</w:t>
            </w:r>
          </w:p>
        </w:tc>
        <w:tc>
          <w:tcPr>
            <w:tcW w:w="749" w:type="pct"/>
            <w:vAlign w:val="center"/>
          </w:tcPr>
          <w:p w14:paraId="564D135F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63 915 59</w:t>
            </w:r>
            <w:r w:rsidR="00080587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DD0B5D" w:rsidRPr="00467C94" w14:paraId="490F33A3" w14:textId="77777777" w:rsidTr="00317D87">
        <w:tc>
          <w:tcPr>
            <w:tcW w:w="478" w:type="pct"/>
            <w:shd w:val="clear" w:color="auto" w:fill="auto"/>
            <w:vAlign w:val="center"/>
          </w:tcPr>
          <w:p w14:paraId="4F5E7BC3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5168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6BEDA41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381 435 23</w:t>
            </w:r>
            <w:r w:rsidR="00080587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2C7D778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360 549 62</w:t>
            </w:r>
            <w:r w:rsidR="0008058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7A1C0C8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341 728 31</w:t>
            </w:r>
            <w:r w:rsidR="0008058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336D7640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410 713 231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95E3491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430 004 68</w:t>
            </w:r>
            <w:r w:rsidR="0008058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E1364CE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509 748 139</w:t>
            </w:r>
          </w:p>
        </w:tc>
      </w:tr>
      <w:tr w:rsidR="00DD0B5D" w:rsidRPr="00467C94" w14:paraId="246192E9" w14:textId="77777777" w:rsidTr="00317D87">
        <w:tc>
          <w:tcPr>
            <w:tcW w:w="478" w:type="pct"/>
            <w:shd w:val="clear" w:color="auto" w:fill="auto"/>
            <w:vAlign w:val="center"/>
          </w:tcPr>
          <w:p w14:paraId="673CD758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5172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41E30B9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16 575 865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353FF64F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63 322 3</w:t>
            </w:r>
            <w:r w:rsidR="00080587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1D90B04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73 204 88</w:t>
            </w:r>
            <w:r w:rsidR="00080587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E887BE2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52 532 78</w:t>
            </w:r>
            <w:r w:rsidR="0008058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45056870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14 425 84</w:t>
            </w:r>
            <w:r w:rsidR="0008058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B847AA2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11 399 381</w:t>
            </w:r>
          </w:p>
        </w:tc>
      </w:tr>
      <w:tr w:rsidR="00DD0B5D" w:rsidRPr="00467C94" w14:paraId="029AF208" w14:textId="77777777" w:rsidTr="00317D87"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DCA70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6111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C03B4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164 349 8</w:t>
            </w:r>
            <w:r w:rsidR="00080587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6E222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177 237 030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E3912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206 092 143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5829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191 044 860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2D0AC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60 499 715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C1DAC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142 494 19</w:t>
            </w:r>
            <w:r w:rsidR="00080587"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DD0B5D" w:rsidRPr="00467C94" w14:paraId="39444D59" w14:textId="77777777" w:rsidTr="00317D87">
        <w:tc>
          <w:tcPr>
            <w:tcW w:w="4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3C645" w14:textId="77777777" w:rsidR="008C5F48" w:rsidRPr="00467C94" w:rsidRDefault="008C5F48" w:rsidP="008C5F48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6125</w:t>
            </w:r>
          </w:p>
        </w:tc>
        <w:tc>
          <w:tcPr>
            <w:tcW w:w="7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A02BB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251 158 080</w:t>
            </w:r>
          </w:p>
        </w:tc>
        <w:tc>
          <w:tcPr>
            <w:tcW w:w="7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E7C394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130 064 9</w:t>
            </w:r>
            <w:r w:rsidR="00080587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7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46AE80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185 465 702</w:t>
            </w:r>
          </w:p>
        </w:tc>
        <w:tc>
          <w:tcPr>
            <w:tcW w:w="7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A14502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242 838 11</w:t>
            </w:r>
            <w:r w:rsidR="0008058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E135C5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336 901 952</w:t>
            </w:r>
          </w:p>
        </w:tc>
        <w:tc>
          <w:tcPr>
            <w:tcW w:w="7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D88A74" w14:textId="77777777" w:rsidR="008C5F48" w:rsidRPr="00467C94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381 028 072</w:t>
            </w:r>
          </w:p>
        </w:tc>
      </w:tr>
      <w:tr w:rsidR="00DD0B5D" w:rsidRPr="00467C94" w14:paraId="12096051" w14:textId="77777777" w:rsidTr="00317D87">
        <w:tc>
          <w:tcPr>
            <w:tcW w:w="478" w:type="pct"/>
            <w:vAlign w:val="center"/>
          </w:tcPr>
          <w:p w14:paraId="0C581492" w14:textId="1B933AC5" w:rsidR="008C5F48" w:rsidRPr="00467C94" w:rsidRDefault="00DD0B5D" w:rsidP="00317D87">
            <w:pPr>
              <w:keepNext/>
              <w:spacing w:after="0"/>
              <w:ind w:right="-85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0B1DA3">
              <w:rPr>
                <w:rFonts w:cstheme="minorHAnsi"/>
                <w:sz w:val="20"/>
                <w:szCs w:val="20"/>
              </w:rPr>
              <w:t>elkem</w:t>
            </w:r>
          </w:p>
        </w:tc>
        <w:tc>
          <w:tcPr>
            <w:tcW w:w="747" w:type="pct"/>
            <w:vAlign w:val="center"/>
          </w:tcPr>
          <w:p w14:paraId="2A19D239" w14:textId="77777777" w:rsidR="008C5F48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904 335 287</w:t>
            </w:r>
          </w:p>
        </w:tc>
        <w:tc>
          <w:tcPr>
            <w:tcW w:w="749" w:type="pct"/>
            <w:vAlign w:val="center"/>
          </w:tcPr>
          <w:p w14:paraId="3BA29C7D" w14:textId="77777777" w:rsidR="008C5F48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779 919 49</w:t>
            </w:r>
            <w:r w:rsidR="0008058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49" w:type="pct"/>
            <w:vAlign w:val="center"/>
          </w:tcPr>
          <w:p w14:paraId="685A41B2" w14:textId="77777777" w:rsidR="008C5F48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857 447 633</w:t>
            </w:r>
          </w:p>
        </w:tc>
        <w:tc>
          <w:tcPr>
            <w:tcW w:w="749" w:type="pct"/>
            <w:vAlign w:val="center"/>
          </w:tcPr>
          <w:p w14:paraId="69974525" w14:textId="77777777" w:rsidR="008C5F48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998 544 206</w:t>
            </w:r>
          </w:p>
        </w:tc>
        <w:tc>
          <w:tcPr>
            <w:tcW w:w="779" w:type="pct"/>
            <w:vAlign w:val="center"/>
          </w:tcPr>
          <w:p w14:paraId="6B448377" w14:textId="77777777" w:rsidR="008C5F48" w:rsidRPr="00080587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080587">
              <w:rPr>
                <w:rFonts w:cstheme="minorHAnsi"/>
                <w:sz w:val="18"/>
                <w:szCs w:val="18"/>
              </w:rPr>
              <w:t>1 073 756 668</w:t>
            </w:r>
          </w:p>
        </w:tc>
        <w:tc>
          <w:tcPr>
            <w:tcW w:w="749" w:type="pct"/>
            <w:vAlign w:val="center"/>
          </w:tcPr>
          <w:p w14:paraId="3E746311" w14:textId="77777777" w:rsidR="008C5F48" w:rsidRPr="00080587" w:rsidRDefault="008C5F48" w:rsidP="008C5F48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080587">
              <w:rPr>
                <w:rFonts w:cstheme="minorHAnsi"/>
                <w:sz w:val="18"/>
                <w:szCs w:val="18"/>
              </w:rPr>
              <w:t>1 222 404 35</w:t>
            </w:r>
            <w:r w:rsidR="00080587" w:rsidRPr="00080587">
              <w:rPr>
                <w:rFonts w:cstheme="minorHAnsi"/>
                <w:sz w:val="18"/>
                <w:szCs w:val="18"/>
              </w:rPr>
              <w:t>8</w:t>
            </w:r>
          </w:p>
        </w:tc>
      </w:tr>
    </w:tbl>
    <w:p w14:paraId="0CC0AE70" w14:textId="7A426663" w:rsidR="008C5F48" w:rsidRDefault="000B1DA3" w:rsidP="00325F61">
      <w:pPr>
        <w:rPr>
          <w:sz w:val="20"/>
          <w:szCs w:val="20"/>
          <w:lang w:eastAsia="cs-CZ"/>
        </w:rPr>
      </w:pPr>
      <w:r w:rsidRPr="002740E3">
        <w:rPr>
          <w:b/>
          <w:sz w:val="20"/>
          <w:szCs w:val="20"/>
          <w:lang w:eastAsia="cs-CZ"/>
        </w:rPr>
        <w:t>Zdroj:</w:t>
      </w:r>
      <w:r w:rsidRPr="000B1DA3">
        <w:rPr>
          <w:sz w:val="20"/>
          <w:szCs w:val="20"/>
          <w:lang w:eastAsia="cs-CZ"/>
        </w:rPr>
        <w:t xml:space="preserve"> IISSP, </w:t>
      </w:r>
      <w:r w:rsidR="00544906">
        <w:rPr>
          <w:sz w:val="20"/>
          <w:szCs w:val="20"/>
          <w:lang w:eastAsia="cs-CZ"/>
        </w:rPr>
        <w:t xml:space="preserve">data aktuální ke dni </w:t>
      </w:r>
      <w:r w:rsidRPr="000B1DA3">
        <w:rPr>
          <w:sz w:val="20"/>
          <w:szCs w:val="20"/>
          <w:lang w:eastAsia="cs-CZ"/>
        </w:rPr>
        <w:t>21. 6. 2022</w:t>
      </w:r>
      <w:r w:rsidR="002740E3">
        <w:rPr>
          <w:sz w:val="20"/>
          <w:szCs w:val="20"/>
          <w:lang w:eastAsia="cs-CZ"/>
        </w:rPr>
        <w:t>.</w:t>
      </w:r>
    </w:p>
    <w:p w14:paraId="56F0BC34" w14:textId="5E829240" w:rsidR="000B1DA3" w:rsidRPr="00257615" w:rsidRDefault="000B1DA3" w:rsidP="00317D87">
      <w:pPr>
        <w:pStyle w:val="Titulek"/>
        <w:keepNext/>
        <w:spacing w:after="0"/>
        <w:ind w:left="1304" w:hanging="1304"/>
        <w:jc w:val="left"/>
        <w:rPr>
          <w:b/>
          <w:i w:val="0"/>
          <w:color w:val="000000" w:themeColor="text1"/>
          <w:sz w:val="24"/>
          <w:szCs w:val="24"/>
        </w:rPr>
      </w:pPr>
      <w:r w:rsidRPr="00257615">
        <w:rPr>
          <w:b/>
          <w:i w:val="0"/>
          <w:color w:val="000000" w:themeColor="text1"/>
          <w:sz w:val="24"/>
          <w:szCs w:val="24"/>
        </w:rPr>
        <w:t>Tabulka</w:t>
      </w:r>
      <w:r w:rsidR="00A27B72">
        <w:rPr>
          <w:b/>
          <w:i w:val="0"/>
          <w:color w:val="000000" w:themeColor="text1"/>
          <w:sz w:val="24"/>
          <w:szCs w:val="24"/>
        </w:rPr>
        <w:t xml:space="preserve"> č.</w:t>
      </w:r>
      <w:r w:rsidRPr="00257615">
        <w:rPr>
          <w:b/>
          <w:i w:val="0"/>
          <w:color w:val="000000" w:themeColor="text1"/>
          <w:sz w:val="24"/>
          <w:szCs w:val="24"/>
        </w:rPr>
        <w:t xml:space="preserve"> </w:t>
      </w:r>
      <w:r w:rsidRPr="00257615">
        <w:rPr>
          <w:b/>
          <w:i w:val="0"/>
          <w:color w:val="000000" w:themeColor="text1"/>
          <w:sz w:val="24"/>
          <w:szCs w:val="24"/>
        </w:rPr>
        <w:fldChar w:fldCharType="begin"/>
      </w:r>
      <w:r w:rsidRPr="00257615">
        <w:rPr>
          <w:b/>
          <w:i w:val="0"/>
          <w:color w:val="000000" w:themeColor="text1"/>
          <w:sz w:val="24"/>
          <w:szCs w:val="24"/>
        </w:rPr>
        <w:instrText xml:space="preserve"> SEQ Tabulka \* ARABIC </w:instrText>
      </w:r>
      <w:r w:rsidRPr="00257615">
        <w:rPr>
          <w:b/>
          <w:i w:val="0"/>
          <w:color w:val="000000" w:themeColor="text1"/>
          <w:sz w:val="24"/>
          <w:szCs w:val="24"/>
        </w:rPr>
        <w:fldChar w:fldCharType="separate"/>
      </w:r>
      <w:r w:rsidR="00540BE5">
        <w:rPr>
          <w:b/>
          <w:i w:val="0"/>
          <w:noProof/>
          <w:color w:val="000000" w:themeColor="text1"/>
          <w:sz w:val="24"/>
          <w:szCs w:val="24"/>
        </w:rPr>
        <w:t>3</w:t>
      </w:r>
      <w:r w:rsidRPr="00257615">
        <w:rPr>
          <w:b/>
          <w:i w:val="0"/>
          <w:color w:val="000000" w:themeColor="text1"/>
          <w:sz w:val="24"/>
          <w:szCs w:val="24"/>
        </w:rPr>
        <w:fldChar w:fldCharType="end"/>
      </w:r>
      <w:r w:rsidRPr="00257615">
        <w:rPr>
          <w:b/>
          <w:i w:val="0"/>
          <w:color w:val="000000" w:themeColor="text1"/>
          <w:sz w:val="24"/>
          <w:szCs w:val="24"/>
        </w:rPr>
        <w:t xml:space="preserve">: </w:t>
      </w:r>
      <w:r w:rsidR="00A27B72">
        <w:rPr>
          <w:b/>
          <w:i w:val="0"/>
          <w:color w:val="000000" w:themeColor="text1"/>
          <w:sz w:val="24"/>
          <w:szCs w:val="24"/>
        </w:rPr>
        <w:tab/>
      </w:r>
      <w:r w:rsidRPr="00257615">
        <w:rPr>
          <w:b/>
          <w:i w:val="0"/>
          <w:color w:val="000000" w:themeColor="text1"/>
          <w:sz w:val="24"/>
          <w:szCs w:val="24"/>
        </w:rPr>
        <w:t xml:space="preserve">Výše vykázaných </w:t>
      </w:r>
      <w:r w:rsidR="00257615" w:rsidRPr="00257615">
        <w:rPr>
          <w:b/>
          <w:i w:val="0"/>
          <w:color w:val="000000" w:themeColor="text1"/>
          <w:sz w:val="24"/>
          <w:szCs w:val="24"/>
        </w:rPr>
        <w:t>skutečně vynaložených</w:t>
      </w:r>
      <w:r w:rsidRPr="00257615">
        <w:rPr>
          <w:b/>
          <w:i w:val="0"/>
          <w:color w:val="000000" w:themeColor="text1"/>
          <w:sz w:val="24"/>
          <w:szCs w:val="24"/>
        </w:rPr>
        <w:t xml:space="preserve"> výdajů na vybraných položkách v kapitole 336 v období 2016–202</w:t>
      </w:r>
      <w:r w:rsidR="00544906">
        <w:rPr>
          <w:b/>
          <w:i w:val="0"/>
          <w:color w:val="000000" w:themeColor="text1"/>
          <w:sz w:val="24"/>
          <w:szCs w:val="24"/>
        </w:rPr>
        <w:t>1</w:t>
      </w:r>
    </w:p>
    <w:tbl>
      <w:tblPr>
        <w:tblStyle w:val="Mkatabulky"/>
        <w:tblW w:w="4882" w:type="pct"/>
        <w:tblInd w:w="108" w:type="dxa"/>
        <w:tblLook w:val="04A0" w:firstRow="1" w:lastRow="0" w:firstColumn="1" w:lastColumn="0" w:noHBand="0" w:noVBand="1"/>
      </w:tblPr>
      <w:tblGrid>
        <w:gridCol w:w="904"/>
        <w:gridCol w:w="1361"/>
        <w:gridCol w:w="1360"/>
        <w:gridCol w:w="1360"/>
        <w:gridCol w:w="1360"/>
        <w:gridCol w:w="1360"/>
        <w:gridCol w:w="1364"/>
      </w:tblGrid>
      <w:tr w:rsidR="00DD0B5D" w:rsidRPr="00467C94" w14:paraId="1EA181AB" w14:textId="77777777" w:rsidTr="00317D87">
        <w:tc>
          <w:tcPr>
            <w:tcW w:w="498" w:type="pct"/>
            <w:vMerge w:val="restart"/>
            <w:shd w:val="clear" w:color="auto" w:fill="E5F1FF"/>
            <w:vAlign w:val="center"/>
          </w:tcPr>
          <w:p w14:paraId="6C70F599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Položka</w:t>
            </w:r>
          </w:p>
        </w:tc>
        <w:tc>
          <w:tcPr>
            <w:tcW w:w="4501" w:type="pct"/>
            <w:gridSpan w:val="6"/>
            <w:shd w:val="clear" w:color="auto" w:fill="E5F1FF"/>
            <w:vAlign w:val="center"/>
          </w:tcPr>
          <w:p w14:paraId="448ADF33" w14:textId="33E291AE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Skutečně vynaložené výd</w:t>
            </w:r>
            <w:r w:rsidR="004611B8">
              <w:rPr>
                <w:rFonts w:cstheme="minorHAnsi"/>
                <w:b/>
                <w:sz w:val="20"/>
                <w:szCs w:val="20"/>
              </w:rPr>
              <w:t>a</w:t>
            </w:r>
            <w:r w:rsidR="00145D43">
              <w:rPr>
                <w:rFonts w:cstheme="minorHAnsi"/>
                <w:b/>
                <w:sz w:val="20"/>
                <w:szCs w:val="20"/>
              </w:rPr>
              <w:t>je</w:t>
            </w:r>
            <w:r>
              <w:rPr>
                <w:rFonts w:cstheme="minorHAnsi"/>
                <w:b/>
                <w:sz w:val="20"/>
                <w:szCs w:val="20"/>
              </w:rPr>
              <w:t xml:space="preserve"> (v Kč)</w:t>
            </w:r>
          </w:p>
        </w:tc>
      </w:tr>
      <w:tr w:rsidR="00DD0B5D" w:rsidRPr="00467C94" w14:paraId="33E607BC" w14:textId="77777777" w:rsidTr="00317D87">
        <w:tc>
          <w:tcPr>
            <w:tcW w:w="498" w:type="pct"/>
            <w:vMerge/>
            <w:shd w:val="clear" w:color="auto" w:fill="E5F1FF"/>
            <w:vAlign w:val="center"/>
          </w:tcPr>
          <w:p w14:paraId="34F8444E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E5F1FF"/>
            <w:vAlign w:val="center"/>
          </w:tcPr>
          <w:p w14:paraId="33612D3E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750" w:type="pct"/>
            <w:shd w:val="clear" w:color="auto" w:fill="E5F1FF"/>
            <w:vAlign w:val="center"/>
          </w:tcPr>
          <w:p w14:paraId="32117340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750" w:type="pct"/>
            <w:shd w:val="clear" w:color="auto" w:fill="E5F1FF"/>
            <w:vAlign w:val="center"/>
          </w:tcPr>
          <w:p w14:paraId="627F1BEA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2018</w:t>
            </w:r>
          </w:p>
        </w:tc>
        <w:tc>
          <w:tcPr>
            <w:tcW w:w="750" w:type="pct"/>
            <w:shd w:val="clear" w:color="auto" w:fill="E5F1FF"/>
            <w:vAlign w:val="center"/>
          </w:tcPr>
          <w:p w14:paraId="415ECCA7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2019</w:t>
            </w:r>
          </w:p>
        </w:tc>
        <w:tc>
          <w:tcPr>
            <w:tcW w:w="750" w:type="pct"/>
            <w:shd w:val="clear" w:color="auto" w:fill="E5F1FF"/>
            <w:vAlign w:val="center"/>
          </w:tcPr>
          <w:p w14:paraId="6CDE0B0A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2020</w:t>
            </w:r>
          </w:p>
        </w:tc>
        <w:tc>
          <w:tcPr>
            <w:tcW w:w="752" w:type="pct"/>
            <w:shd w:val="clear" w:color="auto" w:fill="E5F1FF"/>
            <w:vAlign w:val="center"/>
          </w:tcPr>
          <w:p w14:paraId="1D5A7FD0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7C94">
              <w:rPr>
                <w:rFonts w:cstheme="minorHAnsi"/>
                <w:b/>
                <w:sz w:val="20"/>
                <w:szCs w:val="20"/>
              </w:rPr>
              <w:t>2021</w:t>
            </w:r>
          </w:p>
        </w:tc>
      </w:tr>
      <w:tr w:rsidR="00DD0B5D" w:rsidRPr="00467C94" w14:paraId="4A78B559" w14:textId="77777777" w:rsidTr="00317D87">
        <w:tc>
          <w:tcPr>
            <w:tcW w:w="498" w:type="pct"/>
            <w:vAlign w:val="center"/>
          </w:tcPr>
          <w:p w14:paraId="1AC3817A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5042</w:t>
            </w:r>
          </w:p>
        </w:tc>
        <w:tc>
          <w:tcPr>
            <w:tcW w:w="750" w:type="pct"/>
            <w:vAlign w:val="center"/>
          </w:tcPr>
          <w:p w14:paraId="594AF86A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57 047</w:t>
            </w:r>
          </w:p>
        </w:tc>
        <w:tc>
          <w:tcPr>
            <w:tcW w:w="750" w:type="pct"/>
            <w:vAlign w:val="center"/>
          </w:tcPr>
          <w:p w14:paraId="2C28E535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42 36</w:t>
            </w:r>
            <w:r w:rsidR="0008058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50" w:type="pct"/>
            <w:vAlign w:val="center"/>
          </w:tcPr>
          <w:p w14:paraId="37EDEEE8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49 443</w:t>
            </w:r>
          </w:p>
        </w:tc>
        <w:tc>
          <w:tcPr>
            <w:tcW w:w="750" w:type="pct"/>
            <w:vAlign w:val="center"/>
          </w:tcPr>
          <w:p w14:paraId="3DF30D27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4 281 167</w:t>
            </w:r>
          </w:p>
        </w:tc>
        <w:tc>
          <w:tcPr>
            <w:tcW w:w="750" w:type="pct"/>
            <w:vAlign w:val="center"/>
          </w:tcPr>
          <w:p w14:paraId="304C66F6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123 297 482</w:t>
            </w:r>
          </w:p>
        </w:tc>
        <w:tc>
          <w:tcPr>
            <w:tcW w:w="752" w:type="pct"/>
            <w:vAlign w:val="center"/>
          </w:tcPr>
          <w:p w14:paraId="7E16C461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110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467C94">
              <w:rPr>
                <w:rFonts w:cstheme="minorHAnsi"/>
                <w:sz w:val="18"/>
                <w:szCs w:val="18"/>
              </w:rPr>
              <w:t>153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67C94">
              <w:rPr>
                <w:rFonts w:cstheme="minorHAnsi"/>
                <w:sz w:val="18"/>
                <w:szCs w:val="18"/>
              </w:rPr>
              <w:t>788</w:t>
            </w:r>
          </w:p>
        </w:tc>
      </w:tr>
      <w:tr w:rsidR="00DD0B5D" w:rsidRPr="00467C94" w14:paraId="3999D29E" w14:textId="77777777" w:rsidTr="00317D87">
        <w:tc>
          <w:tcPr>
            <w:tcW w:w="498" w:type="pct"/>
            <w:vAlign w:val="center"/>
          </w:tcPr>
          <w:p w14:paraId="13D1F7C5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5162</w:t>
            </w:r>
          </w:p>
        </w:tc>
        <w:tc>
          <w:tcPr>
            <w:tcW w:w="750" w:type="pct"/>
            <w:vAlign w:val="center"/>
          </w:tcPr>
          <w:p w14:paraId="791AEB46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86 570 53</w:t>
            </w:r>
            <w:r w:rsidR="0008058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750" w:type="pct"/>
            <w:vAlign w:val="center"/>
          </w:tcPr>
          <w:p w14:paraId="18C0CACD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45 794 32</w:t>
            </w:r>
            <w:r w:rsidR="0008058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50" w:type="pct"/>
            <w:vAlign w:val="center"/>
          </w:tcPr>
          <w:p w14:paraId="3730E361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47 577 00</w:t>
            </w:r>
            <w:r w:rsidR="0008058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50" w:type="pct"/>
            <w:vAlign w:val="center"/>
          </w:tcPr>
          <w:p w14:paraId="698FCFF6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48 553 728</w:t>
            </w:r>
          </w:p>
        </w:tc>
        <w:tc>
          <w:tcPr>
            <w:tcW w:w="750" w:type="pct"/>
            <w:vAlign w:val="center"/>
          </w:tcPr>
          <w:p w14:paraId="4D29F465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55 934 56</w:t>
            </w:r>
            <w:r w:rsidR="0008058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52" w:type="pct"/>
            <w:vAlign w:val="center"/>
          </w:tcPr>
          <w:p w14:paraId="5D91B356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58 888 46</w:t>
            </w:r>
            <w:r w:rsidR="00080587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DD0B5D" w:rsidRPr="00467C94" w14:paraId="11E3F26A" w14:textId="77777777" w:rsidTr="00317D87">
        <w:tc>
          <w:tcPr>
            <w:tcW w:w="498" w:type="pct"/>
            <w:vAlign w:val="center"/>
          </w:tcPr>
          <w:p w14:paraId="5D31D236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5168</w:t>
            </w:r>
          </w:p>
        </w:tc>
        <w:tc>
          <w:tcPr>
            <w:tcW w:w="750" w:type="pct"/>
            <w:vAlign w:val="center"/>
          </w:tcPr>
          <w:p w14:paraId="5B5A4126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344 139 408</w:t>
            </w:r>
          </w:p>
        </w:tc>
        <w:tc>
          <w:tcPr>
            <w:tcW w:w="750" w:type="pct"/>
            <w:vAlign w:val="center"/>
          </w:tcPr>
          <w:p w14:paraId="30823F59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349 474 057</w:t>
            </w:r>
          </w:p>
        </w:tc>
        <w:tc>
          <w:tcPr>
            <w:tcW w:w="750" w:type="pct"/>
            <w:vAlign w:val="center"/>
          </w:tcPr>
          <w:p w14:paraId="0FC50C6E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296 374 01</w:t>
            </w:r>
            <w:r w:rsidR="0008058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50" w:type="pct"/>
            <w:vAlign w:val="center"/>
          </w:tcPr>
          <w:p w14:paraId="157A9C4C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344 785 682</w:t>
            </w:r>
          </w:p>
        </w:tc>
        <w:tc>
          <w:tcPr>
            <w:tcW w:w="750" w:type="pct"/>
            <w:vAlign w:val="center"/>
          </w:tcPr>
          <w:p w14:paraId="1BCADC43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390 663 287</w:t>
            </w:r>
          </w:p>
        </w:tc>
        <w:tc>
          <w:tcPr>
            <w:tcW w:w="752" w:type="pct"/>
            <w:vAlign w:val="center"/>
          </w:tcPr>
          <w:p w14:paraId="5070C936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455 642 349</w:t>
            </w:r>
          </w:p>
        </w:tc>
      </w:tr>
      <w:tr w:rsidR="00DD0B5D" w:rsidRPr="00467C94" w14:paraId="04D645E9" w14:textId="77777777" w:rsidTr="00317D87">
        <w:tc>
          <w:tcPr>
            <w:tcW w:w="498" w:type="pct"/>
            <w:shd w:val="clear" w:color="auto" w:fill="auto"/>
            <w:vAlign w:val="center"/>
          </w:tcPr>
          <w:p w14:paraId="70D77F28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5172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63619A5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14 219 647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4828903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57 909 489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ECF092A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47 025 811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79F5844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44 423 33</w:t>
            </w:r>
            <w:r w:rsidR="0008058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709F188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10 597 7</w:t>
            </w:r>
            <w:r w:rsidR="00080587">
              <w:rPr>
                <w:rFonts w:cstheme="minorHAnsi"/>
                <w:sz w:val="18"/>
                <w:szCs w:val="18"/>
              </w:rPr>
              <w:t>90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383DD86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4 772 47</w:t>
            </w:r>
            <w:r w:rsidR="00080587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DD0B5D" w:rsidRPr="00467C94" w14:paraId="5A096E80" w14:textId="77777777" w:rsidTr="00317D87"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4A229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6111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DC050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18 918 10</w:t>
            </w:r>
            <w:r w:rsidR="0008058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76021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21 990 757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FAC21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56 631 532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B4C2C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48 982 749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61A2F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17 511 432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773FC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33 996 172</w:t>
            </w:r>
          </w:p>
        </w:tc>
      </w:tr>
      <w:tr w:rsidR="00DD0B5D" w:rsidRPr="00467C94" w14:paraId="53CECE9B" w14:textId="77777777" w:rsidTr="00317D87"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14:paraId="36E10A54" w14:textId="77777777" w:rsidR="000B1DA3" w:rsidRPr="00467C94" w:rsidRDefault="000B1DA3" w:rsidP="00B3246F">
            <w:pPr>
              <w:keepNext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7C94">
              <w:rPr>
                <w:rFonts w:cstheme="minorHAnsi"/>
                <w:sz w:val="20"/>
                <w:szCs w:val="20"/>
              </w:rPr>
              <w:t>6125</w:t>
            </w:r>
          </w:p>
        </w:tc>
        <w:tc>
          <w:tcPr>
            <w:tcW w:w="750" w:type="pct"/>
            <w:tcBorders>
              <w:bottom w:val="single" w:sz="12" w:space="0" w:color="auto"/>
            </w:tcBorders>
            <w:vAlign w:val="center"/>
          </w:tcPr>
          <w:p w14:paraId="72560C95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107 652 80</w:t>
            </w:r>
            <w:r w:rsidR="0008058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750" w:type="pct"/>
            <w:tcBorders>
              <w:bottom w:val="single" w:sz="12" w:space="0" w:color="auto"/>
            </w:tcBorders>
            <w:vAlign w:val="center"/>
          </w:tcPr>
          <w:p w14:paraId="6A2DA8B0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41 521 490</w:t>
            </w:r>
          </w:p>
        </w:tc>
        <w:tc>
          <w:tcPr>
            <w:tcW w:w="750" w:type="pct"/>
            <w:tcBorders>
              <w:bottom w:val="single" w:sz="12" w:space="0" w:color="auto"/>
            </w:tcBorders>
            <w:vAlign w:val="center"/>
          </w:tcPr>
          <w:p w14:paraId="74AD4BD0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106 343 78</w:t>
            </w:r>
            <w:r w:rsidR="0008058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50" w:type="pct"/>
            <w:tcBorders>
              <w:bottom w:val="single" w:sz="12" w:space="0" w:color="auto"/>
            </w:tcBorders>
            <w:vAlign w:val="center"/>
          </w:tcPr>
          <w:p w14:paraId="37426FA3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111 534 68</w:t>
            </w:r>
            <w:r w:rsidR="0008058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50" w:type="pct"/>
            <w:tcBorders>
              <w:bottom w:val="single" w:sz="12" w:space="0" w:color="auto"/>
            </w:tcBorders>
            <w:vAlign w:val="center"/>
          </w:tcPr>
          <w:p w14:paraId="0AC18A79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467C94">
              <w:rPr>
                <w:rFonts w:cstheme="minorHAnsi"/>
                <w:sz w:val="18"/>
                <w:szCs w:val="18"/>
              </w:rPr>
              <w:t>180 540 882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3DE9F7A8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181 121 229</w:t>
            </w:r>
          </w:p>
        </w:tc>
      </w:tr>
      <w:tr w:rsidR="00DD0B5D" w:rsidRPr="00467C94" w14:paraId="2F2AC382" w14:textId="77777777" w:rsidTr="00317D87">
        <w:tc>
          <w:tcPr>
            <w:tcW w:w="498" w:type="pct"/>
            <w:vAlign w:val="center"/>
          </w:tcPr>
          <w:p w14:paraId="3FD903B3" w14:textId="15FB84B3" w:rsidR="000B1DA3" w:rsidRPr="00467C94" w:rsidRDefault="00DD0B5D" w:rsidP="00317D87">
            <w:pPr>
              <w:keepNext/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0B1DA3">
              <w:rPr>
                <w:rFonts w:cstheme="minorHAnsi"/>
                <w:sz w:val="20"/>
                <w:szCs w:val="20"/>
              </w:rPr>
              <w:t>elkem</w:t>
            </w:r>
          </w:p>
        </w:tc>
        <w:tc>
          <w:tcPr>
            <w:tcW w:w="750" w:type="pct"/>
            <w:vAlign w:val="center"/>
          </w:tcPr>
          <w:p w14:paraId="036FB961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571 557 54</w:t>
            </w:r>
            <w:r w:rsidR="0008058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750" w:type="pct"/>
            <w:vAlign w:val="center"/>
          </w:tcPr>
          <w:p w14:paraId="70277F6C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516 732 48</w:t>
            </w:r>
            <w:r w:rsidR="0008058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50" w:type="pct"/>
            <w:vAlign w:val="center"/>
          </w:tcPr>
          <w:p w14:paraId="3650537D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554 001 58</w:t>
            </w:r>
            <w:r w:rsidR="0008058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50" w:type="pct"/>
            <w:vAlign w:val="center"/>
          </w:tcPr>
          <w:p w14:paraId="429FA2A0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602 561 347</w:t>
            </w:r>
          </w:p>
        </w:tc>
        <w:tc>
          <w:tcPr>
            <w:tcW w:w="750" w:type="pct"/>
            <w:vAlign w:val="center"/>
          </w:tcPr>
          <w:p w14:paraId="012EA128" w14:textId="77777777" w:rsidR="000B1DA3" w:rsidRPr="00467C94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778 545 43</w:t>
            </w:r>
            <w:r w:rsidR="004828A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52" w:type="pct"/>
            <w:vAlign w:val="center"/>
          </w:tcPr>
          <w:p w14:paraId="74E92484" w14:textId="77777777" w:rsidR="000B1DA3" w:rsidRDefault="000B1DA3" w:rsidP="00B3246F">
            <w:pPr>
              <w:keepNext/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844 574 479</w:t>
            </w:r>
          </w:p>
        </w:tc>
      </w:tr>
    </w:tbl>
    <w:p w14:paraId="169B124B" w14:textId="6D1E7B40" w:rsidR="000B1DA3" w:rsidRPr="00467C94" w:rsidRDefault="000B1DA3" w:rsidP="000B1DA3">
      <w:pPr>
        <w:rPr>
          <w:rFonts w:cs="Calibri"/>
          <w:sz w:val="20"/>
          <w:szCs w:val="20"/>
        </w:rPr>
      </w:pPr>
      <w:r w:rsidRPr="002740E3">
        <w:rPr>
          <w:rFonts w:cs="Calibri"/>
          <w:b/>
          <w:sz w:val="20"/>
          <w:szCs w:val="20"/>
        </w:rPr>
        <w:t>Zdroj:</w:t>
      </w:r>
      <w:r w:rsidRPr="00467C94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IISSP</w:t>
      </w:r>
      <w:r w:rsidRPr="00467C94">
        <w:rPr>
          <w:rFonts w:cs="Calibri"/>
          <w:sz w:val="20"/>
          <w:szCs w:val="20"/>
        </w:rPr>
        <w:t xml:space="preserve">, </w:t>
      </w:r>
      <w:r w:rsidR="004611B8">
        <w:rPr>
          <w:rFonts w:cs="Calibri"/>
          <w:sz w:val="20"/>
          <w:szCs w:val="20"/>
        </w:rPr>
        <w:t>data aktuální ke dni</w:t>
      </w:r>
      <w:r w:rsidRPr="00467C94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21. 6. 2022</w:t>
      </w:r>
      <w:r w:rsidR="002740E3">
        <w:rPr>
          <w:rFonts w:cs="Calibri"/>
          <w:sz w:val="20"/>
          <w:szCs w:val="20"/>
        </w:rPr>
        <w:t>.</w:t>
      </w:r>
    </w:p>
    <w:p w14:paraId="56198656" w14:textId="3D331C11" w:rsidR="00325F61" w:rsidRPr="00183558" w:rsidRDefault="0070353B" w:rsidP="00325F61">
      <w:pPr>
        <w:rPr>
          <w:lang w:eastAsia="cs-CZ"/>
        </w:rPr>
      </w:pPr>
      <w:r>
        <w:rPr>
          <w:lang w:eastAsia="cs-CZ"/>
        </w:rPr>
        <w:t>Z dat dostupných v IISSP</w:t>
      </w:r>
      <w:r w:rsidR="000B1DA3">
        <w:rPr>
          <w:lang w:eastAsia="cs-CZ"/>
        </w:rPr>
        <w:t xml:space="preserve"> </w:t>
      </w:r>
      <w:r>
        <w:rPr>
          <w:lang w:eastAsia="cs-CZ"/>
        </w:rPr>
        <w:t>vyplývá, že převažující část výdajů kapitoly 336 na ICT tvořily výdaje na provoz a údržbu resortních IS a na zajištění komunikační infrastruktury a licencí, tj. výdaje na celkové zabezpečení běžného provozu ICT. U objemově nejvýznamnější rozpočtové položky 5168 realizoval</w:t>
      </w:r>
      <w:r w:rsidR="008C5F48">
        <w:rPr>
          <w:lang w:eastAsia="cs-CZ"/>
        </w:rPr>
        <w:t>o</w:t>
      </w:r>
      <w:r>
        <w:rPr>
          <w:lang w:eastAsia="cs-CZ"/>
        </w:rPr>
        <w:t xml:space="preserve"> </w:t>
      </w:r>
      <w:proofErr w:type="spellStart"/>
      <w:r w:rsidR="004611B8">
        <w:rPr>
          <w:lang w:eastAsia="cs-CZ"/>
        </w:rPr>
        <w:t>MSp</w:t>
      </w:r>
      <w:proofErr w:type="spellEnd"/>
      <w:r w:rsidR="004611B8">
        <w:rPr>
          <w:lang w:eastAsia="cs-CZ"/>
        </w:rPr>
        <w:t xml:space="preserve"> </w:t>
      </w:r>
      <w:r>
        <w:rPr>
          <w:lang w:eastAsia="cs-CZ"/>
        </w:rPr>
        <w:t>převažující část výdajů v rámci centrální</w:t>
      </w:r>
      <w:r w:rsidR="00BB3DE2">
        <w:rPr>
          <w:lang w:eastAsia="cs-CZ"/>
        </w:rPr>
        <w:t>ho</w:t>
      </w:r>
      <w:r>
        <w:rPr>
          <w:lang w:eastAsia="cs-CZ"/>
        </w:rPr>
        <w:t xml:space="preserve"> zabezpečení resortní</w:t>
      </w:r>
      <w:r w:rsidR="004611B8">
        <w:rPr>
          <w:lang w:eastAsia="cs-CZ"/>
        </w:rPr>
        <w:t>ch</w:t>
      </w:r>
      <w:r>
        <w:rPr>
          <w:lang w:eastAsia="cs-CZ"/>
        </w:rPr>
        <w:t xml:space="preserve"> ICT na základě dlouhodobých smluv.</w:t>
      </w:r>
    </w:p>
    <w:p w14:paraId="2C4368D6" w14:textId="1AB3D9EF" w:rsidR="0070353B" w:rsidRDefault="004611B8" w:rsidP="00183558">
      <w:pPr>
        <w:rPr>
          <w:rFonts w:cs="Times New Roman"/>
          <w:szCs w:val="24"/>
        </w:rPr>
      </w:pPr>
      <w:r>
        <w:t xml:space="preserve">Největší část investičních prostředků vynaložených na oblast ICT </w:t>
      </w:r>
      <w:r w:rsidR="0070353B">
        <w:t xml:space="preserve">byla každoročně </w:t>
      </w:r>
      <w:r>
        <w:t>čerpána</w:t>
      </w:r>
      <w:r w:rsidR="0070353B">
        <w:t xml:space="preserve"> </w:t>
      </w:r>
      <w:r>
        <w:t>z </w:t>
      </w:r>
      <w:r w:rsidR="0070353B">
        <w:t>rozpočtov</w:t>
      </w:r>
      <w:r>
        <w:t>é</w:t>
      </w:r>
      <w:r w:rsidR="0070353B">
        <w:t xml:space="preserve"> položk</w:t>
      </w:r>
      <w:r>
        <w:t>y</w:t>
      </w:r>
      <w:r w:rsidR="0070353B">
        <w:t xml:space="preserve"> 6125, z níž je zabezpečován nákup výpočetní techniky. Tento nákup byl většinou realizován prostřednictvím rámcových a obdobných smluv. Např. v roce 2020 </w:t>
      </w:r>
      <w:r>
        <w:t>činil</w:t>
      </w:r>
      <w:r w:rsidR="0070353B">
        <w:t xml:space="preserve"> objem </w:t>
      </w:r>
      <w:r>
        <w:t xml:space="preserve">výdajů </w:t>
      </w:r>
      <w:r w:rsidR="0070353B">
        <w:t>vykázaných na této položce přibližně 180 mil. Kč, z toho přes 100 mil. Kč představovaly výdaje jednotlivých soudů. Na každý soud pak připadaly výdaje zpravidla ve výši do 3 mil. Kč.</w:t>
      </w:r>
    </w:p>
    <w:p w14:paraId="0E1149B4" w14:textId="64DCF8F5" w:rsidR="00E65682" w:rsidRDefault="00183558" w:rsidP="004E2F8F">
      <w:r>
        <w:t xml:space="preserve">Z dostupných finančních dat také vyplývá, že </w:t>
      </w:r>
      <w:r w:rsidR="0070353B">
        <w:t xml:space="preserve">se </w:t>
      </w:r>
      <w:proofErr w:type="spellStart"/>
      <w:r>
        <w:t>MSp</w:t>
      </w:r>
      <w:proofErr w:type="spellEnd"/>
      <w:r>
        <w:t xml:space="preserve"> </w:t>
      </w:r>
      <w:r w:rsidR="0070353B">
        <w:t xml:space="preserve">nedařilo realizovat </w:t>
      </w:r>
      <w:r w:rsidR="002D0DBD">
        <w:t xml:space="preserve">dle plánu </w:t>
      </w:r>
      <w:r w:rsidR="0070353B">
        <w:t xml:space="preserve">příslušné projekty </w:t>
      </w:r>
      <w:proofErr w:type="spellStart"/>
      <w:r w:rsidR="0070353B">
        <w:t>eJustice</w:t>
      </w:r>
      <w:proofErr w:type="spellEnd"/>
      <w:r w:rsidR="0070353B">
        <w:t xml:space="preserve"> a s</w:t>
      </w:r>
      <w:r w:rsidR="00966E9E">
        <w:t xml:space="preserve"> </w:t>
      </w:r>
      <w:r w:rsidR="0070353B">
        <w:t>nimi spojené klíčové VZ. Tento nedostatek rovněž ilustruje objem vyčerpaných kapitálových výdajů, který v</w:t>
      </w:r>
      <w:r w:rsidR="00E2460F">
        <w:t xml:space="preserve"> </w:t>
      </w:r>
      <w:r w:rsidR="0070353B">
        <w:t>součtu za</w:t>
      </w:r>
      <w:r w:rsidR="004611B8">
        <w:t xml:space="preserve"> </w:t>
      </w:r>
      <w:r w:rsidR="0070353B">
        <w:t>rozpočtové položky 6111 a 6125</w:t>
      </w:r>
      <w:r w:rsidR="00E65682">
        <w:t xml:space="preserve"> byl v letech </w:t>
      </w:r>
      <w:r w:rsidR="00587F68">
        <w:t>2016–2021</w:t>
      </w:r>
      <w:r w:rsidR="00E65682">
        <w:t xml:space="preserve"> v rozsahu 21 % </w:t>
      </w:r>
      <w:r w:rsidR="002D0DBD">
        <w:t>až</w:t>
      </w:r>
      <w:r w:rsidR="00E65682">
        <w:t xml:space="preserve"> 50 % </w:t>
      </w:r>
      <w:r w:rsidR="0070353B">
        <w:t>alokovaných peněžních prostředků</w:t>
      </w:r>
      <w:r>
        <w:t xml:space="preserve"> (viz graf </w:t>
      </w:r>
      <w:r w:rsidR="004611B8">
        <w:t xml:space="preserve">č. </w:t>
      </w:r>
      <w:r>
        <w:t>1).</w:t>
      </w:r>
    </w:p>
    <w:p w14:paraId="3E3CB8A5" w14:textId="3EC73436" w:rsidR="00C637B2" w:rsidRDefault="00C637B2" w:rsidP="003B07D7">
      <w:pPr>
        <w:pStyle w:val="Titulek"/>
        <w:keepNext/>
        <w:spacing w:after="0"/>
        <w:ind w:left="993" w:hanging="993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lastRenderedPageBreak/>
        <w:t>Graf</w:t>
      </w:r>
      <w:r w:rsidR="00A27B72">
        <w:rPr>
          <w:b/>
          <w:i w:val="0"/>
          <w:color w:val="000000" w:themeColor="text1"/>
          <w:sz w:val="24"/>
          <w:szCs w:val="24"/>
        </w:rPr>
        <w:t xml:space="preserve"> č.</w:t>
      </w:r>
      <w:r>
        <w:rPr>
          <w:b/>
          <w:i w:val="0"/>
          <w:color w:val="000000" w:themeColor="text1"/>
          <w:sz w:val="24"/>
          <w:szCs w:val="24"/>
        </w:rPr>
        <w:t xml:space="preserve"> </w:t>
      </w:r>
      <w:r>
        <w:rPr>
          <w:b/>
          <w:i w:val="0"/>
          <w:color w:val="000000" w:themeColor="text1"/>
          <w:sz w:val="24"/>
          <w:szCs w:val="24"/>
        </w:rPr>
        <w:fldChar w:fldCharType="begin"/>
      </w:r>
      <w:r>
        <w:rPr>
          <w:b/>
          <w:i w:val="0"/>
          <w:color w:val="000000" w:themeColor="text1"/>
          <w:sz w:val="24"/>
          <w:szCs w:val="24"/>
        </w:rPr>
        <w:instrText xml:space="preserve"> SEQ Graf \* ARABIC </w:instrText>
      </w:r>
      <w:r>
        <w:rPr>
          <w:b/>
          <w:i w:val="0"/>
          <w:color w:val="000000" w:themeColor="text1"/>
          <w:sz w:val="24"/>
          <w:szCs w:val="24"/>
        </w:rPr>
        <w:fldChar w:fldCharType="separate"/>
      </w:r>
      <w:r w:rsidR="00540BE5">
        <w:rPr>
          <w:b/>
          <w:i w:val="0"/>
          <w:noProof/>
          <w:color w:val="000000" w:themeColor="text1"/>
          <w:sz w:val="24"/>
          <w:szCs w:val="24"/>
        </w:rPr>
        <w:t>1</w:t>
      </w:r>
      <w:r>
        <w:rPr>
          <w:b/>
          <w:i w:val="0"/>
          <w:color w:val="000000" w:themeColor="text1"/>
          <w:sz w:val="24"/>
          <w:szCs w:val="24"/>
        </w:rPr>
        <w:fldChar w:fldCharType="end"/>
      </w:r>
      <w:r>
        <w:rPr>
          <w:b/>
          <w:i w:val="0"/>
          <w:color w:val="000000" w:themeColor="text1"/>
          <w:sz w:val="24"/>
          <w:szCs w:val="24"/>
        </w:rPr>
        <w:t xml:space="preserve">: </w:t>
      </w:r>
      <w:r w:rsidR="004611B8">
        <w:rPr>
          <w:b/>
          <w:i w:val="0"/>
          <w:color w:val="000000" w:themeColor="text1"/>
          <w:sz w:val="24"/>
          <w:szCs w:val="24"/>
        </w:rPr>
        <w:tab/>
      </w:r>
      <w:r>
        <w:rPr>
          <w:b/>
          <w:i w:val="0"/>
          <w:color w:val="000000" w:themeColor="text1"/>
          <w:sz w:val="24"/>
          <w:szCs w:val="24"/>
        </w:rPr>
        <w:t>Souhrnná míra využití neinvestičních a investičních peněžních prostředků na vybraných rozpočtových položkách</w:t>
      </w:r>
      <w:r>
        <w:rPr>
          <w:rStyle w:val="Znakapoznpodarou"/>
          <w:b/>
          <w:i w:val="0"/>
          <w:color w:val="000000" w:themeColor="text1"/>
          <w:sz w:val="24"/>
          <w:szCs w:val="24"/>
        </w:rPr>
        <w:footnoteReference w:id="13"/>
      </w:r>
      <w:r>
        <w:rPr>
          <w:b/>
          <w:i w:val="0"/>
          <w:color w:val="000000" w:themeColor="text1"/>
          <w:sz w:val="24"/>
          <w:szCs w:val="24"/>
        </w:rPr>
        <w:t xml:space="preserve"> v kapitole 336 v letech 2016–202</w:t>
      </w:r>
      <w:r w:rsidR="005A3B69">
        <w:rPr>
          <w:b/>
          <w:i w:val="0"/>
          <w:color w:val="000000" w:themeColor="text1"/>
          <w:sz w:val="24"/>
          <w:szCs w:val="24"/>
        </w:rPr>
        <w:t>1</w:t>
      </w:r>
    </w:p>
    <w:p w14:paraId="01BAF0C7" w14:textId="349A1476" w:rsidR="00C637B2" w:rsidRDefault="00EA0DC5" w:rsidP="00EA0DC5">
      <w:pPr>
        <w:keepNext/>
        <w:tabs>
          <w:tab w:val="left" w:pos="1276"/>
          <w:tab w:val="left" w:pos="6096"/>
        </w:tabs>
        <w:spacing w:after="0"/>
        <w:rPr>
          <w:szCs w:val="24"/>
        </w:rPr>
      </w:pPr>
      <w:r>
        <w:rPr>
          <w:noProof/>
        </w:rPr>
        <w:drawing>
          <wp:inline distT="0" distB="0" distL="0" distR="0" wp14:anchorId="160FCBF6" wp14:editId="585A3A79">
            <wp:extent cx="5759450" cy="4061460"/>
            <wp:effectExtent l="0" t="0" r="0" b="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D58D91F8-14AF-435C-ADAF-4BF42A4341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BB3AC40" w14:textId="555E8946" w:rsidR="00C637B2" w:rsidRDefault="00C637B2" w:rsidP="00C637B2">
      <w:pPr>
        <w:rPr>
          <w:rFonts w:cs="Calibri"/>
          <w:sz w:val="20"/>
          <w:szCs w:val="20"/>
        </w:rPr>
      </w:pPr>
      <w:r w:rsidRPr="00450BD0">
        <w:rPr>
          <w:rFonts w:cs="Calibri"/>
          <w:b/>
          <w:sz w:val="20"/>
          <w:szCs w:val="20"/>
        </w:rPr>
        <w:t>Zdroj:</w:t>
      </w:r>
      <w:r>
        <w:rPr>
          <w:rFonts w:cs="Calibri"/>
          <w:sz w:val="20"/>
          <w:szCs w:val="20"/>
        </w:rPr>
        <w:t xml:space="preserve"> IISSP, </w:t>
      </w:r>
      <w:r w:rsidR="004611B8">
        <w:rPr>
          <w:rFonts w:cs="Calibri"/>
          <w:sz w:val="20"/>
          <w:szCs w:val="20"/>
        </w:rPr>
        <w:t>data aktuální ke dni</w:t>
      </w:r>
      <w:r>
        <w:rPr>
          <w:rFonts w:cs="Calibri"/>
          <w:sz w:val="20"/>
          <w:szCs w:val="20"/>
        </w:rPr>
        <w:t xml:space="preserve"> 21. 6. 2022; vlastní zpracování</w:t>
      </w:r>
      <w:r w:rsidR="004611B8">
        <w:rPr>
          <w:rFonts w:cs="Calibri"/>
          <w:sz w:val="20"/>
          <w:szCs w:val="20"/>
        </w:rPr>
        <w:t xml:space="preserve"> NKÚ</w:t>
      </w:r>
      <w:r w:rsidR="00450BD0">
        <w:rPr>
          <w:rFonts w:cs="Calibri"/>
          <w:sz w:val="20"/>
          <w:szCs w:val="20"/>
        </w:rPr>
        <w:t>.</w:t>
      </w:r>
    </w:p>
    <w:p w14:paraId="36E408AA" w14:textId="3702372A" w:rsidR="009A10BF" w:rsidRDefault="0070353B" w:rsidP="00C637B2">
      <w:r>
        <w:t xml:space="preserve">Konkrétním příkladem </w:t>
      </w:r>
      <w:r w:rsidR="004611B8">
        <w:t>může být např.</w:t>
      </w:r>
      <w:r>
        <w:t xml:space="preserve"> projekt </w:t>
      </w:r>
      <w:proofErr w:type="spellStart"/>
      <w:r>
        <w:t>eISIR</w:t>
      </w:r>
      <w:proofErr w:type="spellEnd"/>
      <w:r w:rsidR="00183558">
        <w:t xml:space="preserve">, který měl </w:t>
      </w:r>
      <w:r>
        <w:t xml:space="preserve">oproti původnímu plánu téměř tříleté zpoždění, což se </w:t>
      </w:r>
      <w:r w:rsidR="004611B8">
        <w:t>projevilo</w:t>
      </w:r>
      <w:r>
        <w:t xml:space="preserve"> v</w:t>
      </w:r>
      <w:r w:rsidR="00E2460F">
        <w:t xml:space="preserve"> </w:t>
      </w:r>
      <w:r>
        <w:t xml:space="preserve">objemu profilujících </w:t>
      </w:r>
      <w:r w:rsidR="00C75E94">
        <w:t>nároků z nespotřebovaných výdajů (dále také „</w:t>
      </w:r>
      <w:r w:rsidR="007D2EBC">
        <w:t>NNV</w:t>
      </w:r>
      <w:r w:rsidR="00C75E94">
        <w:t>“)</w:t>
      </w:r>
      <w:r>
        <w:t>. Tyto nároky tvořily jen na rozpočtové položce 6111 přes 45,4</w:t>
      </w:r>
      <w:r w:rsidR="0019145B">
        <w:t> </w:t>
      </w:r>
      <w:r>
        <w:t>mil.</w:t>
      </w:r>
      <w:r w:rsidR="0019145B">
        <w:t> </w:t>
      </w:r>
      <w:r>
        <w:t>Kč k poslední</w:t>
      </w:r>
      <w:r w:rsidR="008C5F48">
        <w:t>mu</w:t>
      </w:r>
      <w:r>
        <w:t xml:space="preserve"> dni běžného roku 2018. O</w:t>
      </w:r>
      <w:r w:rsidR="0019145B">
        <w:t xml:space="preserve"> </w:t>
      </w:r>
      <w:r>
        <w:t xml:space="preserve">dva roky později (2020) tvořily profilující NNV u </w:t>
      </w:r>
      <w:r w:rsidR="007D2EBC">
        <w:t>tohoto projektu</w:t>
      </w:r>
      <w:r>
        <w:t xml:space="preserve"> na rozpočtové položce 6111 téměř 190 mil. Kč. V t</w:t>
      </w:r>
      <w:r w:rsidR="0019145B">
        <w:t>omtéž</w:t>
      </w:r>
      <w:r>
        <w:t xml:space="preserve"> roce sice došlo k</w:t>
      </w:r>
      <w:r w:rsidR="00157115">
        <w:t xml:space="preserve"> </w:t>
      </w:r>
      <w:r>
        <w:t xml:space="preserve">zapojení NNV dle </w:t>
      </w:r>
      <w:r w:rsidR="00BB052A">
        <w:t xml:space="preserve">ustanovení </w:t>
      </w:r>
      <w:r>
        <w:t>§ 47 rozpočtových pravidel</w:t>
      </w:r>
      <w:r>
        <w:rPr>
          <w:rStyle w:val="Znakapoznpodarou"/>
        </w:rPr>
        <w:footnoteReference w:id="14"/>
      </w:r>
      <w:r>
        <w:t xml:space="preserve"> ve výši 2,571</w:t>
      </w:r>
      <w:r w:rsidR="00756D6A">
        <w:t> </w:t>
      </w:r>
      <w:r>
        <w:t>mil.</w:t>
      </w:r>
      <w:r w:rsidR="00756D6A">
        <w:t> </w:t>
      </w:r>
      <w:r>
        <w:t xml:space="preserve">Kč v souvislosti s realizací VZ </w:t>
      </w:r>
      <w:r>
        <w:rPr>
          <w:i/>
          <w:lang w:eastAsia="cs-CZ"/>
        </w:rPr>
        <w:t>Ministerstvo spravedlnosti – Generátor náhodného přidělení</w:t>
      </w:r>
      <w:r>
        <w:rPr>
          <w:lang w:eastAsia="cs-CZ"/>
        </w:rPr>
        <w:t xml:space="preserve">, </w:t>
      </w:r>
      <w:r w:rsidR="0019145B">
        <w:rPr>
          <w:lang w:eastAsia="cs-CZ"/>
        </w:rPr>
        <w:t xml:space="preserve">avšak </w:t>
      </w:r>
      <w:r>
        <w:rPr>
          <w:lang w:eastAsia="cs-CZ"/>
        </w:rPr>
        <w:t>v celkovém objemu NNV u tohoto projektu se jednalo o</w:t>
      </w:r>
      <w:r w:rsidR="00157115">
        <w:rPr>
          <w:lang w:eastAsia="cs-CZ"/>
        </w:rPr>
        <w:t xml:space="preserve"> </w:t>
      </w:r>
      <w:r>
        <w:rPr>
          <w:lang w:eastAsia="cs-CZ"/>
        </w:rPr>
        <w:t>zanedbatelnou částku</w:t>
      </w:r>
      <w:r>
        <w:t xml:space="preserve">. K poslednímu dni běžného roku 2021 výše NNV za celou akci dosáhla </w:t>
      </w:r>
      <w:r w:rsidR="00E51FB2">
        <w:rPr>
          <w:lang w:eastAsia="cs-CZ"/>
        </w:rPr>
        <w:t>215</w:t>
      </w:r>
      <w:r w:rsidR="004E2F8F">
        <w:rPr>
          <w:lang w:eastAsia="cs-CZ"/>
        </w:rPr>
        <w:t>,</w:t>
      </w:r>
      <w:r w:rsidR="00E51FB2">
        <w:rPr>
          <w:lang w:eastAsia="cs-CZ"/>
        </w:rPr>
        <w:t>8</w:t>
      </w:r>
      <w:r w:rsidR="004E2F8F">
        <w:rPr>
          <w:lang w:eastAsia="cs-CZ"/>
        </w:rPr>
        <w:t xml:space="preserve"> mil. </w:t>
      </w:r>
      <w:r>
        <w:t>Kč.</w:t>
      </w:r>
    </w:p>
    <w:p w14:paraId="34FAF648" w14:textId="77777777" w:rsidR="00E2460F" w:rsidRDefault="00E2460F">
      <w:pPr>
        <w:spacing w:after="160" w:line="259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14A75EFF" w14:textId="43D3F215" w:rsidR="006970DD" w:rsidRPr="004C6B91" w:rsidRDefault="00762A7D" w:rsidP="00E2460F">
      <w:pPr>
        <w:spacing w:before="480"/>
        <w:rPr>
          <w:b/>
          <w:szCs w:val="24"/>
        </w:rPr>
      </w:pPr>
      <w:r w:rsidRPr="004C6B91">
        <w:rPr>
          <w:b/>
          <w:szCs w:val="24"/>
        </w:rPr>
        <w:lastRenderedPageBreak/>
        <w:t>Seznam zkratek</w:t>
      </w:r>
    </w:p>
    <w:p w14:paraId="73F41C19" w14:textId="4D3914C9" w:rsidR="00653B2A" w:rsidRPr="00982913" w:rsidRDefault="00653B2A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AIS PMS</w:t>
      </w:r>
      <w:r w:rsidRPr="00982913">
        <w:rPr>
          <w:sz w:val="22"/>
        </w:rPr>
        <w:tab/>
      </w:r>
      <w:proofErr w:type="spellStart"/>
      <w:r w:rsidR="0019145B" w:rsidRPr="00982913">
        <w:rPr>
          <w:sz w:val="22"/>
        </w:rPr>
        <w:t>a</w:t>
      </w:r>
      <w:r w:rsidRPr="00982913">
        <w:rPr>
          <w:sz w:val="22"/>
        </w:rPr>
        <w:t>gendový</w:t>
      </w:r>
      <w:proofErr w:type="spellEnd"/>
      <w:r w:rsidRPr="00982913">
        <w:rPr>
          <w:sz w:val="22"/>
        </w:rPr>
        <w:t xml:space="preserve"> informační systém Probační a mediační služby</w:t>
      </w:r>
    </w:p>
    <w:p w14:paraId="76E6E583" w14:textId="0404E454" w:rsidR="00A96924" w:rsidRPr="00982913" w:rsidRDefault="00A96924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CZV</w:t>
      </w:r>
      <w:r w:rsidRPr="00982913">
        <w:rPr>
          <w:sz w:val="22"/>
        </w:rPr>
        <w:tab/>
        <w:t>celkové způsobilé výdaje</w:t>
      </w:r>
    </w:p>
    <w:p w14:paraId="653669D6" w14:textId="20823C9F" w:rsidR="0019145B" w:rsidRDefault="0019145B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DPH</w:t>
      </w:r>
      <w:r w:rsidRPr="00982913">
        <w:rPr>
          <w:sz w:val="22"/>
        </w:rPr>
        <w:tab/>
        <w:t>daň z přidané hodnoty</w:t>
      </w:r>
    </w:p>
    <w:p w14:paraId="547936C1" w14:textId="77777777" w:rsidR="006112CC" w:rsidRPr="00982913" w:rsidRDefault="006112CC" w:rsidP="00E2460F">
      <w:pPr>
        <w:tabs>
          <w:tab w:val="left" w:pos="3544"/>
        </w:tabs>
        <w:rPr>
          <w:sz w:val="22"/>
        </w:rPr>
      </w:pPr>
      <w:proofErr w:type="spellStart"/>
      <w:r>
        <w:rPr>
          <w:sz w:val="22"/>
        </w:rPr>
        <w:t>eISIR</w:t>
      </w:r>
      <w:proofErr w:type="spellEnd"/>
      <w:r>
        <w:rPr>
          <w:sz w:val="22"/>
        </w:rPr>
        <w:tab/>
        <w:t>elektronický informační systém insolvenčního rejstříku</w:t>
      </w:r>
    </w:p>
    <w:p w14:paraId="12FFCB4D" w14:textId="77777777" w:rsidR="00A96924" w:rsidRPr="00982913" w:rsidRDefault="00A96924" w:rsidP="00E2460F">
      <w:pPr>
        <w:tabs>
          <w:tab w:val="left" w:pos="3544"/>
        </w:tabs>
        <w:rPr>
          <w:sz w:val="22"/>
        </w:rPr>
      </w:pPr>
      <w:proofErr w:type="spellStart"/>
      <w:r w:rsidRPr="00982913">
        <w:rPr>
          <w:sz w:val="22"/>
        </w:rPr>
        <w:t>eJustice</w:t>
      </w:r>
      <w:proofErr w:type="spellEnd"/>
      <w:r w:rsidRPr="00982913">
        <w:rPr>
          <w:sz w:val="22"/>
        </w:rPr>
        <w:tab/>
        <w:t>elektronizace justice</w:t>
      </w:r>
    </w:p>
    <w:p w14:paraId="7A27146C" w14:textId="21DF4660" w:rsidR="00A96924" w:rsidRPr="00982913" w:rsidRDefault="00A96924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EMS</w:t>
      </w:r>
      <w:r w:rsidRPr="00982913">
        <w:rPr>
          <w:sz w:val="22"/>
        </w:rPr>
        <w:tab/>
      </w:r>
      <w:r w:rsidR="0019145B" w:rsidRPr="00982913">
        <w:rPr>
          <w:sz w:val="22"/>
        </w:rPr>
        <w:t>e</w:t>
      </w:r>
      <w:r w:rsidRPr="00982913">
        <w:rPr>
          <w:sz w:val="22"/>
        </w:rPr>
        <w:t>lektronický monitorovací systém</w:t>
      </w:r>
    </w:p>
    <w:p w14:paraId="48477011" w14:textId="77777777" w:rsidR="00A96924" w:rsidRPr="00982913" w:rsidRDefault="00A96924" w:rsidP="00E2460F">
      <w:pPr>
        <w:tabs>
          <w:tab w:val="left" w:pos="3544"/>
        </w:tabs>
        <w:rPr>
          <w:sz w:val="22"/>
        </w:rPr>
      </w:pPr>
      <w:proofErr w:type="spellStart"/>
      <w:r w:rsidRPr="00982913">
        <w:rPr>
          <w:sz w:val="22"/>
        </w:rPr>
        <w:t>eSpis</w:t>
      </w:r>
      <w:proofErr w:type="spellEnd"/>
      <w:r w:rsidRPr="00982913">
        <w:rPr>
          <w:sz w:val="22"/>
        </w:rPr>
        <w:tab/>
        <w:t>elektronický systém spisové služby</w:t>
      </w:r>
    </w:p>
    <w:p w14:paraId="77A30753" w14:textId="77777777" w:rsidR="00A96924" w:rsidRPr="00982913" w:rsidRDefault="00A96924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EU</w:t>
      </w:r>
      <w:r w:rsidRPr="00982913">
        <w:rPr>
          <w:sz w:val="22"/>
        </w:rPr>
        <w:tab/>
        <w:t>Evropská unie</w:t>
      </w:r>
    </w:p>
    <w:p w14:paraId="445D0279" w14:textId="77777777" w:rsidR="00BB3DE2" w:rsidRPr="00982913" w:rsidRDefault="00BB3DE2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ICT</w:t>
      </w:r>
      <w:r w:rsidRPr="00982913">
        <w:rPr>
          <w:sz w:val="22"/>
        </w:rPr>
        <w:tab/>
        <w:t>informační a komunikační technologie</w:t>
      </w:r>
    </w:p>
    <w:p w14:paraId="3F34B798" w14:textId="0D9BA52C" w:rsidR="00A96924" w:rsidRPr="00982913" w:rsidRDefault="00A96924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IISSP</w:t>
      </w:r>
      <w:r w:rsidRPr="00982913">
        <w:rPr>
          <w:sz w:val="22"/>
        </w:rPr>
        <w:tab/>
      </w:r>
      <w:r w:rsidRPr="00982913">
        <w:rPr>
          <w:i/>
          <w:sz w:val="22"/>
        </w:rPr>
        <w:t>Integrovaný informační systém Státní pokladn</w:t>
      </w:r>
      <w:r w:rsidR="0013791A" w:rsidRPr="00982913">
        <w:rPr>
          <w:i/>
          <w:sz w:val="22"/>
        </w:rPr>
        <w:t>y</w:t>
      </w:r>
    </w:p>
    <w:p w14:paraId="647421AD" w14:textId="271C49B9" w:rsidR="00A96924" w:rsidRPr="00982913" w:rsidRDefault="00A96924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 xml:space="preserve">IK </w:t>
      </w:r>
      <w:proofErr w:type="spellStart"/>
      <w:r w:rsidRPr="00982913">
        <w:rPr>
          <w:sz w:val="22"/>
        </w:rPr>
        <w:t>MSp</w:t>
      </w:r>
      <w:proofErr w:type="spellEnd"/>
      <w:r w:rsidRPr="00982913">
        <w:rPr>
          <w:sz w:val="22"/>
        </w:rPr>
        <w:tab/>
      </w:r>
      <w:r w:rsidR="0019145B" w:rsidRPr="00982913">
        <w:rPr>
          <w:sz w:val="22"/>
        </w:rPr>
        <w:t>i</w:t>
      </w:r>
      <w:r w:rsidRPr="00982913">
        <w:rPr>
          <w:sz w:val="22"/>
        </w:rPr>
        <w:t>nformační koncepce Ministerstva spravedlnosti</w:t>
      </w:r>
    </w:p>
    <w:p w14:paraId="563CD36C" w14:textId="5859C7DB" w:rsidR="00BB3DE2" w:rsidRDefault="00BB3DE2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IS</w:t>
      </w:r>
      <w:r w:rsidRPr="00982913">
        <w:rPr>
          <w:sz w:val="22"/>
        </w:rPr>
        <w:tab/>
        <w:t>informační systém(y)</w:t>
      </w:r>
    </w:p>
    <w:p w14:paraId="7687AD73" w14:textId="59AA2457" w:rsidR="00073893" w:rsidRPr="00982913" w:rsidRDefault="00073893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JAAS</w:t>
      </w:r>
      <w:r w:rsidRPr="00982913">
        <w:rPr>
          <w:sz w:val="22"/>
        </w:rPr>
        <w:tab/>
      </w:r>
      <w:r w:rsidR="0019145B" w:rsidRPr="00982913">
        <w:rPr>
          <w:sz w:val="22"/>
        </w:rPr>
        <w:t>j</w:t>
      </w:r>
      <w:r w:rsidRPr="00982913">
        <w:rPr>
          <w:sz w:val="22"/>
        </w:rPr>
        <w:t xml:space="preserve">ustiční </w:t>
      </w:r>
      <w:r w:rsidR="0019145B" w:rsidRPr="00982913">
        <w:rPr>
          <w:sz w:val="22"/>
        </w:rPr>
        <w:t>a</w:t>
      </w:r>
      <w:r w:rsidRPr="00982913">
        <w:rPr>
          <w:sz w:val="22"/>
        </w:rPr>
        <w:t xml:space="preserve">utentizační a </w:t>
      </w:r>
      <w:r w:rsidR="0019145B" w:rsidRPr="00982913">
        <w:rPr>
          <w:sz w:val="22"/>
        </w:rPr>
        <w:t>a</w:t>
      </w:r>
      <w:r w:rsidRPr="00982913">
        <w:rPr>
          <w:sz w:val="22"/>
        </w:rPr>
        <w:t xml:space="preserve">utorizační </w:t>
      </w:r>
      <w:r w:rsidR="0019145B" w:rsidRPr="00982913">
        <w:rPr>
          <w:sz w:val="22"/>
        </w:rPr>
        <w:t>s</w:t>
      </w:r>
      <w:r w:rsidRPr="00982913">
        <w:rPr>
          <w:sz w:val="22"/>
        </w:rPr>
        <w:t>lužba</w:t>
      </w:r>
    </w:p>
    <w:p w14:paraId="66198173" w14:textId="43BBF48E" w:rsidR="0019145B" w:rsidRPr="00982913" w:rsidRDefault="0019145B" w:rsidP="00E2460F">
      <w:pPr>
        <w:tabs>
          <w:tab w:val="left" w:pos="3544"/>
        </w:tabs>
        <w:jc w:val="left"/>
        <w:rPr>
          <w:sz w:val="22"/>
        </w:rPr>
      </w:pPr>
      <w:r w:rsidRPr="00982913">
        <w:rPr>
          <w:sz w:val="22"/>
        </w:rPr>
        <w:t>kapitola 336</w:t>
      </w:r>
      <w:r w:rsidRPr="00982913">
        <w:rPr>
          <w:sz w:val="22"/>
        </w:rPr>
        <w:tab/>
        <w:t xml:space="preserve">kapitola státního rozpočtu 336 – </w:t>
      </w:r>
      <w:r w:rsidRPr="00982913">
        <w:rPr>
          <w:i/>
          <w:sz w:val="22"/>
        </w:rPr>
        <w:t>Ministerstvo spravedlnosti</w:t>
      </w:r>
    </w:p>
    <w:p w14:paraId="4E15FF1A" w14:textId="77777777" w:rsidR="00413CE8" w:rsidRPr="00982913" w:rsidRDefault="00413CE8" w:rsidP="00E2460F">
      <w:pPr>
        <w:tabs>
          <w:tab w:val="left" w:pos="3544"/>
        </w:tabs>
        <w:rPr>
          <w:sz w:val="22"/>
        </w:rPr>
      </w:pPr>
      <w:proofErr w:type="spellStart"/>
      <w:r w:rsidRPr="00982913">
        <w:rPr>
          <w:sz w:val="22"/>
        </w:rPr>
        <w:t>MSp</w:t>
      </w:r>
      <w:proofErr w:type="spellEnd"/>
      <w:r w:rsidRPr="00982913">
        <w:rPr>
          <w:sz w:val="22"/>
        </w:rPr>
        <w:tab/>
        <w:t>Ministerstvo spravedlnosti</w:t>
      </w:r>
    </w:p>
    <w:p w14:paraId="3CE858B2" w14:textId="77777777" w:rsidR="00BB3DE2" w:rsidRPr="00982913" w:rsidRDefault="00BB3DE2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NKÚ</w:t>
      </w:r>
      <w:r w:rsidRPr="00982913">
        <w:rPr>
          <w:sz w:val="22"/>
        </w:rPr>
        <w:tab/>
        <w:t>Nejvyšší kontrolní úřad</w:t>
      </w:r>
    </w:p>
    <w:p w14:paraId="389F6CBF" w14:textId="77777777" w:rsidR="00A96924" w:rsidRPr="00982913" w:rsidRDefault="00A96924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NNV</w:t>
      </w:r>
      <w:r w:rsidRPr="00982913">
        <w:rPr>
          <w:sz w:val="22"/>
        </w:rPr>
        <w:tab/>
        <w:t>nároky z nespotřebovaných výdajů</w:t>
      </w:r>
    </w:p>
    <w:p w14:paraId="23A1B46D" w14:textId="404A82FC" w:rsidR="00F1253E" w:rsidRPr="00982913" w:rsidRDefault="00413CE8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PMS</w:t>
      </w:r>
      <w:r w:rsidRPr="00982913">
        <w:rPr>
          <w:sz w:val="22"/>
        </w:rPr>
        <w:tab/>
        <w:t>Probační a mediační služba</w:t>
      </w:r>
    </w:p>
    <w:p w14:paraId="27C67BA5" w14:textId="7E2D5423" w:rsidR="00F1253E" w:rsidRPr="00982913" w:rsidRDefault="00A96924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 xml:space="preserve">projekt </w:t>
      </w:r>
      <w:proofErr w:type="spellStart"/>
      <w:r w:rsidRPr="00982913">
        <w:rPr>
          <w:sz w:val="22"/>
        </w:rPr>
        <w:t>eISIR</w:t>
      </w:r>
      <w:proofErr w:type="spellEnd"/>
      <w:r w:rsidRPr="00982913">
        <w:rPr>
          <w:sz w:val="22"/>
        </w:rPr>
        <w:tab/>
        <w:t xml:space="preserve">projekt </w:t>
      </w:r>
      <w:proofErr w:type="spellStart"/>
      <w:r w:rsidRPr="00982913">
        <w:rPr>
          <w:i/>
          <w:sz w:val="22"/>
        </w:rPr>
        <w:t>eJustice</w:t>
      </w:r>
      <w:proofErr w:type="spellEnd"/>
      <w:r w:rsidRPr="00982913">
        <w:rPr>
          <w:i/>
          <w:sz w:val="22"/>
        </w:rPr>
        <w:t xml:space="preserve"> 2020 – část </w:t>
      </w:r>
      <w:proofErr w:type="spellStart"/>
      <w:r w:rsidRPr="00982913">
        <w:rPr>
          <w:i/>
          <w:sz w:val="22"/>
        </w:rPr>
        <w:t>eISIR</w:t>
      </w:r>
      <w:proofErr w:type="spellEnd"/>
    </w:p>
    <w:p w14:paraId="4ECC3C10" w14:textId="77777777" w:rsidR="00BB3DE2" w:rsidRPr="00982913" w:rsidRDefault="00BB3DE2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 xml:space="preserve">Strategie </w:t>
      </w:r>
      <w:proofErr w:type="spellStart"/>
      <w:r w:rsidRPr="00982913">
        <w:rPr>
          <w:sz w:val="22"/>
        </w:rPr>
        <w:t>eJustice</w:t>
      </w:r>
      <w:proofErr w:type="spellEnd"/>
      <w:r w:rsidRPr="00982913">
        <w:rPr>
          <w:sz w:val="22"/>
        </w:rPr>
        <w:tab/>
      </w:r>
      <w:r w:rsidRPr="00982913">
        <w:rPr>
          <w:i/>
          <w:sz w:val="22"/>
        </w:rPr>
        <w:t xml:space="preserve">Resortní strategie pro rozvoj </w:t>
      </w:r>
      <w:proofErr w:type="spellStart"/>
      <w:r w:rsidRPr="00982913">
        <w:rPr>
          <w:i/>
          <w:sz w:val="22"/>
        </w:rPr>
        <w:t>eJustice</w:t>
      </w:r>
      <w:proofErr w:type="spellEnd"/>
      <w:r w:rsidRPr="00982913">
        <w:rPr>
          <w:i/>
          <w:sz w:val="22"/>
        </w:rPr>
        <w:t xml:space="preserve"> 2016–2020</w:t>
      </w:r>
    </w:p>
    <w:p w14:paraId="5CFE4E3C" w14:textId="6F40F4F8" w:rsidR="00A96924" w:rsidRPr="00982913" w:rsidRDefault="00A96924" w:rsidP="00E2460F">
      <w:pPr>
        <w:tabs>
          <w:tab w:val="left" w:pos="3544"/>
        </w:tabs>
        <w:rPr>
          <w:sz w:val="22"/>
        </w:rPr>
      </w:pPr>
      <w:r w:rsidRPr="00982913">
        <w:rPr>
          <w:sz w:val="22"/>
        </w:rPr>
        <w:t>VZ</w:t>
      </w:r>
      <w:r w:rsidRPr="00982913">
        <w:rPr>
          <w:sz w:val="22"/>
        </w:rPr>
        <w:tab/>
        <w:t>veřejná zakázka</w:t>
      </w:r>
      <w:r w:rsidR="0019145B" w:rsidRPr="00982913">
        <w:rPr>
          <w:sz w:val="22"/>
        </w:rPr>
        <w:t xml:space="preserve"> </w:t>
      </w:r>
      <w:r w:rsidRPr="00982913">
        <w:rPr>
          <w:sz w:val="22"/>
        </w:rPr>
        <w:t>(</w:t>
      </w:r>
      <w:r w:rsidR="0019145B" w:rsidRPr="00982913">
        <w:rPr>
          <w:sz w:val="22"/>
        </w:rPr>
        <w:t>veřejné zakázk</w:t>
      </w:r>
      <w:r w:rsidRPr="00982913">
        <w:rPr>
          <w:sz w:val="22"/>
        </w:rPr>
        <w:t>y)</w:t>
      </w:r>
    </w:p>
    <w:p w14:paraId="22882B87" w14:textId="77777777" w:rsidR="00E2460F" w:rsidRDefault="00E2460F" w:rsidP="00E2460F">
      <w:pPr>
        <w:tabs>
          <w:tab w:val="left" w:pos="3544"/>
        </w:tabs>
        <w:spacing w:before="480"/>
        <w:rPr>
          <w:b/>
          <w:szCs w:val="24"/>
        </w:rPr>
      </w:pPr>
    </w:p>
    <w:p w14:paraId="230C4637" w14:textId="6B0B1096" w:rsidR="009F54F5" w:rsidRDefault="009D1F41" w:rsidP="00E2460F">
      <w:pPr>
        <w:tabs>
          <w:tab w:val="left" w:pos="3544"/>
        </w:tabs>
        <w:spacing w:before="480"/>
        <w:rPr>
          <w:b/>
          <w:szCs w:val="24"/>
        </w:rPr>
      </w:pPr>
      <w:r w:rsidRPr="009F54F5">
        <w:rPr>
          <w:b/>
          <w:szCs w:val="24"/>
        </w:rPr>
        <w:t>Seznam příloh</w:t>
      </w:r>
    </w:p>
    <w:p w14:paraId="28EE6D78" w14:textId="54E79188" w:rsidR="00413CE8" w:rsidRPr="00C82E4F" w:rsidRDefault="00C96322" w:rsidP="00E2460F">
      <w:pPr>
        <w:tabs>
          <w:tab w:val="left" w:pos="3544"/>
        </w:tabs>
        <w:rPr>
          <w:sz w:val="22"/>
        </w:rPr>
      </w:pPr>
      <w:r w:rsidRPr="00C82E4F">
        <w:rPr>
          <w:sz w:val="22"/>
        </w:rPr>
        <w:t xml:space="preserve">Příloha </w:t>
      </w:r>
      <w:r w:rsidR="00F1253E" w:rsidRPr="00C82E4F">
        <w:rPr>
          <w:sz w:val="22"/>
        </w:rPr>
        <w:t xml:space="preserve">č. </w:t>
      </w:r>
      <w:r w:rsidRPr="00C82E4F">
        <w:rPr>
          <w:sz w:val="22"/>
        </w:rPr>
        <w:t xml:space="preserve">1: Přehled cílů, aktivit a plnění Strategie </w:t>
      </w:r>
      <w:proofErr w:type="spellStart"/>
      <w:r w:rsidRPr="00C82E4F">
        <w:rPr>
          <w:sz w:val="22"/>
        </w:rPr>
        <w:t>eJustice</w:t>
      </w:r>
      <w:proofErr w:type="spellEnd"/>
    </w:p>
    <w:p w14:paraId="5DEA64FE" w14:textId="32C9BD0A" w:rsidR="00A96924" w:rsidRDefault="00A96924" w:rsidP="00E2460F">
      <w:pPr>
        <w:tabs>
          <w:tab w:val="left" w:pos="3544"/>
        </w:tabs>
        <w:rPr>
          <w:szCs w:val="24"/>
        </w:rPr>
      </w:pPr>
      <w:r w:rsidRPr="00C82E4F">
        <w:rPr>
          <w:sz w:val="22"/>
        </w:rPr>
        <w:t xml:space="preserve">Příloha </w:t>
      </w:r>
      <w:r w:rsidR="00F1253E" w:rsidRPr="00C82E4F">
        <w:rPr>
          <w:sz w:val="22"/>
        </w:rPr>
        <w:t xml:space="preserve">č. </w:t>
      </w:r>
      <w:r w:rsidRPr="00C82E4F">
        <w:rPr>
          <w:sz w:val="22"/>
        </w:rPr>
        <w:t xml:space="preserve">2: Přehled </w:t>
      </w:r>
      <w:r w:rsidR="00CD4C12" w:rsidRPr="00C82E4F">
        <w:rPr>
          <w:sz w:val="22"/>
        </w:rPr>
        <w:t xml:space="preserve">IS </w:t>
      </w:r>
      <w:r w:rsidRPr="00C82E4F">
        <w:rPr>
          <w:sz w:val="22"/>
        </w:rPr>
        <w:t xml:space="preserve">provozovaných </w:t>
      </w:r>
      <w:r w:rsidR="00CD4C12" w:rsidRPr="00C82E4F">
        <w:rPr>
          <w:sz w:val="22"/>
        </w:rPr>
        <w:t>v resortu justice</w:t>
      </w:r>
    </w:p>
    <w:p w14:paraId="6C6D7EFD" w14:textId="77777777" w:rsidR="0017060E" w:rsidRDefault="0017060E" w:rsidP="00413CE8">
      <w:pPr>
        <w:tabs>
          <w:tab w:val="left" w:pos="3544"/>
        </w:tabs>
        <w:rPr>
          <w:szCs w:val="24"/>
        </w:rPr>
        <w:sectPr w:rsidR="0017060E" w:rsidSect="00EE3A2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AB27FED" w14:textId="11B02214" w:rsidR="0017060E" w:rsidRPr="0017060E" w:rsidRDefault="0017060E" w:rsidP="0017060E">
      <w:pPr>
        <w:spacing w:after="0" w:line="259" w:lineRule="auto"/>
        <w:jc w:val="left"/>
        <w:rPr>
          <w:szCs w:val="24"/>
        </w:rPr>
      </w:pPr>
      <w:bookmarkStart w:id="6" w:name="RANGE!A1:H39"/>
      <w:r w:rsidRPr="0017060E">
        <w:rPr>
          <w:rFonts w:eastAsia="Times New Roman" w:cstheme="minorHAnsi"/>
          <w:b/>
          <w:bCs/>
          <w:color w:val="000000"/>
          <w:szCs w:val="24"/>
          <w:lang w:eastAsia="cs-CZ"/>
        </w:rPr>
        <w:lastRenderedPageBreak/>
        <w:t xml:space="preserve">Příloha </w:t>
      </w:r>
      <w:r w:rsidR="003F5738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č. </w:t>
      </w:r>
      <w:r w:rsidRPr="0017060E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1: Přehled cílů, aktivit a plnění Strategie </w:t>
      </w:r>
      <w:proofErr w:type="spellStart"/>
      <w:r w:rsidRPr="0017060E">
        <w:rPr>
          <w:rFonts w:eastAsia="Times New Roman" w:cstheme="minorHAnsi"/>
          <w:b/>
          <w:bCs/>
          <w:color w:val="000000"/>
          <w:szCs w:val="24"/>
          <w:lang w:eastAsia="cs-CZ"/>
        </w:rPr>
        <w:t>eJustice</w:t>
      </w:r>
      <w:bookmarkEnd w:id="6"/>
      <w:proofErr w:type="spellEnd"/>
    </w:p>
    <w:tbl>
      <w:tblPr>
        <w:tblW w:w="144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2835"/>
        <w:gridCol w:w="2835"/>
        <w:gridCol w:w="1050"/>
        <w:gridCol w:w="1275"/>
        <w:gridCol w:w="1276"/>
        <w:gridCol w:w="737"/>
        <w:gridCol w:w="2778"/>
      </w:tblGrid>
      <w:tr w:rsidR="0017060E" w:rsidRPr="0017060E" w14:paraId="5C5A97E4" w14:textId="77777777" w:rsidTr="0017060E">
        <w:trPr>
          <w:trHeight w:val="94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CE27002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Strategický cíl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5EFBD17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Specifický cíl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935F651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Aktivita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6376EE6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Předpoklad dokončení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7A62F7F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Aktualizovaný předpoklad dokončení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D78C89F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Vynaložené peněžní prostředky (v Kč)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DB5390D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Plnění</w:t>
            </w:r>
          </w:p>
        </w:tc>
      </w:tr>
      <w:tr w:rsidR="0017060E" w:rsidRPr="0017060E" w14:paraId="198849BE" w14:textId="77777777" w:rsidTr="0017060E">
        <w:trPr>
          <w:trHeight w:val="1260"/>
        </w:trPr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DC86" w14:textId="39B416F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 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odpořit podmínky pro spravedlivé, zákonné a rychlé rozhodování organizačních složek resortu justice a jejich výkon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BA3B" w14:textId="10423ECB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1.1 Umožnit efektivní a uživatelsky přívětivé vedení spisové služby, které usnadní evidování veškerých potřebných a relevantních údajů a automatizaci opakující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ch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se úkonů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09BB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eSpis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– robustní spisová služba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096E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77CF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188A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45E4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1AE9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Aktivita je plněna v rámci projektu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eISIR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55F6D567" w14:textId="77777777" w:rsidTr="0017060E">
        <w:trPr>
          <w:trHeight w:val="126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C37C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2E2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1.2 Rozšířit implementaci elektronického spisu na další organizační složky justice a do dalších soudních agend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B02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 xml:space="preserve">Sepsání souboru funkčních požadavků na elektronický systém spisové služby dle </w:t>
            </w:r>
            <w:r w:rsidRPr="0017060E">
              <w:rPr>
                <w:rFonts w:eastAsia="Times New Roman" w:cstheme="minorHAnsi"/>
                <w:i/>
                <w:iCs/>
                <w:color w:val="00B050"/>
                <w:sz w:val="18"/>
                <w:szCs w:val="18"/>
                <w:lang w:eastAsia="cs-CZ"/>
              </w:rPr>
              <w:t>Národního standardu pro elektronické systémy spisové služby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E3C4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A0C2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20E" w14:textId="4CE1E3A9" w:rsidR="0017060E" w:rsidRPr="0017060E" w:rsidRDefault="0013791A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ajištěno v rámci interních činností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82D0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00B050"/>
                <w:sz w:val="18"/>
                <w:szCs w:val="18"/>
                <w:lang w:eastAsia="cs-CZ"/>
              </w:rPr>
              <w:t>✔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5A73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060E" w:rsidRPr="0017060E" w14:paraId="59100E8C" w14:textId="77777777" w:rsidTr="0017060E">
        <w:trPr>
          <w:trHeight w:val="66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24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09CF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713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Analýza oběhu dokumentů na soudech a státních zastupitelstvích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8474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4AF4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5360" w14:textId="10E7B3BF" w:rsidR="0017060E" w:rsidRPr="0017060E" w:rsidRDefault="0013791A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ajištěno v rámci interních činností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5089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00B050"/>
                <w:sz w:val="18"/>
                <w:szCs w:val="18"/>
                <w:lang w:eastAsia="cs-CZ"/>
              </w:rPr>
              <w:t>✔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564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060E" w:rsidRPr="0017060E" w14:paraId="7EE7327C" w14:textId="77777777" w:rsidTr="0017060E">
        <w:trPr>
          <w:trHeight w:val="66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257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D98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B4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Založení centra justice (centrální registry, číselníky, seznamy, evidence)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9DC7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BF7A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92D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1 570 580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F37B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9CBF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Aktivita je plněna v rámci projektu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eISIR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681BFF11" w14:textId="77777777" w:rsidTr="0017060E">
        <w:trPr>
          <w:trHeight w:val="69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BCDB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023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1.3 Zajistit dlouhodobou a bezpečnou archivaci dat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997F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Vytvoření digitální spisovny napojené na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eSpis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B40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9658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7D9F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376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046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Aktivita je plněna v rámci projektu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eISIR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440D8BAE" w14:textId="77777777" w:rsidTr="0017060E">
        <w:trPr>
          <w:trHeight w:val="945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0D83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285D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667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stávajících metodických pokynů pro archivaci a skartaci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54D9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C11A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EC17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32E8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AE32" w14:textId="7FA86B59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 souvislosti s plněním aktivity stále probíhají jednání s Ministerstvem vnitra. Zároveň je nutné s plněním aktivity vyčkat na 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vytvoření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eSpis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v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rámci projektu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eISIR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713D604B" w14:textId="77777777" w:rsidTr="0017060E">
        <w:trPr>
          <w:trHeight w:val="1005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20B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F60C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135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Implementace změn a mechanismů generování SIP balíčků ve stávajících justičních systémech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9014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DD4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718D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31DF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765" w14:textId="7B2B2ABE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 plněním aktivity se vyčkává na 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vytvoření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eSpis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v rámci projektu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eISIR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</w:tbl>
    <w:p w14:paraId="5AA41EF2" w14:textId="77777777" w:rsidR="0017060E" w:rsidRPr="0017060E" w:rsidRDefault="0017060E" w:rsidP="0017060E">
      <w:pPr>
        <w:spacing w:after="160" w:line="259" w:lineRule="auto"/>
        <w:jc w:val="left"/>
        <w:rPr>
          <w:sz w:val="22"/>
        </w:rPr>
      </w:pPr>
    </w:p>
    <w:tbl>
      <w:tblPr>
        <w:tblW w:w="144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2835"/>
        <w:gridCol w:w="2835"/>
        <w:gridCol w:w="1050"/>
        <w:gridCol w:w="1275"/>
        <w:gridCol w:w="1276"/>
        <w:gridCol w:w="737"/>
        <w:gridCol w:w="2778"/>
      </w:tblGrid>
      <w:tr w:rsidR="0017060E" w:rsidRPr="0017060E" w14:paraId="04DD201F" w14:textId="77777777" w:rsidTr="0017060E">
        <w:trPr>
          <w:trHeight w:val="66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13F0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B8D9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1.4 Usnadnit získávání informací důležitých pro rozhodnutí ve věci z jiných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agendových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informačních systémů mimo justici a zajistit efektivní interní komunikaci mezi informačními systémy používanými v resortu justice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54CB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Využití služeb vystavených na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eGon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Service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Bus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C23E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9DD7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085D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2 403 989,28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7A8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9FF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 roce 2021 byla sice vybudována komponenta JAAS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cs-CZ"/>
              </w:rPr>
              <w:footnoteReference w:id="15"/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, v době ukončení kontroly ale byla využívána jen v omezeném rozsahu, malým počtem IS.</w:t>
            </w:r>
          </w:p>
        </w:tc>
      </w:tr>
      <w:tr w:rsidR="0017060E" w:rsidRPr="0017060E" w14:paraId="678E9C75" w14:textId="77777777" w:rsidTr="0017060E">
        <w:trPr>
          <w:trHeight w:val="63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E8A1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382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73C6" w14:textId="4213AD24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Implementace 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ustičního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service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bus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63D9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4B67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AAE0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580 800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1F9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C0D" w14:textId="07E60A22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Nebyl realizován projekt 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ustičního servise bus; příslušná VZ se v době ukončení kontroly NKÚ připravovala.</w:t>
            </w:r>
          </w:p>
        </w:tc>
      </w:tr>
      <w:tr w:rsidR="0017060E" w:rsidRPr="0017060E" w14:paraId="1F5786DD" w14:textId="77777777" w:rsidTr="0017060E">
        <w:trPr>
          <w:trHeight w:val="63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174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283F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1.5 Umožnit rychlý průběh soudního jednání (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protokolace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o průběhu jednání a dokazování)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00F4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Projekt hlas-text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B7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8986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D636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AB42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F46B" w14:textId="1F1F7BD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Realizován byl pouze pilotní provoz; pří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lušný projekt byl v době ukončení kontroly NKÚ v přípravě.</w:t>
            </w:r>
          </w:p>
        </w:tc>
      </w:tr>
      <w:tr w:rsidR="0017060E" w:rsidRPr="0017060E" w14:paraId="45A23172" w14:textId="77777777" w:rsidTr="0017060E">
        <w:trPr>
          <w:trHeight w:val="315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8587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838D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ADA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Projekt UŠI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11F8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312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4A6C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186 266 472,19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5D5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00B050"/>
                <w:sz w:val="18"/>
                <w:szCs w:val="18"/>
                <w:lang w:eastAsia="cs-CZ"/>
              </w:rPr>
              <w:t>✔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D2A0" w14:textId="7EBEE90E" w:rsidR="0017060E" w:rsidRPr="0017060E" w:rsidRDefault="003C104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</w:t>
            </w:r>
            <w:r w:rsidR="00182EB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lněno 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 zpožděním</w:t>
            </w:r>
            <w:r w:rsidR="00182EB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74CBDDD2" w14:textId="77777777" w:rsidTr="0017060E">
        <w:trPr>
          <w:trHeight w:val="126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CC6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FA61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1.6 Zavést automatický generátor náhodného přidělení nápadu mezi příslušné soudce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3E37" w14:textId="252205E0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 xml:space="preserve">Projekt generátoru </w:t>
            </w:r>
            <w:r w:rsidR="003C1040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 xml:space="preserve">náhodného </w:t>
            </w: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přidělení (důraz na parametrizaci vstupů)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C229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743C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DBB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2 571 250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5331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00B050"/>
                <w:sz w:val="18"/>
                <w:szCs w:val="18"/>
                <w:lang w:eastAsia="cs-CZ"/>
              </w:rPr>
              <w:t>✔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AD9" w14:textId="15DEB782" w:rsidR="0017060E" w:rsidRPr="0017060E" w:rsidRDefault="003C104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</w:t>
            </w:r>
            <w:r w:rsidR="00182EB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lněno 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 zpožděním</w:t>
            </w:r>
            <w:r w:rsidR="00182EB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br/>
              <w:t>Generátor náhodného přidělení byl sice uveden do provozu, v době ukončení kontroly NKÚ byl ale využíván velmi omezeně, pouze v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insolve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ční agendě.</w:t>
            </w:r>
          </w:p>
        </w:tc>
      </w:tr>
      <w:tr w:rsidR="0017060E" w:rsidRPr="0017060E" w14:paraId="64D4CE98" w14:textId="77777777" w:rsidTr="0017060E">
        <w:trPr>
          <w:trHeight w:val="945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BD1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3814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1.7 Vytvoření rozhraní pro centrální komunikaci s tzv. hybridní poštou (rozšíření stávajícího modelu systémového spojení do jednotného celku)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1742" w14:textId="2548340C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Napojení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eSpis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na hybridní poštu (nutno zahrnout funkcionality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ePo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do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eSpisu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71A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5CB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332C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471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1448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Aktivita je plněna v rámci projektu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eISIR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15F83F07" w14:textId="77777777" w:rsidTr="0017060E">
        <w:trPr>
          <w:trHeight w:val="945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7F26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BE28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1.8 Zajistit elektronický kontrolní systém fyzických osob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C6D7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Projekt EMS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1CCB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66CC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6BCA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11 762 707,35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E964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655" w14:textId="1C32A5E2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Projekt EMS byl sice realizován a sy</w:t>
            </w:r>
            <w:r w:rsidR="0013791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tém nějakou dobu fungoval, v době ukončení kontroly NKÚ byl ale ukončen; zároveň se připravo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ala VZ na zcela nový systém.</w:t>
            </w:r>
          </w:p>
        </w:tc>
      </w:tr>
      <w:tr w:rsidR="0017060E" w:rsidRPr="0017060E" w14:paraId="58F15874" w14:textId="77777777" w:rsidTr="0017060E">
        <w:trPr>
          <w:trHeight w:val="945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A257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E9A8" w14:textId="5E1296A8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1.9 Rozvoj možnosti 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br/>
              <w:t>e-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learningového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vzdělávání v 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ustici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83DD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Založení znalostní báze (wiki)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60BF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BD9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A7D3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1FAB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D10A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Stránka pro znalostní bázi sice byla vytvořena, ale v době ukončení kontroly NKÚ nebyla aktualizována a od jejího dalšího provozu a rozvoje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upustilo.</w:t>
            </w:r>
          </w:p>
        </w:tc>
      </w:tr>
    </w:tbl>
    <w:p w14:paraId="3DDB42AB" w14:textId="77777777" w:rsidR="0017060E" w:rsidRPr="0017060E" w:rsidRDefault="0017060E" w:rsidP="0017060E">
      <w:pPr>
        <w:spacing w:after="160" w:line="259" w:lineRule="auto"/>
        <w:jc w:val="left"/>
        <w:rPr>
          <w:sz w:val="22"/>
        </w:rPr>
      </w:pPr>
      <w:r w:rsidRPr="0017060E">
        <w:rPr>
          <w:sz w:val="22"/>
        </w:rPr>
        <w:br w:type="page"/>
      </w:r>
    </w:p>
    <w:p w14:paraId="1F995C83" w14:textId="77777777" w:rsidR="0017060E" w:rsidRPr="0017060E" w:rsidRDefault="0017060E" w:rsidP="0017060E">
      <w:pPr>
        <w:spacing w:after="160" w:line="259" w:lineRule="auto"/>
        <w:jc w:val="left"/>
        <w:rPr>
          <w:sz w:val="22"/>
        </w:rPr>
      </w:pPr>
    </w:p>
    <w:tbl>
      <w:tblPr>
        <w:tblW w:w="144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2835"/>
        <w:gridCol w:w="2835"/>
        <w:gridCol w:w="1050"/>
        <w:gridCol w:w="1275"/>
        <w:gridCol w:w="1276"/>
        <w:gridCol w:w="737"/>
        <w:gridCol w:w="2778"/>
      </w:tblGrid>
      <w:tr w:rsidR="0017060E" w:rsidRPr="0017060E" w14:paraId="3D0349F8" w14:textId="77777777" w:rsidTr="0017060E">
        <w:trPr>
          <w:trHeight w:val="675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E84" w14:textId="0A2A96C8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 Forma – umožnit snadnou a přívětivou komunikaci s účastníky řízení, veřejností a jinými orgány veřejné moci včetně zkvalitnění a rozšíření rozsahu poskytovaných informací</w:t>
            </w:r>
          </w:p>
          <w:p w14:paraId="6E5FBF3E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9FF0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 Umožnit snadný příjem podání v elektronické podobě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21E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 xml:space="preserve">Vyřešit ověřování kvalifikovaných podpisů na straně </w:t>
            </w:r>
            <w:proofErr w:type="spellStart"/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ePodatelny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09E8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4D1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7DDB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4 373 232,01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22C9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00B050"/>
                <w:sz w:val="18"/>
                <w:szCs w:val="18"/>
                <w:lang w:eastAsia="cs-CZ"/>
              </w:rPr>
              <w:t>✔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45E5" w14:textId="4B37D102" w:rsidR="0017060E" w:rsidRPr="0017060E" w:rsidRDefault="003C104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</w:t>
            </w:r>
            <w:r w:rsidR="00182EB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lněno 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 zpožděním</w:t>
            </w:r>
            <w:r w:rsidR="00182EB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5461F502" w14:textId="77777777" w:rsidTr="0017060E">
        <w:trPr>
          <w:trHeight w:val="94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886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86D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D78" w14:textId="4CDBEC6B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Projekt implementace mechanismů autentizace klienta prostřednictvím elektronick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ého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občansk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ého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průkaz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03DD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50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01C2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80808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sz w:val="18"/>
                <w:szCs w:val="18"/>
                <w:lang w:eastAsia="cs-CZ"/>
              </w:rPr>
              <w:t>2 403 989,28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35C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3BDB" w14:textId="4953C39F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Komponenta JAAS byla sice vybudována v roce 2021, v době ukončení kontroly NKÚ ale byla využívána jen v omezeném rozsahu, malým počtem IS; větší využ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ití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JAAS je podmíněno realizací dalších projektů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eJustice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61243740" w14:textId="77777777" w:rsidTr="0017060E">
        <w:trPr>
          <w:trHeight w:val="126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2D4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2D8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2.2 Umožnit vzdálené nahlížení účastníků do spisu a zvýšit informovanost o průběhu soudního řízení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1A6A" w14:textId="08905553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eSpis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komponenta pro nahlížení do vlastního spisu (autentizace za použití elektronických občanských průkazů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je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pops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ána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u cíle 2.1)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18D8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E31F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EF22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C125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817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Aktivita je plněna v rámci projektu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eISIR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5B1C16AB" w14:textId="77777777" w:rsidTr="0017060E">
        <w:trPr>
          <w:trHeight w:val="69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729C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94C6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2.3 Umožnit a usnadnit bezhotovostní placení soudních poplatků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26B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Posílení meziresortní spolupráce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91B1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FFA7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708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FDD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38CF" w14:textId="0B598BE2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Splnění aktivity a cíle by mělo být řešeno prostřednictvím ce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trální platební brány na úrovni Ministerstva vnitra.</w:t>
            </w:r>
          </w:p>
        </w:tc>
      </w:tr>
      <w:tr w:rsidR="0017060E" w:rsidRPr="0017060E" w14:paraId="4E38EE8D" w14:textId="77777777" w:rsidTr="0017060E">
        <w:trPr>
          <w:trHeight w:val="31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842C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4F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2.4 Umožnit konání jednání či výslechu prostřednictvím videokonference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C733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 xml:space="preserve">Projekt </w:t>
            </w:r>
            <w:r w:rsidRPr="00317D87">
              <w:rPr>
                <w:rFonts w:eastAsia="Times New Roman" w:cstheme="minorHAnsi"/>
                <w:i/>
                <w:color w:val="00B050"/>
                <w:sz w:val="18"/>
                <w:szCs w:val="18"/>
                <w:lang w:eastAsia="cs-CZ"/>
              </w:rPr>
              <w:t>Videokonference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D476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59C2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255E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61 129 617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6255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00B050"/>
                <w:sz w:val="18"/>
                <w:szCs w:val="18"/>
                <w:lang w:eastAsia="cs-CZ"/>
              </w:rPr>
              <w:t>✔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5941" w14:textId="06C203BD" w:rsidR="0017060E" w:rsidRPr="0017060E" w:rsidRDefault="003C104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</w:t>
            </w:r>
            <w:r w:rsidR="00182EB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lněno 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 zpožděním</w:t>
            </w:r>
            <w:r w:rsidR="00182EBF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6769C6C8" w14:textId="77777777" w:rsidTr="0017060E">
        <w:trPr>
          <w:trHeight w:val="60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6C30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6CE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3F9F" w14:textId="5C161664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Integrace řešení do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eSpis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739A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C7AB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B41A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202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BE9F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Splnění aktivity je podmíněno shodou nad platnou právní úpravou; až poté bude možné novelizovat právní úpravu.</w:t>
            </w:r>
          </w:p>
        </w:tc>
      </w:tr>
      <w:tr w:rsidR="0017060E" w:rsidRPr="0017060E" w14:paraId="06E9C7F3" w14:textId="77777777" w:rsidTr="0017060E">
        <w:trPr>
          <w:trHeight w:val="94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CB8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6CC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2.5 Veřejně a přehledně poskytovat údaje o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org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 složkách resortu justice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4183" w14:textId="2426065A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Nový </w:t>
            </w:r>
            <w:r w:rsidR="003C104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ortál justice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3E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AB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B9B2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5 214 446,60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53E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C4BA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sice vytvořilo </w:t>
            </w:r>
            <w:r w:rsidRPr="00317D87">
              <w:rPr>
                <w:rFonts w:eastAsia="Times New Roman" w:cstheme="minorHAnsi"/>
                <w:i/>
                <w:color w:val="000000"/>
                <w:sz w:val="18"/>
                <w:szCs w:val="18"/>
                <w:lang w:eastAsia="cs-CZ"/>
              </w:rPr>
              <w:t>Portál justice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, ten se ale v praxi neosvědčil; trpí celou řadou nedostatků a není uživatelsky přívětivý;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plánuje jeho přebudování v rámci zadání nové VZ.</w:t>
            </w:r>
          </w:p>
        </w:tc>
      </w:tr>
      <w:tr w:rsidR="0017060E" w:rsidRPr="0017060E" w14:paraId="0D453B3E" w14:textId="77777777" w:rsidTr="0017060E">
        <w:trPr>
          <w:trHeight w:val="97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677B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A7FC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4144" w14:textId="7A53856F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Vytvoření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frameworku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pro centrální registry, implementující</w:t>
            </w:r>
            <w:r w:rsidR="006112CC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ho 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mj. knihovny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700E2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 zp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řístup</w:t>
            </w:r>
            <w:r w:rsidR="00700E2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nění</w:t>
            </w:r>
            <w:r w:rsidR="006112CC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údaj</w:t>
            </w:r>
            <w:r w:rsidR="00700E2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ů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veřejnosti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BBED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DFE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3A46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079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88B" w14:textId="67174F68" w:rsidR="0017060E" w:rsidRPr="0017060E" w:rsidRDefault="003C104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říslušný projekt nerealizovalo z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důvodu nedostatečných finančních zdrojů a personálních kapacit.</w:t>
            </w:r>
          </w:p>
        </w:tc>
      </w:tr>
      <w:tr w:rsidR="0017060E" w:rsidRPr="0017060E" w14:paraId="5862F54E" w14:textId="77777777" w:rsidTr="0017060E">
        <w:trPr>
          <w:trHeight w:val="132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7ED5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BE4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2.6 Získávat, zpracovávat a poskytovat široké a přesné statistické údaje o organizačních složkách resortu justice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3DA" w14:textId="62F263DF" w:rsidR="0017060E" w:rsidRPr="0017060E" w:rsidRDefault="006112CC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112CC">
              <w:rPr>
                <w:sz w:val="18"/>
                <w:szCs w:val="18"/>
              </w:rPr>
              <w:t>Proof</w:t>
            </w:r>
            <w:proofErr w:type="spellEnd"/>
            <w:r w:rsidRPr="006112CC">
              <w:rPr>
                <w:sz w:val="18"/>
                <w:szCs w:val="18"/>
              </w:rPr>
              <w:t xml:space="preserve"> </w:t>
            </w:r>
            <w:proofErr w:type="spellStart"/>
            <w:r w:rsidRPr="006112CC">
              <w:rPr>
                <w:sz w:val="18"/>
                <w:szCs w:val="18"/>
              </w:rPr>
              <w:t>of</w:t>
            </w:r>
            <w:proofErr w:type="spellEnd"/>
            <w:r w:rsidRPr="006112CC">
              <w:rPr>
                <w:sz w:val="18"/>
                <w:szCs w:val="18"/>
              </w:rPr>
              <w:t xml:space="preserve"> </w:t>
            </w:r>
            <w:proofErr w:type="spellStart"/>
            <w:r w:rsidRPr="006112CC">
              <w:rPr>
                <w:sz w:val="18"/>
                <w:szCs w:val="18"/>
              </w:rPr>
              <w:t>Concept</w:t>
            </w:r>
            <w:proofErr w:type="spellEnd"/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restrukturalizace datového skladu, implementace moderních nástrojů a stanovení způsobu dokumentování těchto procedur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ECDD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8585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1BD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2 709 190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520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E21A" w14:textId="59CE8F85" w:rsidR="0017060E" w:rsidRPr="0017060E" w:rsidRDefault="00F919E1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říslušný projekt nerealizovalo z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důvodu nedostatečných finančních zdrojů; realizován byl pouze </w:t>
            </w:r>
            <w:proofErr w:type="spellStart"/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proof</w:t>
            </w:r>
            <w:proofErr w:type="spellEnd"/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concept</w:t>
            </w:r>
            <w:proofErr w:type="spellEnd"/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17060E" w:rsidRPr="0017060E" w14:paraId="786B3EDD" w14:textId="77777777" w:rsidTr="0017060E">
        <w:trPr>
          <w:trHeight w:val="130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A6D2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BF4C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DDD" w14:textId="59575E0A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Plná implementace dle výsledků </w:t>
            </w:r>
            <w:proofErr w:type="spellStart"/>
            <w:r w:rsidR="006112CC" w:rsidRPr="006112CC">
              <w:rPr>
                <w:sz w:val="18"/>
                <w:szCs w:val="18"/>
              </w:rPr>
              <w:t>Proof</w:t>
            </w:r>
            <w:proofErr w:type="spellEnd"/>
            <w:r w:rsidR="006112CC" w:rsidRPr="006112CC">
              <w:rPr>
                <w:sz w:val="18"/>
                <w:szCs w:val="18"/>
              </w:rPr>
              <w:t xml:space="preserve"> </w:t>
            </w:r>
            <w:proofErr w:type="spellStart"/>
            <w:r w:rsidR="006112CC" w:rsidRPr="006112CC">
              <w:rPr>
                <w:sz w:val="18"/>
                <w:szCs w:val="18"/>
              </w:rPr>
              <w:t>of</w:t>
            </w:r>
            <w:proofErr w:type="spellEnd"/>
            <w:r w:rsidR="006112CC" w:rsidRPr="006112CC">
              <w:rPr>
                <w:sz w:val="18"/>
                <w:szCs w:val="18"/>
              </w:rPr>
              <w:t xml:space="preserve"> </w:t>
            </w:r>
            <w:proofErr w:type="spellStart"/>
            <w:r w:rsidR="006112CC" w:rsidRPr="006112CC">
              <w:rPr>
                <w:sz w:val="18"/>
                <w:szCs w:val="18"/>
              </w:rPr>
              <w:t>Concept</w:t>
            </w:r>
            <w:proofErr w:type="spellEnd"/>
            <w:r w:rsidR="006112CC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(kompletní pokrytí požadavků justice na publikaci statistických dat a výkazů)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B64C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7898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4A23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28A3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BDF" w14:textId="24D88E3A" w:rsidR="0017060E" w:rsidRPr="0017060E" w:rsidRDefault="00F919E1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říslušný projekt nerealizovalo z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důvodu nedostatečných finančních zdrojů.</w:t>
            </w:r>
          </w:p>
        </w:tc>
      </w:tr>
      <w:tr w:rsidR="0017060E" w:rsidRPr="0017060E" w14:paraId="2B642CEE" w14:textId="77777777" w:rsidTr="0017060E">
        <w:trPr>
          <w:trHeight w:val="100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90DB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030A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2.7 Poskytovat informace o rozhodování soudů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7C89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Vytvoření systému pro sběr a strukturovanou prezentaci soudních rozhodnutí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6ECF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946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669B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47 190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42E5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00B050"/>
                <w:sz w:val="18"/>
                <w:szCs w:val="18"/>
                <w:lang w:eastAsia="cs-CZ"/>
              </w:rPr>
              <w:t>✔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04F7" w14:textId="370DFAE2" w:rsidR="0017060E" w:rsidRPr="0017060E" w:rsidRDefault="00F919E1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lněno se zpožděním.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br/>
              <w:t>Elektronicky zveřejňována jsou nicméně soudní rozhodnutí pouze ve vybraných agendách a pouze u okresních, krajských a vrchních soudů.</w:t>
            </w:r>
          </w:p>
        </w:tc>
      </w:tr>
      <w:tr w:rsidR="0017060E" w:rsidRPr="0017060E" w14:paraId="0778337D" w14:textId="77777777" w:rsidTr="0017060E">
        <w:trPr>
          <w:trHeight w:val="69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DE4" w14:textId="438F5E71" w:rsidR="0017060E" w:rsidRPr="0017060E" w:rsidRDefault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 Technologie, finance a správa – úprava a optimalizace systému technické infrastruktury, financování a údržby informačních systémů a technologií v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justici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122B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 Vytvořit a zavést fungující systém infrastruktury a architektury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DA41" w14:textId="637B71DE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Analýza a popis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Enterprise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architektury justice na všech vrstvách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942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BDAC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63B3" w14:textId="6E26E73F" w:rsidR="0017060E" w:rsidRPr="0017060E" w:rsidRDefault="00182EBF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</w:t>
            </w:r>
            <w:r w:rsidR="0017060E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rámci SKAIPP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9960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DF6C" w14:textId="11CC3AC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 době ukončení kontroly nemělo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zpracovanou a akreditovanou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Enterprise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architekturu.</w:t>
            </w:r>
          </w:p>
        </w:tc>
      </w:tr>
      <w:tr w:rsidR="0017060E" w:rsidRPr="0017060E" w14:paraId="1696A406" w14:textId="77777777" w:rsidTr="00563013">
        <w:trPr>
          <w:trHeight w:val="97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028D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A148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1AA0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Zvýšení zralosti procesu zadávání zakázek ICT a správy budovaných řešení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34C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8F62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759" w14:textId="77777777" w:rsidR="0017060E" w:rsidRPr="0017060E" w:rsidRDefault="0017060E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584" w14:textId="77777777" w:rsidR="0017060E" w:rsidRPr="0017060E" w:rsidRDefault="0017060E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8E07" w14:textId="77777777" w:rsidR="0017060E" w:rsidRPr="0017060E" w:rsidRDefault="0017060E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Zadávání VZ na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je stále problematické.</w:t>
            </w:r>
          </w:p>
        </w:tc>
      </w:tr>
      <w:tr w:rsidR="00685C10" w:rsidRPr="0017060E" w14:paraId="1C5AC806" w14:textId="77777777" w:rsidTr="00563013">
        <w:trPr>
          <w:trHeight w:val="97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28DD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5FFB" w14:textId="4ABEBA30" w:rsidR="00685C10" w:rsidRPr="0017060E" w:rsidRDefault="00685C10" w:rsidP="00685C10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</w:t>
            </w:r>
            <w:r w:rsidRPr="00563013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Vytvořit fungující správu a údržbu informačních systémů a technologií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4C7" w14:textId="65823FB0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Rozšíření možností centrální správy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UNIXového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prostředí pro potřeby aplikací </w:t>
            </w:r>
            <w:r w:rsidR="00C9093C" w:rsidRPr="00317D87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</w:t>
            </w:r>
            <w:r w:rsidRPr="00C9093C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entra justice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52E8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53D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DF86" w14:textId="77777777" w:rsidR="00685C10" w:rsidRPr="0017060E" w:rsidRDefault="00685C10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F3C5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891D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od realizace aktivity ustoupilo z důvodu nedostatečných personálních kapacit.</w:t>
            </w:r>
          </w:p>
        </w:tc>
      </w:tr>
      <w:tr w:rsidR="00685C10" w:rsidRPr="0017060E" w14:paraId="0BE95219" w14:textId="77777777" w:rsidTr="00563013">
        <w:trPr>
          <w:trHeight w:val="66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4147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3C59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054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Zavedení procesů správy a údržby existujících řešení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32DF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4C03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F02" w14:textId="77777777" w:rsidR="00685C10" w:rsidRPr="0017060E" w:rsidRDefault="00685C10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30E2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0791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 době ukončení kontroly nemělo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zpracovanou a akreditovanou IK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; nové rozdělení kompetencí v praxi nefunguje.</w:t>
            </w:r>
          </w:p>
        </w:tc>
      </w:tr>
      <w:tr w:rsidR="00685C10" w:rsidRPr="0017060E" w14:paraId="7FC379E5" w14:textId="77777777" w:rsidTr="00685C10">
        <w:trPr>
          <w:trHeight w:val="94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30DF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FCC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2535" w14:textId="77777777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SKAIPP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42C3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AE1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43FC" w14:textId="77777777" w:rsidR="00685C10" w:rsidRPr="0017060E" w:rsidRDefault="00685C10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39 133 847,83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0A1E" w14:textId="77777777" w:rsidR="00685C10" w:rsidRPr="0017060E" w:rsidRDefault="00685C10" w:rsidP="001706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E621" w14:textId="2D16115F" w:rsidR="00685C10" w:rsidRPr="0017060E" w:rsidRDefault="00685C10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Spolupráce se Státní pokladnou Centrem sdílených služeb, s. p., není efektivní; hlavní výstupy spolupráce nebyly do doby ukončení kontroly zpracovány.</w:t>
            </w:r>
          </w:p>
        </w:tc>
      </w:tr>
      <w:tr w:rsidR="00563013" w:rsidRPr="0017060E" w14:paraId="5E681EC3" w14:textId="77777777" w:rsidTr="00685C10">
        <w:trPr>
          <w:trHeight w:val="708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3A7E" w14:textId="77777777" w:rsidR="00563013" w:rsidRPr="0017060E" w:rsidRDefault="00563013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BA82" w14:textId="77777777" w:rsidR="00563013" w:rsidRPr="0017060E" w:rsidRDefault="00563013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3DD2AF" w14:textId="42A54333" w:rsidR="00563013" w:rsidRPr="0017060E" w:rsidRDefault="00563013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Nastavení jednotných a závazných pravidel vývoje a integrace v prostředí justiční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ch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ICT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6C06" w14:textId="0095F05E" w:rsidR="00563013" w:rsidRPr="0017060E" w:rsidRDefault="00563013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03F6" w14:textId="246C4E53" w:rsidR="00563013" w:rsidRPr="0017060E" w:rsidRDefault="00563013" w:rsidP="0017060E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D5CFC7" w14:textId="1CA300C4" w:rsidR="00563013" w:rsidRPr="0017060E" w:rsidRDefault="00563013" w:rsidP="0017060E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90F636" w14:textId="46E1F7AA" w:rsidR="00563013" w:rsidRPr="0017060E" w:rsidRDefault="00563013" w:rsidP="0017060E">
            <w:pPr>
              <w:spacing w:after="0"/>
              <w:jc w:val="center"/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424544" w14:textId="51E90CC1" w:rsidR="00563013" w:rsidRPr="0017060E" w:rsidRDefault="00563013" w:rsidP="0017060E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Příslušnou metodiku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v době ukončení kontroly připravovalo; splnění aktivity je podmíněno realizací 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ustičního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servi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bus.</w:t>
            </w:r>
          </w:p>
        </w:tc>
      </w:tr>
      <w:tr w:rsidR="00563013" w:rsidRPr="0017060E" w14:paraId="5BFFD8FD" w14:textId="77777777" w:rsidTr="00563013">
        <w:trPr>
          <w:trHeight w:val="708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18E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9B65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657557" w14:textId="7857535D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Zavedení řídících procesů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69FD" w14:textId="49261C88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F197" w14:textId="56217016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E21029" w14:textId="5BD5DE4C" w:rsidR="00563013" w:rsidRPr="0017060E" w:rsidRDefault="00563013" w:rsidP="00563013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92DABA" w14:textId="36BDEF70" w:rsidR="00563013" w:rsidRPr="0017060E" w:rsidRDefault="00563013" w:rsidP="00563013">
            <w:pPr>
              <w:spacing w:after="0"/>
              <w:jc w:val="center"/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DDBF47" w14:textId="62F791B3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 době ukončení kontroly nemělo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zpracovanou a akreditovanou IK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a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ni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Enterprise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architekturu.</w:t>
            </w:r>
          </w:p>
        </w:tc>
      </w:tr>
      <w:tr w:rsidR="00563013" w:rsidRPr="0017060E" w14:paraId="173DE6A9" w14:textId="77777777" w:rsidTr="00563013">
        <w:trPr>
          <w:trHeight w:val="708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01C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A44E8" w14:textId="77777777" w:rsidR="00563013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3.3 Zajistit bezpečnost informačních systémů a dat</w:t>
            </w:r>
          </w:p>
          <w:p w14:paraId="21078F7F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8AF23" w14:textId="749B3BF3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Projekty SIEM, 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ulnerability management, mobile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device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management a bezpečnostní politiky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ADCD" w14:textId="2B3FA9A1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7462" w14:textId="445B5164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907E17" w14:textId="7E4E433D" w:rsidR="00563013" w:rsidRPr="0017060E" w:rsidRDefault="00563013" w:rsidP="00563013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1 798 943,34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41EB76" w14:textId="1B767A2B" w:rsidR="00563013" w:rsidRPr="0017060E" w:rsidRDefault="00563013" w:rsidP="00563013">
            <w:pPr>
              <w:spacing w:after="0"/>
              <w:jc w:val="center"/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F2BCB2" w14:textId="406EA0E9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 době ukončení kontroly byl v pro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u pouze systém ELISA; 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realizaci 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ostatní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ch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systém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ů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Ministerstvo spravedlnosti 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teprve plánovalo.</w:t>
            </w:r>
          </w:p>
        </w:tc>
      </w:tr>
      <w:tr w:rsidR="00563013" w:rsidRPr="0017060E" w14:paraId="4D2BF3B0" w14:textId="77777777" w:rsidTr="00CA1641">
        <w:trPr>
          <w:trHeight w:val="708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4EE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354E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2DB8D1" w14:textId="78EA9DEC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B050"/>
                <w:sz w:val="18"/>
                <w:szCs w:val="18"/>
                <w:lang w:eastAsia="cs-CZ"/>
              </w:rPr>
              <w:t>Odhalování kybernetických zranitelností nástroji vulnerability managementu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0EB4" w14:textId="5BB96763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F4FE" w14:textId="72C01628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DB99CE" w14:textId="4E1EEA87" w:rsidR="00563013" w:rsidRPr="0017060E" w:rsidRDefault="00563013" w:rsidP="00563013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11 946 414,87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A82C1C" w14:textId="13180966" w:rsidR="00563013" w:rsidRPr="0017060E" w:rsidRDefault="00563013" w:rsidP="00563013">
            <w:pPr>
              <w:spacing w:after="0"/>
              <w:jc w:val="center"/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00B050"/>
                <w:sz w:val="18"/>
                <w:szCs w:val="18"/>
                <w:lang w:eastAsia="cs-CZ"/>
              </w:rPr>
              <w:t>✔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B0F176" w14:textId="519F8DE5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563013" w:rsidRPr="0017060E" w14:paraId="5E498844" w14:textId="77777777" w:rsidTr="00563013">
        <w:trPr>
          <w:trHeight w:val="51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AAA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187F5" w14:textId="1F6BB4BF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8092" w14:textId="270EF4D9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Zabezpečený přístup ke kritickým datům resortu justice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2E38" w14:textId="03D3FA5C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D145" w14:textId="76384082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FD03" w14:textId="670FB80E" w:rsidR="00563013" w:rsidRPr="0017060E" w:rsidRDefault="00563013" w:rsidP="00563013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37B9" w14:textId="6114E29A" w:rsidR="00563013" w:rsidRPr="0017060E" w:rsidRDefault="00563013" w:rsidP="00563013">
            <w:pPr>
              <w:spacing w:after="0"/>
              <w:jc w:val="center"/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BA08" w14:textId="36CC4C5D" w:rsidR="00563013" w:rsidRPr="0017060E" w:rsidRDefault="00F919E1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563013"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říslušný projekt nerealizovalo.</w:t>
            </w:r>
          </w:p>
        </w:tc>
      </w:tr>
      <w:tr w:rsidR="00563013" w:rsidRPr="0017060E" w14:paraId="69E2EBB6" w14:textId="77777777" w:rsidTr="0017060E">
        <w:trPr>
          <w:trHeight w:val="975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29DB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9378" w14:textId="77777777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3.4 Upravit právní a licenční podmínky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56D" w14:textId="7C9B3865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Jednoznačná identifikace duševního vlastnictví přímým článkem ve smlouvě (softwar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ová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919E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oložka)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079" w14:textId="77777777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95E7" w14:textId="77777777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BA2D" w14:textId="77777777" w:rsidR="00563013" w:rsidRPr="0017060E" w:rsidRDefault="00563013" w:rsidP="00563013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228C" w14:textId="77777777" w:rsidR="00563013" w:rsidRPr="0017060E" w:rsidRDefault="00563013" w:rsidP="0056301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7060E">
              <w:rPr>
                <w:rFonts w:ascii="Segoe UI Emoji" w:eastAsia="Times New Roman" w:hAnsi="Segoe UI Emoji" w:cs="Segoe UI Emoji"/>
                <w:b/>
                <w:bCs/>
                <w:color w:val="FF0000"/>
                <w:sz w:val="18"/>
                <w:szCs w:val="18"/>
                <w:lang w:eastAsia="cs-CZ"/>
              </w:rPr>
              <w:t>✖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124E" w14:textId="70495595" w:rsidR="00563013" w:rsidRPr="0017060E" w:rsidRDefault="00563013" w:rsidP="00563013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Licenční ujednání ve prospěch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byla součástí pouze nových ICT smluv; u stávají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cí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ch s</w:t>
            </w:r>
            <w:r w:rsidR="000D45F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</w:t>
            </w:r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luv se </w:t>
            </w:r>
            <w:proofErr w:type="spellStart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MSp</w:t>
            </w:r>
            <w:proofErr w:type="spellEnd"/>
            <w:r w:rsidRPr="0017060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upravit licenční ujednání nepodařilo. V době ukončení kontroly bylo 35 IS (z 59) zatíženo nevyhovujícími ujednáními.</w:t>
            </w:r>
          </w:p>
        </w:tc>
      </w:tr>
    </w:tbl>
    <w:p w14:paraId="417999DB" w14:textId="77777777" w:rsidR="0017060E" w:rsidRPr="0017060E" w:rsidRDefault="0017060E" w:rsidP="0017060E">
      <w:pPr>
        <w:spacing w:after="160" w:line="259" w:lineRule="auto"/>
        <w:jc w:val="left"/>
        <w:rPr>
          <w:b/>
          <w:sz w:val="18"/>
          <w:szCs w:val="18"/>
        </w:rPr>
      </w:pPr>
    </w:p>
    <w:p w14:paraId="33215B4A" w14:textId="77777777" w:rsidR="00685C10" w:rsidRDefault="00685C10" w:rsidP="00413CE8">
      <w:pPr>
        <w:tabs>
          <w:tab w:val="left" w:pos="3544"/>
        </w:tabs>
        <w:rPr>
          <w:szCs w:val="24"/>
        </w:rPr>
        <w:sectPr w:rsidR="00685C10" w:rsidSect="0017060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089823C" w14:textId="6119DAFF" w:rsidR="00CA1641" w:rsidRPr="00CA1641" w:rsidRDefault="00CA1641" w:rsidP="00CA1641">
      <w:pPr>
        <w:widowControl w:val="0"/>
        <w:spacing w:after="0"/>
        <w:jc w:val="left"/>
        <w:rPr>
          <w:rFonts w:ascii="Calibri" w:eastAsia="Courier New" w:hAnsi="Calibri" w:cs="Calibri"/>
          <w:b/>
          <w:color w:val="000000"/>
          <w:szCs w:val="24"/>
          <w:lang w:eastAsia="cs-CZ" w:bidi="cs-CZ"/>
        </w:rPr>
      </w:pPr>
      <w:r w:rsidRPr="00CA1641">
        <w:rPr>
          <w:rFonts w:ascii="Calibri" w:eastAsia="Courier New" w:hAnsi="Calibri" w:cs="Calibri"/>
          <w:b/>
          <w:color w:val="000000"/>
          <w:szCs w:val="24"/>
          <w:lang w:eastAsia="cs-CZ" w:bidi="cs-CZ"/>
        </w:rPr>
        <w:lastRenderedPageBreak/>
        <w:t xml:space="preserve">Příloha </w:t>
      </w:r>
      <w:r w:rsidR="003F5738">
        <w:rPr>
          <w:rFonts w:ascii="Calibri" w:eastAsia="Courier New" w:hAnsi="Calibri" w:cs="Calibri"/>
          <w:b/>
          <w:color w:val="000000"/>
          <w:szCs w:val="24"/>
          <w:lang w:eastAsia="cs-CZ" w:bidi="cs-CZ"/>
        </w:rPr>
        <w:t xml:space="preserve">č. </w:t>
      </w:r>
      <w:r w:rsidRPr="00CA1641">
        <w:rPr>
          <w:rFonts w:ascii="Calibri" w:eastAsia="Courier New" w:hAnsi="Calibri" w:cs="Calibri"/>
          <w:b/>
          <w:color w:val="000000"/>
          <w:szCs w:val="24"/>
          <w:lang w:eastAsia="cs-CZ" w:bidi="cs-CZ"/>
        </w:rPr>
        <w:t>2: Přehled IS provozovaných v resortu justice</w:t>
      </w:r>
    </w:p>
    <w:tbl>
      <w:tblPr>
        <w:tblOverlap w:val="never"/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1"/>
        <w:gridCol w:w="2906"/>
        <w:gridCol w:w="2941"/>
        <w:gridCol w:w="1644"/>
        <w:gridCol w:w="1670"/>
        <w:gridCol w:w="1862"/>
      </w:tblGrid>
      <w:tr w:rsidR="00C63602" w:rsidRPr="00CA1641" w14:paraId="1D779B02" w14:textId="77777777" w:rsidTr="00317D87">
        <w:trPr>
          <w:trHeight w:val="624"/>
          <w:tblHeader/>
          <w:jc w:val="center"/>
        </w:trPr>
        <w:tc>
          <w:tcPr>
            <w:tcW w:w="1059" w:type="pct"/>
            <w:vMerge w:val="restart"/>
            <w:shd w:val="clear" w:color="auto" w:fill="E5F1FF"/>
            <w:vAlign w:val="center"/>
          </w:tcPr>
          <w:p w14:paraId="16561B4E" w14:textId="77777777" w:rsidR="00CA1641" w:rsidRPr="0068121E" w:rsidRDefault="00CA1641" w:rsidP="00C63602">
            <w:pPr>
              <w:spacing w:before="40" w:after="40"/>
              <w:ind w:left="113" w:righ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121E">
              <w:rPr>
                <w:rFonts w:cstheme="minorHAnsi"/>
                <w:b/>
                <w:sz w:val="20"/>
                <w:szCs w:val="20"/>
              </w:rPr>
              <w:t>Název IS</w:t>
            </w:r>
          </w:p>
        </w:tc>
        <w:tc>
          <w:tcPr>
            <w:tcW w:w="1043" w:type="pct"/>
            <w:vMerge w:val="restart"/>
            <w:shd w:val="clear" w:color="auto" w:fill="E5F1FF"/>
            <w:vAlign w:val="center"/>
          </w:tcPr>
          <w:p w14:paraId="00623B35" w14:textId="77777777" w:rsidR="00CA1641" w:rsidRPr="00CA1641" w:rsidRDefault="00CA1641" w:rsidP="00C63602">
            <w:pPr>
              <w:spacing w:before="40" w:after="40"/>
              <w:ind w:left="113" w:righ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1641">
              <w:rPr>
                <w:rFonts w:cstheme="minorHAnsi"/>
                <w:b/>
                <w:sz w:val="20"/>
                <w:szCs w:val="20"/>
              </w:rPr>
              <w:t>Celý název</w:t>
            </w:r>
          </w:p>
        </w:tc>
        <w:tc>
          <w:tcPr>
            <w:tcW w:w="1055" w:type="pct"/>
            <w:vMerge w:val="restart"/>
            <w:shd w:val="clear" w:color="auto" w:fill="E5F1FF"/>
            <w:vAlign w:val="center"/>
          </w:tcPr>
          <w:p w14:paraId="538618C0" w14:textId="77777777" w:rsidR="00CA1641" w:rsidRPr="00CA1641" w:rsidRDefault="00CA1641" w:rsidP="00C63602">
            <w:pPr>
              <w:spacing w:before="40" w:after="40"/>
              <w:ind w:left="113" w:righ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1641">
              <w:rPr>
                <w:rFonts w:cstheme="minorHAnsi"/>
                <w:b/>
                <w:sz w:val="20"/>
                <w:szCs w:val="20"/>
              </w:rPr>
              <w:t>Zpracovávaná agenda</w:t>
            </w:r>
          </w:p>
        </w:tc>
        <w:tc>
          <w:tcPr>
            <w:tcW w:w="591" w:type="pct"/>
            <w:vMerge w:val="restart"/>
            <w:shd w:val="clear" w:color="auto" w:fill="E5F1FF"/>
            <w:vAlign w:val="center"/>
          </w:tcPr>
          <w:p w14:paraId="5A7055F1" w14:textId="77777777" w:rsidR="00CA1641" w:rsidRPr="00CA1641" w:rsidRDefault="00CA1641" w:rsidP="007A4C65">
            <w:pPr>
              <w:spacing w:before="40" w:after="40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1641">
              <w:rPr>
                <w:rFonts w:cstheme="minorHAnsi"/>
                <w:b/>
                <w:sz w:val="20"/>
                <w:szCs w:val="20"/>
              </w:rPr>
              <w:t>Uživatelé</w:t>
            </w:r>
          </w:p>
        </w:tc>
        <w:tc>
          <w:tcPr>
            <w:tcW w:w="1252" w:type="pct"/>
            <w:gridSpan w:val="2"/>
            <w:shd w:val="clear" w:color="auto" w:fill="E5F1FF"/>
            <w:vAlign w:val="center"/>
          </w:tcPr>
          <w:p w14:paraId="229DDEC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Zásadní problémy dle informací </w:t>
            </w:r>
            <w:proofErr w:type="spellStart"/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>MSp</w:t>
            </w:r>
            <w:proofErr w:type="spellEnd"/>
          </w:p>
        </w:tc>
      </w:tr>
      <w:tr w:rsidR="00C63602" w:rsidRPr="00CA1641" w14:paraId="10F341EB" w14:textId="77777777" w:rsidTr="00317D87">
        <w:trPr>
          <w:trHeight w:val="624"/>
          <w:tblHeader/>
          <w:jc w:val="center"/>
        </w:trPr>
        <w:tc>
          <w:tcPr>
            <w:tcW w:w="1059" w:type="pct"/>
            <w:vMerge/>
            <w:shd w:val="clear" w:color="auto" w:fill="E5F1FF"/>
            <w:vAlign w:val="center"/>
          </w:tcPr>
          <w:p w14:paraId="1082701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13"/>
                <w:szCs w:val="13"/>
              </w:rPr>
            </w:pPr>
          </w:p>
        </w:tc>
        <w:tc>
          <w:tcPr>
            <w:tcW w:w="1043" w:type="pct"/>
            <w:vMerge/>
            <w:shd w:val="clear" w:color="auto" w:fill="E5F1FF"/>
            <w:vAlign w:val="center"/>
          </w:tcPr>
          <w:p w14:paraId="771336C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13"/>
                <w:szCs w:val="13"/>
              </w:rPr>
            </w:pPr>
          </w:p>
        </w:tc>
        <w:tc>
          <w:tcPr>
            <w:tcW w:w="1055" w:type="pct"/>
            <w:vMerge/>
            <w:shd w:val="clear" w:color="auto" w:fill="E5F1FF"/>
            <w:vAlign w:val="center"/>
          </w:tcPr>
          <w:p w14:paraId="3729B6B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13"/>
                <w:szCs w:val="13"/>
              </w:rPr>
            </w:pPr>
          </w:p>
        </w:tc>
        <w:tc>
          <w:tcPr>
            <w:tcW w:w="591" w:type="pct"/>
            <w:vMerge/>
            <w:shd w:val="clear" w:color="auto" w:fill="E5F1FF"/>
            <w:vAlign w:val="center"/>
          </w:tcPr>
          <w:p w14:paraId="5652F0A1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center"/>
              <w:rPr>
                <w:rFonts w:eastAsia="Calibri" w:cstheme="minorHAnsi"/>
                <w:sz w:val="13"/>
                <w:szCs w:val="13"/>
              </w:rPr>
            </w:pPr>
          </w:p>
        </w:tc>
        <w:tc>
          <w:tcPr>
            <w:tcW w:w="583" w:type="pct"/>
            <w:shd w:val="clear" w:color="auto" w:fill="E5F1FF"/>
            <w:vAlign w:val="center"/>
          </w:tcPr>
          <w:p w14:paraId="46E6372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>Licenční/autorská</w:t>
            </w:r>
          </w:p>
          <w:p w14:paraId="08DE341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práva ve prospěch </w:t>
            </w:r>
            <w:proofErr w:type="spellStart"/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669" w:type="pct"/>
            <w:shd w:val="clear" w:color="auto" w:fill="E5F1FF"/>
            <w:vAlign w:val="center"/>
          </w:tcPr>
          <w:p w14:paraId="4F808821" w14:textId="5998DEB1" w:rsidR="00CA1641" w:rsidRPr="00CA1641" w:rsidRDefault="00CA1641" w:rsidP="00317D87">
            <w:pPr>
              <w:widowControl w:val="0"/>
              <w:spacing w:before="40" w:after="40"/>
              <w:ind w:left="60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Ostatní </w:t>
            </w:r>
            <w:r w:rsidR="00F919E1">
              <w:rPr>
                <w:rFonts w:eastAsia="Calibri" w:cstheme="minorHAnsi"/>
                <w:b/>
                <w:bCs/>
                <w:sz w:val="20"/>
                <w:szCs w:val="20"/>
              </w:rPr>
              <w:br/>
            </w:r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>(viz</w:t>
            </w:r>
            <w:r w:rsidR="00F919E1">
              <w:rPr>
                <w:rFonts w:eastAsia="Calibri" w:cstheme="minorHAnsi"/>
                <w:b/>
                <w:bCs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>kap.</w:t>
            </w:r>
            <w:r w:rsidR="00F919E1">
              <w:rPr>
                <w:rFonts w:eastAsia="Calibri" w:cstheme="minorHAnsi"/>
                <w:b/>
                <w:bCs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IV.1 </w:t>
            </w:r>
            <w:r w:rsidR="00F919E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tohoto </w:t>
            </w:r>
            <w:r w:rsidRPr="00CA1641">
              <w:rPr>
                <w:rFonts w:eastAsia="Calibri" w:cstheme="minorHAnsi"/>
                <w:b/>
                <w:bCs/>
                <w:sz w:val="20"/>
                <w:szCs w:val="20"/>
              </w:rPr>
              <w:t>kontrolního závěru)</w:t>
            </w:r>
          </w:p>
        </w:tc>
      </w:tr>
      <w:tr w:rsidR="007A4C65" w:rsidRPr="00CA1641" w14:paraId="486A9715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F34855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BI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Oracle</w:t>
            </w:r>
            <w:proofErr w:type="spellEnd"/>
          </w:p>
        </w:tc>
        <w:tc>
          <w:tcPr>
            <w:tcW w:w="1043" w:type="pct"/>
            <w:shd w:val="clear" w:color="auto" w:fill="FFFFFF"/>
            <w:vAlign w:val="center"/>
          </w:tcPr>
          <w:p w14:paraId="7CED85C5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Statistický nástroj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Oracle</w:t>
            </w:r>
            <w:proofErr w:type="spellEnd"/>
          </w:p>
        </w:tc>
        <w:tc>
          <w:tcPr>
            <w:tcW w:w="1055" w:type="pct"/>
            <w:shd w:val="clear" w:color="auto" w:fill="FFFFFF"/>
            <w:vAlign w:val="center"/>
          </w:tcPr>
          <w:p w14:paraId="3F31C4DC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Využití statistických údajů nástroje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Oracle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 xml:space="preserve"> v insolvenční agendě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35A1425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61C3C2A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E107523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4F1600C4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3C32D28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CEPO/CEVY/VEPO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4C34CFA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Centrální</w:t>
            </w:r>
          </w:p>
          <w:p w14:paraId="536CD4AE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e-podatelna/</w:t>
            </w:r>
          </w:p>
          <w:p w14:paraId="11280A74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e-výpravna/</w:t>
            </w:r>
          </w:p>
          <w:p w14:paraId="4825C58E" w14:textId="58A420BD" w:rsidR="00CA1641" w:rsidRPr="00CA1641" w:rsidRDefault="00182EBF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eřejná e-podatelna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6C18A20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Příjem a vypravování elektronických podání v rámci resortu justice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80C4D98" w14:textId="2B88D6D7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5B09877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79F2332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54BBE7B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A28439C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CEPR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EA01D68" w14:textId="0FD3266B" w:rsidR="00CA1641" w:rsidRPr="00CA1641" w:rsidRDefault="00CA1641" w:rsidP="00BA2187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Centrální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elektronický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platební rozkaz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7F94ECB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Agenda elektronických platebních rozkazů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F49B200" w14:textId="3BA6CA53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kresní a</w:t>
            </w:r>
            <w:r w:rsidR="00C63602">
              <w:rPr>
                <w:rFonts w:eastAsia="Calibri" w:cstheme="minorHAnsi"/>
                <w:sz w:val="20"/>
                <w:szCs w:val="20"/>
              </w:rPr>
              <w:t> 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krajské soudy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193E602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08FC5E57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5DB92A5C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47B5A648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CESO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EB8FE96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Centrální evidence stíhaných osob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3A0B7F95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 stíhaných osob (neveřejná)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62A4EB8" w14:textId="08ACB24A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tátní zastupitelství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001ACFA6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F9CCEE0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2CFA17C7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239B027C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CEUP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BCB3CFD" w14:textId="4EF97C63" w:rsidR="00CA1641" w:rsidRPr="00CA1641" w:rsidRDefault="00CA1641" w:rsidP="00BA2187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Interní aplikace pro správu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insolvenčních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správců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EEF894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Agenda správy insolvenčních správců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673610C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035ED42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7FE972A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7C629F1C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16EE7E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CSLAV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59F0C429" w14:textId="46AE1EFE" w:rsidR="00CA1641" w:rsidRPr="00CA1641" w:rsidRDefault="00CA1641" w:rsidP="00BA2187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Centrální IS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statistických listů a</w:t>
            </w:r>
            <w:r w:rsidR="00C63602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výkazů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04A24AB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Statistika a výkaznictví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118FE95" w14:textId="64407614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16EB8B8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9B69443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203570AF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67E824C" w14:textId="53141EA1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Dokumentové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Centrum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E596BE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ourier New" w:cstheme="minorHAnsi"/>
                <w:color w:val="000000"/>
                <w:sz w:val="20"/>
                <w:szCs w:val="20"/>
                <w:lang w:eastAsia="cs-CZ" w:bidi="cs-CZ"/>
              </w:rPr>
            </w:pPr>
            <w:r w:rsidRPr="00CA1641">
              <w:rPr>
                <w:rFonts w:eastAsia="Courier New" w:cstheme="minorHAnsi"/>
                <w:color w:val="000000"/>
                <w:sz w:val="20"/>
                <w:szCs w:val="20"/>
                <w:lang w:eastAsia="cs-CZ" w:bidi="cs-CZ"/>
              </w:rPr>
              <w:t>Dokumentové centrum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EB48A02" w14:textId="5753FC09" w:rsidR="00CA1641" w:rsidRPr="00CA1641" w:rsidRDefault="00CA1641" w:rsidP="00BA2187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Převod dokumentů do formátu PDF +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pečetění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F1F299E" w14:textId="17FEDC1F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498C89C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BE08AB0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65827DC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3D30AF0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INFODATA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4A8BAD8" w14:textId="25321405" w:rsidR="00CA1641" w:rsidRPr="00CA1641" w:rsidRDefault="00CA1641" w:rsidP="00BA2187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Statistické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informace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3B1EA9DF" w14:textId="0B91F6D6" w:rsidR="00CA1641" w:rsidRPr="00CA1641" w:rsidRDefault="00CA1641" w:rsidP="00BA2187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Veřejné statistiky o výkonu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soudnictví a státních zastupitelství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C621395" w14:textId="274F5898" w:rsidR="00CA1641" w:rsidRPr="00CA1641" w:rsidRDefault="00182EBF" w:rsidP="00BA2187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složky,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5996300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8796E1E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31EC7F51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A20A93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INFODOKUMENT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32078B7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Dokumenty CEPR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16145EF" w14:textId="2176628B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Zveřejňování dokumentů z</w:t>
            </w:r>
            <w:r w:rsidR="007A4C65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aplikace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CEPR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BC49E98" w14:textId="2A069610" w:rsidR="00CA1641" w:rsidRPr="00CA1641" w:rsidRDefault="00182EBF" w:rsidP="007A4C65">
            <w:pPr>
              <w:widowControl w:val="0"/>
              <w:spacing w:before="40" w:after="40" w:line="257" w:lineRule="auto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kresní a</w:t>
            </w:r>
            <w:r w:rsidR="007A4C65">
              <w:rPr>
                <w:rFonts w:eastAsia="Calibri" w:cstheme="minorHAnsi"/>
                <w:sz w:val="20"/>
                <w:szCs w:val="20"/>
              </w:rPr>
              <w:t> 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krajské soudy,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3104EC9C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09162740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07C71BB7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8DD21B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lastRenderedPageBreak/>
              <w:t>INFOJEDNÁNÍ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36623FEB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Informace o soudním jednání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723AF22F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Zveřejnění informací o soudních jednáních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A69F0C8" w14:textId="59B7AB4B" w:rsidR="00CA1641" w:rsidRPr="00CA1641" w:rsidRDefault="00182EBF" w:rsidP="007A4C65">
            <w:pPr>
              <w:widowControl w:val="0"/>
              <w:spacing w:before="40" w:after="40" w:line="257" w:lineRule="auto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oudy,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D46FE4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7969B0E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60B0A318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7C7EF4B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INFOSOUD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8E1E5E6" w14:textId="39CE8179" w:rsidR="00CA1641" w:rsidRPr="00CA1641" w:rsidRDefault="00CA1641" w:rsidP="00BA2187">
            <w:pPr>
              <w:widowControl w:val="0"/>
              <w:spacing w:before="40" w:after="40" w:line="257" w:lineRule="auto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Informace o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průběhu soudního řízení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5D3D4DD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Zveřejnění informací o soudních řízeních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13E12906" w14:textId="76334106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oudy,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3FEF89D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FB4A87D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0D9EBD0E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736DA7D5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IRES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6CCDEE99" w14:textId="1770FF2A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Informační, rozpočtový a</w:t>
            </w:r>
            <w:r w:rsidR="007A4C65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ekonomický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systém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334755D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 poplatků, pohledávek, závazků, majetku apod.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2B53FD2" w14:textId="275268C9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0E5E3AE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0BAD2CDC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1B234073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DC7805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ISAS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993D45D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administrativy okresních soudů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0746BB3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evidence soudních spisů a soudních řízení u okresních soudů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F88249D" w14:textId="1F8AA630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kresní soudy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64F15E65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6FE76DF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1E9832C9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326C43E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ISIR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7E76FE96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insolvenčního rejstříku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3611CDBC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evidence soudních spisů a řízení insolvenčních soudů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40E67E8" w14:textId="251637A3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a vrchní soudy, nejvyšší soud,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17B51B7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51A5769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45FEEE58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4FE1021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ISKS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61AFC1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konkursních soudů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5446956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evidence soudních spisů a konkursních řízení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2DDE14A" w14:textId="60612488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soudy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0518A40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BF30B22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19AAAF0F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600A7B6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ISNS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D2C6181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Nejvyššího soudu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7AA551D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evidence soudních spisů a soudních řízení u Nejvyššího soudu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341F6AE" w14:textId="09C357B7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ejvyšší soud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04A14D01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D6D0020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7055EF52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440A875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ISNSS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62F7444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Informační systém Nejvyššího správního soudu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430488E1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2003F515" w14:textId="2608C6F2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ejvyšší správní soud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52DDFC3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920F4A4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631AB4B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2BCB226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ISSPOL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AF304B6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společných částí aplikací CCA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08E2350E" w14:textId="23F553F8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evidenčních položek a</w:t>
            </w:r>
            <w:r w:rsidR="00BA2187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společných funkcí podpory soudních řízení a řízení u státních zastupitelství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91A0ED5" w14:textId="39C505FC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oudy, státní zastupitelství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7B7FCC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4BC9E88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3E4C47BF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2941DF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ISYZ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481A0E8D" w14:textId="57339AC4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státních</w:t>
            </w:r>
            <w:r w:rsidR="00C636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zastupitelství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AAD0812" w14:textId="2936CE75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Podpora evidence spisů </w:t>
            </w:r>
            <w:r w:rsidR="00317D87" w:rsidRPr="00CA1641">
              <w:rPr>
                <w:rFonts w:eastAsia="Calibri" w:cstheme="minorHAnsi"/>
                <w:sz w:val="20"/>
                <w:szCs w:val="20"/>
              </w:rPr>
              <w:t>a řízení u</w:t>
            </w:r>
            <w:r w:rsidR="00317D87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státních zastupitelství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73E1F8E" w14:textId="568366BE" w:rsidR="00CA1641" w:rsidRPr="00CA1641" w:rsidRDefault="00182EBF" w:rsidP="00BA2187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tátní</w:t>
            </w:r>
            <w:r w:rsidR="00BA218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zastupitelství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54D7895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B0D74F3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28289A6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0F695071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lastRenderedPageBreak/>
              <w:t>ESLP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66F55C97" w14:textId="0FC55A95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Judikatura</w:t>
            </w:r>
            <w:r w:rsidR="00C636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Evropského soudu pro lidská práva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6DEDF1C8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5C617932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2273509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CE7EAD4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4D174F14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38B88E5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ISVKS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9818671" w14:textId="248AD19A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vrchních a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krajských soudů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190F64C3" w14:textId="46A7005A" w:rsidR="00CA1641" w:rsidRPr="00CA1641" w:rsidRDefault="00CA1641" w:rsidP="00C16F2D">
            <w:pPr>
              <w:keepNext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evidence soudních spisů a soudních řízení u krajských a</w:t>
            </w:r>
            <w:r w:rsidR="00BA2187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vrchních soudů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E9939CB" w14:textId="0A096AD5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a vrchní soudy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574B205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C8FA0C4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65515EB9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7586920D" w14:textId="3E3B43C3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Judikatura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469DE5D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Judikatura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328789A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zveřejňování judikatury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14B99581" w14:textId="26541EC2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a vrchní soudy, nejvyšší soud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EA93FA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50B809A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27DFBC6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7DABC3A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Znalci a tlumočníci (původní)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417F00AB" w14:textId="4EEFAF09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Registr znalců, tlumočníků a</w:t>
            </w:r>
            <w:r w:rsidR="007A4C65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znaleckých ústavů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40496FC5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Vedení a správa evidence znalců, znaleckých ústavů a tlumočníků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C51B5A0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>, krajské soudy,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45B1ABE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BD2FA79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33A05CD3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4D4BFAC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ESF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84EF18B" w14:textId="042CC6DB" w:rsidR="00CA1641" w:rsidRPr="00CA1641" w:rsidRDefault="00CA1641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</w:t>
            </w:r>
            <w:r w:rsidR="00C16F2D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svěřenských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 xml:space="preserve"> fondů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779538A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evidence soudních spisů a řízení u rejstříkových soudů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2AAA892" w14:textId="44D572E2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soudy, notáři,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3B9F0CB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CC24366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228D76A6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2A15CA0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ESM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72BC8A7B" w14:textId="1B83B029" w:rsidR="00CA1641" w:rsidRPr="00CA1641" w:rsidRDefault="00CA1641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</w:t>
            </w:r>
            <w:r w:rsidR="00C16F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skutečných</w:t>
            </w:r>
            <w:r w:rsidR="00C16F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majitelů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5E11A3A0" w14:textId="66F6769B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evidence soudních spisů a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řízení u rejstříkových soudů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5BF0BC9" w14:textId="2609E25F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soudy, notáři,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023C109C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9FEE469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3D64909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280D845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ISVR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99BB74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veřejných rejstříků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791A66CA" w14:textId="2BD44A4D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evidence soudních spisů a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řízení u rejstříkových soudů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4E64E7E" w14:textId="643E294E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soudy, notáři,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3A9AAAF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A530145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165A2013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60C4A4C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JAAS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308B2418" w14:textId="3FC38A86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Justiční autorizační a</w:t>
            </w:r>
            <w:r w:rsidR="00BF7D93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autentizační systém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64F4886E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1422CA64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46646976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CBC140E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041CCC4E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A8D3B3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Acta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37257D4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Spisová služba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1055" w:type="pct"/>
            <w:shd w:val="clear" w:color="auto" w:fill="FFFFFF"/>
            <w:vAlign w:val="center"/>
          </w:tcPr>
          <w:p w14:paraId="3444E86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Spisová služba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91" w:type="pct"/>
            <w:shd w:val="clear" w:color="auto" w:fill="FFFFFF"/>
            <w:vAlign w:val="center"/>
          </w:tcPr>
          <w:p w14:paraId="5293E9A4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0F7723F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8AB0647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74B9A631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FD67F2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APSTR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42D84166" w14:textId="78103F1E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Asistent </w:t>
            </w:r>
            <w:r w:rsidR="00BF7D93">
              <w:rPr>
                <w:rFonts w:eastAsia="Calibri" w:cstheme="minorHAnsi"/>
                <w:sz w:val="20"/>
                <w:szCs w:val="20"/>
              </w:rPr>
              <w:t>p</w:t>
            </w:r>
            <w:r w:rsidRPr="00CA1641">
              <w:rPr>
                <w:rFonts w:eastAsia="Calibri" w:cstheme="minorHAnsi"/>
                <w:sz w:val="20"/>
                <w:szCs w:val="20"/>
              </w:rPr>
              <w:t xml:space="preserve">ro </w:t>
            </w:r>
            <w:r w:rsidR="00BF7D93">
              <w:rPr>
                <w:rFonts w:eastAsia="Calibri" w:cstheme="minorHAnsi"/>
                <w:sz w:val="20"/>
                <w:szCs w:val="20"/>
              </w:rPr>
              <w:t>s</w:t>
            </w:r>
            <w:r w:rsidRPr="00CA1641">
              <w:rPr>
                <w:rFonts w:eastAsia="Calibri" w:cstheme="minorHAnsi"/>
                <w:sz w:val="20"/>
                <w:szCs w:val="20"/>
              </w:rPr>
              <w:t xml:space="preserve">estavování </w:t>
            </w:r>
            <w:r w:rsidR="00BF7D93">
              <w:rPr>
                <w:rFonts w:eastAsia="Calibri" w:cstheme="minorHAnsi"/>
                <w:sz w:val="20"/>
                <w:szCs w:val="20"/>
              </w:rPr>
              <w:t>t</w:t>
            </w:r>
            <w:r w:rsidRPr="00CA1641">
              <w:rPr>
                <w:rFonts w:eastAsia="Calibri" w:cstheme="minorHAnsi"/>
                <w:sz w:val="20"/>
                <w:szCs w:val="20"/>
              </w:rPr>
              <w:t xml:space="preserve">extu </w:t>
            </w:r>
            <w:r w:rsidR="00BF7D93">
              <w:rPr>
                <w:rFonts w:eastAsia="Calibri" w:cstheme="minorHAnsi"/>
                <w:sz w:val="20"/>
                <w:szCs w:val="20"/>
              </w:rPr>
              <w:t>r</w:t>
            </w:r>
            <w:r w:rsidRPr="00CA1641">
              <w:rPr>
                <w:rFonts w:eastAsia="Calibri" w:cstheme="minorHAnsi"/>
                <w:sz w:val="20"/>
                <w:szCs w:val="20"/>
              </w:rPr>
              <w:t>ozhodnutí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43F968D6" w14:textId="3A3EB744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Podpora tvorby rozhodnutí pomocí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šablon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113A2C10" w14:textId="22525285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kresní soudy,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nejvyšší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soud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7FB9155C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055A4FF2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792E88F1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129973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CEÚ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39BFFA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Centrální evidence úpadců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12ABE3F1" w14:textId="73FA934E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Veřejný seznam úpadců podle zák. 328/1991 Sb.</w:t>
            </w:r>
            <w:r w:rsidR="00182EBF">
              <w:rPr>
                <w:rFonts w:eastAsia="Calibri" w:cstheme="minorHAnsi"/>
                <w:sz w:val="20"/>
                <w:szCs w:val="20"/>
              </w:rPr>
              <w:t>,</w:t>
            </w:r>
            <w:r w:rsidRPr="00CA1641">
              <w:rPr>
                <w:rFonts w:eastAsia="Calibri" w:cstheme="minorHAnsi"/>
                <w:sz w:val="20"/>
                <w:szCs w:val="20"/>
              </w:rPr>
              <w:t xml:space="preserve"> o konkursu a</w:t>
            </w:r>
            <w:r w:rsidR="007A4C65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vyrovnání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7545D74" w14:textId="4B346C17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soud</w:t>
            </w:r>
            <w:r>
              <w:rPr>
                <w:rFonts w:eastAsia="Calibri" w:cstheme="minorHAnsi"/>
                <w:sz w:val="20"/>
                <w:szCs w:val="20"/>
              </w:rPr>
              <w:t>y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A92213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41EB5BB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17757D3E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094886B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lastRenderedPageBreak/>
              <w:t>CEVO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3E656D1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Centrální evidence</w:t>
            </w:r>
          </w:p>
          <w:p w14:paraId="54176EF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vězněných osob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209B302" w14:textId="35239BE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Agenda </w:t>
            </w:r>
            <w:r w:rsidR="00BF7D93">
              <w:rPr>
                <w:rFonts w:eastAsia="Calibri" w:cstheme="minorHAnsi"/>
                <w:sz w:val="20"/>
                <w:szCs w:val="20"/>
              </w:rPr>
              <w:t>Generálního ředitelství</w:t>
            </w:r>
            <w:r w:rsidRPr="00CA1641">
              <w:rPr>
                <w:rFonts w:eastAsia="Calibri" w:cstheme="minorHAnsi"/>
                <w:sz w:val="20"/>
                <w:szCs w:val="20"/>
              </w:rPr>
              <w:t xml:space="preserve"> Vězeňské služby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925180F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Vězeňská služba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4F18EA7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09E7AA1B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7181D2F4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152662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Coreport</w:t>
            </w:r>
            <w:proofErr w:type="spellEnd"/>
          </w:p>
        </w:tc>
        <w:tc>
          <w:tcPr>
            <w:tcW w:w="1043" w:type="pct"/>
            <w:shd w:val="clear" w:color="auto" w:fill="FFFFFF"/>
            <w:vAlign w:val="center"/>
          </w:tcPr>
          <w:p w14:paraId="032224A5" w14:textId="082342AC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Anonymizace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 xml:space="preserve"> a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zveřejňování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soudních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rozhodnutí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4FE47008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Aplikace pro zveřejňování judikatury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9AAD58D" w14:textId="3220B5D3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kresní, krajské a vrchní soudy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79CF494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03A23F3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2931832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C86C4E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CRO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3DE663F" w14:textId="28E758EC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Centrální registr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oznámení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401C213" w14:textId="7F19AF7F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 oznámení veřejných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funkcionářů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27F1DE7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>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11AB204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D030DB3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4D9D2A9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6B81B4E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Dohledové</w:t>
            </w:r>
          </w:p>
          <w:p w14:paraId="6A05E92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systémy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7FCEFC25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FFFFFF"/>
            <w:vAlign w:val="center"/>
          </w:tcPr>
          <w:p w14:paraId="5FC8FE9D" w14:textId="6D1BD0C6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Dohledové systémy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 xml:space="preserve"> – provozní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monitoring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CDCBD47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7B562A6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3A4A00F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7C6BFF50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217836E8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eGP</w:t>
            </w:r>
            <w:proofErr w:type="spellEnd"/>
          </w:p>
        </w:tc>
        <w:tc>
          <w:tcPr>
            <w:tcW w:w="1043" w:type="pct"/>
            <w:shd w:val="clear" w:color="auto" w:fill="FFFFFF"/>
            <w:vAlign w:val="center"/>
          </w:tcPr>
          <w:p w14:paraId="5891C24D" w14:textId="3167DA60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Generátor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přidělování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6AD7F5C9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Generátor náhodného přidělení nápadu věcí v insolvenční agendě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9FD1CD9" w14:textId="2BEC2F61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rajské a vrchní soudy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7E48A258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389115D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7E260B8D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62E9AC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EMS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62171E9" w14:textId="79D52354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Elektronický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monitorovací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systém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6C1BB8AE" w14:textId="646EBC8C" w:rsidR="00CA1641" w:rsidRPr="00CA1641" w:rsidRDefault="00317D87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Probace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E88DE86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PMS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63CDA97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3EC5FDA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0D8E2E86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4962CD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Extranet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9A3052E" w14:textId="5CF63F79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Extranet resortu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justice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6E0A7147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21A89A25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5C2E3FE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5565F2D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77B9A25F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229B70D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Flux PAM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8F081BF" w14:textId="5B57E06C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Personální systém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1055" w:type="pct"/>
            <w:shd w:val="clear" w:color="auto" w:fill="FFFFFF"/>
            <w:vAlign w:val="center"/>
          </w:tcPr>
          <w:p w14:paraId="0DAE2E4B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6E32A5AC" w14:textId="1EE259E8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80A9AB1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9DD3EA9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041AAC8A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2797139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Helpdesk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1043" w:type="pct"/>
            <w:shd w:val="clear" w:color="auto" w:fill="FFFFFF"/>
            <w:vAlign w:val="center"/>
          </w:tcPr>
          <w:p w14:paraId="69D681A8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Helpdesk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1055" w:type="pct"/>
            <w:shd w:val="clear" w:color="auto" w:fill="FFFFFF"/>
            <w:vAlign w:val="center"/>
          </w:tcPr>
          <w:p w14:paraId="6538FE05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 hlášení a požadavků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675E68C" w14:textId="6C9FDF90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041A75CF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06263DBA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307C7B4F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0E59E4C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Hybridní pošta a konverzní pošta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9AB6EEE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FFFFFF"/>
            <w:vAlign w:val="center"/>
          </w:tcPr>
          <w:p w14:paraId="30CB6DDD" w14:textId="4C507FB0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Odesílání zásilek (CEPR a část. v</w:t>
            </w:r>
            <w:r w:rsidR="007A4C65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 xml:space="preserve">ISAS) prostřednictvím provozovatele </w:t>
            </w:r>
            <w:r w:rsidR="00BF7D93">
              <w:rPr>
                <w:rFonts w:eastAsia="Calibri" w:cstheme="minorHAnsi"/>
                <w:sz w:val="20"/>
                <w:szCs w:val="20"/>
              </w:rPr>
              <w:t>h</w:t>
            </w:r>
            <w:r w:rsidRPr="00CA1641">
              <w:rPr>
                <w:rFonts w:eastAsia="Calibri" w:cstheme="minorHAnsi"/>
                <w:sz w:val="20"/>
                <w:szCs w:val="20"/>
              </w:rPr>
              <w:t>ybridní a</w:t>
            </w:r>
            <w:r w:rsidR="007A4C65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konverzní pošty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742831E" w14:textId="473F5DD3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kresní a krajské soudy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1DACC27C" w14:textId="194EAEDA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ANO </w:t>
            </w:r>
            <w:r w:rsidR="00C63602">
              <w:rPr>
                <w:rFonts w:eastAsia="Calibri" w:cstheme="minorHAnsi"/>
                <w:sz w:val="20"/>
                <w:szCs w:val="20"/>
              </w:rPr>
              <w:br/>
            </w:r>
            <w:r w:rsidRPr="00CA1641">
              <w:rPr>
                <w:rFonts w:eastAsia="Calibri" w:cstheme="minorHAnsi"/>
                <w:sz w:val="20"/>
                <w:szCs w:val="20"/>
              </w:rPr>
              <w:t>(na část modulu)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07ADC573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3B90AC68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329357D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INFODESKA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599CF02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Elektronická úřední deska justice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74B4D77C" w14:textId="5267FE1A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Zveřejňování </w:t>
            </w:r>
            <w:r w:rsidR="00BF7D93">
              <w:rPr>
                <w:rFonts w:eastAsia="Calibri" w:cstheme="minorHAnsi"/>
                <w:sz w:val="20"/>
                <w:szCs w:val="20"/>
              </w:rPr>
              <w:t xml:space="preserve">informací </w:t>
            </w:r>
            <w:r w:rsidRPr="00CA1641">
              <w:rPr>
                <w:rFonts w:eastAsia="Calibri" w:cstheme="minorHAnsi"/>
                <w:sz w:val="20"/>
                <w:szCs w:val="20"/>
              </w:rPr>
              <w:t>na elektronické úřední desce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8BBA469" w14:textId="64FF4E27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 xml:space="preserve">šechny složky, </w:t>
            </w:r>
          </w:p>
          <w:p w14:paraId="319F2D6E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429EB445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98056DA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1372B080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42168F7" w14:textId="31661A97" w:rsidR="00CA1641" w:rsidRPr="00CA1641" w:rsidRDefault="00CA1641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lastRenderedPageBreak/>
              <w:t>Insolvenční</w:t>
            </w:r>
            <w:r w:rsidR="00182EB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formuláře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60C4758A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FFFFFF"/>
            <w:vAlign w:val="center"/>
          </w:tcPr>
          <w:p w14:paraId="42163297" w14:textId="52B30543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Elektronické formuláře pro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insolvenční řízení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89FB57A" w14:textId="3516E654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5201F55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02EEE24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275CFF6D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31E9D4A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Intranet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1043" w:type="pct"/>
            <w:shd w:val="clear" w:color="auto" w:fill="FFFFFF"/>
            <w:vAlign w:val="center"/>
          </w:tcPr>
          <w:p w14:paraId="7290B0D5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FFFFFF"/>
            <w:vAlign w:val="center"/>
          </w:tcPr>
          <w:p w14:paraId="33DCE03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Interní portál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91" w:type="pct"/>
            <w:shd w:val="clear" w:color="auto" w:fill="FFFFFF"/>
            <w:vAlign w:val="center"/>
          </w:tcPr>
          <w:p w14:paraId="3B92ECDC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0E957AF5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79AC3FA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4572B96F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35BFB58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PMS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6A35648" w14:textId="2E6DC103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Informační systém Probační a</w:t>
            </w:r>
            <w:r w:rsidR="007A4C65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mediační služby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1331CD05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7892E984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PMS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37156FB4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C6B24E1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0B77A701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D40AE2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VS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5C11D3A" w14:textId="5F89E893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Informační systém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Vězeňské služby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C8AF950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6A8B313A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Vězeňská služba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78EC5CA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EAA6F2C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4C5D5196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084E97C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ISEP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E8D3B06" w14:textId="1409AF68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přestupků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B1E0F1A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3B361B95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Rejstřík trestů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5CCF361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2A19852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5B64CB11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330FD27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RT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10AEDF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IS Rejstříku trestů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1B56D294" w14:textId="4A8EE554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Informační systém </w:t>
            </w:r>
            <w:r w:rsidR="00B17DC3">
              <w:rPr>
                <w:rFonts w:eastAsia="Calibri" w:cstheme="minorHAnsi"/>
                <w:sz w:val="20"/>
                <w:szCs w:val="20"/>
              </w:rPr>
              <w:t>R</w:t>
            </w:r>
            <w:r w:rsidRPr="00CA1641">
              <w:rPr>
                <w:rFonts w:eastAsia="Calibri" w:cstheme="minorHAnsi"/>
                <w:sz w:val="20"/>
                <w:szCs w:val="20"/>
              </w:rPr>
              <w:t>ejstříku trestů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CD928B1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Rejstřík trestů,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61FB0B18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6E57274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1F6B5ECB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44CF3FF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Justiční čekatelé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FCD79A8" w14:textId="1DA117E1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 zájemců o přijetí do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přípravné služby justičních čekatelů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58C0DDAC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Provoz ukončen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A04FFCC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2CD6400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2631D64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149B3099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752066F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KoBra</w:t>
            </w:r>
            <w:proofErr w:type="spellEnd"/>
          </w:p>
        </w:tc>
        <w:tc>
          <w:tcPr>
            <w:tcW w:w="1043" w:type="pct"/>
            <w:shd w:val="clear" w:color="auto" w:fill="FFFFFF"/>
            <w:vAlign w:val="center"/>
          </w:tcPr>
          <w:p w14:paraId="7719F32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Komunikační brána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39931E6D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Komunikační rozhraní webových služeb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C031908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7DE43526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6D7EC90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7670C2FD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20A420B8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PAM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5388031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Resortní personální systém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3EB77CD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1B5FC346" w14:textId="6700A5EC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43D3191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4756357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61D71CBB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EF5619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Portál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6ACC2AF" w14:textId="1EEA49D8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Portál </w:t>
            </w:r>
            <w:r w:rsidR="00B17DC3">
              <w:rPr>
                <w:rFonts w:eastAsia="Calibri" w:cstheme="minorHAnsi"/>
                <w:sz w:val="20"/>
                <w:szCs w:val="20"/>
              </w:rPr>
              <w:t>M</w:t>
            </w:r>
            <w:r w:rsidRPr="00CA1641">
              <w:rPr>
                <w:rFonts w:eastAsia="Calibri" w:cstheme="minorHAnsi"/>
                <w:sz w:val="20"/>
                <w:szCs w:val="20"/>
              </w:rPr>
              <w:t>inisterstva spravedlnost</w:t>
            </w:r>
            <w:r w:rsidR="00B17DC3">
              <w:rPr>
                <w:rFonts w:eastAsia="Calibri" w:cstheme="minorHAnsi"/>
                <w:sz w:val="20"/>
                <w:szCs w:val="20"/>
              </w:rPr>
              <w:t>i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2CB5603C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Veřejný portál </w:t>
            </w: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 xml:space="preserve"> a resortních organizací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45399B2A" w14:textId="1D1FA7A8" w:rsidR="00CA1641" w:rsidRPr="00CA1641" w:rsidRDefault="00182EBF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šechny složky,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4E026B08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DD0E467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17DD1673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2A55A76" w14:textId="605CC0E3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Registr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poskytovatelů pomoci OTČ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5892DBFF" w14:textId="3AF64A62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Registr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poskytovatelů pomoci obětem trestné činnosti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150EAEC4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6F53429B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>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682F375B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66B926B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44642E8D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17B2EBC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lastRenderedPageBreak/>
              <w:t>ReJČ</w:t>
            </w:r>
            <w:proofErr w:type="spellEnd"/>
          </w:p>
        </w:tc>
        <w:tc>
          <w:tcPr>
            <w:tcW w:w="1043" w:type="pct"/>
            <w:shd w:val="clear" w:color="auto" w:fill="FFFFFF"/>
            <w:vAlign w:val="center"/>
          </w:tcPr>
          <w:p w14:paraId="35788C19" w14:textId="0F2C0E77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Registr justičních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činitelů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52EC5462" w14:textId="5263CAFB" w:rsidR="00CA1641" w:rsidRPr="00CA1641" w:rsidRDefault="00CA1641" w:rsidP="007A4C65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Vedení a správa evidence justičních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činitelů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4F6E1C20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>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4E39E06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D619A2B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270BE3B5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25AA346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RZE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7A369C47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Registr zahájených exekucí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1D9D8BAE" w14:textId="626F96BF" w:rsidR="00CA1641" w:rsidRPr="00CA1641" w:rsidRDefault="00CA1641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Vedení a správa exekucí na základě pověření exekutora soudem</w:t>
            </w:r>
            <w:r w:rsidR="00182EB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(nejasná smlouva s dodavatelem, služby zajišťuje ISIR)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2FFF3ED" w14:textId="36A81B8B" w:rsidR="00CA1641" w:rsidRPr="00CA1641" w:rsidRDefault="00182EBF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</w:t>
            </w:r>
            <w:r w:rsidR="00CA1641" w:rsidRPr="00CA1641">
              <w:rPr>
                <w:rFonts w:eastAsia="Calibri" w:cstheme="minorHAnsi"/>
                <w:sz w:val="20"/>
                <w:szCs w:val="20"/>
              </w:rPr>
              <w:t>kresní soudy, exekutoři</w:t>
            </w:r>
            <w:r w:rsidR="007C296D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02AACE9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16A5356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65379392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0E2B6BF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SAKO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DC9C200" w14:textId="2207930E" w:rsidR="00CA1641" w:rsidRPr="00CA1641" w:rsidRDefault="00CA1641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Seznam</w:t>
            </w:r>
            <w:r w:rsidR="00182EB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akreditovaných</w:t>
            </w:r>
            <w:r w:rsidR="00182EB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osob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302439EA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Vedení a správa seznamu akreditovaných osob podle insolvenčního zákona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8CE9D85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>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4B80C6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0BB8704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69F218F0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4DB96D94" w14:textId="17A1323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Seznam</w:t>
            </w:r>
            <w:r w:rsidR="00C6360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17DC3">
              <w:rPr>
                <w:rFonts w:eastAsia="Calibri" w:cstheme="minorHAnsi"/>
                <w:sz w:val="20"/>
                <w:szCs w:val="20"/>
              </w:rPr>
              <w:t>m</w:t>
            </w:r>
            <w:r w:rsidRPr="00CA1641">
              <w:rPr>
                <w:rFonts w:eastAsia="Calibri" w:cstheme="minorHAnsi"/>
                <w:sz w:val="20"/>
                <w:szCs w:val="20"/>
              </w:rPr>
              <w:t>ediátorů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5DADAE8A" w14:textId="1E102F51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Seznam </w:t>
            </w:r>
            <w:r w:rsidR="00B17DC3">
              <w:rPr>
                <w:rFonts w:eastAsia="Calibri" w:cstheme="minorHAnsi"/>
                <w:sz w:val="20"/>
                <w:szCs w:val="20"/>
              </w:rPr>
              <w:t>m</w:t>
            </w:r>
            <w:r w:rsidRPr="00CA1641">
              <w:rPr>
                <w:rFonts w:eastAsia="Calibri" w:cstheme="minorHAnsi"/>
                <w:sz w:val="20"/>
                <w:szCs w:val="20"/>
              </w:rPr>
              <w:t>ediátorů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6B0DD3EC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Vedení a správa seznamu mediátorů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C88053D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  <w:r w:rsidRPr="00CA1641">
              <w:rPr>
                <w:rFonts w:eastAsia="Calibri" w:cstheme="minorHAnsi"/>
                <w:sz w:val="20"/>
                <w:szCs w:val="20"/>
              </w:rPr>
              <w:t>, veřejnost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5F87EF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E87C734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4305D09B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07B3A38E" w14:textId="6DF3E6E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Seznam </w:t>
            </w:r>
            <w:r w:rsidR="00B17DC3">
              <w:rPr>
                <w:rFonts w:eastAsia="Calibri" w:cstheme="minorHAnsi"/>
                <w:sz w:val="20"/>
                <w:szCs w:val="20"/>
              </w:rPr>
              <w:t>r</w:t>
            </w:r>
            <w:r w:rsidRPr="00CA1641">
              <w:rPr>
                <w:rFonts w:eastAsia="Calibri" w:cstheme="minorHAnsi"/>
                <w:sz w:val="20"/>
                <w:szCs w:val="20"/>
              </w:rPr>
              <w:t>ozhodců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1196357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Seznam rozhodců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4A8CBBAA" w14:textId="77777777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Vedení a správa seznamu rozhodců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14084885" w14:textId="77777777" w:rsidR="00CA1641" w:rsidRPr="00CA1641" w:rsidRDefault="00CA1641" w:rsidP="007A4C65">
            <w:pPr>
              <w:widowControl w:val="0"/>
              <w:spacing w:before="40" w:after="40"/>
              <w:ind w:left="113" w:right="113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1CD2CF0A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E5D795D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  <w:tr w:rsidR="007A4C65" w:rsidRPr="00CA1641" w14:paraId="119DBA01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5120B2C2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VESTA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57A22563" w14:textId="5DE3C85E" w:rsidR="00CA1641" w:rsidRPr="00CA1641" w:rsidRDefault="00CA1641" w:rsidP="007A4C65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Dobrovolná evidence subjektů</w:t>
            </w:r>
            <w:r w:rsidR="007A4C6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poskytujících návrh na oddlužení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028137E3" w14:textId="095F32C6" w:rsidR="00CA1641" w:rsidRPr="00CA1641" w:rsidRDefault="00CA1641" w:rsidP="00C63602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 xml:space="preserve">Vedení a správa </w:t>
            </w:r>
            <w:r w:rsidR="00B17DC3">
              <w:rPr>
                <w:rFonts w:eastAsia="Calibri" w:cstheme="minorHAnsi"/>
                <w:sz w:val="20"/>
                <w:szCs w:val="20"/>
              </w:rPr>
              <w:t xml:space="preserve">evidence </w:t>
            </w:r>
            <w:r w:rsidRPr="00CA1641">
              <w:rPr>
                <w:rFonts w:eastAsia="Calibri" w:cstheme="minorHAnsi"/>
                <w:sz w:val="20"/>
                <w:szCs w:val="20"/>
              </w:rPr>
              <w:t>subjektů, které poskytují služby při sepis</w:t>
            </w:r>
            <w:r w:rsidR="00B17DC3">
              <w:rPr>
                <w:rFonts w:eastAsia="Calibri" w:cstheme="minorHAnsi"/>
                <w:sz w:val="20"/>
                <w:szCs w:val="20"/>
              </w:rPr>
              <w:t>ování</w:t>
            </w:r>
            <w:r w:rsidRPr="00CA1641">
              <w:rPr>
                <w:rFonts w:eastAsia="Calibri" w:cstheme="minorHAnsi"/>
                <w:sz w:val="20"/>
                <w:szCs w:val="20"/>
              </w:rPr>
              <w:t xml:space="preserve"> návrh</w:t>
            </w:r>
            <w:r w:rsidR="00B17DC3">
              <w:rPr>
                <w:rFonts w:eastAsia="Calibri" w:cstheme="minorHAnsi"/>
                <w:sz w:val="20"/>
                <w:szCs w:val="20"/>
              </w:rPr>
              <w:t>ů</w:t>
            </w:r>
            <w:r w:rsidRPr="00CA1641">
              <w:rPr>
                <w:rFonts w:eastAsia="Calibri" w:cstheme="minorHAnsi"/>
                <w:sz w:val="20"/>
                <w:szCs w:val="20"/>
              </w:rPr>
              <w:t xml:space="preserve"> na povolení oddlužení (na základě dobrovolného oznámení subjektů)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249A8AD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6DA88ED3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67C177B" w14:textId="77777777" w:rsidR="00CA1641" w:rsidRPr="00CA1641" w:rsidRDefault="00CA1641" w:rsidP="00C63602">
            <w:pPr>
              <w:widowControl w:val="0"/>
              <w:spacing w:before="40" w:after="40" w:line="257" w:lineRule="auto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7A4C65" w:rsidRPr="00CA1641" w14:paraId="4ADBDA7B" w14:textId="77777777" w:rsidTr="00317D87">
        <w:trPr>
          <w:trHeight w:val="624"/>
          <w:jc w:val="center"/>
        </w:trPr>
        <w:tc>
          <w:tcPr>
            <w:tcW w:w="1059" w:type="pct"/>
            <w:shd w:val="clear" w:color="auto" w:fill="FFFFFF"/>
            <w:vAlign w:val="center"/>
          </w:tcPr>
          <w:p w14:paraId="6AF576A0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VTS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31288417" w14:textId="242B7CBF" w:rsidR="00CA1641" w:rsidRPr="00CA1641" w:rsidRDefault="00CA1641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Výnosy trestních</w:t>
            </w:r>
            <w:r w:rsidR="003F573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sankcí</w:t>
            </w:r>
          </w:p>
        </w:tc>
        <w:tc>
          <w:tcPr>
            <w:tcW w:w="1055" w:type="pct"/>
            <w:shd w:val="clear" w:color="auto" w:fill="FFFFFF"/>
            <w:vAlign w:val="center"/>
          </w:tcPr>
          <w:p w14:paraId="567AD324" w14:textId="20915003" w:rsidR="00CA1641" w:rsidRPr="00CA1641" w:rsidRDefault="00CA1641">
            <w:pPr>
              <w:widowControl w:val="0"/>
              <w:shd w:val="clear" w:color="auto" w:fill="FFFFFF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Evidence a správa výtěžků z</w:t>
            </w:r>
            <w:r w:rsidR="00182EBF">
              <w:rPr>
                <w:rFonts w:eastAsia="Calibri" w:cstheme="minorHAnsi"/>
                <w:sz w:val="20"/>
                <w:szCs w:val="20"/>
              </w:rPr>
              <w:t> </w:t>
            </w:r>
            <w:r w:rsidRPr="00CA1641">
              <w:rPr>
                <w:rFonts w:eastAsia="Calibri" w:cstheme="minorHAnsi"/>
                <w:sz w:val="20"/>
                <w:szCs w:val="20"/>
              </w:rPr>
              <w:t>trestních</w:t>
            </w:r>
            <w:r w:rsidR="00182EB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A1641">
              <w:rPr>
                <w:rFonts w:eastAsia="Calibri" w:cstheme="minorHAnsi"/>
                <w:sz w:val="20"/>
                <w:szCs w:val="20"/>
              </w:rPr>
              <w:t>sankcí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4102F20E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left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A1641">
              <w:rPr>
                <w:rFonts w:eastAsia="Calibri" w:cstheme="minorHAnsi"/>
                <w:sz w:val="20"/>
                <w:szCs w:val="20"/>
              </w:rPr>
              <w:t>MSp</w:t>
            </w:r>
            <w:proofErr w:type="spellEnd"/>
          </w:p>
        </w:tc>
        <w:tc>
          <w:tcPr>
            <w:tcW w:w="583" w:type="pct"/>
            <w:shd w:val="clear" w:color="auto" w:fill="FFFFFF"/>
            <w:vAlign w:val="center"/>
          </w:tcPr>
          <w:p w14:paraId="6EBD93AC" w14:textId="77777777" w:rsidR="00CA1641" w:rsidRPr="00CA1641" w:rsidRDefault="00CA1641" w:rsidP="00C63602">
            <w:pPr>
              <w:widowControl w:val="0"/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9D71209" w14:textId="77777777" w:rsidR="00CA1641" w:rsidRPr="00CA1641" w:rsidRDefault="00CA1641" w:rsidP="00C63602">
            <w:pPr>
              <w:widowControl w:val="0"/>
              <w:shd w:val="clear" w:color="auto" w:fill="FFFFFF"/>
              <w:tabs>
                <w:tab w:val="left" w:pos="139"/>
              </w:tabs>
              <w:spacing w:before="40" w:after="40"/>
              <w:ind w:left="113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1641">
              <w:rPr>
                <w:rFonts w:eastAsia="Calibri" w:cstheme="minorHAnsi"/>
                <w:sz w:val="20"/>
                <w:szCs w:val="20"/>
              </w:rPr>
              <w:t>NE</w:t>
            </w:r>
          </w:p>
        </w:tc>
      </w:tr>
    </w:tbl>
    <w:p w14:paraId="24135F1F" w14:textId="11F9B1A9" w:rsidR="0017060E" w:rsidRPr="00C96322" w:rsidRDefault="0017060E" w:rsidP="00413CE8">
      <w:pPr>
        <w:tabs>
          <w:tab w:val="left" w:pos="3544"/>
        </w:tabs>
        <w:rPr>
          <w:szCs w:val="24"/>
        </w:rPr>
      </w:pPr>
    </w:p>
    <w:sectPr w:rsidR="0017060E" w:rsidRPr="00C96322" w:rsidSect="00CA16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fci wne:fciName="AcceptChangesOrAdvance" wne:swArg="0000"/>
    </wne:keymap>
    <wne:keymap wne:kcmPrimary="0251">
      <wne:fci wne:fciName="HighlightColorPicker" wne:swArg="0000"/>
    </wne:keymap>
    <wne:keymap wne:kcmPrimary="0252">
      <wne:fci wne:fciName="InsertAnnotation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81AAE" w14:textId="77777777" w:rsidR="00A82034" w:rsidRDefault="00A82034" w:rsidP="00341A9A">
      <w:pPr>
        <w:spacing w:after="0"/>
      </w:pPr>
      <w:r>
        <w:separator/>
      </w:r>
    </w:p>
  </w:endnote>
  <w:endnote w:type="continuationSeparator" w:id="0">
    <w:p w14:paraId="63EB1198" w14:textId="77777777" w:rsidR="00A82034" w:rsidRDefault="00A82034" w:rsidP="00341A9A">
      <w:pPr>
        <w:spacing w:after="0"/>
      </w:pPr>
      <w:r>
        <w:continuationSeparator/>
      </w:r>
    </w:p>
  </w:endnote>
  <w:endnote w:type="continuationNotice" w:id="1">
    <w:p w14:paraId="70BE9334" w14:textId="77777777" w:rsidR="00A82034" w:rsidRDefault="00A820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8397460"/>
      <w:docPartObj>
        <w:docPartGallery w:val="Page Numbers (Bottom of Page)"/>
        <w:docPartUnique/>
      </w:docPartObj>
    </w:sdtPr>
    <w:sdtEndPr/>
    <w:sdtContent>
      <w:p w14:paraId="7AB89A6E" w14:textId="77777777" w:rsidR="00A82034" w:rsidRDefault="00A82034" w:rsidP="00FE40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E826" w14:textId="77777777" w:rsidR="00A82034" w:rsidRDefault="00A82034" w:rsidP="00341A9A">
      <w:pPr>
        <w:spacing w:after="0"/>
      </w:pPr>
      <w:r>
        <w:separator/>
      </w:r>
    </w:p>
  </w:footnote>
  <w:footnote w:type="continuationSeparator" w:id="0">
    <w:p w14:paraId="3964D788" w14:textId="77777777" w:rsidR="00A82034" w:rsidRDefault="00A82034" w:rsidP="00341A9A">
      <w:pPr>
        <w:spacing w:after="0"/>
      </w:pPr>
      <w:r>
        <w:continuationSeparator/>
      </w:r>
    </w:p>
  </w:footnote>
  <w:footnote w:type="continuationNotice" w:id="1">
    <w:p w14:paraId="4E995A2A" w14:textId="77777777" w:rsidR="00A82034" w:rsidRDefault="00A82034">
      <w:pPr>
        <w:spacing w:after="0"/>
      </w:pPr>
    </w:p>
  </w:footnote>
  <w:footnote w:id="2">
    <w:p w14:paraId="3448FAB2" w14:textId="0A45391D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9093C">
        <w:t>Centrum justice</w:t>
      </w:r>
      <w:r>
        <w:t xml:space="preserve"> je soubor několika samostatných podpůrných IS, jejichž funkce mají být využívány alespoň dvěma </w:t>
      </w:r>
      <w:proofErr w:type="spellStart"/>
      <w:r>
        <w:t>agendovými</w:t>
      </w:r>
      <w:proofErr w:type="spellEnd"/>
      <w:r>
        <w:t xml:space="preserve"> IS.</w:t>
      </w:r>
    </w:p>
  </w:footnote>
  <w:footnote w:id="3">
    <w:p w14:paraId="6EC6611E" w14:textId="1CACB626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20298">
        <w:t>Justiční (</w:t>
      </w:r>
      <w:proofErr w:type="spellStart"/>
      <w:r w:rsidRPr="00C20298">
        <w:t>enterprise</w:t>
      </w:r>
      <w:proofErr w:type="spellEnd"/>
      <w:r w:rsidRPr="00C20298">
        <w:t xml:space="preserve">) </w:t>
      </w:r>
      <w:proofErr w:type="spellStart"/>
      <w:r w:rsidRPr="00C20298">
        <w:t>service</w:t>
      </w:r>
      <w:proofErr w:type="spellEnd"/>
      <w:r w:rsidRPr="00C20298">
        <w:t xml:space="preserve"> bus je sběrnice sdílených služeb v rámci justice. Umožňuje organizačním složkám justice navzájem sdílet aktuální data a služby.</w:t>
      </w:r>
    </w:p>
  </w:footnote>
  <w:footnote w:id="4">
    <w:p w14:paraId="4B88AFAA" w14:textId="14996F2E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Usnesení vlády České republiky ze dne 8. června 2016 č. 505, </w:t>
      </w:r>
      <w:r w:rsidRPr="00317D87">
        <w:rPr>
          <w:i/>
        </w:rPr>
        <w:t xml:space="preserve">o Resortní strategii pro rozvoj </w:t>
      </w:r>
      <w:proofErr w:type="spellStart"/>
      <w:r w:rsidRPr="00317D87">
        <w:rPr>
          <w:i/>
        </w:rPr>
        <w:t>eJustice</w:t>
      </w:r>
      <w:proofErr w:type="spellEnd"/>
      <w:r w:rsidRPr="00317D87">
        <w:rPr>
          <w:i/>
        </w:rPr>
        <w:t xml:space="preserve"> na období let 2016 až 2020</w:t>
      </w:r>
      <w:r>
        <w:t>.</w:t>
      </w:r>
    </w:p>
  </w:footnote>
  <w:footnote w:id="5">
    <w:p w14:paraId="55C7D8A9" w14:textId="3CB46BA9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Strategie nazvaná </w:t>
      </w:r>
      <w:r w:rsidRPr="00317D87">
        <w:rPr>
          <w:i/>
        </w:rPr>
        <w:t xml:space="preserve">Efektivní veřejná správa a přátelské veřejné služby </w:t>
      </w:r>
      <w:r>
        <w:t xml:space="preserve">– </w:t>
      </w:r>
      <w:r w:rsidRPr="00317D87">
        <w:rPr>
          <w:i/>
        </w:rPr>
        <w:t xml:space="preserve">strategie realizace Smart </w:t>
      </w:r>
      <w:proofErr w:type="spellStart"/>
      <w:r w:rsidRPr="00317D87">
        <w:rPr>
          <w:i/>
        </w:rPr>
        <w:t>Administration</w:t>
      </w:r>
      <w:proofErr w:type="spellEnd"/>
      <w:r w:rsidRPr="00317D87">
        <w:rPr>
          <w:i/>
        </w:rPr>
        <w:t xml:space="preserve"> 2007–2015</w:t>
      </w:r>
      <w:r>
        <w:t>.</w:t>
      </w:r>
    </w:p>
  </w:footnote>
  <w:footnote w:id="6">
    <w:p w14:paraId="6ECFA54E" w14:textId="03C2CC92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proofErr w:type="spellStart"/>
      <w:r>
        <w:t>MSp</w:t>
      </w:r>
      <w:proofErr w:type="spellEnd"/>
      <w:r>
        <w:t xml:space="preserve"> uvedlo vazbu na 15 specifických cílů: </w:t>
      </w:r>
      <w:r w:rsidRPr="00801C62">
        <w:t>1.1, 1.2, 1.3, 1.4, 1.6, 1.7, 2.1, 2.2, 2.5, 2.6, 2.7, 3.1, 3.2, 3.3 a 3.4.</w:t>
      </w:r>
    </w:p>
  </w:footnote>
  <w:footnote w:id="7">
    <w:p w14:paraId="05E4FEF4" w14:textId="42F68431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17D87">
        <w:rPr>
          <w:i/>
        </w:rPr>
        <w:t xml:space="preserve">Akční plán resortní strategie pro rozvoj </w:t>
      </w:r>
      <w:proofErr w:type="spellStart"/>
      <w:r w:rsidRPr="00317D87">
        <w:rPr>
          <w:i/>
        </w:rPr>
        <w:t>eJustice</w:t>
      </w:r>
      <w:proofErr w:type="spellEnd"/>
      <w:r w:rsidRPr="00317D87">
        <w:rPr>
          <w:i/>
        </w:rPr>
        <w:t xml:space="preserve"> 2016–2020</w:t>
      </w:r>
      <w:r>
        <w:t>.</w:t>
      </w:r>
    </w:p>
  </w:footnote>
  <w:footnote w:id="8">
    <w:p w14:paraId="3D1585D9" w14:textId="67C414BF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E1BF4">
        <w:t xml:space="preserve">Vycházet při přípravě strategických dokumentů z </w:t>
      </w:r>
      <w:r w:rsidRPr="006E1BF4">
        <w:rPr>
          <w:i/>
        </w:rPr>
        <w:t>Metodiky přípravy veřejných strategií</w:t>
      </w:r>
      <w:r w:rsidRPr="006E1BF4">
        <w:t xml:space="preserve"> bylo členům vlády uloženo usnesením vlády </w:t>
      </w:r>
      <w:r>
        <w:t xml:space="preserve">České republiky </w:t>
      </w:r>
      <w:r w:rsidRPr="006E1BF4">
        <w:t xml:space="preserve">ze dne 2. května 2013 č. 318, </w:t>
      </w:r>
      <w:r w:rsidRPr="00317D87">
        <w:rPr>
          <w:i/>
        </w:rPr>
        <w:t>k Metodice přípravy veřejných strategií</w:t>
      </w:r>
      <w:r w:rsidRPr="006E1BF4">
        <w:t>.</w:t>
      </w:r>
    </w:p>
  </w:footnote>
  <w:footnote w:id="9">
    <w:p w14:paraId="7DBC99F0" w14:textId="43CBAB35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17D87">
        <w:rPr>
          <w:i/>
        </w:rPr>
        <w:t xml:space="preserve">Informace o stavu plnění akčního plánu resortní strategie pro rozvoj </w:t>
      </w:r>
      <w:proofErr w:type="spellStart"/>
      <w:r w:rsidRPr="00317D87">
        <w:rPr>
          <w:i/>
        </w:rPr>
        <w:t>eJustice</w:t>
      </w:r>
      <w:proofErr w:type="spellEnd"/>
      <w:r w:rsidRPr="00317D87">
        <w:rPr>
          <w:i/>
        </w:rPr>
        <w:t xml:space="preserve"> 2016–2020 za období </w:t>
      </w:r>
      <w:r w:rsidRPr="00317D87">
        <w:rPr>
          <w:i/>
        </w:rPr>
        <w:br/>
        <w:t>2016–2017</w:t>
      </w:r>
      <w:r>
        <w:t>.</w:t>
      </w:r>
    </w:p>
  </w:footnote>
  <w:footnote w:id="10">
    <w:p w14:paraId="476A90A9" w14:textId="7092FFA5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Nařízení Evropského parlamentu a Rady (EU) č. 910/2014 ze dne 23. července 2014, o elektronické identifikaci a službách vytvářejících důvěru pro elektronické transakce na vnitřním trhu a o zrušení směrnice 1999/93/ES.</w:t>
      </w:r>
    </w:p>
  </w:footnote>
  <w:footnote w:id="11">
    <w:p w14:paraId="1E8A28B4" w14:textId="0E403E11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Generátor náhodného přidělení nápadu mezi příslušné soudce.</w:t>
      </w:r>
    </w:p>
  </w:footnote>
  <w:footnote w:id="12">
    <w:p w14:paraId="5E3C82A0" w14:textId="07F7E45E" w:rsidR="00A82034" w:rsidRDefault="00A82034" w:rsidP="00BA218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365/2000 Sb., o informačních systémech veřejné správy.</w:t>
      </w:r>
    </w:p>
  </w:footnote>
  <w:footnote w:id="13">
    <w:p w14:paraId="526C2F28" w14:textId="4C00A3C5" w:rsidR="00A82034" w:rsidRDefault="00A82034" w:rsidP="00450BD0">
      <w:pPr>
        <w:pStyle w:val="Textpoznpodarou"/>
        <w:ind w:left="255" w:hanging="255"/>
      </w:pPr>
      <w:r>
        <w:rPr>
          <w:rStyle w:val="Znakapoznpodarou"/>
        </w:rPr>
        <w:footnoteRef/>
      </w:r>
      <w:r>
        <w:t xml:space="preserve"> </w:t>
      </w:r>
      <w:r>
        <w:tab/>
        <w:t>Provozní (neinvestiční) rozpočtové položky 5042, 5162, 5168 a 5172; kapitálové (investiční) rozpočtové položky 6111 a 6125.</w:t>
      </w:r>
    </w:p>
  </w:footnote>
  <w:footnote w:id="14">
    <w:p w14:paraId="1B59F51D" w14:textId="4F978A31" w:rsidR="00A82034" w:rsidRDefault="00A82034" w:rsidP="00450BD0">
      <w:pPr>
        <w:pStyle w:val="Textpoznpodarou"/>
        <w:ind w:left="255" w:hanging="255"/>
        <w:rPr>
          <w:rFonts w:ascii="Calibri" w:hAnsi="Calibri"/>
        </w:rPr>
      </w:pPr>
      <w:r>
        <w:rPr>
          <w:rStyle w:val="Znakapoznpodarou"/>
        </w:rPr>
        <w:footnoteRef/>
      </w:r>
      <w:r>
        <w:t xml:space="preserve"> </w:t>
      </w:r>
      <w:r>
        <w:tab/>
        <w:t>Zákon č. 218/2000 Sb., o rozpočtových pravidlech a o změně některých souvisejících zákonů (rozpočtová pravidla).</w:t>
      </w:r>
    </w:p>
  </w:footnote>
  <w:footnote w:id="15">
    <w:p w14:paraId="7110403F" w14:textId="646E9302" w:rsidR="00A82034" w:rsidRPr="0017060E" w:rsidRDefault="00A82034" w:rsidP="0017060E">
      <w:pPr>
        <w:pStyle w:val="Textpoznpodarou"/>
        <w:ind w:left="284" w:hanging="284"/>
      </w:pPr>
      <w:r w:rsidRPr="0017060E">
        <w:rPr>
          <w:rStyle w:val="Znakapoznpodarou"/>
        </w:rPr>
        <w:footnoteRef/>
      </w:r>
      <w:r w:rsidRPr="0017060E">
        <w:t xml:space="preserve"> </w:t>
      </w:r>
      <w:r w:rsidRPr="0017060E">
        <w:tab/>
      </w:r>
      <w:r w:rsidRPr="005C124D">
        <w:rPr>
          <w:rFonts w:eastAsia="Times New Roman" w:cstheme="minorHAnsi"/>
          <w:color w:val="000000"/>
          <w:lang w:eastAsia="cs-CZ"/>
        </w:rPr>
        <w:t xml:space="preserve">Justiční </w:t>
      </w:r>
      <w:r>
        <w:rPr>
          <w:rFonts w:eastAsia="Times New Roman" w:cstheme="minorHAnsi"/>
          <w:color w:val="000000"/>
          <w:lang w:eastAsia="cs-CZ"/>
        </w:rPr>
        <w:t>a</w:t>
      </w:r>
      <w:r w:rsidRPr="005C124D">
        <w:rPr>
          <w:rFonts w:eastAsia="Times New Roman" w:cstheme="minorHAnsi"/>
          <w:color w:val="000000"/>
          <w:lang w:eastAsia="cs-CZ"/>
        </w:rPr>
        <w:t xml:space="preserve">utentizační a </w:t>
      </w:r>
      <w:r>
        <w:rPr>
          <w:rFonts w:eastAsia="Times New Roman" w:cstheme="minorHAnsi"/>
          <w:color w:val="000000"/>
          <w:lang w:eastAsia="cs-CZ"/>
        </w:rPr>
        <w:t>a</w:t>
      </w:r>
      <w:r w:rsidRPr="005C124D">
        <w:rPr>
          <w:rFonts w:eastAsia="Times New Roman" w:cstheme="minorHAnsi"/>
          <w:color w:val="000000"/>
          <w:lang w:eastAsia="cs-CZ"/>
        </w:rPr>
        <w:t xml:space="preserve">utorizační </w:t>
      </w:r>
      <w:r>
        <w:rPr>
          <w:rFonts w:eastAsia="Times New Roman" w:cstheme="minorHAnsi"/>
          <w:color w:val="000000"/>
          <w:lang w:eastAsia="cs-CZ"/>
        </w:rPr>
        <w:t>s</w:t>
      </w:r>
      <w:r w:rsidRPr="005C124D">
        <w:rPr>
          <w:rFonts w:eastAsia="Times New Roman" w:cstheme="minorHAnsi"/>
          <w:color w:val="000000"/>
          <w:lang w:eastAsia="cs-CZ"/>
        </w:rPr>
        <w:t>lužba</w:t>
      </w:r>
      <w:r w:rsidRPr="0017060E">
        <w:rPr>
          <w:rFonts w:eastAsia="Times New Roman" w:cstheme="minorHAnsi"/>
          <w:color w:val="000000"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B4C2" w14:textId="77777777" w:rsidR="00A82034" w:rsidRDefault="00A82034" w:rsidP="00EF211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263"/>
    <w:multiLevelType w:val="hybridMultilevel"/>
    <w:tmpl w:val="65FAA860"/>
    <w:lvl w:ilvl="0" w:tplc="9662A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096"/>
    <w:multiLevelType w:val="multilevel"/>
    <w:tmpl w:val="670492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0C715B"/>
    <w:multiLevelType w:val="multilevel"/>
    <w:tmpl w:val="E5020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FF60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DA141B"/>
    <w:multiLevelType w:val="hybridMultilevel"/>
    <w:tmpl w:val="E1CE4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7DDF"/>
    <w:multiLevelType w:val="hybridMultilevel"/>
    <w:tmpl w:val="19BA5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F0B72"/>
    <w:multiLevelType w:val="hybridMultilevel"/>
    <w:tmpl w:val="0E669D0C"/>
    <w:lvl w:ilvl="0" w:tplc="BEA682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41F2"/>
    <w:multiLevelType w:val="hybridMultilevel"/>
    <w:tmpl w:val="3DD8D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4F3"/>
    <w:multiLevelType w:val="hybridMultilevel"/>
    <w:tmpl w:val="AEAC9A10"/>
    <w:lvl w:ilvl="0" w:tplc="DDB4C6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F4E62"/>
    <w:multiLevelType w:val="hybridMultilevel"/>
    <w:tmpl w:val="7E36848A"/>
    <w:lvl w:ilvl="0" w:tplc="7700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6E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A2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E3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0F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CE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45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6E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2C1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F3D52"/>
    <w:multiLevelType w:val="multilevel"/>
    <w:tmpl w:val="E83CE37E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3FC934CA"/>
    <w:multiLevelType w:val="multilevel"/>
    <w:tmpl w:val="6DD046C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3FE24C3"/>
    <w:multiLevelType w:val="hybridMultilevel"/>
    <w:tmpl w:val="E6FE3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33647"/>
    <w:multiLevelType w:val="hybridMultilevel"/>
    <w:tmpl w:val="F0F69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E35DF"/>
    <w:multiLevelType w:val="hybridMultilevel"/>
    <w:tmpl w:val="B73865D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09D4C06"/>
    <w:multiLevelType w:val="hybridMultilevel"/>
    <w:tmpl w:val="918664BE"/>
    <w:lvl w:ilvl="0" w:tplc="9DB4ACD8">
      <w:start w:val="1"/>
      <w:numFmt w:val="decimal"/>
      <w:lvlText w:val="%1."/>
      <w:lvlJc w:val="left"/>
      <w:pPr>
        <w:ind w:left="720" w:hanging="360"/>
      </w:pPr>
    </w:lvl>
    <w:lvl w:ilvl="1" w:tplc="4CA6134E">
      <w:start w:val="1"/>
      <w:numFmt w:val="lowerLetter"/>
      <w:lvlText w:val="%2."/>
      <w:lvlJc w:val="left"/>
      <w:pPr>
        <w:ind w:left="1440" w:hanging="360"/>
      </w:pPr>
    </w:lvl>
    <w:lvl w:ilvl="2" w:tplc="EC6ED920">
      <w:start w:val="1"/>
      <w:numFmt w:val="lowerRoman"/>
      <w:lvlText w:val="%3."/>
      <w:lvlJc w:val="right"/>
      <w:pPr>
        <w:ind w:left="2160" w:hanging="180"/>
      </w:pPr>
    </w:lvl>
    <w:lvl w:ilvl="3" w:tplc="61440062" w:tentative="1">
      <w:start w:val="1"/>
      <w:numFmt w:val="decimal"/>
      <w:lvlText w:val="%4."/>
      <w:lvlJc w:val="left"/>
      <w:pPr>
        <w:ind w:left="2880" w:hanging="360"/>
      </w:pPr>
    </w:lvl>
    <w:lvl w:ilvl="4" w:tplc="1BD41E90" w:tentative="1">
      <w:start w:val="1"/>
      <w:numFmt w:val="lowerLetter"/>
      <w:lvlText w:val="%5."/>
      <w:lvlJc w:val="left"/>
      <w:pPr>
        <w:ind w:left="3600" w:hanging="360"/>
      </w:pPr>
    </w:lvl>
    <w:lvl w:ilvl="5" w:tplc="CE88CA2E" w:tentative="1">
      <w:start w:val="1"/>
      <w:numFmt w:val="lowerRoman"/>
      <w:lvlText w:val="%6."/>
      <w:lvlJc w:val="right"/>
      <w:pPr>
        <w:ind w:left="4320" w:hanging="180"/>
      </w:pPr>
    </w:lvl>
    <w:lvl w:ilvl="6" w:tplc="DA963B10" w:tentative="1">
      <w:start w:val="1"/>
      <w:numFmt w:val="decimal"/>
      <w:lvlText w:val="%7."/>
      <w:lvlJc w:val="left"/>
      <w:pPr>
        <w:ind w:left="5040" w:hanging="360"/>
      </w:pPr>
    </w:lvl>
    <w:lvl w:ilvl="7" w:tplc="3AEE2184" w:tentative="1">
      <w:start w:val="1"/>
      <w:numFmt w:val="lowerLetter"/>
      <w:lvlText w:val="%8."/>
      <w:lvlJc w:val="left"/>
      <w:pPr>
        <w:ind w:left="5760" w:hanging="360"/>
      </w:pPr>
    </w:lvl>
    <w:lvl w:ilvl="8" w:tplc="15187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11C0"/>
    <w:multiLevelType w:val="hybridMultilevel"/>
    <w:tmpl w:val="3F808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932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7403C6"/>
    <w:multiLevelType w:val="hybridMultilevel"/>
    <w:tmpl w:val="F93C2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70EA46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437B5A"/>
    <w:multiLevelType w:val="hybridMultilevel"/>
    <w:tmpl w:val="4B567B9E"/>
    <w:lvl w:ilvl="0" w:tplc="722EDB9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0" w15:restartNumberingAfterBreak="0">
    <w:nsid w:val="69AE1247"/>
    <w:multiLevelType w:val="hybridMultilevel"/>
    <w:tmpl w:val="A5B69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A4AC9"/>
    <w:multiLevelType w:val="hybridMultilevel"/>
    <w:tmpl w:val="00725862"/>
    <w:lvl w:ilvl="0" w:tplc="8EE0C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ACB1E" w:tentative="1">
      <w:start w:val="1"/>
      <w:numFmt w:val="lowerLetter"/>
      <w:lvlText w:val="%2."/>
      <w:lvlJc w:val="left"/>
      <w:pPr>
        <w:ind w:left="1440" w:hanging="360"/>
      </w:pPr>
    </w:lvl>
    <w:lvl w:ilvl="2" w:tplc="C5FE3A18" w:tentative="1">
      <w:start w:val="1"/>
      <w:numFmt w:val="lowerRoman"/>
      <w:lvlText w:val="%3."/>
      <w:lvlJc w:val="right"/>
      <w:pPr>
        <w:ind w:left="2160" w:hanging="180"/>
      </w:pPr>
    </w:lvl>
    <w:lvl w:ilvl="3" w:tplc="F976BA5E" w:tentative="1">
      <w:start w:val="1"/>
      <w:numFmt w:val="decimal"/>
      <w:lvlText w:val="%4."/>
      <w:lvlJc w:val="left"/>
      <w:pPr>
        <w:ind w:left="2880" w:hanging="360"/>
      </w:pPr>
    </w:lvl>
    <w:lvl w:ilvl="4" w:tplc="5D367C74" w:tentative="1">
      <w:start w:val="1"/>
      <w:numFmt w:val="lowerLetter"/>
      <w:lvlText w:val="%5."/>
      <w:lvlJc w:val="left"/>
      <w:pPr>
        <w:ind w:left="3600" w:hanging="360"/>
      </w:pPr>
    </w:lvl>
    <w:lvl w:ilvl="5" w:tplc="D7F8FAC8" w:tentative="1">
      <w:start w:val="1"/>
      <w:numFmt w:val="lowerRoman"/>
      <w:lvlText w:val="%6."/>
      <w:lvlJc w:val="right"/>
      <w:pPr>
        <w:ind w:left="4320" w:hanging="180"/>
      </w:pPr>
    </w:lvl>
    <w:lvl w:ilvl="6" w:tplc="5B1A8898" w:tentative="1">
      <w:start w:val="1"/>
      <w:numFmt w:val="decimal"/>
      <w:lvlText w:val="%7."/>
      <w:lvlJc w:val="left"/>
      <w:pPr>
        <w:ind w:left="5040" w:hanging="360"/>
      </w:pPr>
    </w:lvl>
    <w:lvl w:ilvl="7" w:tplc="B8C0569A" w:tentative="1">
      <w:start w:val="1"/>
      <w:numFmt w:val="lowerLetter"/>
      <w:lvlText w:val="%8."/>
      <w:lvlJc w:val="left"/>
      <w:pPr>
        <w:ind w:left="5760" w:hanging="360"/>
      </w:pPr>
    </w:lvl>
    <w:lvl w:ilvl="8" w:tplc="CC846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A3072"/>
    <w:multiLevelType w:val="hybridMultilevel"/>
    <w:tmpl w:val="9C50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32C6E"/>
    <w:multiLevelType w:val="hybridMultilevel"/>
    <w:tmpl w:val="44328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22A90"/>
    <w:multiLevelType w:val="hybridMultilevel"/>
    <w:tmpl w:val="5E4020DC"/>
    <w:lvl w:ilvl="0" w:tplc="4916535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705BD"/>
    <w:multiLevelType w:val="hybridMultilevel"/>
    <w:tmpl w:val="C4126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70FA7"/>
    <w:multiLevelType w:val="hybridMultilevel"/>
    <w:tmpl w:val="C93A73AE"/>
    <w:lvl w:ilvl="0" w:tplc="D0CA80CE">
      <w:start w:val="1"/>
      <w:numFmt w:val="decimal"/>
      <w:lvlText w:val="%1."/>
      <w:lvlJc w:val="left"/>
      <w:pPr>
        <w:ind w:left="720" w:hanging="360"/>
      </w:pPr>
    </w:lvl>
    <w:lvl w:ilvl="1" w:tplc="96B0543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03921"/>
    <w:multiLevelType w:val="hybridMultilevel"/>
    <w:tmpl w:val="D3586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0"/>
  </w:num>
  <w:num w:numId="5">
    <w:abstractNumId w:val="25"/>
  </w:num>
  <w:num w:numId="6">
    <w:abstractNumId w:val="2"/>
  </w:num>
  <w:num w:numId="7">
    <w:abstractNumId w:val="24"/>
  </w:num>
  <w:num w:numId="8">
    <w:abstractNumId w:val="10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7"/>
  </w:num>
  <w:num w:numId="13">
    <w:abstractNumId w:val="13"/>
  </w:num>
  <w:num w:numId="14">
    <w:abstractNumId w:val="22"/>
  </w:num>
  <w:num w:numId="15">
    <w:abstractNumId w:val="1"/>
  </w:num>
  <w:num w:numId="16">
    <w:abstractNumId w:val="1"/>
  </w:num>
  <w:num w:numId="17">
    <w:abstractNumId w:val="3"/>
  </w:num>
  <w:num w:numId="18">
    <w:abstractNumId w:val="26"/>
  </w:num>
  <w:num w:numId="19">
    <w:abstractNumId w:val="17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5"/>
  </w:num>
  <w:num w:numId="24">
    <w:abstractNumId w:val="7"/>
  </w:num>
  <w:num w:numId="25">
    <w:abstractNumId w:val="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4"/>
  </w:num>
  <w:num w:numId="34">
    <w:abstractNumId w:val="14"/>
  </w:num>
  <w:num w:numId="35">
    <w:abstractNumId w:val="11"/>
  </w:num>
  <w:num w:numId="36">
    <w:abstractNumId w:val="11"/>
  </w:num>
  <w:num w:numId="37">
    <w:abstractNumId w:val="23"/>
  </w:num>
  <w:num w:numId="3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A9A"/>
    <w:rsid w:val="00000201"/>
    <w:rsid w:val="000007EA"/>
    <w:rsid w:val="0000155C"/>
    <w:rsid w:val="00001809"/>
    <w:rsid w:val="00001EB8"/>
    <w:rsid w:val="00002C00"/>
    <w:rsid w:val="00002F05"/>
    <w:rsid w:val="00002F3A"/>
    <w:rsid w:val="00002FD9"/>
    <w:rsid w:val="00003169"/>
    <w:rsid w:val="00003C3E"/>
    <w:rsid w:val="00003C6D"/>
    <w:rsid w:val="00004368"/>
    <w:rsid w:val="00004AEB"/>
    <w:rsid w:val="00005324"/>
    <w:rsid w:val="00005385"/>
    <w:rsid w:val="000057DC"/>
    <w:rsid w:val="00006CE9"/>
    <w:rsid w:val="00006EA8"/>
    <w:rsid w:val="00006EF3"/>
    <w:rsid w:val="00006F67"/>
    <w:rsid w:val="000070CC"/>
    <w:rsid w:val="0000769F"/>
    <w:rsid w:val="00010564"/>
    <w:rsid w:val="00010725"/>
    <w:rsid w:val="000116D1"/>
    <w:rsid w:val="00011947"/>
    <w:rsid w:val="00011C87"/>
    <w:rsid w:val="00011E4D"/>
    <w:rsid w:val="00012301"/>
    <w:rsid w:val="00012425"/>
    <w:rsid w:val="00013B50"/>
    <w:rsid w:val="00014437"/>
    <w:rsid w:val="000146DE"/>
    <w:rsid w:val="000153DB"/>
    <w:rsid w:val="000154FB"/>
    <w:rsid w:val="000157BC"/>
    <w:rsid w:val="00015A83"/>
    <w:rsid w:val="00016649"/>
    <w:rsid w:val="000166D6"/>
    <w:rsid w:val="00016735"/>
    <w:rsid w:val="0001681E"/>
    <w:rsid w:val="00016AED"/>
    <w:rsid w:val="00016FC5"/>
    <w:rsid w:val="00017177"/>
    <w:rsid w:val="00017279"/>
    <w:rsid w:val="00017B6F"/>
    <w:rsid w:val="00020237"/>
    <w:rsid w:val="00020B31"/>
    <w:rsid w:val="00020E86"/>
    <w:rsid w:val="00021561"/>
    <w:rsid w:val="0002156B"/>
    <w:rsid w:val="000215DD"/>
    <w:rsid w:val="000217DA"/>
    <w:rsid w:val="0002198E"/>
    <w:rsid w:val="0002307C"/>
    <w:rsid w:val="00023753"/>
    <w:rsid w:val="00023A88"/>
    <w:rsid w:val="00024216"/>
    <w:rsid w:val="0002465C"/>
    <w:rsid w:val="0002489A"/>
    <w:rsid w:val="00024CFA"/>
    <w:rsid w:val="00024E4B"/>
    <w:rsid w:val="00025348"/>
    <w:rsid w:val="00025957"/>
    <w:rsid w:val="00026D40"/>
    <w:rsid w:val="000271E8"/>
    <w:rsid w:val="000274C5"/>
    <w:rsid w:val="000301EF"/>
    <w:rsid w:val="00030436"/>
    <w:rsid w:val="000306AA"/>
    <w:rsid w:val="00030A78"/>
    <w:rsid w:val="00030BAD"/>
    <w:rsid w:val="0003155E"/>
    <w:rsid w:val="000316F1"/>
    <w:rsid w:val="00031CAE"/>
    <w:rsid w:val="00031E0A"/>
    <w:rsid w:val="00031E35"/>
    <w:rsid w:val="00031E57"/>
    <w:rsid w:val="00031E95"/>
    <w:rsid w:val="000324FD"/>
    <w:rsid w:val="000328F0"/>
    <w:rsid w:val="00032F40"/>
    <w:rsid w:val="000330AC"/>
    <w:rsid w:val="00034888"/>
    <w:rsid w:val="00034C5A"/>
    <w:rsid w:val="00034E07"/>
    <w:rsid w:val="00034E45"/>
    <w:rsid w:val="00035AF9"/>
    <w:rsid w:val="00035E19"/>
    <w:rsid w:val="00036003"/>
    <w:rsid w:val="0003652F"/>
    <w:rsid w:val="0003656C"/>
    <w:rsid w:val="00036663"/>
    <w:rsid w:val="00036892"/>
    <w:rsid w:val="00036D41"/>
    <w:rsid w:val="000372CE"/>
    <w:rsid w:val="000373A1"/>
    <w:rsid w:val="000403A9"/>
    <w:rsid w:val="000405F9"/>
    <w:rsid w:val="0004080E"/>
    <w:rsid w:val="00040846"/>
    <w:rsid w:val="00040EAC"/>
    <w:rsid w:val="000411BD"/>
    <w:rsid w:val="00041B3F"/>
    <w:rsid w:val="00042C95"/>
    <w:rsid w:val="00042DD8"/>
    <w:rsid w:val="000434D4"/>
    <w:rsid w:val="000434EF"/>
    <w:rsid w:val="00043AD7"/>
    <w:rsid w:val="00043B25"/>
    <w:rsid w:val="00043D2E"/>
    <w:rsid w:val="00044693"/>
    <w:rsid w:val="00044ABB"/>
    <w:rsid w:val="00044AC9"/>
    <w:rsid w:val="00044D1A"/>
    <w:rsid w:val="000458C7"/>
    <w:rsid w:val="00045EED"/>
    <w:rsid w:val="00046336"/>
    <w:rsid w:val="00046990"/>
    <w:rsid w:val="00046C41"/>
    <w:rsid w:val="00047749"/>
    <w:rsid w:val="00050497"/>
    <w:rsid w:val="000506F3"/>
    <w:rsid w:val="0005076D"/>
    <w:rsid w:val="00050A9E"/>
    <w:rsid w:val="00050E12"/>
    <w:rsid w:val="00051641"/>
    <w:rsid w:val="00051A5A"/>
    <w:rsid w:val="00051ED2"/>
    <w:rsid w:val="00052496"/>
    <w:rsid w:val="00052525"/>
    <w:rsid w:val="000525BD"/>
    <w:rsid w:val="000527E2"/>
    <w:rsid w:val="0005298F"/>
    <w:rsid w:val="00052A8C"/>
    <w:rsid w:val="0005315E"/>
    <w:rsid w:val="00053AA2"/>
    <w:rsid w:val="00053BF1"/>
    <w:rsid w:val="000540DD"/>
    <w:rsid w:val="00054BBF"/>
    <w:rsid w:val="00054CAC"/>
    <w:rsid w:val="00054DCB"/>
    <w:rsid w:val="00054F16"/>
    <w:rsid w:val="00054FD8"/>
    <w:rsid w:val="0005562C"/>
    <w:rsid w:val="00055A7A"/>
    <w:rsid w:val="00056E26"/>
    <w:rsid w:val="00056FBD"/>
    <w:rsid w:val="0005795A"/>
    <w:rsid w:val="00057AD8"/>
    <w:rsid w:val="00057BF6"/>
    <w:rsid w:val="000604B3"/>
    <w:rsid w:val="00060615"/>
    <w:rsid w:val="00060B5C"/>
    <w:rsid w:val="00060C2C"/>
    <w:rsid w:val="000610E5"/>
    <w:rsid w:val="00061477"/>
    <w:rsid w:val="00061BA9"/>
    <w:rsid w:val="00061C8C"/>
    <w:rsid w:val="00061E26"/>
    <w:rsid w:val="0006206F"/>
    <w:rsid w:val="00062272"/>
    <w:rsid w:val="000629D0"/>
    <w:rsid w:val="00062BDE"/>
    <w:rsid w:val="00062BFC"/>
    <w:rsid w:val="00062DF6"/>
    <w:rsid w:val="000635AE"/>
    <w:rsid w:val="00063778"/>
    <w:rsid w:val="000639C2"/>
    <w:rsid w:val="00063A55"/>
    <w:rsid w:val="00063F5A"/>
    <w:rsid w:val="0006437B"/>
    <w:rsid w:val="000648F0"/>
    <w:rsid w:val="0006533D"/>
    <w:rsid w:val="00065341"/>
    <w:rsid w:val="00065A83"/>
    <w:rsid w:val="00067060"/>
    <w:rsid w:val="00067356"/>
    <w:rsid w:val="00067916"/>
    <w:rsid w:val="000704B3"/>
    <w:rsid w:val="00070A2E"/>
    <w:rsid w:val="00071572"/>
    <w:rsid w:val="00071942"/>
    <w:rsid w:val="00072225"/>
    <w:rsid w:val="0007276E"/>
    <w:rsid w:val="00073893"/>
    <w:rsid w:val="00073D61"/>
    <w:rsid w:val="000744C0"/>
    <w:rsid w:val="00074640"/>
    <w:rsid w:val="00074D04"/>
    <w:rsid w:val="00074E29"/>
    <w:rsid w:val="00075601"/>
    <w:rsid w:val="000758CE"/>
    <w:rsid w:val="00076E84"/>
    <w:rsid w:val="00077752"/>
    <w:rsid w:val="0008008B"/>
    <w:rsid w:val="000801BD"/>
    <w:rsid w:val="000802CF"/>
    <w:rsid w:val="000804C6"/>
    <w:rsid w:val="00080587"/>
    <w:rsid w:val="0008060E"/>
    <w:rsid w:val="0008065E"/>
    <w:rsid w:val="000815E0"/>
    <w:rsid w:val="000818CA"/>
    <w:rsid w:val="00081FC5"/>
    <w:rsid w:val="00082059"/>
    <w:rsid w:val="00082561"/>
    <w:rsid w:val="00082BAD"/>
    <w:rsid w:val="00082DD7"/>
    <w:rsid w:val="00082E04"/>
    <w:rsid w:val="00082E12"/>
    <w:rsid w:val="00083048"/>
    <w:rsid w:val="00083370"/>
    <w:rsid w:val="000835E9"/>
    <w:rsid w:val="00083795"/>
    <w:rsid w:val="00083AE1"/>
    <w:rsid w:val="00084199"/>
    <w:rsid w:val="00084E93"/>
    <w:rsid w:val="000852D4"/>
    <w:rsid w:val="000856E8"/>
    <w:rsid w:val="000861F9"/>
    <w:rsid w:val="00086FD7"/>
    <w:rsid w:val="00090102"/>
    <w:rsid w:val="0009088F"/>
    <w:rsid w:val="00091342"/>
    <w:rsid w:val="00091B13"/>
    <w:rsid w:val="00092E28"/>
    <w:rsid w:val="000942AF"/>
    <w:rsid w:val="00094314"/>
    <w:rsid w:val="00094365"/>
    <w:rsid w:val="00094872"/>
    <w:rsid w:val="00094B02"/>
    <w:rsid w:val="000955A6"/>
    <w:rsid w:val="00096091"/>
    <w:rsid w:val="00096469"/>
    <w:rsid w:val="00096964"/>
    <w:rsid w:val="00096D83"/>
    <w:rsid w:val="00096EFB"/>
    <w:rsid w:val="00097297"/>
    <w:rsid w:val="0009773B"/>
    <w:rsid w:val="000977BA"/>
    <w:rsid w:val="00097CAC"/>
    <w:rsid w:val="00097E16"/>
    <w:rsid w:val="00097FD7"/>
    <w:rsid w:val="000A05E1"/>
    <w:rsid w:val="000A08EB"/>
    <w:rsid w:val="000A0DAA"/>
    <w:rsid w:val="000A13A2"/>
    <w:rsid w:val="000A1DDB"/>
    <w:rsid w:val="000A1F05"/>
    <w:rsid w:val="000A2063"/>
    <w:rsid w:val="000A22BE"/>
    <w:rsid w:val="000A2710"/>
    <w:rsid w:val="000A28F3"/>
    <w:rsid w:val="000A2B9E"/>
    <w:rsid w:val="000A2DB4"/>
    <w:rsid w:val="000A302E"/>
    <w:rsid w:val="000A350F"/>
    <w:rsid w:val="000A3D20"/>
    <w:rsid w:val="000A3D53"/>
    <w:rsid w:val="000A3F35"/>
    <w:rsid w:val="000A4360"/>
    <w:rsid w:val="000A463C"/>
    <w:rsid w:val="000A51BB"/>
    <w:rsid w:val="000A527E"/>
    <w:rsid w:val="000A57EE"/>
    <w:rsid w:val="000A591D"/>
    <w:rsid w:val="000A5C34"/>
    <w:rsid w:val="000A601F"/>
    <w:rsid w:val="000A623F"/>
    <w:rsid w:val="000A6310"/>
    <w:rsid w:val="000A6431"/>
    <w:rsid w:val="000A67A8"/>
    <w:rsid w:val="000A6C42"/>
    <w:rsid w:val="000A6F73"/>
    <w:rsid w:val="000A72FF"/>
    <w:rsid w:val="000A760C"/>
    <w:rsid w:val="000A7627"/>
    <w:rsid w:val="000A7668"/>
    <w:rsid w:val="000A7735"/>
    <w:rsid w:val="000A78D9"/>
    <w:rsid w:val="000A7C8C"/>
    <w:rsid w:val="000B017B"/>
    <w:rsid w:val="000B0277"/>
    <w:rsid w:val="000B030B"/>
    <w:rsid w:val="000B0B57"/>
    <w:rsid w:val="000B0D21"/>
    <w:rsid w:val="000B19AB"/>
    <w:rsid w:val="000B1DA3"/>
    <w:rsid w:val="000B23B0"/>
    <w:rsid w:val="000B247E"/>
    <w:rsid w:val="000B268A"/>
    <w:rsid w:val="000B2ED7"/>
    <w:rsid w:val="000B306A"/>
    <w:rsid w:val="000B3536"/>
    <w:rsid w:val="000B388A"/>
    <w:rsid w:val="000B3898"/>
    <w:rsid w:val="000B3986"/>
    <w:rsid w:val="000B4363"/>
    <w:rsid w:val="000B4BEA"/>
    <w:rsid w:val="000B4BFB"/>
    <w:rsid w:val="000B54DE"/>
    <w:rsid w:val="000B5BC5"/>
    <w:rsid w:val="000B62CB"/>
    <w:rsid w:val="000B674E"/>
    <w:rsid w:val="000B6FB0"/>
    <w:rsid w:val="000B7187"/>
    <w:rsid w:val="000B781F"/>
    <w:rsid w:val="000B7883"/>
    <w:rsid w:val="000B7B1F"/>
    <w:rsid w:val="000B7BD0"/>
    <w:rsid w:val="000C0565"/>
    <w:rsid w:val="000C0732"/>
    <w:rsid w:val="000C0D36"/>
    <w:rsid w:val="000C133D"/>
    <w:rsid w:val="000C1BD3"/>
    <w:rsid w:val="000C1EB5"/>
    <w:rsid w:val="000C28F4"/>
    <w:rsid w:val="000C2C70"/>
    <w:rsid w:val="000C388C"/>
    <w:rsid w:val="000C4AFA"/>
    <w:rsid w:val="000C4BA2"/>
    <w:rsid w:val="000C4E1C"/>
    <w:rsid w:val="000C4FFE"/>
    <w:rsid w:val="000C50E1"/>
    <w:rsid w:val="000C5530"/>
    <w:rsid w:val="000C5DB1"/>
    <w:rsid w:val="000C60B5"/>
    <w:rsid w:val="000C636A"/>
    <w:rsid w:val="000C6719"/>
    <w:rsid w:val="000C6812"/>
    <w:rsid w:val="000C6D42"/>
    <w:rsid w:val="000C6FF6"/>
    <w:rsid w:val="000C7076"/>
    <w:rsid w:val="000C711F"/>
    <w:rsid w:val="000D0C08"/>
    <w:rsid w:val="000D11C7"/>
    <w:rsid w:val="000D13CA"/>
    <w:rsid w:val="000D16B1"/>
    <w:rsid w:val="000D198C"/>
    <w:rsid w:val="000D2395"/>
    <w:rsid w:val="000D26E3"/>
    <w:rsid w:val="000D2F23"/>
    <w:rsid w:val="000D2FF0"/>
    <w:rsid w:val="000D3675"/>
    <w:rsid w:val="000D41FA"/>
    <w:rsid w:val="000D4299"/>
    <w:rsid w:val="000D429C"/>
    <w:rsid w:val="000D45F6"/>
    <w:rsid w:val="000D4674"/>
    <w:rsid w:val="000D47E8"/>
    <w:rsid w:val="000D4A5B"/>
    <w:rsid w:val="000D4BFB"/>
    <w:rsid w:val="000D4DB6"/>
    <w:rsid w:val="000D5714"/>
    <w:rsid w:val="000D6107"/>
    <w:rsid w:val="000D63A9"/>
    <w:rsid w:val="000D677E"/>
    <w:rsid w:val="000D6881"/>
    <w:rsid w:val="000D69A9"/>
    <w:rsid w:val="000D6C3E"/>
    <w:rsid w:val="000D71ED"/>
    <w:rsid w:val="000D7E1B"/>
    <w:rsid w:val="000E05B0"/>
    <w:rsid w:val="000E098A"/>
    <w:rsid w:val="000E0F03"/>
    <w:rsid w:val="000E1212"/>
    <w:rsid w:val="000E19B2"/>
    <w:rsid w:val="000E1DAB"/>
    <w:rsid w:val="000E1F02"/>
    <w:rsid w:val="000E22CC"/>
    <w:rsid w:val="000E254D"/>
    <w:rsid w:val="000E306E"/>
    <w:rsid w:val="000E35E3"/>
    <w:rsid w:val="000E3752"/>
    <w:rsid w:val="000E3807"/>
    <w:rsid w:val="000E384E"/>
    <w:rsid w:val="000E38B4"/>
    <w:rsid w:val="000E3E66"/>
    <w:rsid w:val="000E40C5"/>
    <w:rsid w:val="000E4469"/>
    <w:rsid w:val="000E4749"/>
    <w:rsid w:val="000E50CE"/>
    <w:rsid w:val="000E54AF"/>
    <w:rsid w:val="000E5C02"/>
    <w:rsid w:val="000E5F6B"/>
    <w:rsid w:val="000E5F72"/>
    <w:rsid w:val="000E74A1"/>
    <w:rsid w:val="000E7557"/>
    <w:rsid w:val="000E7607"/>
    <w:rsid w:val="000F0052"/>
    <w:rsid w:val="000F0928"/>
    <w:rsid w:val="000F116E"/>
    <w:rsid w:val="000F15CB"/>
    <w:rsid w:val="000F15E4"/>
    <w:rsid w:val="000F1CD9"/>
    <w:rsid w:val="000F2665"/>
    <w:rsid w:val="000F2725"/>
    <w:rsid w:val="000F2A81"/>
    <w:rsid w:val="000F2BA3"/>
    <w:rsid w:val="000F3D3D"/>
    <w:rsid w:val="000F45C0"/>
    <w:rsid w:val="000F52EC"/>
    <w:rsid w:val="000F57D6"/>
    <w:rsid w:val="000F5BD9"/>
    <w:rsid w:val="000F6633"/>
    <w:rsid w:val="000F678B"/>
    <w:rsid w:val="000F6B62"/>
    <w:rsid w:val="000F6CF6"/>
    <w:rsid w:val="000F6F83"/>
    <w:rsid w:val="000F710B"/>
    <w:rsid w:val="000F71A7"/>
    <w:rsid w:val="000F725C"/>
    <w:rsid w:val="000F7A72"/>
    <w:rsid w:val="000F7FE3"/>
    <w:rsid w:val="001005EF"/>
    <w:rsid w:val="00100A2A"/>
    <w:rsid w:val="00100A9F"/>
    <w:rsid w:val="00100B07"/>
    <w:rsid w:val="00101164"/>
    <w:rsid w:val="0010171B"/>
    <w:rsid w:val="001018E0"/>
    <w:rsid w:val="001021C6"/>
    <w:rsid w:val="00102A52"/>
    <w:rsid w:val="00102B21"/>
    <w:rsid w:val="00102D0A"/>
    <w:rsid w:val="00102E58"/>
    <w:rsid w:val="00102F7C"/>
    <w:rsid w:val="00103F20"/>
    <w:rsid w:val="00104B21"/>
    <w:rsid w:val="00104BC7"/>
    <w:rsid w:val="00104EE3"/>
    <w:rsid w:val="0010523C"/>
    <w:rsid w:val="001053B6"/>
    <w:rsid w:val="00105534"/>
    <w:rsid w:val="00105D1F"/>
    <w:rsid w:val="00106050"/>
    <w:rsid w:val="00106CFA"/>
    <w:rsid w:val="0010700E"/>
    <w:rsid w:val="00107ADC"/>
    <w:rsid w:val="00107F02"/>
    <w:rsid w:val="00110038"/>
    <w:rsid w:val="0011037E"/>
    <w:rsid w:val="00110655"/>
    <w:rsid w:val="00111132"/>
    <w:rsid w:val="00111963"/>
    <w:rsid w:val="00111F55"/>
    <w:rsid w:val="00111FF6"/>
    <w:rsid w:val="00112055"/>
    <w:rsid w:val="00112174"/>
    <w:rsid w:val="00112A7F"/>
    <w:rsid w:val="00112C89"/>
    <w:rsid w:val="00112F31"/>
    <w:rsid w:val="001131CC"/>
    <w:rsid w:val="00113377"/>
    <w:rsid w:val="00113456"/>
    <w:rsid w:val="001137A3"/>
    <w:rsid w:val="0011395E"/>
    <w:rsid w:val="00113C29"/>
    <w:rsid w:val="00113CE3"/>
    <w:rsid w:val="00113DA2"/>
    <w:rsid w:val="0011418D"/>
    <w:rsid w:val="00114308"/>
    <w:rsid w:val="001143B1"/>
    <w:rsid w:val="001143DC"/>
    <w:rsid w:val="0011463A"/>
    <w:rsid w:val="00114D32"/>
    <w:rsid w:val="00114FC5"/>
    <w:rsid w:val="001151EE"/>
    <w:rsid w:val="00115A44"/>
    <w:rsid w:val="0011612E"/>
    <w:rsid w:val="0011661A"/>
    <w:rsid w:val="001167B6"/>
    <w:rsid w:val="00116A38"/>
    <w:rsid w:val="001177E0"/>
    <w:rsid w:val="001177FF"/>
    <w:rsid w:val="001178BA"/>
    <w:rsid w:val="00117ABA"/>
    <w:rsid w:val="00117FB5"/>
    <w:rsid w:val="00120C1F"/>
    <w:rsid w:val="00121510"/>
    <w:rsid w:val="001219E4"/>
    <w:rsid w:val="00121C7E"/>
    <w:rsid w:val="00121FCA"/>
    <w:rsid w:val="00122320"/>
    <w:rsid w:val="0012238B"/>
    <w:rsid w:val="0012239A"/>
    <w:rsid w:val="00122E46"/>
    <w:rsid w:val="00123030"/>
    <w:rsid w:val="001230CB"/>
    <w:rsid w:val="001230E3"/>
    <w:rsid w:val="00123D19"/>
    <w:rsid w:val="00123E88"/>
    <w:rsid w:val="00124130"/>
    <w:rsid w:val="00124288"/>
    <w:rsid w:val="00124772"/>
    <w:rsid w:val="00124990"/>
    <w:rsid w:val="00125147"/>
    <w:rsid w:val="00125796"/>
    <w:rsid w:val="0012581E"/>
    <w:rsid w:val="001258D0"/>
    <w:rsid w:val="00125B05"/>
    <w:rsid w:val="00126288"/>
    <w:rsid w:val="001272FD"/>
    <w:rsid w:val="001276F6"/>
    <w:rsid w:val="00127B50"/>
    <w:rsid w:val="00127FAB"/>
    <w:rsid w:val="001300AF"/>
    <w:rsid w:val="0013019B"/>
    <w:rsid w:val="001301BD"/>
    <w:rsid w:val="001304C5"/>
    <w:rsid w:val="0013089B"/>
    <w:rsid w:val="00130F96"/>
    <w:rsid w:val="0013109D"/>
    <w:rsid w:val="001316CA"/>
    <w:rsid w:val="00131CEE"/>
    <w:rsid w:val="00131EBC"/>
    <w:rsid w:val="001321EB"/>
    <w:rsid w:val="00132414"/>
    <w:rsid w:val="001324FE"/>
    <w:rsid w:val="0013270E"/>
    <w:rsid w:val="00132C99"/>
    <w:rsid w:val="00132E05"/>
    <w:rsid w:val="0013340B"/>
    <w:rsid w:val="001335A3"/>
    <w:rsid w:val="00133B96"/>
    <w:rsid w:val="00134147"/>
    <w:rsid w:val="0013442C"/>
    <w:rsid w:val="001347A9"/>
    <w:rsid w:val="00134C9E"/>
    <w:rsid w:val="00134F67"/>
    <w:rsid w:val="00135382"/>
    <w:rsid w:val="00135448"/>
    <w:rsid w:val="00135AEA"/>
    <w:rsid w:val="00135BE8"/>
    <w:rsid w:val="001361BF"/>
    <w:rsid w:val="00136286"/>
    <w:rsid w:val="001364EE"/>
    <w:rsid w:val="00136AE9"/>
    <w:rsid w:val="0013705F"/>
    <w:rsid w:val="0013715C"/>
    <w:rsid w:val="00137433"/>
    <w:rsid w:val="001378B1"/>
    <w:rsid w:val="0013791A"/>
    <w:rsid w:val="0013793E"/>
    <w:rsid w:val="00137A15"/>
    <w:rsid w:val="00137AAB"/>
    <w:rsid w:val="00137BFE"/>
    <w:rsid w:val="00137C84"/>
    <w:rsid w:val="00137E4D"/>
    <w:rsid w:val="0014042A"/>
    <w:rsid w:val="0014048E"/>
    <w:rsid w:val="00140610"/>
    <w:rsid w:val="00140DC7"/>
    <w:rsid w:val="00140E4C"/>
    <w:rsid w:val="00140F64"/>
    <w:rsid w:val="00141013"/>
    <w:rsid w:val="001411FE"/>
    <w:rsid w:val="00141226"/>
    <w:rsid w:val="00141A6C"/>
    <w:rsid w:val="00141EA3"/>
    <w:rsid w:val="001422DF"/>
    <w:rsid w:val="001425F8"/>
    <w:rsid w:val="00142974"/>
    <w:rsid w:val="00142B31"/>
    <w:rsid w:val="00142FEE"/>
    <w:rsid w:val="00142FFF"/>
    <w:rsid w:val="001435DE"/>
    <w:rsid w:val="001436C9"/>
    <w:rsid w:val="001437EF"/>
    <w:rsid w:val="0014384C"/>
    <w:rsid w:val="00144326"/>
    <w:rsid w:val="001443CE"/>
    <w:rsid w:val="001448BD"/>
    <w:rsid w:val="00144C63"/>
    <w:rsid w:val="00144D22"/>
    <w:rsid w:val="001453F7"/>
    <w:rsid w:val="001458E4"/>
    <w:rsid w:val="00145D43"/>
    <w:rsid w:val="00146261"/>
    <w:rsid w:val="00146993"/>
    <w:rsid w:val="00146E29"/>
    <w:rsid w:val="001471BF"/>
    <w:rsid w:val="001479E0"/>
    <w:rsid w:val="00147DFC"/>
    <w:rsid w:val="00147F5D"/>
    <w:rsid w:val="00150383"/>
    <w:rsid w:val="0015039A"/>
    <w:rsid w:val="00150612"/>
    <w:rsid w:val="00150793"/>
    <w:rsid w:val="00150C88"/>
    <w:rsid w:val="0015102E"/>
    <w:rsid w:val="0015103D"/>
    <w:rsid w:val="00151756"/>
    <w:rsid w:val="00151E9D"/>
    <w:rsid w:val="00151F48"/>
    <w:rsid w:val="0015247D"/>
    <w:rsid w:val="001524C0"/>
    <w:rsid w:val="001525BD"/>
    <w:rsid w:val="001525C7"/>
    <w:rsid w:val="00152AB7"/>
    <w:rsid w:val="00153377"/>
    <w:rsid w:val="00153504"/>
    <w:rsid w:val="0015351B"/>
    <w:rsid w:val="0015384E"/>
    <w:rsid w:val="00153BFA"/>
    <w:rsid w:val="00153F99"/>
    <w:rsid w:val="0015444A"/>
    <w:rsid w:val="00155317"/>
    <w:rsid w:val="00155323"/>
    <w:rsid w:val="001555CB"/>
    <w:rsid w:val="001556D0"/>
    <w:rsid w:val="00155725"/>
    <w:rsid w:val="00155F92"/>
    <w:rsid w:val="00156723"/>
    <w:rsid w:val="00156A39"/>
    <w:rsid w:val="00157115"/>
    <w:rsid w:val="001571D9"/>
    <w:rsid w:val="0015762B"/>
    <w:rsid w:val="00157849"/>
    <w:rsid w:val="00160AF2"/>
    <w:rsid w:val="001611FB"/>
    <w:rsid w:val="00161360"/>
    <w:rsid w:val="001615CD"/>
    <w:rsid w:val="00161907"/>
    <w:rsid w:val="00161B93"/>
    <w:rsid w:val="001621F6"/>
    <w:rsid w:val="00162557"/>
    <w:rsid w:val="00162599"/>
    <w:rsid w:val="0016274F"/>
    <w:rsid w:val="0016296B"/>
    <w:rsid w:val="00162C73"/>
    <w:rsid w:val="00162E1D"/>
    <w:rsid w:val="00162F75"/>
    <w:rsid w:val="0016315D"/>
    <w:rsid w:val="00163860"/>
    <w:rsid w:val="00163A32"/>
    <w:rsid w:val="00163B1C"/>
    <w:rsid w:val="00164BF1"/>
    <w:rsid w:val="00164C4D"/>
    <w:rsid w:val="00164CC0"/>
    <w:rsid w:val="00164F29"/>
    <w:rsid w:val="00164F41"/>
    <w:rsid w:val="001652AC"/>
    <w:rsid w:val="00165BE1"/>
    <w:rsid w:val="0016664F"/>
    <w:rsid w:val="00166A2C"/>
    <w:rsid w:val="00167D75"/>
    <w:rsid w:val="00167E4D"/>
    <w:rsid w:val="001705AD"/>
    <w:rsid w:val="0017060E"/>
    <w:rsid w:val="00170657"/>
    <w:rsid w:val="001715E8"/>
    <w:rsid w:val="00171912"/>
    <w:rsid w:val="00171B75"/>
    <w:rsid w:val="0017200F"/>
    <w:rsid w:val="0017225F"/>
    <w:rsid w:val="00172E5C"/>
    <w:rsid w:val="00173058"/>
    <w:rsid w:val="0017311B"/>
    <w:rsid w:val="00173776"/>
    <w:rsid w:val="001737C0"/>
    <w:rsid w:val="001738DA"/>
    <w:rsid w:val="00173C45"/>
    <w:rsid w:val="00173CF4"/>
    <w:rsid w:val="00173DF1"/>
    <w:rsid w:val="00174085"/>
    <w:rsid w:val="001754A4"/>
    <w:rsid w:val="0017598A"/>
    <w:rsid w:val="00175A3C"/>
    <w:rsid w:val="001764A9"/>
    <w:rsid w:val="00176A8C"/>
    <w:rsid w:val="00176FA0"/>
    <w:rsid w:val="0017746C"/>
    <w:rsid w:val="0017785B"/>
    <w:rsid w:val="001803B5"/>
    <w:rsid w:val="0018055A"/>
    <w:rsid w:val="00180B64"/>
    <w:rsid w:val="001810C3"/>
    <w:rsid w:val="001810D4"/>
    <w:rsid w:val="00181137"/>
    <w:rsid w:val="0018115B"/>
    <w:rsid w:val="001812CF"/>
    <w:rsid w:val="001813B8"/>
    <w:rsid w:val="001817C5"/>
    <w:rsid w:val="0018185C"/>
    <w:rsid w:val="00181F6C"/>
    <w:rsid w:val="001826C4"/>
    <w:rsid w:val="0018285F"/>
    <w:rsid w:val="00182A12"/>
    <w:rsid w:val="00182CFF"/>
    <w:rsid w:val="00182DB5"/>
    <w:rsid w:val="00182EBF"/>
    <w:rsid w:val="001830F9"/>
    <w:rsid w:val="00183408"/>
    <w:rsid w:val="00183558"/>
    <w:rsid w:val="001836B2"/>
    <w:rsid w:val="001836F9"/>
    <w:rsid w:val="00183AA1"/>
    <w:rsid w:val="001843BA"/>
    <w:rsid w:val="001843C2"/>
    <w:rsid w:val="001843E5"/>
    <w:rsid w:val="00184739"/>
    <w:rsid w:val="00185093"/>
    <w:rsid w:val="001857FE"/>
    <w:rsid w:val="0018590A"/>
    <w:rsid w:val="00185CAD"/>
    <w:rsid w:val="0018602D"/>
    <w:rsid w:val="00186100"/>
    <w:rsid w:val="0018653D"/>
    <w:rsid w:val="0018676D"/>
    <w:rsid w:val="0018683C"/>
    <w:rsid w:val="001868BC"/>
    <w:rsid w:val="00186EF9"/>
    <w:rsid w:val="00187C1C"/>
    <w:rsid w:val="0019001B"/>
    <w:rsid w:val="00190168"/>
    <w:rsid w:val="00190247"/>
    <w:rsid w:val="001907CC"/>
    <w:rsid w:val="0019145B"/>
    <w:rsid w:val="00192073"/>
    <w:rsid w:val="001920B0"/>
    <w:rsid w:val="00192B40"/>
    <w:rsid w:val="001937C3"/>
    <w:rsid w:val="00193F29"/>
    <w:rsid w:val="001947B1"/>
    <w:rsid w:val="00194845"/>
    <w:rsid w:val="00194910"/>
    <w:rsid w:val="00194EE9"/>
    <w:rsid w:val="001951C7"/>
    <w:rsid w:val="0019532A"/>
    <w:rsid w:val="00195B6E"/>
    <w:rsid w:val="00195B74"/>
    <w:rsid w:val="00196686"/>
    <w:rsid w:val="00196980"/>
    <w:rsid w:val="00196F36"/>
    <w:rsid w:val="001974EB"/>
    <w:rsid w:val="00197D5A"/>
    <w:rsid w:val="001A0748"/>
    <w:rsid w:val="001A0F39"/>
    <w:rsid w:val="001A10EF"/>
    <w:rsid w:val="001A1553"/>
    <w:rsid w:val="001A167C"/>
    <w:rsid w:val="001A1D85"/>
    <w:rsid w:val="001A1DF4"/>
    <w:rsid w:val="001A1E7C"/>
    <w:rsid w:val="001A1F96"/>
    <w:rsid w:val="001A20DF"/>
    <w:rsid w:val="001A25DD"/>
    <w:rsid w:val="001A3B02"/>
    <w:rsid w:val="001A496D"/>
    <w:rsid w:val="001A4A43"/>
    <w:rsid w:val="001A53B9"/>
    <w:rsid w:val="001A56B2"/>
    <w:rsid w:val="001A57A0"/>
    <w:rsid w:val="001A5C96"/>
    <w:rsid w:val="001A61DF"/>
    <w:rsid w:val="001A63AA"/>
    <w:rsid w:val="001A67CB"/>
    <w:rsid w:val="001A6A9D"/>
    <w:rsid w:val="001A6CE7"/>
    <w:rsid w:val="001A6D62"/>
    <w:rsid w:val="001A6D74"/>
    <w:rsid w:val="001A7A51"/>
    <w:rsid w:val="001A7A69"/>
    <w:rsid w:val="001A7F27"/>
    <w:rsid w:val="001B1E29"/>
    <w:rsid w:val="001B1EEF"/>
    <w:rsid w:val="001B2282"/>
    <w:rsid w:val="001B23D9"/>
    <w:rsid w:val="001B2793"/>
    <w:rsid w:val="001B2CB3"/>
    <w:rsid w:val="001B5860"/>
    <w:rsid w:val="001B58A7"/>
    <w:rsid w:val="001B5959"/>
    <w:rsid w:val="001B5AF6"/>
    <w:rsid w:val="001B5B36"/>
    <w:rsid w:val="001B5E4E"/>
    <w:rsid w:val="001B5F85"/>
    <w:rsid w:val="001B61C6"/>
    <w:rsid w:val="001B6C80"/>
    <w:rsid w:val="001B6CA3"/>
    <w:rsid w:val="001B738F"/>
    <w:rsid w:val="001B7D1B"/>
    <w:rsid w:val="001B7D75"/>
    <w:rsid w:val="001B7F72"/>
    <w:rsid w:val="001C00E2"/>
    <w:rsid w:val="001C035C"/>
    <w:rsid w:val="001C0438"/>
    <w:rsid w:val="001C0870"/>
    <w:rsid w:val="001C0D83"/>
    <w:rsid w:val="001C0DF6"/>
    <w:rsid w:val="001C0E3F"/>
    <w:rsid w:val="001C0FCD"/>
    <w:rsid w:val="001C1162"/>
    <w:rsid w:val="001C12ED"/>
    <w:rsid w:val="001C1890"/>
    <w:rsid w:val="001C18BB"/>
    <w:rsid w:val="001C1B0B"/>
    <w:rsid w:val="001C1DBA"/>
    <w:rsid w:val="001C286C"/>
    <w:rsid w:val="001C2A82"/>
    <w:rsid w:val="001C2AD7"/>
    <w:rsid w:val="001C2FA8"/>
    <w:rsid w:val="001C34A1"/>
    <w:rsid w:val="001C3EB4"/>
    <w:rsid w:val="001C3EE7"/>
    <w:rsid w:val="001C4392"/>
    <w:rsid w:val="001C43CE"/>
    <w:rsid w:val="001C45BB"/>
    <w:rsid w:val="001C4702"/>
    <w:rsid w:val="001C5509"/>
    <w:rsid w:val="001C5726"/>
    <w:rsid w:val="001C6213"/>
    <w:rsid w:val="001C67EC"/>
    <w:rsid w:val="001C68E4"/>
    <w:rsid w:val="001C6D46"/>
    <w:rsid w:val="001C6FD6"/>
    <w:rsid w:val="001C73E8"/>
    <w:rsid w:val="001C766F"/>
    <w:rsid w:val="001C768F"/>
    <w:rsid w:val="001C7D19"/>
    <w:rsid w:val="001C7D5E"/>
    <w:rsid w:val="001C7E4C"/>
    <w:rsid w:val="001C7F1B"/>
    <w:rsid w:val="001D02A6"/>
    <w:rsid w:val="001D0570"/>
    <w:rsid w:val="001D06B3"/>
    <w:rsid w:val="001D092B"/>
    <w:rsid w:val="001D0B1F"/>
    <w:rsid w:val="001D122D"/>
    <w:rsid w:val="001D1709"/>
    <w:rsid w:val="001D1779"/>
    <w:rsid w:val="001D1925"/>
    <w:rsid w:val="001D1A71"/>
    <w:rsid w:val="001D1FB2"/>
    <w:rsid w:val="001D23A7"/>
    <w:rsid w:val="001D23C5"/>
    <w:rsid w:val="001D26A2"/>
    <w:rsid w:val="001D27FC"/>
    <w:rsid w:val="001D2DD1"/>
    <w:rsid w:val="001D2E9D"/>
    <w:rsid w:val="001D3AE9"/>
    <w:rsid w:val="001D3ED2"/>
    <w:rsid w:val="001D4153"/>
    <w:rsid w:val="001D4917"/>
    <w:rsid w:val="001D4B1A"/>
    <w:rsid w:val="001D5143"/>
    <w:rsid w:val="001D5915"/>
    <w:rsid w:val="001D5ADB"/>
    <w:rsid w:val="001D5E90"/>
    <w:rsid w:val="001D6304"/>
    <w:rsid w:val="001D64F6"/>
    <w:rsid w:val="001D64FD"/>
    <w:rsid w:val="001D66F1"/>
    <w:rsid w:val="001D6F1D"/>
    <w:rsid w:val="001D724E"/>
    <w:rsid w:val="001D7719"/>
    <w:rsid w:val="001E0108"/>
    <w:rsid w:val="001E0736"/>
    <w:rsid w:val="001E0F46"/>
    <w:rsid w:val="001E1222"/>
    <w:rsid w:val="001E1594"/>
    <w:rsid w:val="001E1CD4"/>
    <w:rsid w:val="001E24A3"/>
    <w:rsid w:val="001E26AF"/>
    <w:rsid w:val="001E26C4"/>
    <w:rsid w:val="001E2DA2"/>
    <w:rsid w:val="001E352F"/>
    <w:rsid w:val="001E379F"/>
    <w:rsid w:val="001E39F7"/>
    <w:rsid w:val="001E3EDB"/>
    <w:rsid w:val="001E3F18"/>
    <w:rsid w:val="001E3F2A"/>
    <w:rsid w:val="001E48E4"/>
    <w:rsid w:val="001E4F53"/>
    <w:rsid w:val="001E5593"/>
    <w:rsid w:val="001E560E"/>
    <w:rsid w:val="001E5F98"/>
    <w:rsid w:val="001E614F"/>
    <w:rsid w:val="001E6669"/>
    <w:rsid w:val="001E6957"/>
    <w:rsid w:val="001E6B4F"/>
    <w:rsid w:val="001E723C"/>
    <w:rsid w:val="001E7670"/>
    <w:rsid w:val="001E7773"/>
    <w:rsid w:val="001E7BDD"/>
    <w:rsid w:val="001E7EEB"/>
    <w:rsid w:val="001F088B"/>
    <w:rsid w:val="001F1703"/>
    <w:rsid w:val="001F239D"/>
    <w:rsid w:val="001F23D2"/>
    <w:rsid w:val="001F2B4B"/>
    <w:rsid w:val="001F2FEB"/>
    <w:rsid w:val="001F32E9"/>
    <w:rsid w:val="001F37FC"/>
    <w:rsid w:val="001F4604"/>
    <w:rsid w:val="001F4748"/>
    <w:rsid w:val="001F4F88"/>
    <w:rsid w:val="001F51DD"/>
    <w:rsid w:val="001F5406"/>
    <w:rsid w:val="001F5636"/>
    <w:rsid w:val="001F5A22"/>
    <w:rsid w:val="001F5EA9"/>
    <w:rsid w:val="001F6016"/>
    <w:rsid w:val="001F60CE"/>
    <w:rsid w:val="001F613C"/>
    <w:rsid w:val="001F617D"/>
    <w:rsid w:val="001F626B"/>
    <w:rsid w:val="001F6D78"/>
    <w:rsid w:val="001F6F5A"/>
    <w:rsid w:val="001F6FD4"/>
    <w:rsid w:val="001F7349"/>
    <w:rsid w:val="001F7358"/>
    <w:rsid w:val="001F7670"/>
    <w:rsid w:val="001F772A"/>
    <w:rsid w:val="001F7900"/>
    <w:rsid w:val="001F79B1"/>
    <w:rsid w:val="001F7BDD"/>
    <w:rsid w:val="00200187"/>
    <w:rsid w:val="00200195"/>
    <w:rsid w:val="00201873"/>
    <w:rsid w:val="00201AFA"/>
    <w:rsid w:val="002025C9"/>
    <w:rsid w:val="00202F36"/>
    <w:rsid w:val="0020381C"/>
    <w:rsid w:val="00203B5E"/>
    <w:rsid w:val="00203BC0"/>
    <w:rsid w:val="002040D9"/>
    <w:rsid w:val="002041F1"/>
    <w:rsid w:val="0020477E"/>
    <w:rsid w:val="00204997"/>
    <w:rsid w:val="002049AD"/>
    <w:rsid w:val="00204ACC"/>
    <w:rsid w:val="002056FD"/>
    <w:rsid w:val="00205F99"/>
    <w:rsid w:val="00206060"/>
    <w:rsid w:val="002069BD"/>
    <w:rsid w:val="00207278"/>
    <w:rsid w:val="0020745D"/>
    <w:rsid w:val="002104F8"/>
    <w:rsid w:val="00210545"/>
    <w:rsid w:val="002106B6"/>
    <w:rsid w:val="00210A24"/>
    <w:rsid w:val="00211265"/>
    <w:rsid w:val="002119DE"/>
    <w:rsid w:val="00211AD6"/>
    <w:rsid w:val="002123CF"/>
    <w:rsid w:val="00212599"/>
    <w:rsid w:val="00212D6E"/>
    <w:rsid w:val="0021330F"/>
    <w:rsid w:val="0021397E"/>
    <w:rsid w:val="00213BB0"/>
    <w:rsid w:val="00213BF6"/>
    <w:rsid w:val="00214014"/>
    <w:rsid w:val="0021451E"/>
    <w:rsid w:val="0021505F"/>
    <w:rsid w:val="0021558B"/>
    <w:rsid w:val="002157A4"/>
    <w:rsid w:val="002159FE"/>
    <w:rsid w:val="00216D9F"/>
    <w:rsid w:val="00216ECC"/>
    <w:rsid w:val="00217724"/>
    <w:rsid w:val="002177B7"/>
    <w:rsid w:val="00217805"/>
    <w:rsid w:val="00217829"/>
    <w:rsid w:val="00217839"/>
    <w:rsid w:val="0022098B"/>
    <w:rsid w:val="00220E43"/>
    <w:rsid w:val="00221FBC"/>
    <w:rsid w:val="002225B1"/>
    <w:rsid w:val="002227EF"/>
    <w:rsid w:val="0022382E"/>
    <w:rsid w:val="00223F1C"/>
    <w:rsid w:val="00224113"/>
    <w:rsid w:val="00224CEF"/>
    <w:rsid w:val="00224EAB"/>
    <w:rsid w:val="0022587B"/>
    <w:rsid w:val="00225975"/>
    <w:rsid w:val="00225997"/>
    <w:rsid w:val="002260DD"/>
    <w:rsid w:val="00226C6E"/>
    <w:rsid w:val="002275E7"/>
    <w:rsid w:val="00227A2A"/>
    <w:rsid w:val="00230186"/>
    <w:rsid w:val="002303D4"/>
    <w:rsid w:val="002306A9"/>
    <w:rsid w:val="00230EDA"/>
    <w:rsid w:val="0023114E"/>
    <w:rsid w:val="00231218"/>
    <w:rsid w:val="002318BD"/>
    <w:rsid w:val="002319D6"/>
    <w:rsid w:val="00231FB0"/>
    <w:rsid w:val="00232333"/>
    <w:rsid w:val="00232752"/>
    <w:rsid w:val="00232B0B"/>
    <w:rsid w:val="00232DF5"/>
    <w:rsid w:val="00232F57"/>
    <w:rsid w:val="00233883"/>
    <w:rsid w:val="00234402"/>
    <w:rsid w:val="002346CB"/>
    <w:rsid w:val="00235383"/>
    <w:rsid w:val="002357B3"/>
    <w:rsid w:val="0023589C"/>
    <w:rsid w:val="00235BB2"/>
    <w:rsid w:val="002361BB"/>
    <w:rsid w:val="002367C5"/>
    <w:rsid w:val="00236AFD"/>
    <w:rsid w:val="0023704B"/>
    <w:rsid w:val="002374B8"/>
    <w:rsid w:val="00237A43"/>
    <w:rsid w:val="0024042B"/>
    <w:rsid w:val="00240827"/>
    <w:rsid w:val="00241641"/>
    <w:rsid w:val="00241EDB"/>
    <w:rsid w:val="002421EA"/>
    <w:rsid w:val="0024230C"/>
    <w:rsid w:val="00242963"/>
    <w:rsid w:val="00242E73"/>
    <w:rsid w:val="0024314F"/>
    <w:rsid w:val="00243E06"/>
    <w:rsid w:val="00244144"/>
    <w:rsid w:val="00244657"/>
    <w:rsid w:val="00244C40"/>
    <w:rsid w:val="00244CBF"/>
    <w:rsid w:val="00244D48"/>
    <w:rsid w:val="00244D71"/>
    <w:rsid w:val="00245426"/>
    <w:rsid w:val="002459D0"/>
    <w:rsid w:val="00245F74"/>
    <w:rsid w:val="002462C6"/>
    <w:rsid w:val="00246801"/>
    <w:rsid w:val="00246EEA"/>
    <w:rsid w:val="002476FB"/>
    <w:rsid w:val="00247DE4"/>
    <w:rsid w:val="00247EDF"/>
    <w:rsid w:val="002508E4"/>
    <w:rsid w:val="00250CAB"/>
    <w:rsid w:val="00250E98"/>
    <w:rsid w:val="00250EE5"/>
    <w:rsid w:val="0025136C"/>
    <w:rsid w:val="00251831"/>
    <w:rsid w:val="0025193F"/>
    <w:rsid w:val="002522D4"/>
    <w:rsid w:val="00252AF1"/>
    <w:rsid w:val="00252B9D"/>
    <w:rsid w:val="00252C75"/>
    <w:rsid w:val="00252D8B"/>
    <w:rsid w:val="00252FE7"/>
    <w:rsid w:val="0025309E"/>
    <w:rsid w:val="00253494"/>
    <w:rsid w:val="00253B2D"/>
    <w:rsid w:val="0025473F"/>
    <w:rsid w:val="002548F9"/>
    <w:rsid w:val="00254DAC"/>
    <w:rsid w:val="00254DEB"/>
    <w:rsid w:val="002559D9"/>
    <w:rsid w:val="00255C6C"/>
    <w:rsid w:val="00256345"/>
    <w:rsid w:val="002564A5"/>
    <w:rsid w:val="002567D8"/>
    <w:rsid w:val="002568EC"/>
    <w:rsid w:val="00256BF3"/>
    <w:rsid w:val="00256CD0"/>
    <w:rsid w:val="0025724C"/>
    <w:rsid w:val="00257615"/>
    <w:rsid w:val="00257A0E"/>
    <w:rsid w:val="00257F1A"/>
    <w:rsid w:val="002609FD"/>
    <w:rsid w:val="00260A6E"/>
    <w:rsid w:val="00260D00"/>
    <w:rsid w:val="00260F64"/>
    <w:rsid w:val="002612EF"/>
    <w:rsid w:val="0026156C"/>
    <w:rsid w:val="002615EE"/>
    <w:rsid w:val="0026210D"/>
    <w:rsid w:val="00262560"/>
    <w:rsid w:val="002627F6"/>
    <w:rsid w:val="00262B75"/>
    <w:rsid w:val="00262C3A"/>
    <w:rsid w:val="00262EFB"/>
    <w:rsid w:val="00262F12"/>
    <w:rsid w:val="00263511"/>
    <w:rsid w:val="002639DC"/>
    <w:rsid w:val="00263D5F"/>
    <w:rsid w:val="002642EC"/>
    <w:rsid w:val="00264654"/>
    <w:rsid w:val="00264CA8"/>
    <w:rsid w:val="00264FBD"/>
    <w:rsid w:val="00264FFE"/>
    <w:rsid w:val="00265340"/>
    <w:rsid w:val="002657DC"/>
    <w:rsid w:val="002659F7"/>
    <w:rsid w:val="00265A90"/>
    <w:rsid w:val="00265D52"/>
    <w:rsid w:val="00265F50"/>
    <w:rsid w:val="00266042"/>
    <w:rsid w:val="002662C8"/>
    <w:rsid w:val="002666DA"/>
    <w:rsid w:val="00266D0D"/>
    <w:rsid w:val="002676A9"/>
    <w:rsid w:val="00267BE9"/>
    <w:rsid w:val="00267F8E"/>
    <w:rsid w:val="002703DE"/>
    <w:rsid w:val="00270855"/>
    <w:rsid w:val="00270F7C"/>
    <w:rsid w:val="002710C6"/>
    <w:rsid w:val="002715C1"/>
    <w:rsid w:val="00271D37"/>
    <w:rsid w:val="0027221A"/>
    <w:rsid w:val="0027277B"/>
    <w:rsid w:val="00272812"/>
    <w:rsid w:val="00272F36"/>
    <w:rsid w:val="00273246"/>
    <w:rsid w:val="0027394D"/>
    <w:rsid w:val="00273CD6"/>
    <w:rsid w:val="00273D1A"/>
    <w:rsid w:val="00274087"/>
    <w:rsid w:val="002740E3"/>
    <w:rsid w:val="002744EE"/>
    <w:rsid w:val="0027510C"/>
    <w:rsid w:val="002753C0"/>
    <w:rsid w:val="0027558B"/>
    <w:rsid w:val="00275A33"/>
    <w:rsid w:val="002762D8"/>
    <w:rsid w:val="00276D02"/>
    <w:rsid w:val="00276E0C"/>
    <w:rsid w:val="00276EE2"/>
    <w:rsid w:val="0027722D"/>
    <w:rsid w:val="0027734E"/>
    <w:rsid w:val="00277DE9"/>
    <w:rsid w:val="00277E1E"/>
    <w:rsid w:val="00280475"/>
    <w:rsid w:val="00280B14"/>
    <w:rsid w:val="00281044"/>
    <w:rsid w:val="00281304"/>
    <w:rsid w:val="00281323"/>
    <w:rsid w:val="0028135D"/>
    <w:rsid w:val="002814EC"/>
    <w:rsid w:val="00281E0B"/>
    <w:rsid w:val="0028246E"/>
    <w:rsid w:val="0028263F"/>
    <w:rsid w:val="0028265A"/>
    <w:rsid w:val="00282A71"/>
    <w:rsid w:val="00282B4A"/>
    <w:rsid w:val="00282B7D"/>
    <w:rsid w:val="00282C97"/>
    <w:rsid w:val="0028310A"/>
    <w:rsid w:val="0028322D"/>
    <w:rsid w:val="0028387D"/>
    <w:rsid w:val="00283AC6"/>
    <w:rsid w:val="00283CC2"/>
    <w:rsid w:val="0028405D"/>
    <w:rsid w:val="00284904"/>
    <w:rsid w:val="00284AB9"/>
    <w:rsid w:val="00284E67"/>
    <w:rsid w:val="00285C51"/>
    <w:rsid w:val="00285F82"/>
    <w:rsid w:val="00286249"/>
    <w:rsid w:val="0028688C"/>
    <w:rsid w:val="00286C3B"/>
    <w:rsid w:val="00286D7B"/>
    <w:rsid w:val="00286DEA"/>
    <w:rsid w:val="00286F88"/>
    <w:rsid w:val="0028705D"/>
    <w:rsid w:val="002878EE"/>
    <w:rsid w:val="00287BA5"/>
    <w:rsid w:val="00287D6D"/>
    <w:rsid w:val="00290013"/>
    <w:rsid w:val="002901DF"/>
    <w:rsid w:val="002902AD"/>
    <w:rsid w:val="0029049D"/>
    <w:rsid w:val="00290599"/>
    <w:rsid w:val="0029077D"/>
    <w:rsid w:val="00290E2E"/>
    <w:rsid w:val="00291028"/>
    <w:rsid w:val="0029103E"/>
    <w:rsid w:val="00291D43"/>
    <w:rsid w:val="00291E7A"/>
    <w:rsid w:val="00291FBB"/>
    <w:rsid w:val="00291FC5"/>
    <w:rsid w:val="00292773"/>
    <w:rsid w:val="00292814"/>
    <w:rsid w:val="00293387"/>
    <w:rsid w:val="00293FEF"/>
    <w:rsid w:val="002941A2"/>
    <w:rsid w:val="00294366"/>
    <w:rsid w:val="0029466F"/>
    <w:rsid w:val="00294991"/>
    <w:rsid w:val="00294A15"/>
    <w:rsid w:val="00294ED5"/>
    <w:rsid w:val="00294F8F"/>
    <w:rsid w:val="00295313"/>
    <w:rsid w:val="00295E61"/>
    <w:rsid w:val="002962C0"/>
    <w:rsid w:val="002963A2"/>
    <w:rsid w:val="00296463"/>
    <w:rsid w:val="002967B4"/>
    <w:rsid w:val="00296ED1"/>
    <w:rsid w:val="002972F5"/>
    <w:rsid w:val="0029749E"/>
    <w:rsid w:val="002A009C"/>
    <w:rsid w:val="002A0168"/>
    <w:rsid w:val="002A0500"/>
    <w:rsid w:val="002A0D6C"/>
    <w:rsid w:val="002A0EC8"/>
    <w:rsid w:val="002A15CC"/>
    <w:rsid w:val="002A1BC9"/>
    <w:rsid w:val="002A1F8D"/>
    <w:rsid w:val="002A2549"/>
    <w:rsid w:val="002A25B3"/>
    <w:rsid w:val="002A2801"/>
    <w:rsid w:val="002A2A15"/>
    <w:rsid w:val="002A2DF8"/>
    <w:rsid w:val="002A2F5C"/>
    <w:rsid w:val="002A2FCE"/>
    <w:rsid w:val="002A38F4"/>
    <w:rsid w:val="002A3A4F"/>
    <w:rsid w:val="002A3EE7"/>
    <w:rsid w:val="002A43C9"/>
    <w:rsid w:val="002A459C"/>
    <w:rsid w:val="002A494C"/>
    <w:rsid w:val="002A5662"/>
    <w:rsid w:val="002A57A3"/>
    <w:rsid w:val="002A58B3"/>
    <w:rsid w:val="002A5D46"/>
    <w:rsid w:val="002A5DA3"/>
    <w:rsid w:val="002A62DA"/>
    <w:rsid w:val="002A6433"/>
    <w:rsid w:val="002A687C"/>
    <w:rsid w:val="002A6ADE"/>
    <w:rsid w:val="002A6BE9"/>
    <w:rsid w:val="002A74CA"/>
    <w:rsid w:val="002A7B4E"/>
    <w:rsid w:val="002B00FD"/>
    <w:rsid w:val="002B062D"/>
    <w:rsid w:val="002B08B2"/>
    <w:rsid w:val="002B0DDB"/>
    <w:rsid w:val="002B14C7"/>
    <w:rsid w:val="002B1F9D"/>
    <w:rsid w:val="002B1FA8"/>
    <w:rsid w:val="002B2196"/>
    <w:rsid w:val="002B2394"/>
    <w:rsid w:val="002B254C"/>
    <w:rsid w:val="002B25EA"/>
    <w:rsid w:val="002B2A7D"/>
    <w:rsid w:val="002B2F9E"/>
    <w:rsid w:val="002B2FD3"/>
    <w:rsid w:val="002B355A"/>
    <w:rsid w:val="002B3738"/>
    <w:rsid w:val="002B3928"/>
    <w:rsid w:val="002B47DC"/>
    <w:rsid w:val="002B4B54"/>
    <w:rsid w:val="002B4F76"/>
    <w:rsid w:val="002B50D5"/>
    <w:rsid w:val="002B5217"/>
    <w:rsid w:val="002B5444"/>
    <w:rsid w:val="002B569E"/>
    <w:rsid w:val="002B571E"/>
    <w:rsid w:val="002B57F1"/>
    <w:rsid w:val="002B6102"/>
    <w:rsid w:val="002B64C8"/>
    <w:rsid w:val="002B7666"/>
    <w:rsid w:val="002B7683"/>
    <w:rsid w:val="002C019D"/>
    <w:rsid w:val="002C033C"/>
    <w:rsid w:val="002C0473"/>
    <w:rsid w:val="002C0E49"/>
    <w:rsid w:val="002C0EC7"/>
    <w:rsid w:val="002C11EA"/>
    <w:rsid w:val="002C193C"/>
    <w:rsid w:val="002C19A0"/>
    <w:rsid w:val="002C1AB3"/>
    <w:rsid w:val="002C211E"/>
    <w:rsid w:val="002C229F"/>
    <w:rsid w:val="002C2350"/>
    <w:rsid w:val="002C286D"/>
    <w:rsid w:val="002C29A1"/>
    <w:rsid w:val="002C2AF7"/>
    <w:rsid w:val="002C2E16"/>
    <w:rsid w:val="002C3099"/>
    <w:rsid w:val="002C3112"/>
    <w:rsid w:val="002C39B1"/>
    <w:rsid w:val="002C3C3D"/>
    <w:rsid w:val="002C3CC4"/>
    <w:rsid w:val="002C3FB2"/>
    <w:rsid w:val="002C42BF"/>
    <w:rsid w:val="002C4A1F"/>
    <w:rsid w:val="002C4D07"/>
    <w:rsid w:val="002C593C"/>
    <w:rsid w:val="002C599F"/>
    <w:rsid w:val="002C5F49"/>
    <w:rsid w:val="002C67F4"/>
    <w:rsid w:val="002C6D90"/>
    <w:rsid w:val="002C7337"/>
    <w:rsid w:val="002C78CE"/>
    <w:rsid w:val="002C7B7F"/>
    <w:rsid w:val="002C7BE7"/>
    <w:rsid w:val="002C7CBC"/>
    <w:rsid w:val="002D03B1"/>
    <w:rsid w:val="002D0BC1"/>
    <w:rsid w:val="002D0DBD"/>
    <w:rsid w:val="002D0E4B"/>
    <w:rsid w:val="002D12F7"/>
    <w:rsid w:val="002D1DAA"/>
    <w:rsid w:val="002D1F42"/>
    <w:rsid w:val="002D200F"/>
    <w:rsid w:val="002D2410"/>
    <w:rsid w:val="002D2548"/>
    <w:rsid w:val="002D2605"/>
    <w:rsid w:val="002D2A65"/>
    <w:rsid w:val="002D2CE8"/>
    <w:rsid w:val="002D2D44"/>
    <w:rsid w:val="002D2E43"/>
    <w:rsid w:val="002D34A2"/>
    <w:rsid w:val="002D351E"/>
    <w:rsid w:val="002D368F"/>
    <w:rsid w:val="002D3C25"/>
    <w:rsid w:val="002D3DF8"/>
    <w:rsid w:val="002D3F22"/>
    <w:rsid w:val="002D400B"/>
    <w:rsid w:val="002D4155"/>
    <w:rsid w:val="002D42F0"/>
    <w:rsid w:val="002D4797"/>
    <w:rsid w:val="002D4CB2"/>
    <w:rsid w:val="002D502E"/>
    <w:rsid w:val="002D514C"/>
    <w:rsid w:val="002D5519"/>
    <w:rsid w:val="002D57A0"/>
    <w:rsid w:val="002D5A69"/>
    <w:rsid w:val="002D5CE5"/>
    <w:rsid w:val="002D5CEC"/>
    <w:rsid w:val="002D5EA3"/>
    <w:rsid w:val="002D5F9F"/>
    <w:rsid w:val="002D5FBB"/>
    <w:rsid w:val="002D5FC9"/>
    <w:rsid w:val="002D626C"/>
    <w:rsid w:val="002D7CB8"/>
    <w:rsid w:val="002D7CD1"/>
    <w:rsid w:val="002D7D40"/>
    <w:rsid w:val="002E03CF"/>
    <w:rsid w:val="002E0F5B"/>
    <w:rsid w:val="002E11B2"/>
    <w:rsid w:val="002E151B"/>
    <w:rsid w:val="002E1657"/>
    <w:rsid w:val="002E18AE"/>
    <w:rsid w:val="002E1A84"/>
    <w:rsid w:val="002E1D22"/>
    <w:rsid w:val="002E21BD"/>
    <w:rsid w:val="002E350D"/>
    <w:rsid w:val="002E37A0"/>
    <w:rsid w:val="002E395D"/>
    <w:rsid w:val="002E40B5"/>
    <w:rsid w:val="002E47F0"/>
    <w:rsid w:val="002E494B"/>
    <w:rsid w:val="002E49C3"/>
    <w:rsid w:val="002E4AC1"/>
    <w:rsid w:val="002E4E3A"/>
    <w:rsid w:val="002E4FED"/>
    <w:rsid w:val="002E5187"/>
    <w:rsid w:val="002E5EBC"/>
    <w:rsid w:val="002E5F24"/>
    <w:rsid w:val="002E5F46"/>
    <w:rsid w:val="002E64C3"/>
    <w:rsid w:val="002E66C5"/>
    <w:rsid w:val="002E6A2A"/>
    <w:rsid w:val="002E71F2"/>
    <w:rsid w:val="002E7281"/>
    <w:rsid w:val="002E7550"/>
    <w:rsid w:val="002E7689"/>
    <w:rsid w:val="002F00B3"/>
    <w:rsid w:val="002F0428"/>
    <w:rsid w:val="002F0579"/>
    <w:rsid w:val="002F05F0"/>
    <w:rsid w:val="002F1241"/>
    <w:rsid w:val="002F194F"/>
    <w:rsid w:val="002F19EB"/>
    <w:rsid w:val="002F1C72"/>
    <w:rsid w:val="002F1F71"/>
    <w:rsid w:val="002F3158"/>
    <w:rsid w:val="002F31F8"/>
    <w:rsid w:val="002F3A19"/>
    <w:rsid w:val="002F3ADA"/>
    <w:rsid w:val="002F4479"/>
    <w:rsid w:val="002F4805"/>
    <w:rsid w:val="002F5190"/>
    <w:rsid w:val="002F5454"/>
    <w:rsid w:val="002F5E16"/>
    <w:rsid w:val="002F649B"/>
    <w:rsid w:val="002F6538"/>
    <w:rsid w:val="002F6806"/>
    <w:rsid w:val="002F773D"/>
    <w:rsid w:val="0030063F"/>
    <w:rsid w:val="00301916"/>
    <w:rsid w:val="00302198"/>
    <w:rsid w:val="003025B6"/>
    <w:rsid w:val="003025FC"/>
    <w:rsid w:val="0030273E"/>
    <w:rsid w:val="003029E3"/>
    <w:rsid w:val="00302B78"/>
    <w:rsid w:val="00302E0D"/>
    <w:rsid w:val="003035EB"/>
    <w:rsid w:val="00303928"/>
    <w:rsid w:val="00303A85"/>
    <w:rsid w:val="00303B0C"/>
    <w:rsid w:val="00303E2A"/>
    <w:rsid w:val="00303E81"/>
    <w:rsid w:val="00304762"/>
    <w:rsid w:val="00304A59"/>
    <w:rsid w:val="00305B25"/>
    <w:rsid w:val="00305ED4"/>
    <w:rsid w:val="00306433"/>
    <w:rsid w:val="003066B3"/>
    <w:rsid w:val="003069D6"/>
    <w:rsid w:val="00306E2F"/>
    <w:rsid w:val="00307AA8"/>
    <w:rsid w:val="00307C9C"/>
    <w:rsid w:val="00307E27"/>
    <w:rsid w:val="00310231"/>
    <w:rsid w:val="00310784"/>
    <w:rsid w:val="00310C76"/>
    <w:rsid w:val="00310CEB"/>
    <w:rsid w:val="00311011"/>
    <w:rsid w:val="00311227"/>
    <w:rsid w:val="003112DE"/>
    <w:rsid w:val="0031145F"/>
    <w:rsid w:val="0031193C"/>
    <w:rsid w:val="0031222D"/>
    <w:rsid w:val="00313369"/>
    <w:rsid w:val="0031351A"/>
    <w:rsid w:val="0031389F"/>
    <w:rsid w:val="00313990"/>
    <w:rsid w:val="00313EC2"/>
    <w:rsid w:val="003140CA"/>
    <w:rsid w:val="00314806"/>
    <w:rsid w:val="00315DBB"/>
    <w:rsid w:val="00315E6B"/>
    <w:rsid w:val="0031605C"/>
    <w:rsid w:val="00316130"/>
    <w:rsid w:val="0031649F"/>
    <w:rsid w:val="00316D83"/>
    <w:rsid w:val="00317CFC"/>
    <w:rsid w:val="00317D87"/>
    <w:rsid w:val="003201E3"/>
    <w:rsid w:val="00320357"/>
    <w:rsid w:val="003204E3"/>
    <w:rsid w:val="003205E6"/>
    <w:rsid w:val="003206C5"/>
    <w:rsid w:val="00320F60"/>
    <w:rsid w:val="00320FAD"/>
    <w:rsid w:val="003217FB"/>
    <w:rsid w:val="00321873"/>
    <w:rsid w:val="00321EC8"/>
    <w:rsid w:val="00322A32"/>
    <w:rsid w:val="003233EB"/>
    <w:rsid w:val="003238D5"/>
    <w:rsid w:val="00323A83"/>
    <w:rsid w:val="00324577"/>
    <w:rsid w:val="00324626"/>
    <w:rsid w:val="00324766"/>
    <w:rsid w:val="00324911"/>
    <w:rsid w:val="003249BB"/>
    <w:rsid w:val="00324BDA"/>
    <w:rsid w:val="003256B1"/>
    <w:rsid w:val="0032582B"/>
    <w:rsid w:val="00325B88"/>
    <w:rsid w:val="00325C6C"/>
    <w:rsid w:val="00325F61"/>
    <w:rsid w:val="003261D1"/>
    <w:rsid w:val="00326263"/>
    <w:rsid w:val="0032744F"/>
    <w:rsid w:val="0032763E"/>
    <w:rsid w:val="00327A9A"/>
    <w:rsid w:val="00327B5A"/>
    <w:rsid w:val="00327C77"/>
    <w:rsid w:val="00330B9E"/>
    <w:rsid w:val="0033121C"/>
    <w:rsid w:val="0033139E"/>
    <w:rsid w:val="003315A1"/>
    <w:rsid w:val="00331776"/>
    <w:rsid w:val="003317EF"/>
    <w:rsid w:val="00331DE5"/>
    <w:rsid w:val="00331FCD"/>
    <w:rsid w:val="0033277C"/>
    <w:rsid w:val="0033289D"/>
    <w:rsid w:val="00333024"/>
    <w:rsid w:val="00333072"/>
    <w:rsid w:val="00333426"/>
    <w:rsid w:val="0033384A"/>
    <w:rsid w:val="00333CBE"/>
    <w:rsid w:val="00333E72"/>
    <w:rsid w:val="0033432F"/>
    <w:rsid w:val="00334528"/>
    <w:rsid w:val="003345CD"/>
    <w:rsid w:val="0033463A"/>
    <w:rsid w:val="003350C8"/>
    <w:rsid w:val="00335665"/>
    <w:rsid w:val="0033574A"/>
    <w:rsid w:val="00335B8B"/>
    <w:rsid w:val="00335F03"/>
    <w:rsid w:val="00335F50"/>
    <w:rsid w:val="003360E5"/>
    <w:rsid w:val="003362AE"/>
    <w:rsid w:val="00336431"/>
    <w:rsid w:val="00336440"/>
    <w:rsid w:val="0033659B"/>
    <w:rsid w:val="0033713A"/>
    <w:rsid w:val="00337236"/>
    <w:rsid w:val="003375E9"/>
    <w:rsid w:val="00337ABA"/>
    <w:rsid w:val="00337D89"/>
    <w:rsid w:val="00337ECF"/>
    <w:rsid w:val="00341A9A"/>
    <w:rsid w:val="00341C18"/>
    <w:rsid w:val="00341F32"/>
    <w:rsid w:val="00341F52"/>
    <w:rsid w:val="00342063"/>
    <w:rsid w:val="00342C21"/>
    <w:rsid w:val="00342E7B"/>
    <w:rsid w:val="0034463E"/>
    <w:rsid w:val="003447AD"/>
    <w:rsid w:val="00344C09"/>
    <w:rsid w:val="00344F7A"/>
    <w:rsid w:val="0034520F"/>
    <w:rsid w:val="00345872"/>
    <w:rsid w:val="00345AF4"/>
    <w:rsid w:val="00345D60"/>
    <w:rsid w:val="0034608C"/>
    <w:rsid w:val="0034617C"/>
    <w:rsid w:val="00346A15"/>
    <w:rsid w:val="00346DA4"/>
    <w:rsid w:val="00346F07"/>
    <w:rsid w:val="00347782"/>
    <w:rsid w:val="0034785F"/>
    <w:rsid w:val="00347A88"/>
    <w:rsid w:val="00347E37"/>
    <w:rsid w:val="00350419"/>
    <w:rsid w:val="003508AC"/>
    <w:rsid w:val="00351298"/>
    <w:rsid w:val="00351518"/>
    <w:rsid w:val="0035169D"/>
    <w:rsid w:val="0035184C"/>
    <w:rsid w:val="0035189C"/>
    <w:rsid w:val="00351A6C"/>
    <w:rsid w:val="00351A77"/>
    <w:rsid w:val="00351B50"/>
    <w:rsid w:val="00351DF2"/>
    <w:rsid w:val="0035210C"/>
    <w:rsid w:val="00352145"/>
    <w:rsid w:val="00352B19"/>
    <w:rsid w:val="00352DC7"/>
    <w:rsid w:val="00353032"/>
    <w:rsid w:val="003536AC"/>
    <w:rsid w:val="0035381A"/>
    <w:rsid w:val="00353925"/>
    <w:rsid w:val="00353AD5"/>
    <w:rsid w:val="00353CA3"/>
    <w:rsid w:val="003543B9"/>
    <w:rsid w:val="003543E6"/>
    <w:rsid w:val="00354537"/>
    <w:rsid w:val="003548D1"/>
    <w:rsid w:val="00354A45"/>
    <w:rsid w:val="00354CB9"/>
    <w:rsid w:val="00354CDD"/>
    <w:rsid w:val="00355554"/>
    <w:rsid w:val="00355AB5"/>
    <w:rsid w:val="00355E00"/>
    <w:rsid w:val="00355EDB"/>
    <w:rsid w:val="0035628B"/>
    <w:rsid w:val="00356965"/>
    <w:rsid w:val="00356E34"/>
    <w:rsid w:val="0035745E"/>
    <w:rsid w:val="00357822"/>
    <w:rsid w:val="003578BD"/>
    <w:rsid w:val="00360239"/>
    <w:rsid w:val="0036045C"/>
    <w:rsid w:val="003605D9"/>
    <w:rsid w:val="0036071C"/>
    <w:rsid w:val="003612E9"/>
    <w:rsid w:val="003618AC"/>
    <w:rsid w:val="00361A45"/>
    <w:rsid w:val="00362311"/>
    <w:rsid w:val="00362328"/>
    <w:rsid w:val="00362427"/>
    <w:rsid w:val="003630A5"/>
    <w:rsid w:val="0036312A"/>
    <w:rsid w:val="0036333F"/>
    <w:rsid w:val="0036416D"/>
    <w:rsid w:val="003646C8"/>
    <w:rsid w:val="00364CB4"/>
    <w:rsid w:val="0036527D"/>
    <w:rsid w:val="00365A3E"/>
    <w:rsid w:val="0036609F"/>
    <w:rsid w:val="00366394"/>
    <w:rsid w:val="00366F51"/>
    <w:rsid w:val="003671CA"/>
    <w:rsid w:val="00367A6C"/>
    <w:rsid w:val="003702A9"/>
    <w:rsid w:val="003704BD"/>
    <w:rsid w:val="00370828"/>
    <w:rsid w:val="00370A2D"/>
    <w:rsid w:val="00371F75"/>
    <w:rsid w:val="00372166"/>
    <w:rsid w:val="003724EC"/>
    <w:rsid w:val="0037273F"/>
    <w:rsid w:val="00372787"/>
    <w:rsid w:val="003729DA"/>
    <w:rsid w:val="00372ACB"/>
    <w:rsid w:val="00372B98"/>
    <w:rsid w:val="00372B9E"/>
    <w:rsid w:val="00372BD9"/>
    <w:rsid w:val="00372F76"/>
    <w:rsid w:val="003732A3"/>
    <w:rsid w:val="0037336E"/>
    <w:rsid w:val="00374899"/>
    <w:rsid w:val="00374EDF"/>
    <w:rsid w:val="00374F75"/>
    <w:rsid w:val="003758BC"/>
    <w:rsid w:val="00375F32"/>
    <w:rsid w:val="00376107"/>
    <w:rsid w:val="0037692E"/>
    <w:rsid w:val="0037707D"/>
    <w:rsid w:val="00377930"/>
    <w:rsid w:val="00377B6E"/>
    <w:rsid w:val="00377F33"/>
    <w:rsid w:val="00380001"/>
    <w:rsid w:val="0038057C"/>
    <w:rsid w:val="0038107D"/>
    <w:rsid w:val="00381264"/>
    <w:rsid w:val="003818F2"/>
    <w:rsid w:val="003819F1"/>
    <w:rsid w:val="00381AEC"/>
    <w:rsid w:val="00381B58"/>
    <w:rsid w:val="00381D02"/>
    <w:rsid w:val="0038238B"/>
    <w:rsid w:val="003825BF"/>
    <w:rsid w:val="003826C6"/>
    <w:rsid w:val="0038362F"/>
    <w:rsid w:val="003843AE"/>
    <w:rsid w:val="00384711"/>
    <w:rsid w:val="0038478A"/>
    <w:rsid w:val="003848FF"/>
    <w:rsid w:val="00384920"/>
    <w:rsid w:val="00384B99"/>
    <w:rsid w:val="0038507D"/>
    <w:rsid w:val="003859B9"/>
    <w:rsid w:val="003860EC"/>
    <w:rsid w:val="0038660A"/>
    <w:rsid w:val="00386FF5"/>
    <w:rsid w:val="00387011"/>
    <w:rsid w:val="003874D3"/>
    <w:rsid w:val="003879DB"/>
    <w:rsid w:val="00387ABB"/>
    <w:rsid w:val="00387BA6"/>
    <w:rsid w:val="003900C1"/>
    <w:rsid w:val="003904AA"/>
    <w:rsid w:val="00390743"/>
    <w:rsid w:val="00390B2D"/>
    <w:rsid w:val="00390FDC"/>
    <w:rsid w:val="00391198"/>
    <w:rsid w:val="00391364"/>
    <w:rsid w:val="0039159C"/>
    <w:rsid w:val="003916D4"/>
    <w:rsid w:val="00391AF0"/>
    <w:rsid w:val="00391B63"/>
    <w:rsid w:val="00391D39"/>
    <w:rsid w:val="003921CB"/>
    <w:rsid w:val="0039281B"/>
    <w:rsid w:val="00392C3F"/>
    <w:rsid w:val="003935A6"/>
    <w:rsid w:val="00393710"/>
    <w:rsid w:val="00394053"/>
    <w:rsid w:val="00394484"/>
    <w:rsid w:val="003951E2"/>
    <w:rsid w:val="00395649"/>
    <w:rsid w:val="00395788"/>
    <w:rsid w:val="00395D53"/>
    <w:rsid w:val="003962AF"/>
    <w:rsid w:val="003963B2"/>
    <w:rsid w:val="003966F5"/>
    <w:rsid w:val="00396BD6"/>
    <w:rsid w:val="00397048"/>
    <w:rsid w:val="003975C1"/>
    <w:rsid w:val="00397739"/>
    <w:rsid w:val="00397CF3"/>
    <w:rsid w:val="00397F0E"/>
    <w:rsid w:val="003A01E2"/>
    <w:rsid w:val="003A0A68"/>
    <w:rsid w:val="003A11FF"/>
    <w:rsid w:val="003A17D5"/>
    <w:rsid w:val="003A19FB"/>
    <w:rsid w:val="003A23F1"/>
    <w:rsid w:val="003A273A"/>
    <w:rsid w:val="003A27E9"/>
    <w:rsid w:val="003A2D8D"/>
    <w:rsid w:val="003A2DB0"/>
    <w:rsid w:val="003A3C5C"/>
    <w:rsid w:val="003A42B1"/>
    <w:rsid w:val="003A4986"/>
    <w:rsid w:val="003A53FC"/>
    <w:rsid w:val="003A57DE"/>
    <w:rsid w:val="003A5823"/>
    <w:rsid w:val="003A5B9D"/>
    <w:rsid w:val="003A610E"/>
    <w:rsid w:val="003A6184"/>
    <w:rsid w:val="003A6AA6"/>
    <w:rsid w:val="003A708E"/>
    <w:rsid w:val="003A7C5D"/>
    <w:rsid w:val="003A7DED"/>
    <w:rsid w:val="003A7EFA"/>
    <w:rsid w:val="003B07D7"/>
    <w:rsid w:val="003B07D8"/>
    <w:rsid w:val="003B0D66"/>
    <w:rsid w:val="003B0F70"/>
    <w:rsid w:val="003B10A1"/>
    <w:rsid w:val="003B118A"/>
    <w:rsid w:val="003B19D6"/>
    <w:rsid w:val="003B1A1D"/>
    <w:rsid w:val="003B1C73"/>
    <w:rsid w:val="003B1E68"/>
    <w:rsid w:val="003B2A1C"/>
    <w:rsid w:val="003B2E11"/>
    <w:rsid w:val="003B340B"/>
    <w:rsid w:val="003B3793"/>
    <w:rsid w:val="003B3A91"/>
    <w:rsid w:val="003B4476"/>
    <w:rsid w:val="003B447A"/>
    <w:rsid w:val="003B4642"/>
    <w:rsid w:val="003B490C"/>
    <w:rsid w:val="003B4AD3"/>
    <w:rsid w:val="003B4E98"/>
    <w:rsid w:val="003B4EF8"/>
    <w:rsid w:val="003B509B"/>
    <w:rsid w:val="003B54EE"/>
    <w:rsid w:val="003B5BFA"/>
    <w:rsid w:val="003B63C5"/>
    <w:rsid w:val="003B6EA1"/>
    <w:rsid w:val="003B6F80"/>
    <w:rsid w:val="003B79BD"/>
    <w:rsid w:val="003C0F3C"/>
    <w:rsid w:val="003C1040"/>
    <w:rsid w:val="003C180A"/>
    <w:rsid w:val="003C1AB2"/>
    <w:rsid w:val="003C217C"/>
    <w:rsid w:val="003C26EB"/>
    <w:rsid w:val="003C2939"/>
    <w:rsid w:val="003C2BC8"/>
    <w:rsid w:val="003C30A7"/>
    <w:rsid w:val="003C32C6"/>
    <w:rsid w:val="003C3443"/>
    <w:rsid w:val="003C3634"/>
    <w:rsid w:val="003C372E"/>
    <w:rsid w:val="003C391E"/>
    <w:rsid w:val="003C4A53"/>
    <w:rsid w:val="003C4B4B"/>
    <w:rsid w:val="003C5767"/>
    <w:rsid w:val="003C587B"/>
    <w:rsid w:val="003C6018"/>
    <w:rsid w:val="003C61A0"/>
    <w:rsid w:val="003C61D0"/>
    <w:rsid w:val="003C7190"/>
    <w:rsid w:val="003D00FD"/>
    <w:rsid w:val="003D04ED"/>
    <w:rsid w:val="003D0503"/>
    <w:rsid w:val="003D086F"/>
    <w:rsid w:val="003D1368"/>
    <w:rsid w:val="003D1790"/>
    <w:rsid w:val="003D1818"/>
    <w:rsid w:val="003D2D94"/>
    <w:rsid w:val="003D32D3"/>
    <w:rsid w:val="003D35BE"/>
    <w:rsid w:val="003D40ED"/>
    <w:rsid w:val="003D418D"/>
    <w:rsid w:val="003D41FF"/>
    <w:rsid w:val="003D499D"/>
    <w:rsid w:val="003D5597"/>
    <w:rsid w:val="003D5598"/>
    <w:rsid w:val="003D5644"/>
    <w:rsid w:val="003D580C"/>
    <w:rsid w:val="003D5B25"/>
    <w:rsid w:val="003D5DEC"/>
    <w:rsid w:val="003D692F"/>
    <w:rsid w:val="003D70E2"/>
    <w:rsid w:val="003D7201"/>
    <w:rsid w:val="003D746E"/>
    <w:rsid w:val="003D78FE"/>
    <w:rsid w:val="003D7FF4"/>
    <w:rsid w:val="003E0329"/>
    <w:rsid w:val="003E0376"/>
    <w:rsid w:val="003E0766"/>
    <w:rsid w:val="003E0E85"/>
    <w:rsid w:val="003E1130"/>
    <w:rsid w:val="003E1566"/>
    <w:rsid w:val="003E1AF9"/>
    <w:rsid w:val="003E1B16"/>
    <w:rsid w:val="003E1FF9"/>
    <w:rsid w:val="003E2026"/>
    <w:rsid w:val="003E20C4"/>
    <w:rsid w:val="003E242C"/>
    <w:rsid w:val="003E25C2"/>
    <w:rsid w:val="003E2BB7"/>
    <w:rsid w:val="003E2D33"/>
    <w:rsid w:val="003E3208"/>
    <w:rsid w:val="003E3648"/>
    <w:rsid w:val="003E3DF6"/>
    <w:rsid w:val="003E4071"/>
    <w:rsid w:val="003E4804"/>
    <w:rsid w:val="003E4FD1"/>
    <w:rsid w:val="003E5221"/>
    <w:rsid w:val="003E5426"/>
    <w:rsid w:val="003E58DC"/>
    <w:rsid w:val="003E5A93"/>
    <w:rsid w:val="003E5CF0"/>
    <w:rsid w:val="003E654C"/>
    <w:rsid w:val="003E6778"/>
    <w:rsid w:val="003E7EC9"/>
    <w:rsid w:val="003F00A3"/>
    <w:rsid w:val="003F0907"/>
    <w:rsid w:val="003F0C9F"/>
    <w:rsid w:val="003F0E50"/>
    <w:rsid w:val="003F25EE"/>
    <w:rsid w:val="003F264D"/>
    <w:rsid w:val="003F2725"/>
    <w:rsid w:val="003F2806"/>
    <w:rsid w:val="003F2CC8"/>
    <w:rsid w:val="003F2E09"/>
    <w:rsid w:val="003F327B"/>
    <w:rsid w:val="003F3351"/>
    <w:rsid w:val="003F340E"/>
    <w:rsid w:val="003F374C"/>
    <w:rsid w:val="003F40DD"/>
    <w:rsid w:val="003F4977"/>
    <w:rsid w:val="003F53D8"/>
    <w:rsid w:val="003F5514"/>
    <w:rsid w:val="003F5738"/>
    <w:rsid w:val="003F5858"/>
    <w:rsid w:val="003F5928"/>
    <w:rsid w:val="003F6340"/>
    <w:rsid w:val="003F6380"/>
    <w:rsid w:val="003F643D"/>
    <w:rsid w:val="003F64C2"/>
    <w:rsid w:val="003F64F0"/>
    <w:rsid w:val="003F653E"/>
    <w:rsid w:val="003F7471"/>
    <w:rsid w:val="003F7925"/>
    <w:rsid w:val="003F7AAD"/>
    <w:rsid w:val="003F7EB5"/>
    <w:rsid w:val="0040018F"/>
    <w:rsid w:val="00400544"/>
    <w:rsid w:val="0040099F"/>
    <w:rsid w:val="0040104E"/>
    <w:rsid w:val="004024DE"/>
    <w:rsid w:val="0040253D"/>
    <w:rsid w:val="004028B8"/>
    <w:rsid w:val="00402FD0"/>
    <w:rsid w:val="0040344F"/>
    <w:rsid w:val="004034AC"/>
    <w:rsid w:val="004037F0"/>
    <w:rsid w:val="0040391A"/>
    <w:rsid w:val="00404620"/>
    <w:rsid w:val="0040482D"/>
    <w:rsid w:val="00404D98"/>
    <w:rsid w:val="0040564D"/>
    <w:rsid w:val="004063CA"/>
    <w:rsid w:val="00406AE3"/>
    <w:rsid w:val="00406E63"/>
    <w:rsid w:val="00406EF5"/>
    <w:rsid w:val="0040712A"/>
    <w:rsid w:val="00407AE0"/>
    <w:rsid w:val="00407E2A"/>
    <w:rsid w:val="00410317"/>
    <w:rsid w:val="00410ABC"/>
    <w:rsid w:val="00410E68"/>
    <w:rsid w:val="00410F17"/>
    <w:rsid w:val="00410FBC"/>
    <w:rsid w:val="004110C1"/>
    <w:rsid w:val="004116F1"/>
    <w:rsid w:val="00411A97"/>
    <w:rsid w:val="00411CF7"/>
    <w:rsid w:val="00412635"/>
    <w:rsid w:val="00412B19"/>
    <w:rsid w:val="00412BE3"/>
    <w:rsid w:val="00413356"/>
    <w:rsid w:val="00413CE8"/>
    <w:rsid w:val="0041439B"/>
    <w:rsid w:val="004147AC"/>
    <w:rsid w:val="00414BCC"/>
    <w:rsid w:val="00414C10"/>
    <w:rsid w:val="004154F7"/>
    <w:rsid w:val="00415754"/>
    <w:rsid w:val="00415C3B"/>
    <w:rsid w:val="00416001"/>
    <w:rsid w:val="00416043"/>
    <w:rsid w:val="004163EF"/>
    <w:rsid w:val="00416507"/>
    <w:rsid w:val="00416ACE"/>
    <w:rsid w:val="0041720A"/>
    <w:rsid w:val="00417303"/>
    <w:rsid w:val="0041730F"/>
    <w:rsid w:val="0041738E"/>
    <w:rsid w:val="004176A9"/>
    <w:rsid w:val="00417D06"/>
    <w:rsid w:val="004202D2"/>
    <w:rsid w:val="00420330"/>
    <w:rsid w:val="00421314"/>
    <w:rsid w:val="00421468"/>
    <w:rsid w:val="004219F1"/>
    <w:rsid w:val="00421C2A"/>
    <w:rsid w:val="00421CD0"/>
    <w:rsid w:val="00421F24"/>
    <w:rsid w:val="00422216"/>
    <w:rsid w:val="00422BE4"/>
    <w:rsid w:val="00423324"/>
    <w:rsid w:val="00423427"/>
    <w:rsid w:val="00423A41"/>
    <w:rsid w:val="00423AB1"/>
    <w:rsid w:val="004240F9"/>
    <w:rsid w:val="004247A8"/>
    <w:rsid w:val="0042555B"/>
    <w:rsid w:val="00425A8E"/>
    <w:rsid w:val="004261BD"/>
    <w:rsid w:val="00426295"/>
    <w:rsid w:val="004265D2"/>
    <w:rsid w:val="00426962"/>
    <w:rsid w:val="0042770F"/>
    <w:rsid w:val="0042792F"/>
    <w:rsid w:val="0043096F"/>
    <w:rsid w:val="00430A02"/>
    <w:rsid w:val="00430DBF"/>
    <w:rsid w:val="00431088"/>
    <w:rsid w:val="004310D4"/>
    <w:rsid w:val="004316FC"/>
    <w:rsid w:val="00431781"/>
    <w:rsid w:val="0043249B"/>
    <w:rsid w:val="004326F9"/>
    <w:rsid w:val="00432A30"/>
    <w:rsid w:val="00432D23"/>
    <w:rsid w:val="004330A5"/>
    <w:rsid w:val="004332DA"/>
    <w:rsid w:val="00433446"/>
    <w:rsid w:val="004336AA"/>
    <w:rsid w:val="00434067"/>
    <w:rsid w:val="0043419E"/>
    <w:rsid w:val="00434732"/>
    <w:rsid w:val="00434CD5"/>
    <w:rsid w:val="00435AB2"/>
    <w:rsid w:val="00435D15"/>
    <w:rsid w:val="0043633E"/>
    <w:rsid w:val="00436726"/>
    <w:rsid w:val="004371FF"/>
    <w:rsid w:val="00437916"/>
    <w:rsid w:val="00437985"/>
    <w:rsid w:val="00437A9D"/>
    <w:rsid w:val="00437AD5"/>
    <w:rsid w:val="00437DFC"/>
    <w:rsid w:val="00437E2B"/>
    <w:rsid w:val="00440065"/>
    <w:rsid w:val="004407A8"/>
    <w:rsid w:val="00440993"/>
    <w:rsid w:val="00441061"/>
    <w:rsid w:val="0044127D"/>
    <w:rsid w:val="004418CF"/>
    <w:rsid w:val="004418D3"/>
    <w:rsid w:val="00442498"/>
    <w:rsid w:val="0044253C"/>
    <w:rsid w:val="004427EE"/>
    <w:rsid w:val="00442B6D"/>
    <w:rsid w:val="004430AC"/>
    <w:rsid w:val="0044315F"/>
    <w:rsid w:val="00443C24"/>
    <w:rsid w:val="00443D95"/>
    <w:rsid w:val="00443E78"/>
    <w:rsid w:val="004440C3"/>
    <w:rsid w:val="004441C4"/>
    <w:rsid w:val="00444542"/>
    <w:rsid w:val="0044458D"/>
    <w:rsid w:val="00444C55"/>
    <w:rsid w:val="00445251"/>
    <w:rsid w:val="0044535A"/>
    <w:rsid w:val="00445984"/>
    <w:rsid w:val="00445DD4"/>
    <w:rsid w:val="004460F1"/>
    <w:rsid w:val="0044655F"/>
    <w:rsid w:val="00446787"/>
    <w:rsid w:val="0044696D"/>
    <w:rsid w:val="00446D9E"/>
    <w:rsid w:val="00447413"/>
    <w:rsid w:val="00447DEA"/>
    <w:rsid w:val="00447E4F"/>
    <w:rsid w:val="004500BD"/>
    <w:rsid w:val="004501D8"/>
    <w:rsid w:val="00450388"/>
    <w:rsid w:val="0045049E"/>
    <w:rsid w:val="00450BD0"/>
    <w:rsid w:val="00451188"/>
    <w:rsid w:val="004513E6"/>
    <w:rsid w:val="00451541"/>
    <w:rsid w:val="004517C3"/>
    <w:rsid w:val="00451891"/>
    <w:rsid w:val="004519FB"/>
    <w:rsid w:val="00451D6E"/>
    <w:rsid w:val="00452668"/>
    <w:rsid w:val="00453267"/>
    <w:rsid w:val="004532B8"/>
    <w:rsid w:val="0045359C"/>
    <w:rsid w:val="00453665"/>
    <w:rsid w:val="00453946"/>
    <w:rsid w:val="00454356"/>
    <w:rsid w:val="00454697"/>
    <w:rsid w:val="00454730"/>
    <w:rsid w:val="00454E26"/>
    <w:rsid w:val="00454EA5"/>
    <w:rsid w:val="004550E3"/>
    <w:rsid w:val="0045516D"/>
    <w:rsid w:val="004551D1"/>
    <w:rsid w:val="00455F1E"/>
    <w:rsid w:val="00456880"/>
    <w:rsid w:val="00456A7D"/>
    <w:rsid w:val="00456DD2"/>
    <w:rsid w:val="004570A1"/>
    <w:rsid w:val="00457526"/>
    <w:rsid w:val="004578C5"/>
    <w:rsid w:val="00457B2E"/>
    <w:rsid w:val="00457F85"/>
    <w:rsid w:val="00460A9C"/>
    <w:rsid w:val="00460B7E"/>
    <w:rsid w:val="00460C19"/>
    <w:rsid w:val="004611B8"/>
    <w:rsid w:val="004616AE"/>
    <w:rsid w:val="0046233E"/>
    <w:rsid w:val="00462414"/>
    <w:rsid w:val="004629FE"/>
    <w:rsid w:val="00463085"/>
    <w:rsid w:val="004633E4"/>
    <w:rsid w:val="00463795"/>
    <w:rsid w:val="0046387B"/>
    <w:rsid w:val="004641F2"/>
    <w:rsid w:val="00464C95"/>
    <w:rsid w:val="00464F65"/>
    <w:rsid w:val="0046528A"/>
    <w:rsid w:val="00465727"/>
    <w:rsid w:val="004659DD"/>
    <w:rsid w:val="0046614C"/>
    <w:rsid w:val="00466185"/>
    <w:rsid w:val="00466287"/>
    <w:rsid w:val="004662F2"/>
    <w:rsid w:val="004669B7"/>
    <w:rsid w:val="00466A00"/>
    <w:rsid w:val="0046744B"/>
    <w:rsid w:val="004702EA"/>
    <w:rsid w:val="00470623"/>
    <w:rsid w:val="00471739"/>
    <w:rsid w:val="004717E2"/>
    <w:rsid w:val="00471BD3"/>
    <w:rsid w:val="00471CB6"/>
    <w:rsid w:val="00472024"/>
    <w:rsid w:val="0047238D"/>
    <w:rsid w:val="0047293F"/>
    <w:rsid w:val="0047348D"/>
    <w:rsid w:val="004736B6"/>
    <w:rsid w:val="00474213"/>
    <w:rsid w:val="004744BC"/>
    <w:rsid w:val="004746C0"/>
    <w:rsid w:val="00474D25"/>
    <w:rsid w:val="00474DCC"/>
    <w:rsid w:val="00474E6B"/>
    <w:rsid w:val="00474E7E"/>
    <w:rsid w:val="00474F44"/>
    <w:rsid w:val="0047533D"/>
    <w:rsid w:val="004755DC"/>
    <w:rsid w:val="004758BB"/>
    <w:rsid w:val="00475C21"/>
    <w:rsid w:val="00476912"/>
    <w:rsid w:val="00476C26"/>
    <w:rsid w:val="00476D42"/>
    <w:rsid w:val="0047716A"/>
    <w:rsid w:val="00477241"/>
    <w:rsid w:val="004773E2"/>
    <w:rsid w:val="004779BF"/>
    <w:rsid w:val="00480248"/>
    <w:rsid w:val="00480EDB"/>
    <w:rsid w:val="00482072"/>
    <w:rsid w:val="004828A5"/>
    <w:rsid w:val="0048327F"/>
    <w:rsid w:val="00483BE2"/>
    <w:rsid w:val="00483CC4"/>
    <w:rsid w:val="00483FF9"/>
    <w:rsid w:val="00484586"/>
    <w:rsid w:val="004849D2"/>
    <w:rsid w:val="00484A17"/>
    <w:rsid w:val="00484E20"/>
    <w:rsid w:val="00485573"/>
    <w:rsid w:val="004855A5"/>
    <w:rsid w:val="00485779"/>
    <w:rsid w:val="00485819"/>
    <w:rsid w:val="00485CB4"/>
    <w:rsid w:val="0048616C"/>
    <w:rsid w:val="0048655C"/>
    <w:rsid w:val="00486805"/>
    <w:rsid w:val="00486A74"/>
    <w:rsid w:val="00486B47"/>
    <w:rsid w:val="00486B6C"/>
    <w:rsid w:val="00487265"/>
    <w:rsid w:val="00487402"/>
    <w:rsid w:val="00490178"/>
    <w:rsid w:val="004902B6"/>
    <w:rsid w:val="0049038E"/>
    <w:rsid w:val="004904A1"/>
    <w:rsid w:val="004906B7"/>
    <w:rsid w:val="00490FB2"/>
    <w:rsid w:val="004914A9"/>
    <w:rsid w:val="004914AF"/>
    <w:rsid w:val="004916B4"/>
    <w:rsid w:val="004918F2"/>
    <w:rsid w:val="00491AB0"/>
    <w:rsid w:val="00491D42"/>
    <w:rsid w:val="00491D76"/>
    <w:rsid w:val="00492166"/>
    <w:rsid w:val="00492304"/>
    <w:rsid w:val="0049249B"/>
    <w:rsid w:val="00492BD7"/>
    <w:rsid w:val="00492C05"/>
    <w:rsid w:val="00492D90"/>
    <w:rsid w:val="00493866"/>
    <w:rsid w:val="00493DC6"/>
    <w:rsid w:val="004947A5"/>
    <w:rsid w:val="00494975"/>
    <w:rsid w:val="004951A1"/>
    <w:rsid w:val="0049551B"/>
    <w:rsid w:val="004958FE"/>
    <w:rsid w:val="00495E17"/>
    <w:rsid w:val="00496214"/>
    <w:rsid w:val="00496609"/>
    <w:rsid w:val="00496957"/>
    <w:rsid w:val="0049695C"/>
    <w:rsid w:val="00496B93"/>
    <w:rsid w:val="00496D39"/>
    <w:rsid w:val="00497778"/>
    <w:rsid w:val="00497791"/>
    <w:rsid w:val="00497C72"/>
    <w:rsid w:val="00497E56"/>
    <w:rsid w:val="00497EE7"/>
    <w:rsid w:val="00497EF5"/>
    <w:rsid w:val="004A0B03"/>
    <w:rsid w:val="004A0E20"/>
    <w:rsid w:val="004A0E24"/>
    <w:rsid w:val="004A119D"/>
    <w:rsid w:val="004A175F"/>
    <w:rsid w:val="004A1A17"/>
    <w:rsid w:val="004A2515"/>
    <w:rsid w:val="004A2806"/>
    <w:rsid w:val="004A2D40"/>
    <w:rsid w:val="004A2E0B"/>
    <w:rsid w:val="004A30A2"/>
    <w:rsid w:val="004A3575"/>
    <w:rsid w:val="004A35E6"/>
    <w:rsid w:val="004A372C"/>
    <w:rsid w:val="004A3820"/>
    <w:rsid w:val="004A38E2"/>
    <w:rsid w:val="004A3B90"/>
    <w:rsid w:val="004A3D74"/>
    <w:rsid w:val="004A436A"/>
    <w:rsid w:val="004A4F67"/>
    <w:rsid w:val="004A5852"/>
    <w:rsid w:val="004A5FC5"/>
    <w:rsid w:val="004A643B"/>
    <w:rsid w:val="004A6C1D"/>
    <w:rsid w:val="004A6C58"/>
    <w:rsid w:val="004A6CB2"/>
    <w:rsid w:val="004A7095"/>
    <w:rsid w:val="004A7D5D"/>
    <w:rsid w:val="004B0965"/>
    <w:rsid w:val="004B1190"/>
    <w:rsid w:val="004B1835"/>
    <w:rsid w:val="004B1F40"/>
    <w:rsid w:val="004B46E6"/>
    <w:rsid w:val="004B4956"/>
    <w:rsid w:val="004B4A16"/>
    <w:rsid w:val="004B4C6F"/>
    <w:rsid w:val="004B4DE0"/>
    <w:rsid w:val="004B58BA"/>
    <w:rsid w:val="004B59AB"/>
    <w:rsid w:val="004B5A0E"/>
    <w:rsid w:val="004B6975"/>
    <w:rsid w:val="004B6CF4"/>
    <w:rsid w:val="004B7668"/>
    <w:rsid w:val="004C010B"/>
    <w:rsid w:val="004C0111"/>
    <w:rsid w:val="004C031A"/>
    <w:rsid w:val="004C0712"/>
    <w:rsid w:val="004C0F13"/>
    <w:rsid w:val="004C0FF1"/>
    <w:rsid w:val="004C1193"/>
    <w:rsid w:val="004C1218"/>
    <w:rsid w:val="004C1320"/>
    <w:rsid w:val="004C1C16"/>
    <w:rsid w:val="004C1CC1"/>
    <w:rsid w:val="004C2102"/>
    <w:rsid w:val="004C30FD"/>
    <w:rsid w:val="004C31B3"/>
    <w:rsid w:val="004C32A6"/>
    <w:rsid w:val="004C374E"/>
    <w:rsid w:val="004C3957"/>
    <w:rsid w:val="004C3C50"/>
    <w:rsid w:val="004C3DBB"/>
    <w:rsid w:val="004C40D3"/>
    <w:rsid w:val="004C40F8"/>
    <w:rsid w:val="004C440C"/>
    <w:rsid w:val="004C4B92"/>
    <w:rsid w:val="004C4DE8"/>
    <w:rsid w:val="004C5457"/>
    <w:rsid w:val="004C5491"/>
    <w:rsid w:val="004C5BDD"/>
    <w:rsid w:val="004C5D6C"/>
    <w:rsid w:val="004C5D72"/>
    <w:rsid w:val="004C66A1"/>
    <w:rsid w:val="004C6B91"/>
    <w:rsid w:val="004C6C2C"/>
    <w:rsid w:val="004C6CE1"/>
    <w:rsid w:val="004C72BB"/>
    <w:rsid w:val="004C7696"/>
    <w:rsid w:val="004C7872"/>
    <w:rsid w:val="004C7BBC"/>
    <w:rsid w:val="004C7FAB"/>
    <w:rsid w:val="004D0103"/>
    <w:rsid w:val="004D0590"/>
    <w:rsid w:val="004D06B4"/>
    <w:rsid w:val="004D0BBF"/>
    <w:rsid w:val="004D13C5"/>
    <w:rsid w:val="004D1469"/>
    <w:rsid w:val="004D1537"/>
    <w:rsid w:val="004D16B7"/>
    <w:rsid w:val="004D1F1D"/>
    <w:rsid w:val="004D23C0"/>
    <w:rsid w:val="004D278F"/>
    <w:rsid w:val="004D2C0D"/>
    <w:rsid w:val="004D32C0"/>
    <w:rsid w:val="004D3802"/>
    <w:rsid w:val="004D4627"/>
    <w:rsid w:val="004D4B60"/>
    <w:rsid w:val="004D4DB0"/>
    <w:rsid w:val="004D4FC1"/>
    <w:rsid w:val="004D520E"/>
    <w:rsid w:val="004D5322"/>
    <w:rsid w:val="004D599F"/>
    <w:rsid w:val="004D5BD3"/>
    <w:rsid w:val="004D5CBD"/>
    <w:rsid w:val="004D6C89"/>
    <w:rsid w:val="004D71D2"/>
    <w:rsid w:val="004D7265"/>
    <w:rsid w:val="004D7500"/>
    <w:rsid w:val="004D77FE"/>
    <w:rsid w:val="004D7C0C"/>
    <w:rsid w:val="004D7E0B"/>
    <w:rsid w:val="004E04FC"/>
    <w:rsid w:val="004E07CB"/>
    <w:rsid w:val="004E182A"/>
    <w:rsid w:val="004E206B"/>
    <w:rsid w:val="004E2404"/>
    <w:rsid w:val="004E28DA"/>
    <w:rsid w:val="004E2F8F"/>
    <w:rsid w:val="004E3190"/>
    <w:rsid w:val="004E3443"/>
    <w:rsid w:val="004E396B"/>
    <w:rsid w:val="004E3ABB"/>
    <w:rsid w:val="004E4173"/>
    <w:rsid w:val="004E41B4"/>
    <w:rsid w:val="004E44AA"/>
    <w:rsid w:val="004E52D2"/>
    <w:rsid w:val="004E537F"/>
    <w:rsid w:val="004E553D"/>
    <w:rsid w:val="004E5676"/>
    <w:rsid w:val="004E5B21"/>
    <w:rsid w:val="004E5E7C"/>
    <w:rsid w:val="004E621D"/>
    <w:rsid w:val="004E68A9"/>
    <w:rsid w:val="004E6B65"/>
    <w:rsid w:val="004E6E14"/>
    <w:rsid w:val="004E6E74"/>
    <w:rsid w:val="004E6FE4"/>
    <w:rsid w:val="004E719C"/>
    <w:rsid w:val="004E71CA"/>
    <w:rsid w:val="004F008D"/>
    <w:rsid w:val="004F009E"/>
    <w:rsid w:val="004F04AD"/>
    <w:rsid w:val="004F0980"/>
    <w:rsid w:val="004F0A2E"/>
    <w:rsid w:val="004F0D7D"/>
    <w:rsid w:val="004F0E57"/>
    <w:rsid w:val="004F171F"/>
    <w:rsid w:val="004F17B4"/>
    <w:rsid w:val="004F19F9"/>
    <w:rsid w:val="004F27A7"/>
    <w:rsid w:val="004F2A39"/>
    <w:rsid w:val="004F2F23"/>
    <w:rsid w:val="004F30DA"/>
    <w:rsid w:val="004F30EA"/>
    <w:rsid w:val="004F39E3"/>
    <w:rsid w:val="004F3DDA"/>
    <w:rsid w:val="004F4032"/>
    <w:rsid w:val="004F4282"/>
    <w:rsid w:val="004F42F0"/>
    <w:rsid w:val="004F43B2"/>
    <w:rsid w:val="004F4697"/>
    <w:rsid w:val="004F46DA"/>
    <w:rsid w:val="004F54DB"/>
    <w:rsid w:val="004F55E2"/>
    <w:rsid w:val="004F5911"/>
    <w:rsid w:val="004F5C5F"/>
    <w:rsid w:val="004F5CFD"/>
    <w:rsid w:val="004F5D5D"/>
    <w:rsid w:val="004F5F01"/>
    <w:rsid w:val="004F60D8"/>
    <w:rsid w:val="004F6B0C"/>
    <w:rsid w:val="004F7342"/>
    <w:rsid w:val="004F7D5B"/>
    <w:rsid w:val="005002F1"/>
    <w:rsid w:val="005008F3"/>
    <w:rsid w:val="00501365"/>
    <w:rsid w:val="00501FB8"/>
    <w:rsid w:val="00502221"/>
    <w:rsid w:val="005025C9"/>
    <w:rsid w:val="005027AD"/>
    <w:rsid w:val="005028D0"/>
    <w:rsid w:val="00502F5B"/>
    <w:rsid w:val="005038D7"/>
    <w:rsid w:val="005047DA"/>
    <w:rsid w:val="00504AC3"/>
    <w:rsid w:val="00504B58"/>
    <w:rsid w:val="00504CF8"/>
    <w:rsid w:val="00505668"/>
    <w:rsid w:val="00505ADE"/>
    <w:rsid w:val="00505EA2"/>
    <w:rsid w:val="00506530"/>
    <w:rsid w:val="00506CE3"/>
    <w:rsid w:val="00506EBA"/>
    <w:rsid w:val="005070C1"/>
    <w:rsid w:val="00507DD7"/>
    <w:rsid w:val="00507F75"/>
    <w:rsid w:val="00510881"/>
    <w:rsid w:val="00510B48"/>
    <w:rsid w:val="00510CD5"/>
    <w:rsid w:val="00511210"/>
    <w:rsid w:val="00511B13"/>
    <w:rsid w:val="00511E28"/>
    <w:rsid w:val="00511E38"/>
    <w:rsid w:val="0051234A"/>
    <w:rsid w:val="005123D5"/>
    <w:rsid w:val="00512821"/>
    <w:rsid w:val="0051325A"/>
    <w:rsid w:val="00513309"/>
    <w:rsid w:val="00514088"/>
    <w:rsid w:val="005144C3"/>
    <w:rsid w:val="005146F0"/>
    <w:rsid w:val="00514810"/>
    <w:rsid w:val="005148E9"/>
    <w:rsid w:val="00514A67"/>
    <w:rsid w:val="00515120"/>
    <w:rsid w:val="00515633"/>
    <w:rsid w:val="0051580D"/>
    <w:rsid w:val="00515C53"/>
    <w:rsid w:val="00515E7D"/>
    <w:rsid w:val="00515F1F"/>
    <w:rsid w:val="005163D8"/>
    <w:rsid w:val="0051656E"/>
    <w:rsid w:val="00516A6C"/>
    <w:rsid w:val="00516F14"/>
    <w:rsid w:val="0051708A"/>
    <w:rsid w:val="00517372"/>
    <w:rsid w:val="00517841"/>
    <w:rsid w:val="0051792B"/>
    <w:rsid w:val="00517A9E"/>
    <w:rsid w:val="00520328"/>
    <w:rsid w:val="00521C5A"/>
    <w:rsid w:val="00522A20"/>
    <w:rsid w:val="00522A2F"/>
    <w:rsid w:val="00522D41"/>
    <w:rsid w:val="00522E6E"/>
    <w:rsid w:val="0052426A"/>
    <w:rsid w:val="005242C0"/>
    <w:rsid w:val="0052482E"/>
    <w:rsid w:val="00524AF5"/>
    <w:rsid w:val="00524CBB"/>
    <w:rsid w:val="00524EF1"/>
    <w:rsid w:val="005253F9"/>
    <w:rsid w:val="005256D1"/>
    <w:rsid w:val="00525B6B"/>
    <w:rsid w:val="0052658A"/>
    <w:rsid w:val="00526AEA"/>
    <w:rsid w:val="00526D27"/>
    <w:rsid w:val="00527011"/>
    <w:rsid w:val="00527384"/>
    <w:rsid w:val="00530124"/>
    <w:rsid w:val="00530502"/>
    <w:rsid w:val="005306C7"/>
    <w:rsid w:val="00530AFF"/>
    <w:rsid w:val="005317C8"/>
    <w:rsid w:val="00531ED1"/>
    <w:rsid w:val="00532E4C"/>
    <w:rsid w:val="00533273"/>
    <w:rsid w:val="005333A5"/>
    <w:rsid w:val="0053381D"/>
    <w:rsid w:val="00533D67"/>
    <w:rsid w:val="00533EC0"/>
    <w:rsid w:val="0053541F"/>
    <w:rsid w:val="005355B0"/>
    <w:rsid w:val="0053580D"/>
    <w:rsid w:val="00535DDB"/>
    <w:rsid w:val="005366E8"/>
    <w:rsid w:val="00536712"/>
    <w:rsid w:val="005367AE"/>
    <w:rsid w:val="00536C4B"/>
    <w:rsid w:val="00537518"/>
    <w:rsid w:val="005377E5"/>
    <w:rsid w:val="00537EA0"/>
    <w:rsid w:val="00537F90"/>
    <w:rsid w:val="00540338"/>
    <w:rsid w:val="0054053E"/>
    <w:rsid w:val="00540BE5"/>
    <w:rsid w:val="00540F81"/>
    <w:rsid w:val="005415D1"/>
    <w:rsid w:val="00542961"/>
    <w:rsid w:val="005429EF"/>
    <w:rsid w:val="00542CF2"/>
    <w:rsid w:val="00542E9F"/>
    <w:rsid w:val="0054304F"/>
    <w:rsid w:val="0054306A"/>
    <w:rsid w:val="0054329C"/>
    <w:rsid w:val="005436AF"/>
    <w:rsid w:val="005437A6"/>
    <w:rsid w:val="00543AC2"/>
    <w:rsid w:val="0054451A"/>
    <w:rsid w:val="00544906"/>
    <w:rsid w:val="00544D82"/>
    <w:rsid w:val="00545A29"/>
    <w:rsid w:val="00545C1D"/>
    <w:rsid w:val="00545DEF"/>
    <w:rsid w:val="00545EA2"/>
    <w:rsid w:val="00546311"/>
    <w:rsid w:val="0054703C"/>
    <w:rsid w:val="00547717"/>
    <w:rsid w:val="00547953"/>
    <w:rsid w:val="00547DCA"/>
    <w:rsid w:val="00550A3C"/>
    <w:rsid w:val="00550D86"/>
    <w:rsid w:val="00551B7D"/>
    <w:rsid w:val="00551F35"/>
    <w:rsid w:val="005520EF"/>
    <w:rsid w:val="0055210D"/>
    <w:rsid w:val="00552351"/>
    <w:rsid w:val="00552706"/>
    <w:rsid w:val="00552AA7"/>
    <w:rsid w:val="00552BEC"/>
    <w:rsid w:val="00552C10"/>
    <w:rsid w:val="00553597"/>
    <w:rsid w:val="0055418C"/>
    <w:rsid w:val="005541BA"/>
    <w:rsid w:val="00554340"/>
    <w:rsid w:val="0055441D"/>
    <w:rsid w:val="00554BFC"/>
    <w:rsid w:val="00555236"/>
    <w:rsid w:val="005553EC"/>
    <w:rsid w:val="005554A8"/>
    <w:rsid w:val="00555505"/>
    <w:rsid w:val="005557EA"/>
    <w:rsid w:val="00555CA7"/>
    <w:rsid w:val="00556C45"/>
    <w:rsid w:val="00556E10"/>
    <w:rsid w:val="005609FA"/>
    <w:rsid w:val="00560F4F"/>
    <w:rsid w:val="005613D8"/>
    <w:rsid w:val="00561FB2"/>
    <w:rsid w:val="00563013"/>
    <w:rsid w:val="00563056"/>
    <w:rsid w:val="005631CA"/>
    <w:rsid w:val="00563881"/>
    <w:rsid w:val="005638BD"/>
    <w:rsid w:val="005641FD"/>
    <w:rsid w:val="0056438F"/>
    <w:rsid w:val="0056530E"/>
    <w:rsid w:val="00565386"/>
    <w:rsid w:val="005653B0"/>
    <w:rsid w:val="005655B1"/>
    <w:rsid w:val="005658F6"/>
    <w:rsid w:val="00565AA8"/>
    <w:rsid w:val="00565DDE"/>
    <w:rsid w:val="0056651E"/>
    <w:rsid w:val="00567112"/>
    <w:rsid w:val="0056711D"/>
    <w:rsid w:val="005677B3"/>
    <w:rsid w:val="00567DBB"/>
    <w:rsid w:val="005704D8"/>
    <w:rsid w:val="00570532"/>
    <w:rsid w:val="0057194D"/>
    <w:rsid w:val="00571C69"/>
    <w:rsid w:val="00571D94"/>
    <w:rsid w:val="00571E89"/>
    <w:rsid w:val="00572128"/>
    <w:rsid w:val="0057228B"/>
    <w:rsid w:val="005732D9"/>
    <w:rsid w:val="00573989"/>
    <w:rsid w:val="005747A0"/>
    <w:rsid w:val="0057489A"/>
    <w:rsid w:val="0057557B"/>
    <w:rsid w:val="00575949"/>
    <w:rsid w:val="00575AF9"/>
    <w:rsid w:val="00577082"/>
    <w:rsid w:val="00577559"/>
    <w:rsid w:val="005800B8"/>
    <w:rsid w:val="00580932"/>
    <w:rsid w:val="005809CA"/>
    <w:rsid w:val="00580CE0"/>
    <w:rsid w:val="00581701"/>
    <w:rsid w:val="005821CF"/>
    <w:rsid w:val="005821E7"/>
    <w:rsid w:val="00582AAF"/>
    <w:rsid w:val="00582B82"/>
    <w:rsid w:val="00583F60"/>
    <w:rsid w:val="00584880"/>
    <w:rsid w:val="00584A8E"/>
    <w:rsid w:val="0058504C"/>
    <w:rsid w:val="00585402"/>
    <w:rsid w:val="00585472"/>
    <w:rsid w:val="00586530"/>
    <w:rsid w:val="005866BF"/>
    <w:rsid w:val="00586BA4"/>
    <w:rsid w:val="00586F73"/>
    <w:rsid w:val="00587334"/>
    <w:rsid w:val="00587803"/>
    <w:rsid w:val="00587F68"/>
    <w:rsid w:val="00587F6A"/>
    <w:rsid w:val="005903E4"/>
    <w:rsid w:val="005906EE"/>
    <w:rsid w:val="005911B0"/>
    <w:rsid w:val="005913DA"/>
    <w:rsid w:val="00591445"/>
    <w:rsid w:val="00591C4E"/>
    <w:rsid w:val="00592113"/>
    <w:rsid w:val="005937EA"/>
    <w:rsid w:val="00593A53"/>
    <w:rsid w:val="00593D02"/>
    <w:rsid w:val="0059482C"/>
    <w:rsid w:val="005948A2"/>
    <w:rsid w:val="00594979"/>
    <w:rsid w:val="00594DC2"/>
    <w:rsid w:val="00594F3D"/>
    <w:rsid w:val="00595807"/>
    <w:rsid w:val="005959A8"/>
    <w:rsid w:val="00595B7C"/>
    <w:rsid w:val="00595CE2"/>
    <w:rsid w:val="005962B7"/>
    <w:rsid w:val="005963CB"/>
    <w:rsid w:val="00596744"/>
    <w:rsid w:val="005972CE"/>
    <w:rsid w:val="005979C1"/>
    <w:rsid w:val="00597F00"/>
    <w:rsid w:val="005A095B"/>
    <w:rsid w:val="005A0BF4"/>
    <w:rsid w:val="005A1046"/>
    <w:rsid w:val="005A1264"/>
    <w:rsid w:val="005A1353"/>
    <w:rsid w:val="005A1832"/>
    <w:rsid w:val="005A1DA8"/>
    <w:rsid w:val="005A20AD"/>
    <w:rsid w:val="005A2E4A"/>
    <w:rsid w:val="005A2F99"/>
    <w:rsid w:val="005A2FDD"/>
    <w:rsid w:val="005A3006"/>
    <w:rsid w:val="005A3529"/>
    <w:rsid w:val="005A3904"/>
    <w:rsid w:val="005A3B69"/>
    <w:rsid w:val="005A3C36"/>
    <w:rsid w:val="005A4343"/>
    <w:rsid w:val="005A4490"/>
    <w:rsid w:val="005A46F9"/>
    <w:rsid w:val="005A4CCD"/>
    <w:rsid w:val="005A5011"/>
    <w:rsid w:val="005A51A4"/>
    <w:rsid w:val="005A537A"/>
    <w:rsid w:val="005A55A9"/>
    <w:rsid w:val="005A562D"/>
    <w:rsid w:val="005A5D05"/>
    <w:rsid w:val="005A6EBE"/>
    <w:rsid w:val="005A6F00"/>
    <w:rsid w:val="005A746B"/>
    <w:rsid w:val="005A798E"/>
    <w:rsid w:val="005A7C41"/>
    <w:rsid w:val="005B0406"/>
    <w:rsid w:val="005B0A03"/>
    <w:rsid w:val="005B1CFC"/>
    <w:rsid w:val="005B2475"/>
    <w:rsid w:val="005B2533"/>
    <w:rsid w:val="005B2643"/>
    <w:rsid w:val="005B2BD3"/>
    <w:rsid w:val="005B2C33"/>
    <w:rsid w:val="005B2CB1"/>
    <w:rsid w:val="005B32F2"/>
    <w:rsid w:val="005B35C5"/>
    <w:rsid w:val="005B42A9"/>
    <w:rsid w:val="005B4310"/>
    <w:rsid w:val="005B44A1"/>
    <w:rsid w:val="005B5CC9"/>
    <w:rsid w:val="005B5E3A"/>
    <w:rsid w:val="005B5F2F"/>
    <w:rsid w:val="005B6302"/>
    <w:rsid w:val="005B6829"/>
    <w:rsid w:val="005B6B97"/>
    <w:rsid w:val="005B6BB8"/>
    <w:rsid w:val="005B6CB8"/>
    <w:rsid w:val="005B763A"/>
    <w:rsid w:val="005C1278"/>
    <w:rsid w:val="005C210D"/>
    <w:rsid w:val="005C2319"/>
    <w:rsid w:val="005C251E"/>
    <w:rsid w:val="005C26EA"/>
    <w:rsid w:val="005C2849"/>
    <w:rsid w:val="005C28DE"/>
    <w:rsid w:val="005C361D"/>
    <w:rsid w:val="005C4132"/>
    <w:rsid w:val="005C435B"/>
    <w:rsid w:val="005C5101"/>
    <w:rsid w:val="005C51EC"/>
    <w:rsid w:val="005C5280"/>
    <w:rsid w:val="005C5377"/>
    <w:rsid w:val="005C5ACA"/>
    <w:rsid w:val="005C5B63"/>
    <w:rsid w:val="005C5B7C"/>
    <w:rsid w:val="005C5F56"/>
    <w:rsid w:val="005C71AA"/>
    <w:rsid w:val="005D0038"/>
    <w:rsid w:val="005D01D5"/>
    <w:rsid w:val="005D01E8"/>
    <w:rsid w:val="005D0277"/>
    <w:rsid w:val="005D0477"/>
    <w:rsid w:val="005D100F"/>
    <w:rsid w:val="005D1A66"/>
    <w:rsid w:val="005D1A9E"/>
    <w:rsid w:val="005D1B8A"/>
    <w:rsid w:val="005D2465"/>
    <w:rsid w:val="005D2D78"/>
    <w:rsid w:val="005D3055"/>
    <w:rsid w:val="005D3A59"/>
    <w:rsid w:val="005D3BA1"/>
    <w:rsid w:val="005D3D8C"/>
    <w:rsid w:val="005D3E86"/>
    <w:rsid w:val="005D436A"/>
    <w:rsid w:val="005D4778"/>
    <w:rsid w:val="005D5047"/>
    <w:rsid w:val="005D57BB"/>
    <w:rsid w:val="005D5E8D"/>
    <w:rsid w:val="005D6180"/>
    <w:rsid w:val="005D65D8"/>
    <w:rsid w:val="005D689A"/>
    <w:rsid w:val="005D6A31"/>
    <w:rsid w:val="005D6FA0"/>
    <w:rsid w:val="005D708D"/>
    <w:rsid w:val="005D70CC"/>
    <w:rsid w:val="005D78D1"/>
    <w:rsid w:val="005D7C0B"/>
    <w:rsid w:val="005D7DD7"/>
    <w:rsid w:val="005E0068"/>
    <w:rsid w:val="005E0192"/>
    <w:rsid w:val="005E03D8"/>
    <w:rsid w:val="005E082E"/>
    <w:rsid w:val="005E14E4"/>
    <w:rsid w:val="005E1538"/>
    <w:rsid w:val="005E180B"/>
    <w:rsid w:val="005E2BDF"/>
    <w:rsid w:val="005E2C79"/>
    <w:rsid w:val="005E2D05"/>
    <w:rsid w:val="005E2F4F"/>
    <w:rsid w:val="005E37C3"/>
    <w:rsid w:val="005E3977"/>
    <w:rsid w:val="005E3EB6"/>
    <w:rsid w:val="005E4D51"/>
    <w:rsid w:val="005E4F07"/>
    <w:rsid w:val="005E52F1"/>
    <w:rsid w:val="005E6440"/>
    <w:rsid w:val="005E677D"/>
    <w:rsid w:val="005E683A"/>
    <w:rsid w:val="005E6F13"/>
    <w:rsid w:val="005E7010"/>
    <w:rsid w:val="005E777E"/>
    <w:rsid w:val="005E78A6"/>
    <w:rsid w:val="005E7CB8"/>
    <w:rsid w:val="005E7D9C"/>
    <w:rsid w:val="005F01E4"/>
    <w:rsid w:val="005F0308"/>
    <w:rsid w:val="005F0BE8"/>
    <w:rsid w:val="005F0DD8"/>
    <w:rsid w:val="005F106D"/>
    <w:rsid w:val="005F1361"/>
    <w:rsid w:val="005F1784"/>
    <w:rsid w:val="005F2050"/>
    <w:rsid w:val="005F27B8"/>
    <w:rsid w:val="005F2E6B"/>
    <w:rsid w:val="005F3A30"/>
    <w:rsid w:val="005F3BF1"/>
    <w:rsid w:val="005F47B0"/>
    <w:rsid w:val="005F4959"/>
    <w:rsid w:val="005F5245"/>
    <w:rsid w:val="005F536C"/>
    <w:rsid w:val="005F5A03"/>
    <w:rsid w:val="005F626A"/>
    <w:rsid w:val="005F65B1"/>
    <w:rsid w:val="005F68E0"/>
    <w:rsid w:val="005F6A5A"/>
    <w:rsid w:val="005F715B"/>
    <w:rsid w:val="005F719C"/>
    <w:rsid w:val="005F7265"/>
    <w:rsid w:val="005F7A88"/>
    <w:rsid w:val="005F7F5E"/>
    <w:rsid w:val="006001A7"/>
    <w:rsid w:val="006002CC"/>
    <w:rsid w:val="00600674"/>
    <w:rsid w:val="00600762"/>
    <w:rsid w:val="0060076C"/>
    <w:rsid w:val="00600A9D"/>
    <w:rsid w:val="00601043"/>
    <w:rsid w:val="00601052"/>
    <w:rsid w:val="00601512"/>
    <w:rsid w:val="006015A4"/>
    <w:rsid w:val="00601C90"/>
    <w:rsid w:val="00601CC0"/>
    <w:rsid w:val="00601DFF"/>
    <w:rsid w:val="00602484"/>
    <w:rsid w:val="00602B08"/>
    <w:rsid w:val="00602E36"/>
    <w:rsid w:val="006031AD"/>
    <w:rsid w:val="0060325B"/>
    <w:rsid w:val="00603651"/>
    <w:rsid w:val="00603748"/>
    <w:rsid w:val="00603F9F"/>
    <w:rsid w:val="006042FF"/>
    <w:rsid w:val="0060453D"/>
    <w:rsid w:val="00604840"/>
    <w:rsid w:val="006050F3"/>
    <w:rsid w:val="0060586D"/>
    <w:rsid w:val="00605D8C"/>
    <w:rsid w:val="00606533"/>
    <w:rsid w:val="006070D4"/>
    <w:rsid w:val="00607158"/>
    <w:rsid w:val="006073DE"/>
    <w:rsid w:val="006076FE"/>
    <w:rsid w:val="00607A17"/>
    <w:rsid w:val="00607FA7"/>
    <w:rsid w:val="00610527"/>
    <w:rsid w:val="00610AB7"/>
    <w:rsid w:val="00610F64"/>
    <w:rsid w:val="006112CC"/>
    <w:rsid w:val="006113FC"/>
    <w:rsid w:val="00611471"/>
    <w:rsid w:val="006117C7"/>
    <w:rsid w:val="00611DD1"/>
    <w:rsid w:val="00611DD9"/>
    <w:rsid w:val="00612CD1"/>
    <w:rsid w:val="0061317A"/>
    <w:rsid w:val="0061366B"/>
    <w:rsid w:val="006143E4"/>
    <w:rsid w:val="0061495A"/>
    <w:rsid w:val="00614D58"/>
    <w:rsid w:val="00614E41"/>
    <w:rsid w:val="00615067"/>
    <w:rsid w:val="0061532E"/>
    <w:rsid w:val="006155B6"/>
    <w:rsid w:val="00615C92"/>
    <w:rsid w:val="00615D86"/>
    <w:rsid w:val="006161A0"/>
    <w:rsid w:val="006163C8"/>
    <w:rsid w:val="00616B82"/>
    <w:rsid w:val="006172F0"/>
    <w:rsid w:val="006172F3"/>
    <w:rsid w:val="00617500"/>
    <w:rsid w:val="006176D1"/>
    <w:rsid w:val="00617D20"/>
    <w:rsid w:val="0062046D"/>
    <w:rsid w:val="00620E0D"/>
    <w:rsid w:val="00621421"/>
    <w:rsid w:val="0062171F"/>
    <w:rsid w:val="00621BF7"/>
    <w:rsid w:val="00621C1C"/>
    <w:rsid w:val="00621C8A"/>
    <w:rsid w:val="00621C96"/>
    <w:rsid w:val="00622079"/>
    <w:rsid w:val="00622089"/>
    <w:rsid w:val="00622EFB"/>
    <w:rsid w:val="00623197"/>
    <w:rsid w:val="006235EB"/>
    <w:rsid w:val="00623A60"/>
    <w:rsid w:val="00623B48"/>
    <w:rsid w:val="00623FA0"/>
    <w:rsid w:val="00623FB8"/>
    <w:rsid w:val="0062433F"/>
    <w:rsid w:val="006244E4"/>
    <w:rsid w:val="006248C2"/>
    <w:rsid w:val="00625575"/>
    <w:rsid w:val="006256A4"/>
    <w:rsid w:val="00625739"/>
    <w:rsid w:val="00625AE8"/>
    <w:rsid w:val="00625D10"/>
    <w:rsid w:val="00625E7A"/>
    <w:rsid w:val="00626176"/>
    <w:rsid w:val="00626254"/>
    <w:rsid w:val="00626266"/>
    <w:rsid w:val="00626965"/>
    <w:rsid w:val="00626AD0"/>
    <w:rsid w:val="0062752F"/>
    <w:rsid w:val="0062763F"/>
    <w:rsid w:val="00627B0A"/>
    <w:rsid w:val="00627C06"/>
    <w:rsid w:val="00630165"/>
    <w:rsid w:val="00630625"/>
    <w:rsid w:val="00631082"/>
    <w:rsid w:val="00631284"/>
    <w:rsid w:val="006313F8"/>
    <w:rsid w:val="0063164B"/>
    <w:rsid w:val="006317C4"/>
    <w:rsid w:val="00631A18"/>
    <w:rsid w:val="0063204F"/>
    <w:rsid w:val="0063216A"/>
    <w:rsid w:val="006325A7"/>
    <w:rsid w:val="006328B5"/>
    <w:rsid w:val="00633C8E"/>
    <w:rsid w:val="00634390"/>
    <w:rsid w:val="006343E9"/>
    <w:rsid w:val="00634530"/>
    <w:rsid w:val="006346D7"/>
    <w:rsid w:val="00634A75"/>
    <w:rsid w:val="00634D0B"/>
    <w:rsid w:val="0063508B"/>
    <w:rsid w:val="00635172"/>
    <w:rsid w:val="006358B3"/>
    <w:rsid w:val="00635EB5"/>
    <w:rsid w:val="0063607A"/>
    <w:rsid w:val="0063640F"/>
    <w:rsid w:val="0063663D"/>
    <w:rsid w:val="00636C5D"/>
    <w:rsid w:val="00636DE6"/>
    <w:rsid w:val="0063705D"/>
    <w:rsid w:val="0063727D"/>
    <w:rsid w:val="0063734A"/>
    <w:rsid w:val="00637429"/>
    <w:rsid w:val="0063751B"/>
    <w:rsid w:val="00637678"/>
    <w:rsid w:val="00637851"/>
    <w:rsid w:val="00637BB1"/>
    <w:rsid w:val="00637F26"/>
    <w:rsid w:val="0064026C"/>
    <w:rsid w:val="006405D4"/>
    <w:rsid w:val="00640FE3"/>
    <w:rsid w:val="00640FE6"/>
    <w:rsid w:val="006410A9"/>
    <w:rsid w:val="00641FC0"/>
    <w:rsid w:val="0064242C"/>
    <w:rsid w:val="00642822"/>
    <w:rsid w:val="00642872"/>
    <w:rsid w:val="00643412"/>
    <w:rsid w:val="006434C3"/>
    <w:rsid w:val="00643D1A"/>
    <w:rsid w:val="00644234"/>
    <w:rsid w:val="00644608"/>
    <w:rsid w:val="00644853"/>
    <w:rsid w:val="006448D6"/>
    <w:rsid w:val="00644EC4"/>
    <w:rsid w:val="0064531B"/>
    <w:rsid w:val="00645798"/>
    <w:rsid w:val="00645F55"/>
    <w:rsid w:val="006461DD"/>
    <w:rsid w:val="0064678E"/>
    <w:rsid w:val="00646800"/>
    <w:rsid w:val="006468A6"/>
    <w:rsid w:val="00646DDF"/>
    <w:rsid w:val="00650246"/>
    <w:rsid w:val="00650433"/>
    <w:rsid w:val="006504D9"/>
    <w:rsid w:val="00650762"/>
    <w:rsid w:val="00650928"/>
    <w:rsid w:val="00650D48"/>
    <w:rsid w:val="006515C2"/>
    <w:rsid w:val="00651981"/>
    <w:rsid w:val="00651ADA"/>
    <w:rsid w:val="0065265C"/>
    <w:rsid w:val="006531A5"/>
    <w:rsid w:val="0065374F"/>
    <w:rsid w:val="0065375E"/>
    <w:rsid w:val="00653B2A"/>
    <w:rsid w:val="00653BC6"/>
    <w:rsid w:val="00654103"/>
    <w:rsid w:val="0065418E"/>
    <w:rsid w:val="0065444C"/>
    <w:rsid w:val="00654705"/>
    <w:rsid w:val="00654956"/>
    <w:rsid w:val="00655E2D"/>
    <w:rsid w:val="00656218"/>
    <w:rsid w:val="0065626D"/>
    <w:rsid w:val="0065676D"/>
    <w:rsid w:val="006573C9"/>
    <w:rsid w:val="0065764C"/>
    <w:rsid w:val="0066061D"/>
    <w:rsid w:val="00660718"/>
    <w:rsid w:val="00661191"/>
    <w:rsid w:val="006611DF"/>
    <w:rsid w:val="00661240"/>
    <w:rsid w:val="006614BF"/>
    <w:rsid w:val="006615F2"/>
    <w:rsid w:val="0066169A"/>
    <w:rsid w:val="00661FE7"/>
    <w:rsid w:val="00662328"/>
    <w:rsid w:val="00662382"/>
    <w:rsid w:val="0066238F"/>
    <w:rsid w:val="00662594"/>
    <w:rsid w:val="006628BB"/>
    <w:rsid w:val="00662C1A"/>
    <w:rsid w:val="006632B5"/>
    <w:rsid w:val="0066368F"/>
    <w:rsid w:val="00664208"/>
    <w:rsid w:val="006644D9"/>
    <w:rsid w:val="00664A49"/>
    <w:rsid w:val="00664C76"/>
    <w:rsid w:val="006653E9"/>
    <w:rsid w:val="0066590E"/>
    <w:rsid w:val="00665C95"/>
    <w:rsid w:val="0066711D"/>
    <w:rsid w:val="006671B0"/>
    <w:rsid w:val="006671B8"/>
    <w:rsid w:val="00667375"/>
    <w:rsid w:val="00667617"/>
    <w:rsid w:val="0066761B"/>
    <w:rsid w:val="00667785"/>
    <w:rsid w:val="006678F3"/>
    <w:rsid w:val="00667EA0"/>
    <w:rsid w:val="006704BB"/>
    <w:rsid w:val="0067077B"/>
    <w:rsid w:val="006709B0"/>
    <w:rsid w:val="00670BAB"/>
    <w:rsid w:val="006711C4"/>
    <w:rsid w:val="00671228"/>
    <w:rsid w:val="006715A0"/>
    <w:rsid w:val="0067162C"/>
    <w:rsid w:val="00671C0F"/>
    <w:rsid w:val="00672022"/>
    <w:rsid w:val="006723B1"/>
    <w:rsid w:val="00673010"/>
    <w:rsid w:val="0067306C"/>
    <w:rsid w:val="006731F6"/>
    <w:rsid w:val="006733CE"/>
    <w:rsid w:val="00673E08"/>
    <w:rsid w:val="00673F63"/>
    <w:rsid w:val="00674C55"/>
    <w:rsid w:val="00675694"/>
    <w:rsid w:val="00675F66"/>
    <w:rsid w:val="006762DA"/>
    <w:rsid w:val="00676526"/>
    <w:rsid w:val="0067685F"/>
    <w:rsid w:val="00676A26"/>
    <w:rsid w:val="00676FA0"/>
    <w:rsid w:val="0067719F"/>
    <w:rsid w:val="006771E6"/>
    <w:rsid w:val="0067743E"/>
    <w:rsid w:val="00677613"/>
    <w:rsid w:val="0067767F"/>
    <w:rsid w:val="00677841"/>
    <w:rsid w:val="00677931"/>
    <w:rsid w:val="00677D18"/>
    <w:rsid w:val="00677E64"/>
    <w:rsid w:val="00680FA0"/>
    <w:rsid w:val="0068121E"/>
    <w:rsid w:val="006816B9"/>
    <w:rsid w:val="00681B02"/>
    <w:rsid w:val="00681D0F"/>
    <w:rsid w:val="00681F16"/>
    <w:rsid w:val="00681FCE"/>
    <w:rsid w:val="006821C5"/>
    <w:rsid w:val="006823FB"/>
    <w:rsid w:val="006826A1"/>
    <w:rsid w:val="0068295B"/>
    <w:rsid w:val="00682A35"/>
    <w:rsid w:val="00682AC9"/>
    <w:rsid w:val="00682E63"/>
    <w:rsid w:val="00683FBC"/>
    <w:rsid w:val="006842CE"/>
    <w:rsid w:val="0068430C"/>
    <w:rsid w:val="00684375"/>
    <w:rsid w:val="0068437C"/>
    <w:rsid w:val="00684604"/>
    <w:rsid w:val="00684B07"/>
    <w:rsid w:val="00684C5F"/>
    <w:rsid w:val="00685227"/>
    <w:rsid w:val="006857BF"/>
    <w:rsid w:val="00685898"/>
    <w:rsid w:val="0068597D"/>
    <w:rsid w:val="00685AD0"/>
    <w:rsid w:val="00685C10"/>
    <w:rsid w:val="00686014"/>
    <w:rsid w:val="00686152"/>
    <w:rsid w:val="006865E5"/>
    <w:rsid w:val="006867E0"/>
    <w:rsid w:val="006905BA"/>
    <w:rsid w:val="006908FE"/>
    <w:rsid w:val="00690D4F"/>
    <w:rsid w:val="00690D63"/>
    <w:rsid w:val="00691313"/>
    <w:rsid w:val="00691404"/>
    <w:rsid w:val="00692FF1"/>
    <w:rsid w:val="0069489C"/>
    <w:rsid w:val="00696E9D"/>
    <w:rsid w:val="006970DD"/>
    <w:rsid w:val="0069715F"/>
    <w:rsid w:val="006978BC"/>
    <w:rsid w:val="00697C82"/>
    <w:rsid w:val="00697CBB"/>
    <w:rsid w:val="006A0392"/>
    <w:rsid w:val="006A043A"/>
    <w:rsid w:val="006A068A"/>
    <w:rsid w:val="006A06E0"/>
    <w:rsid w:val="006A0EE2"/>
    <w:rsid w:val="006A13A7"/>
    <w:rsid w:val="006A1563"/>
    <w:rsid w:val="006A1832"/>
    <w:rsid w:val="006A19D0"/>
    <w:rsid w:val="006A1F5F"/>
    <w:rsid w:val="006A21D1"/>
    <w:rsid w:val="006A27F5"/>
    <w:rsid w:val="006A287D"/>
    <w:rsid w:val="006A2AFF"/>
    <w:rsid w:val="006A2BAA"/>
    <w:rsid w:val="006A2C22"/>
    <w:rsid w:val="006A32A3"/>
    <w:rsid w:val="006A32C1"/>
    <w:rsid w:val="006A3A21"/>
    <w:rsid w:val="006A3CD8"/>
    <w:rsid w:val="006A3F9A"/>
    <w:rsid w:val="006A4143"/>
    <w:rsid w:val="006A4EC0"/>
    <w:rsid w:val="006A50AE"/>
    <w:rsid w:val="006A563E"/>
    <w:rsid w:val="006A5849"/>
    <w:rsid w:val="006A58AC"/>
    <w:rsid w:val="006A5C4E"/>
    <w:rsid w:val="006A65D2"/>
    <w:rsid w:val="006A73DD"/>
    <w:rsid w:val="006A7560"/>
    <w:rsid w:val="006A76F7"/>
    <w:rsid w:val="006A7965"/>
    <w:rsid w:val="006B0B51"/>
    <w:rsid w:val="006B14C4"/>
    <w:rsid w:val="006B1639"/>
    <w:rsid w:val="006B16A3"/>
    <w:rsid w:val="006B1BED"/>
    <w:rsid w:val="006B2417"/>
    <w:rsid w:val="006B2C7B"/>
    <w:rsid w:val="006B2F3C"/>
    <w:rsid w:val="006B3A1D"/>
    <w:rsid w:val="006B4319"/>
    <w:rsid w:val="006B4ACA"/>
    <w:rsid w:val="006B4C0C"/>
    <w:rsid w:val="006B579D"/>
    <w:rsid w:val="006B59A0"/>
    <w:rsid w:val="006B5D1D"/>
    <w:rsid w:val="006B6205"/>
    <w:rsid w:val="006B63D9"/>
    <w:rsid w:val="006B6E6F"/>
    <w:rsid w:val="006B73BB"/>
    <w:rsid w:val="006B78D6"/>
    <w:rsid w:val="006B7B94"/>
    <w:rsid w:val="006B7F81"/>
    <w:rsid w:val="006C02C7"/>
    <w:rsid w:val="006C03FA"/>
    <w:rsid w:val="006C11AE"/>
    <w:rsid w:val="006C1210"/>
    <w:rsid w:val="006C1C5B"/>
    <w:rsid w:val="006C1F56"/>
    <w:rsid w:val="006C1FA6"/>
    <w:rsid w:val="006C202B"/>
    <w:rsid w:val="006C2233"/>
    <w:rsid w:val="006C23F6"/>
    <w:rsid w:val="006C2882"/>
    <w:rsid w:val="006C2956"/>
    <w:rsid w:val="006C2EDA"/>
    <w:rsid w:val="006C2FB4"/>
    <w:rsid w:val="006C3341"/>
    <w:rsid w:val="006C35DA"/>
    <w:rsid w:val="006C42FF"/>
    <w:rsid w:val="006C453E"/>
    <w:rsid w:val="006C49AA"/>
    <w:rsid w:val="006C4DDD"/>
    <w:rsid w:val="006C4E5A"/>
    <w:rsid w:val="006C504A"/>
    <w:rsid w:val="006C5BED"/>
    <w:rsid w:val="006C5FC5"/>
    <w:rsid w:val="006C6004"/>
    <w:rsid w:val="006C64B1"/>
    <w:rsid w:val="006C670E"/>
    <w:rsid w:val="006C696D"/>
    <w:rsid w:val="006C6988"/>
    <w:rsid w:val="006C7603"/>
    <w:rsid w:val="006C78AF"/>
    <w:rsid w:val="006C7B4D"/>
    <w:rsid w:val="006C7D11"/>
    <w:rsid w:val="006D05D8"/>
    <w:rsid w:val="006D0ACA"/>
    <w:rsid w:val="006D135A"/>
    <w:rsid w:val="006D145F"/>
    <w:rsid w:val="006D17F2"/>
    <w:rsid w:val="006D18A5"/>
    <w:rsid w:val="006D1BB9"/>
    <w:rsid w:val="006D1C1D"/>
    <w:rsid w:val="006D1CA6"/>
    <w:rsid w:val="006D1D6A"/>
    <w:rsid w:val="006D1D7A"/>
    <w:rsid w:val="006D2688"/>
    <w:rsid w:val="006D311B"/>
    <w:rsid w:val="006D3237"/>
    <w:rsid w:val="006D37DB"/>
    <w:rsid w:val="006D38EC"/>
    <w:rsid w:val="006D3EC7"/>
    <w:rsid w:val="006D3FAC"/>
    <w:rsid w:val="006D449B"/>
    <w:rsid w:val="006D47B9"/>
    <w:rsid w:val="006D484D"/>
    <w:rsid w:val="006D5032"/>
    <w:rsid w:val="006D552D"/>
    <w:rsid w:val="006D5FAB"/>
    <w:rsid w:val="006D6593"/>
    <w:rsid w:val="006D6812"/>
    <w:rsid w:val="006E051A"/>
    <w:rsid w:val="006E0700"/>
    <w:rsid w:val="006E074B"/>
    <w:rsid w:val="006E0AD0"/>
    <w:rsid w:val="006E0E2F"/>
    <w:rsid w:val="006E1210"/>
    <w:rsid w:val="006E1483"/>
    <w:rsid w:val="006E1BF4"/>
    <w:rsid w:val="006E1D5D"/>
    <w:rsid w:val="006E209E"/>
    <w:rsid w:val="006E24DB"/>
    <w:rsid w:val="006E2651"/>
    <w:rsid w:val="006E2C3A"/>
    <w:rsid w:val="006E3A4A"/>
    <w:rsid w:val="006E3BE3"/>
    <w:rsid w:val="006E408A"/>
    <w:rsid w:val="006E41A9"/>
    <w:rsid w:val="006E4CDF"/>
    <w:rsid w:val="006E52B1"/>
    <w:rsid w:val="006E53A2"/>
    <w:rsid w:val="006E5628"/>
    <w:rsid w:val="006E5E4C"/>
    <w:rsid w:val="006E6038"/>
    <w:rsid w:val="006E606B"/>
    <w:rsid w:val="006E6373"/>
    <w:rsid w:val="006E650E"/>
    <w:rsid w:val="006E6AC7"/>
    <w:rsid w:val="006E6E38"/>
    <w:rsid w:val="006E7335"/>
    <w:rsid w:val="006E7600"/>
    <w:rsid w:val="006E7668"/>
    <w:rsid w:val="006E771A"/>
    <w:rsid w:val="006F024A"/>
    <w:rsid w:val="006F0341"/>
    <w:rsid w:val="006F054F"/>
    <w:rsid w:val="006F0756"/>
    <w:rsid w:val="006F08B4"/>
    <w:rsid w:val="006F08D2"/>
    <w:rsid w:val="006F1022"/>
    <w:rsid w:val="006F1050"/>
    <w:rsid w:val="006F19F4"/>
    <w:rsid w:val="006F1AC3"/>
    <w:rsid w:val="006F1E91"/>
    <w:rsid w:val="006F2200"/>
    <w:rsid w:val="006F26A6"/>
    <w:rsid w:val="006F2C7E"/>
    <w:rsid w:val="006F2C9B"/>
    <w:rsid w:val="006F2E9B"/>
    <w:rsid w:val="006F31F1"/>
    <w:rsid w:val="006F383A"/>
    <w:rsid w:val="006F39B7"/>
    <w:rsid w:val="006F452D"/>
    <w:rsid w:val="006F4740"/>
    <w:rsid w:val="006F4BCA"/>
    <w:rsid w:val="006F5324"/>
    <w:rsid w:val="006F5458"/>
    <w:rsid w:val="006F560E"/>
    <w:rsid w:val="006F5690"/>
    <w:rsid w:val="006F5BDF"/>
    <w:rsid w:val="006F5E3D"/>
    <w:rsid w:val="006F7381"/>
    <w:rsid w:val="006F75D2"/>
    <w:rsid w:val="006F7CA3"/>
    <w:rsid w:val="00700E26"/>
    <w:rsid w:val="00701153"/>
    <w:rsid w:val="00701921"/>
    <w:rsid w:val="00701A6B"/>
    <w:rsid w:val="00702CA2"/>
    <w:rsid w:val="0070341C"/>
    <w:rsid w:val="0070353B"/>
    <w:rsid w:val="00703E06"/>
    <w:rsid w:val="0070421C"/>
    <w:rsid w:val="00704498"/>
    <w:rsid w:val="0070480E"/>
    <w:rsid w:val="007051B4"/>
    <w:rsid w:val="00705509"/>
    <w:rsid w:val="0070577E"/>
    <w:rsid w:val="00705A3A"/>
    <w:rsid w:val="00705C57"/>
    <w:rsid w:val="00705CD3"/>
    <w:rsid w:val="00706334"/>
    <w:rsid w:val="0070662B"/>
    <w:rsid w:val="00706FE7"/>
    <w:rsid w:val="00707B07"/>
    <w:rsid w:val="0071003E"/>
    <w:rsid w:val="00710A21"/>
    <w:rsid w:val="00711351"/>
    <w:rsid w:val="0071144F"/>
    <w:rsid w:val="0071167E"/>
    <w:rsid w:val="0071234D"/>
    <w:rsid w:val="00713026"/>
    <w:rsid w:val="00713439"/>
    <w:rsid w:val="0071383C"/>
    <w:rsid w:val="0071385D"/>
    <w:rsid w:val="00714C36"/>
    <w:rsid w:val="00714CF8"/>
    <w:rsid w:val="00714F38"/>
    <w:rsid w:val="00714FF1"/>
    <w:rsid w:val="007151B3"/>
    <w:rsid w:val="007153FB"/>
    <w:rsid w:val="00715764"/>
    <w:rsid w:val="007157EB"/>
    <w:rsid w:val="00715808"/>
    <w:rsid w:val="00715948"/>
    <w:rsid w:val="007161ED"/>
    <w:rsid w:val="007168E6"/>
    <w:rsid w:val="00716AFF"/>
    <w:rsid w:val="00716C0C"/>
    <w:rsid w:val="00716CDF"/>
    <w:rsid w:val="00716D3F"/>
    <w:rsid w:val="00716F6A"/>
    <w:rsid w:val="00716F92"/>
    <w:rsid w:val="007174F0"/>
    <w:rsid w:val="0071788C"/>
    <w:rsid w:val="00720200"/>
    <w:rsid w:val="00721554"/>
    <w:rsid w:val="007230E8"/>
    <w:rsid w:val="007230FB"/>
    <w:rsid w:val="007237E3"/>
    <w:rsid w:val="007237F4"/>
    <w:rsid w:val="00723EA1"/>
    <w:rsid w:val="007241E4"/>
    <w:rsid w:val="007244F9"/>
    <w:rsid w:val="00724732"/>
    <w:rsid w:val="00724891"/>
    <w:rsid w:val="00724EF8"/>
    <w:rsid w:val="00724F9F"/>
    <w:rsid w:val="007256C8"/>
    <w:rsid w:val="00725C3C"/>
    <w:rsid w:val="007263FE"/>
    <w:rsid w:val="00726F13"/>
    <w:rsid w:val="00727582"/>
    <w:rsid w:val="0072797F"/>
    <w:rsid w:val="00727A17"/>
    <w:rsid w:val="00727DDE"/>
    <w:rsid w:val="00730252"/>
    <w:rsid w:val="0073026A"/>
    <w:rsid w:val="0073030A"/>
    <w:rsid w:val="007303AD"/>
    <w:rsid w:val="00730460"/>
    <w:rsid w:val="0073070C"/>
    <w:rsid w:val="007308A6"/>
    <w:rsid w:val="00730F05"/>
    <w:rsid w:val="0073128D"/>
    <w:rsid w:val="007316E8"/>
    <w:rsid w:val="007319F0"/>
    <w:rsid w:val="00731DE4"/>
    <w:rsid w:val="007324A2"/>
    <w:rsid w:val="007325F6"/>
    <w:rsid w:val="00733090"/>
    <w:rsid w:val="00733575"/>
    <w:rsid w:val="007336C5"/>
    <w:rsid w:val="0073380D"/>
    <w:rsid w:val="00733B18"/>
    <w:rsid w:val="00733B69"/>
    <w:rsid w:val="00734777"/>
    <w:rsid w:val="0073486E"/>
    <w:rsid w:val="0073491E"/>
    <w:rsid w:val="00734B04"/>
    <w:rsid w:val="00734D23"/>
    <w:rsid w:val="00734F9C"/>
    <w:rsid w:val="00735081"/>
    <w:rsid w:val="00735171"/>
    <w:rsid w:val="00735935"/>
    <w:rsid w:val="007360D3"/>
    <w:rsid w:val="0073660D"/>
    <w:rsid w:val="0073711E"/>
    <w:rsid w:val="0073753B"/>
    <w:rsid w:val="0073758F"/>
    <w:rsid w:val="00740134"/>
    <w:rsid w:val="00740154"/>
    <w:rsid w:val="007402A8"/>
    <w:rsid w:val="00740FD3"/>
    <w:rsid w:val="0074105C"/>
    <w:rsid w:val="0074121F"/>
    <w:rsid w:val="00741355"/>
    <w:rsid w:val="00741A38"/>
    <w:rsid w:val="00741E4E"/>
    <w:rsid w:val="00741F36"/>
    <w:rsid w:val="00742060"/>
    <w:rsid w:val="00742592"/>
    <w:rsid w:val="007426DF"/>
    <w:rsid w:val="00742900"/>
    <w:rsid w:val="00742C38"/>
    <w:rsid w:val="00742E1F"/>
    <w:rsid w:val="00742E6B"/>
    <w:rsid w:val="007432FB"/>
    <w:rsid w:val="007433E3"/>
    <w:rsid w:val="00743416"/>
    <w:rsid w:val="00743508"/>
    <w:rsid w:val="00743E1D"/>
    <w:rsid w:val="00743F51"/>
    <w:rsid w:val="0074403F"/>
    <w:rsid w:val="0074404E"/>
    <w:rsid w:val="00744D62"/>
    <w:rsid w:val="00744D93"/>
    <w:rsid w:val="00744F77"/>
    <w:rsid w:val="007453A3"/>
    <w:rsid w:val="00745550"/>
    <w:rsid w:val="007456A0"/>
    <w:rsid w:val="007457B7"/>
    <w:rsid w:val="007463F6"/>
    <w:rsid w:val="0074773C"/>
    <w:rsid w:val="00747A67"/>
    <w:rsid w:val="00747AB8"/>
    <w:rsid w:val="0075149B"/>
    <w:rsid w:val="00752435"/>
    <w:rsid w:val="00752A3A"/>
    <w:rsid w:val="00753C73"/>
    <w:rsid w:val="00754618"/>
    <w:rsid w:val="0075483E"/>
    <w:rsid w:val="00755090"/>
    <w:rsid w:val="00755159"/>
    <w:rsid w:val="00755459"/>
    <w:rsid w:val="00755D7B"/>
    <w:rsid w:val="00756188"/>
    <w:rsid w:val="007563A9"/>
    <w:rsid w:val="00756D6A"/>
    <w:rsid w:val="00756F2A"/>
    <w:rsid w:val="007570B6"/>
    <w:rsid w:val="007571D0"/>
    <w:rsid w:val="00757ABD"/>
    <w:rsid w:val="007600A1"/>
    <w:rsid w:val="00760358"/>
    <w:rsid w:val="0076047D"/>
    <w:rsid w:val="00760679"/>
    <w:rsid w:val="007606E2"/>
    <w:rsid w:val="00761088"/>
    <w:rsid w:val="007612CD"/>
    <w:rsid w:val="00761900"/>
    <w:rsid w:val="00761D6D"/>
    <w:rsid w:val="007626FB"/>
    <w:rsid w:val="00762A7D"/>
    <w:rsid w:val="00762F00"/>
    <w:rsid w:val="00763053"/>
    <w:rsid w:val="00763375"/>
    <w:rsid w:val="00763476"/>
    <w:rsid w:val="007637E2"/>
    <w:rsid w:val="00763C21"/>
    <w:rsid w:val="00764012"/>
    <w:rsid w:val="00764483"/>
    <w:rsid w:val="00764EFE"/>
    <w:rsid w:val="007658AD"/>
    <w:rsid w:val="007660E5"/>
    <w:rsid w:val="00766342"/>
    <w:rsid w:val="00766610"/>
    <w:rsid w:val="007666FB"/>
    <w:rsid w:val="00766BE8"/>
    <w:rsid w:val="00766FFD"/>
    <w:rsid w:val="00770607"/>
    <w:rsid w:val="00770914"/>
    <w:rsid w:val="00770B91"/>
    <w:rsid w:val="00770EC5"/>
    <w:rsid w:val="00770FE1"/>
    <w:rsid w:val="007711F7"/>
    <w:rsid w:val="007715CE"/>
    <w:rsid w:val="00771B01"/>
    <w:rsid w:val="00771CEB"/>
    <w:rsid w:val="00771E3D"/>
    <w:rsid w:val="00772181"/>
    <w:rsid w:val="007722B7"/>
    <w:rsid w:val="0077245C"/>
    <w:rsid w:val="00772AB8"/>
    <w:rsid w:val="00773BCF"/>
    <w:rsid w:val="00773DC3"/>
    <w:rsid w:val="00774052"/>
    <w:rsid w:val="00774D27"/>
    <w:rsid w:val="0077516E"/>
    <w:rsid w:val="0077529A"/>
    <w:rsid w:val="0077555C"/>
    <w:rsid w:val="00775700"/>
    <w:rsid w:val="0077621B"/>
    <w:rsid w:val="00776427"/>
    <w:rsid w:val="0077672F"/>
    <w:rsid w:val="00777610"/>
    <w:rsid w:val="007777C8"/>
    <w:rsid w:val="00777858"/>
    <w:rsid w:val="00777DBA"/>
    <w:rsid w:val="00780487"/>
    <w:rsid w:val="0078094B"/>
    <w:rsid w:val="00780DD4"/>
    <w:rsid w:val="00781D2E"/>
    <w:rsid w:val="00781DEF"/>
    <w:rsid w:val="00782410"/>
    <w:rsid w:val="007825ED"/>
    <w:rsid w:val="00782AB7"/>
    <w:rsid w:val="007838F3"/>
    <w:rsid w:val="00783BC8"/>
    <w:rsid w:val="00783C2A"/>
    <w:rsid w:val="00783E9C"/>
    <w:rsid w:val="00783F03"/>
    <w:rsid w:val="00784482"/>
    <w:rsid w:val="007844B6"/>
    <w:rsid w:val="0078487A"/>
    <w:rsid w:val="0078487E"/>
    <w:rsid w:val="007849D6"/>
    <w:rsid w:val="00784B7A"/>
    <w:rsid w:val="00784C71"/>
    <w:rsid w:val="0078509E"/>
    <w:rsid w:val="007852C8"/>
    <w:rsid w:val="00785667"/>
    <w:rsid w:val="00785E90"/>
    <w:rsid w:val="0078626D"/>
    <w:rsid w:val="0078669A"/>
    <w:rsid w:val="00787214"/>
    <w:rsid w:val="00787772"/>
    <w:rsid w:val="007901BB"/>
    <w:rsid w:val="00790ECA"/>
    <w:rsid w:val="00791144"/>
    <w:rsid w:val="00791441"/>
    <w:rsid w:val="007914D3"/>
    <w:rsid w:val="0079177D"/>
    <w:rsid w:val="0079207B"/>
    <w:rsid w:val="00792626"/>
    <w:rsid w:val="00792CE7"/>
    <w:rsid w:val="007932D8"/>
    <w:rsid w:val="0079369E"/>
    <w:rsid w:val="007937A2"/>
    <w:rsid w:val="00793BD0"/>
    <w:rsid w:val="00793FE6"/>
    <w:rsid w:val="007944E5"/>
    <w:rsid w:val="00794E9C"/>
    <w:rsid w:val="00794F3B"/>
    <w:rsid w:val="00795737"/>
    <w:rsid w:val="00796BC3"/>
    <w:rsid w:val="00796C9C"/>
    <w:rsid w:val="00796EB0"/>
    <w:rsid w:val="0079776B"/>
    <w:rsid w:val="00797827"/>
    <w:rsid w:val="00797C8A"/>
    <w:rsid w:val="007A07F2"/>
    <w:rsid w:val="007A0849"/>
    <w:rsid w:val="007A1055"/>
    <w:rsid w:val="007A1603"/>
    <w:rsid w:val="007A1AB6"/>
    <w:rsid w:val="007A1DFC"/>
    <w:rsid w:val="007A21D6"/>
    <w:rsid w:val="007A24A1"/>
    <w:rsid w:val="007A298E"/>
    <w:rsid w:val="007A2C0A"/>
    <w:rsid w:val="007A2DC9"/>
    <w:rsid w:val="007A307F"/>
    <w:rsid w:val="007A326E"/>
    <w:rsid w:val="007A34AB"/>
    <w:rsid w:val="007A3F4A"/>
    <w:rsid w:val="007A419E"/>
    <w:rsid w:val="007A48CD"/>
    <w:rsid w:val="007A4A23"/>
    <w:rsid w:val="007A4A2B"/>
    <w:rsid w:val="007A4C65"/>
    <w:rsid w:val="007A4F04"/>
    <w:rsid w:val="007A4F7D"/>
    <w:rsid w:val="007A50AB"/>
    <w:rsid w:val="007A516E"/>
    <w:rsid w:val="007A54C0"/>
    <w:rsid w:val="007A592F"/>
    <w:rsid w:val="007A5DB1"/>
    <w:rsid w:val="007A5EE9"/>
    <w:rsid w:val="007A60B5"/>
    <w:rsid w:val="007A6565"/>
    <w:rsid w:val="007A6BFD"/>
    <w:rsid w:val="007A6D6C"/>
    <w:rsid w:val="007A6E17"/>
    <w:rsid w:val="007A6E4B"/>
    <w:rsid w:val="007A7099"/>
    <w:rsid w:val="007A73F3"/>
    <w:rsid w:val="007A7580"/>
    <w:rsid w:val="007A7732"/>
    <w:rsid w:val="007A7790"/>
    <w:rsid w:val="007A789B"/>
    <w:rsid w:val="007B084B"/>
    <w:rsid w:val="007B0AF8"/>
    <w:rsid w:val="007B0AFF"/>
    <w:rsid w:val="007B159C"/>
    <w:rsid w:val="007B18D5"/>
    <w:rsid w:val="007B1F2F"/>
    <w:rsid w:val="007B1F86"/>
    <w:rsid w:val="007B1FA1"/>
    <w:rsid w:val="007B217A"/>
    <w:rsid w:val="007B2400"/>
    <w:rsid w:val="007B25D6"/>
    <w:rsid w:val="007B27CB"/>
    <w:rsid w:val="007B28BF"/>
    <w:rsid w:val="007B2CC8"/>
    <w:rsid w:val="007B305A"/>
    <w:rsid w:val="007B30C5"/>
    <w:rsid w:val="007B3185"/>
    <w:rsid w:val="007B3596"/>
    <w:rsid w:val="007B3D4D"/>
    <w:rsid w:val="007B3D99"/>
    <w:rsid w:val="007B3E68"/>
    <w:rsid w:val="007B450E"/>
    <w:rsid w:val="007B484A"/>
    <w:rsid w:val="007B4D42"/>
    <w:rsid w:val="007B4D91"/>
    <w:rsid w:val="007B4E6D"/>
    <w:rsid w:val="007B5329"/>
    <w:rsid w:val="007B5512"/>
    <w:rsid w:val="007B5556"/>
    <w:rsid w:val="007B5870"/>
    <w:rsid w:val="007B58FD"/>
    <w:rsid w:val="007B5A67"/>
    <w:rsid w:val="007B6864"/>
    <w:rsid w:val="007B6C7C"/>
    <w:rsid w:val="007B6F1D"/>
    <w:rsid w:val="007B6FED"/>
    <w:rsid w:val="007B7B43"/>
    <w:rsid w:val="007B7BBE"/>
    <w:rsid w:val="007B7DCF"/>
    <w:rsid w:val="007C0577"/>
    <w:rsid w:val="007C0CD8"/>
    <w:rsid w:val="007C1482"/>
    <w:rsid w:val="007C17CF"/>
    <w:rsid w:val="007C201F"/>
    <w:rsid w:val="007C20D6"/>
    <w:rsid w:val="007C2662"/>
    <w:rsid w:val="007C2848"/>
    <w:rsid w:val="007C296D"/>
    <w:rsid w:val="007C2A98"/>
    <w:rsid w:val="007C2AA0"/>
    <w:rsid w:val="007C2B01"/>
    <w:rsid w:val="007C3432"/>
    <w:rsid w:val="007C3537"/>
    <w:rsid w:val="007C3A3D"/>
    <w:rsid w:val="007C3B67"/>
    <w:rsid w:val="007C3CDF"/>
    <w:rsid w:val="007C5001"/>
    <w:rsid w:val="007C5301"/>
    <w:rsid w:val="007C55E6"/>
    <w:rsid w:val="007C5CC2"/>
    <w:rsid w:val="007C5D53"/>
    <w:rsid w:val="007C677C"/>
    <w:rsid w:val="007C6B9F"/>
    <w:rsid w:val="007C6E1F"/>
    <w:rsid w:val="007C704B"/>
    <w:rsid w:val="007C74F5"/>
    <w:rsid w:val="007C76E4"/>
    <w:rsid w:val="007C7893"/>
    <w:rsid w:val="007C7B6A"/>
    <w:rsid w:val="007C7DE7"/>
    <w:rsid w:val="007C7E8F"/>
    <w:rsid w:val="007C7FC3"/>
    <w:rsid w:val="007D01C7"/>
    <w:rsid w:val="007D0361"/>
    <w:rsid w:val="007D04A2"/>
    <w:rsid w:val="007D114B"/>
    <w:rsid w:val="007D17A2"/>
    <w:rsid w:val="007D1BC3"/>
    <w:rsid w:val="007D2272"/>
    <w:rsid w:val="007D2EBC"/>
    <w:rsid w:val="007D2EE4"/>
    <w:rsid w:val="007D3438"/>
    <w:rsid w:val="007D359A"/>
    <w:rsid w:val="007D3747"/>
    <w:rsid w:val="007D37A0"/>
    <w:rsid w:val="007D381F"/>
    <w:rsid w:val="007D38F6"/>
    <w:rsid w:val="007D3DD4"/>
    <w:rsid w:val="007D3E34"/>
    <w:rsid w:val="007D41C8"/>
    <w:rsid w:val="007D4296"/>
    <w:rsid w:val="007D42FF"/>
    <w:rsid w:val="007D4595"/>
    <w:rsid w:val="007D4927"/>
    <w:rsid w:val="007D493D"/>
    <w:rsid w:val="007D5218"/>
    <w:rsid w:val="007D5729"/>
    <w:rsid w:val="007D58D1"/>
    <w:rsid w:val="007D598E"/>
    <w:rsid w:val="007D5AC5"/>
    <w:rsid w:val="007D60B6"/>
    <w:rsid w:val="007D6158"/>
    <w:rsid w:val="007D6647"/>
    <w:rsid w:val="007D6ACD"/>
    <w:rsid w:val="007D7184"/>
    <w:rsid w:val="007D78C3"/>
    <w:rsid w:val="007D7C32"/>
    <w:rsid w:val="007E042A"/>
    <w:rsid w:val="007E0B2B"/>
    <w:rsid w:val="007E0D7F"/>
    <w:rsid w:val="007E100C"/>
    <w:rsid w:val="007E10AA"/>
    <w:rsid w:val="007E11F3"/>
    <w:rsid w:val="007E1A3E"/>
    <w:rsid w:val="007E208D"/>
    <w:rsid w:val="007E2768"/>
    <w:rsid w:val="007E2C42"/>
    <w:rsid w:val="007E2E77"/>
    <w:rsid w:val="007E3656"/>
    <w:rsid w:val="007E3CEF"/>
    <w:rsid w:val="007E3DB9"/>
    <w:rsid w:val="007E47C5"/>
    <w:rsid w:val="007E49AC"/>
    <w:rsid w:val="007E59C7"/>
    <w:rsid w:val="007E5D6B"/>
    <w:rsid w:val="007E627A"/>
    <w:rsid w:val="007E68D9"/>
    <w:rsid w:val="007E6E54"/>
    <w:rsid w:val="007E6E5A"/>
    <w:rsid w:val="007E6F5B"/>
    <w:rsid w:val="007E7896"/>
    <w:rsid w:val="007E791C"/>
    <w:rsid w:val="007E7FE5"/>
    <w:rsid w:val="007F03FD"/>
    <w:rsid w:val="007F05F8"/>
    <w:rsid w:val="007F0DD1"/>
    <w:rsid w:val="007F0E04"/>
    <w:rsid w:val="007F11BA"/>
    <w:rsid w:val="007F121C"/>
    <w:rsid w:val="007F1366"/>
    <w:rsid w:val="007F1452"/>
    <w:rsid w:val="007F164E"/>
    <w:rsid w:val="007F199A"/>
    <w:rsid w:val="007F1B8F"/>
    <w:rsid w:val="007F2803"/>
    <w:rsid w:val="007F2970"/>
    <w:rsid w:val="007F2B01"/>
    <w:rsid w:val="007F2C7F"/>
    <w:rsid w:val="007F3763"/>
    <w:rsid w:val="007F39A0"/>
    <w:rsid w:val="007F4073"/>
    <w:rsid w:val="007F43AE"/>
    <w:rsid w:val="007F4725"/>
    <w:rsid w:val="007F51EF"/>
    <w:rsid w:val="007F5484"/>
    <w:rsid w:val="007F5B6B"/>
    <w:rsid w:val="007F61EF"/>
    <w:rsid w:val="007F6458"/>
    <w:rsid w:val="007F6613"/>
    <w:rsid w:val="007F669A"/>
    <w:rsid w:val="007F6933"/>
    <w:rsid w:val="007F6E76"/>
    <w:rsid w:val="007F7124"/>
    <w:rsid w:val="007F7270"/>
    <w:rsid w:val="007F76D9"/>
    <w:rsid w:val="007F7703"/>
    <w:rsid w:val="007F7AC8"/>
    <w:rsid w:val="008003E4"/>
    <w:rsid w:val="008005C9"/>
    <w:rsid w:val="00801140"/>
    <w:rsid w:val="008012E9"/>
    <w:rsid w:val="00801402"/>
    <w:rsid w:val="0080167A"/>
    <w:rsid w:val="00801839"/>
    <w:rsid w:val="00801A34"/>
    <w:rsid w:val="00801C62"/>
    <w:rsid w:val="00801D8C"/>
    <w:rsid w:val="008025E7"/>
    <w:rsid w:val="00802AD8"/>
    <w:rsid w:val="00803063"/>
    <w:rsid w:val="00803DB8"/>
    <w:rsid w:val="008043BB"/>
    <w:rsid w:val="008049E9"/>
    <w:rsid w:val="00805357"/>
    <w:rsid w:val="008054A0"/>
    <w:rsid w:val="00805D93"/>
    <w:rsid w:val="00805ECB"/>
    <w:rsid w:val="00806555"/>
    <w:rsid w:val="0080799E"/>
    <w:rsid w:val="00807CF8"/>
    <w:rsid w:val="00811208"/>
    <w:rsid w:val="00811212"/>
    <w:rsid w:val="0081128A"/>
    <w:rsid w:val="008114AC"/>
    <w:rsid w:val="00811C4B"/>
    <w:rsid w:val="008125C5"/>
    <w:rsid w:val="00812A1E"/>
    <w:rsid w:val="00812F07"/>
    <w:rsid w:val="00813564"/>
    <w:rsid w:val="008138F3"/>
    <w:rsid w:val="00814430"/>
    <w:rsid w:val="00814BC0"/>
    <w:rsid w:val="00814DAE"/>
    <w:rsid w:val="00814F49"/>
    <w:rsid w:val="00814FCC"/>
    <w:rsid w:val="00815A69"/>
    <w:rsid w:val="00815D4B"/>
    <w:rsid w:val="00815D9A"/>
    <w:rsid w:val="0081602F"/>
    <w:rsid w:val="00816BBB"/>
    <w:rsid w:val="00817AAB"/>
    <w:rsid w:val="00817E93"/>
    <w:rsid w:val="00821B9C"/>
    <w:rsid w:val="00821C5D"/>
    <w:rsid w:val="00821C7A"/>
    <w:rsid w:val="00821CBF"/>
    <w:rsid w:val="00821D4C"/>
    <w:rsid w:val="008225AB"/>
    <w:rsid w:val="00822FA9"/>
    <w:rsid w:val="00823008"/>
    <w:rsid w:val="008237DE"/>
    <w:rsid w:val="00823864"/>
    <w:rsid w:val="00823921"/>
    <w:rsid w:val="00823CAE"/>
    <w:rsid w:val="00824749"/>
    <w:rsid w:val="00824A9C"/>
    <w:rsid w:val="00824B30"/>
    <w:rsid w:val="00825295"/>
    <w:rsid w:val="008257B9"/>
    <w:rsid w:val="00825812"/>
    <w:rsid w:val="00825D4C"/>
    <w:rsid w:val="00825E09"/>
    <w:rsid w:val="00826321"/>
    <w:rsid w:val="00826AA4"/>
    <w:rsid w:val="00826E02"/>
    <w:rsid w:val="00827042"/>
    <w:rsid w:val="008278A5"/>
    <w:rsid w:val="00827D3B"/>
    <w:rsid w:val="00830A04"/>
    <w:rsid w:val="00830A3E"/>
    <w:rsid w:val="0083159A"/>
    <w:rsid w:val="008329E5"/>
    <w:rsid w:val="00832EFA"/>
    <w:rsid w:val="0083332A"/>
    <w:rsid w:val="00833594"/>
    <w:rsid w:val="008338FD"/>
    <w:rsid w:val="0083394D"/>
    <w:rsid w:val="00833972"/>
    <w:rsid w:val="00833A63"/>
    <w:rsid w:val="00833BB1"/>
    <w:rsid w:val="00833C29"/>
    <w:rsid w:val="00833DDC"/>
    <w:rsid w:val="00834669"/>
    <w:rsid w:val="0083494B"/>
    <w:rsid w:val="00834B66"/>
    <w:rsid w:val="00834C1E"/>
    <w:rsid w:val="008350EB"/>
    <w:rsid w:val="008353DA"/>
    <w:rsid w:val="008354D5"/>
    <w:rsid w:val="00835B61"/>
    <w:rsid w:val="00836475"/>
    <w:rsid w:val="00836A5B"/>
    <w:rsid w:val="00836D87"/>
    <w:rsid w:val="00837082"/>
    <w:rsid w:val="00837DA4"/>
    <w:rsid w:val="00840356"/>
    <w:rsid w:val="00841184"/>
    <w:rsid w:val="00841222"/>
    <w:rsid w:val="008414BB"/>
    <w:rsid w:val="00841EB8"/>
    <w:rsid w:val="008424FB"/>
    <w:rsid w:val="008425D1"/>
    <w:rsid w:val="00842ACE"/>
    <w:rsid w:val="00843309"/>
    <w:rsid w:val="00843615"/>
    <w:rsid w:val="00843BA6"/>
    <w:rsid w:val="00843EC6"/>
    <w:rsid w:val="00843F3D"/>
    <w:rsid w:val="00844360"/>
    <w:rsid w:val="008444DC"/>
    <w:rsid w:val="0084510A"/>
    <w:rsid w:val="008453FB"/>
    <w:rsid w:val="008456B3"/>
    <w:rsid w:val="00845E84"/>
    <w:rsid w:val="008463D9"/>
    <w:rsid w:val="008470B0"/>
    <w:rsid w:val="00847713"/>
    <w:rsid w:val="00847AE8"/>
    <w:rsid w:val="00847CA2"/>
    <w:rsid w:val="008500A1"/>
    <w:rsid w:val="008500F7"/>
    <w:rsid w:val="0085023E"/>
    <w:rsid w:val="00850357"/>
    <w:rsid w:val="00850FB4"/>
    <w:rsid w:val="00851534"/>
    <w:rsid w:val="0085154C"/>
    <w:rsid w:val="0085160E"/>
    <w:rsid w:val="00851CA8"/>
    <w:rsid w:val="00851CCF"/>
    <w:rsid w:val="00851D5B"/>
    <w:rsid w:val="00852087"/>
    <w:rsid w:val="00852091"/>
    <w:rsid w:val="00852173"/>
    <w:rsid w:val="00852236"/>
    <w:rsid w:val="008522E6"/>
    <w:rsid w:val="008527FA"/>
    <w:rsid w:val="00852CF2"/>
    <w:rsid w:val="0085305C"/>
    <w:rsid w:val="00853496"/>
    <w:rsid w:val="00853CE3"/>
    <w:rsid w:val="00853E59"/>
    <w:rsid w:val="00854848"/>
    <w:rsid w:val="00854A70"/>
    <w:rsid w:val="00854E5B"/>
    <w:rsid w:val="0085515A"/>
    <w:rsid w:val="00855168"/>
    <w:rsid w:val="008556B6"/>
    <w:rsid w:val="00855A3E"/>
    <w:rsid w:val="00855AA5"/>
    <w:rsid w:val="00855BDB"/>
    <w:rsid w:val="008563E9"/>
    <w:rsid w:val="008568DD"/>
    <w:rsid w:val="00857014"/>
    <w:rsid w:val="00857068"/>
    <w:rsid w:val="00857204"/>
    <w:rsid w:val="0085779E"/>
    <w:rsid w:val="008578B0"/>
    <w:rsid w:val="008579C5"/>
    <w:rsid w:val="00860872"/>
    <w:rsid w:val="008608DF"/>
    <w:rsid w:val="00860CA0"/>
    <w:rsid w:val="00860F31"/>
    <w:rsid w:val="0086203E"/>
    <w:rsid w:val="00862780"/>
    <w:rsid w:val="00862DA8"/>
    <w:rsid w:val="0086310A"/>
    <w:rsid w:val="00863328"/>
    <w:rsid w:val="0086378C"/>
    <w:rsid w:val="008637AE"/>
    <w:rsid w:val="00863F22"/>
    <w:rsid w:val="0086438B"/>
    <w:rsid w:val="0086483F"/>
    <w:rsid w:val="00864BD7"/>
    <w:rsid w:val="0086505A"/>
    <w:rsid w:val="008655DC"/>
    <w:rsid w:val="008656A8"/>
    <w:rsid w:val="008656C0"/>
    <w:rsid w:val="008658E9"/>
    <w:rsid w:val="008660E5"/>
    <w:rsid w:val="008665FB"/>
    <w:rsid w:val="0086690B"/>
    <w:rsid w:val="00867402"/>
    <w:rsid w:val="00867AEB"/>
    <w:rsid w:val="00867D53"/>
    <w:rsid w:val="00870404"/>
    <w:rsid w:val="008715C8"/>
    <w:rsid w:val="008715DE"/>
    <w:rsid w:val="008720DC"/>
    <w:rsid w:val="00872796"/>
    <w:rsid w:val="0087280C"/>
    <w:rsid w:val="00872D8A"/>
    <w:rsid w:val="0087353E"/>
    <w:rsid w:val="008739EF"/>
    <w:rsid w:val="00873C10"/>
    <w:rsid w:val="00874071"/>
    <w:rsid w:val="00874A23"/>
    <w:rsid w:val="00874AB7"/>
    <w:rsid w:val="008758EC"/>
    <w:rsid w:val="00875941"/>
    <w:rsid w:val="00875A33"/>
    <w:rsid w:val="00875BB3"/>
    <w:rsid w:val="00876134"/>
    <w:rsid w:val="00876452"/>
    <w:rsid w:val="00876721"/>
    <w:rsid w:val="0087676C"/>
    <w:rsid w:val="00876D2D"/>
    <w:rsid w:val="00877241"/>
    <w:rsid w:val="008774DA"/>
    <w:rsid w:val="00877E92"/>
    <w:rsid w:val="00880198"/>
    <w:rsid w:val="00880554"/>
    <w:rsid w:val="00880737"/>
    <w:rsid w:val="00880BFD"/>
    <w:rsid w:val="008810AB"/>
    <w:rsid w:val="00881B68"/>
    <w:rsid w:val="0088279E"/>
    <w:rsid w:val="00882AFA"/>
    <w:rsid w:val="0088438D"/>
    <w:rsid w:val="00884395"/>
    <w:rsid w:val="00884AC5"/>
    <w:rsid w:val="00884DD7"/>
    <w:rsid w:val="00884FD9"/>
    <w:rsid w:val="0088529E"/>
    <w:rsid w:val="00885822"/>
    <w:rsid w:val="00885C50"/>
    <w:rsid w:val="00886003"/>
    <w:rsid w:val="00886279"/>
    <w:rsid w:val="0088642E"/>
    <w:rsid w:val="008868AD"/>
    <w:rsid w:val="00886A65"/>
    <w:rsid w:val="00887F00"/>
    <w:rsid w:val="00890518"/>
    <w:rsid w:val="00890613"/>
    <w:rsid w:val="00890CA7"/>
    <w:rsid w:val="00890D60"/>
    <w:rsid w:val="00890F56"/>
    <w:rsid w:val="00890F85"/>
    <w:rsid w:val="00891230"/>
    <w:rsid w:val="00891AD9"/>
    <w:rsid w:val="00891D7C"/>
    <w:rsid w:val="00891DF4"/>
    <w:rsid w:val="00892277"/>
    <w:rsid w:val="0089277A"/>
    <w:rsid w:val="0089280B"/>
    <w:rsid w:val="00892F39"/>
    <w:rsid w:val="0089333C"/>
    <w:rsid w:val="00894135"/>
    <w:rsid w:val="008941BF"/>
    <w:rsid w:val="008944C9"/>
    <w:rsid w:val="008949E0"/>
    <w:rsid w:val="00895033"/>
    <w:rsid w:val="0089534D"/>
    <w:rsid w:val="00895BEC"/>
    <w:rsid w:val="008967AF"/>
    <w:rsid w:val="00896FA1"/>
    <w:rsid w:val="008976D3"/>
    <w:rsid w:val="008977FC"/>
    <w:rsid w:val="00897C12"/>
    <w:rsid w:val="008A007F"/>
    <w:rsid w:val="008A03EE"/>
    <w:rsid w:val="008A0823"/>
    <w:rsid w:val="008A0B91"/>
    <w:rsid w:val="008A131F"/>
    <w:rsid w:val="008A1D76"/>
    <w:rsid w:val="008A1D77"/>
    <w:rsid w:val="008A1FC0"/>
    <w:rsid w:val="008A200F"/>
    <w:rsid w:val="008A248E"/>
    <w:rsid w:val="008A254A"/>
    <w:rsid w:val="008A2672"/>
    <w:rsid w:val="008A2727"/>
    <w:rsid w:val="008A29AB"/>
    <w:rsid w:val="008A2D98"/>
    <w:rsid w:val="008A2FEA"/>
    <w:rsid w:val="008A31EE"/>
    <w:rsid w:val="008A348D"/>
    <w:rsid w:val="008A3831"/>
    <w:rsid w:val="008A4463"/>
    <w:rsid w:val="008A4B7E"/>
    <w:rsid w:val="008A4BBF"/>
    <w:rsid w:val="008A4D4F"/>
    <w:rsid w:val="008A589F"/>
    <w:rsid w:val="008A5BBB"/>
    <w:rsid w:val="008A5C14"/>
    <w:rsid w:val="008A5D71"/>
    <w:rsid w:val="008A60AB"/>
    <w:rsid w:val="008A6C3D"/>
    <w:rsid w:val="008A70F7"/>
    <w:rsid w:val="008A718E"/>
    <w:rsid w:val="008B0207"/>
    <w:rsid w:val="008B0514"/>
    <w:rsid w:val="008B0B5D"/>
    <w:rsid w:val="008B0D4C"/>
    <w:rsid w:val="008B0D4D"/>
    <w:rsid w:val="008B0FCE"/>
    <w:rsid w:val="008B1D0C"/>
    <w:rsid w:val="008B268C"/>
    <w:rsid w:val="008B2912"/>
    <w:rsid w:val="008B29E0"/>
    <w:rsid w:val="008B3221"/>
    <w:rsid w:val="008B3223"/>
    <w:rsid w:val="008B35ED"/>
    <w:rsid w:val="008B44F3"/>
    <w:rsid w:val="008B4539"/>
    <w:rsid w:val="008B47BE"/>
    <w:rsid w:val="008B4D30"/>
    <w:rsid w:val="008B501F"/>
    <w:rsid w:val="008B51BA"/>
    <w:rsid w:val="008B51D8"/>
    <w:rsid w:val="008B53DC"/>
    <w:rsid w:val="008B582F"/>
    <w:rsid w:val="008B64FF"/>
    <w:rsid w:val="008B651C"/>
    <w:rsid w:val="008B6747"/>
    <w:rsid w:val="008B67D1"/>
    <w:rsid w:val="008B6885"/>
    <w:rsid w:val="008B6A98"/>
    <w:rsid w:val="008B6CA7"/>
    <w:rsid w:val="008B7C01"/>
    <w:rsid w:val="008B7D78"/>
    <w:rsid w:val="008B7EBC"/>
    <w:rsid w:val="008C0049"/>
    <w:rsid w:val="008C02DD"/>
    <w:rsid w:val="008C033C"/>
    <w:rsid w:val="008C05E3"/>
    <w:rsid w:val="008C0C12"/>
    <w:rsid w:val="008C0FA9"/>
    <w:rsid w:val="008C128F"/>
    <w:rsid w:val="008C2589"/>
    <w:rsid w:val="008C258A"/>
    <w:rsid w:val="008C27AD"/>
    <w:rsid w:val="008C37D6"/>
    <w:rsid w:val="008C3A05"/>
    <w:rsid w:val="008C3BB0"/>
    <w:rsid w:val="008C417D"/>
    <w:rsid w:val="008C4216"/>
    <w:rsid w:val="008C459A"/>
    <w:rsid w:val="008C48C4"/>
    <w:rsid w:val="008C4A0A"/>
    <w:rsid w:val="008C4FFC"/>
    <w:rsid w:val="008C5ABF"/>
    <w:rsid w:val="008C5F48"/>
    <w:rsid w:val="008C6277"/>
    <w:rsid w:val="008C6502"/>
    <w:rsid w:val="008C6971"/>
    <w:rsid w:val="008C6981"/>
    <w:rsid w:val="008C6A02"/>
    <w:rsid w:val="008C6A2D"/>
    <w:rsid w:val="008C6C35"/>
    <w:rsid w:val="008C6C4D"/>
    <w:rsid w:val="008C7D53"/>
    <w:rsid w:val="008D0915"/>
    <w:rsid w:val="008D0CD3"/>
    <w:rsid w:val="008D0D93"/>
    <w:rsid w:val="008D1358"/>
    <w:rsid w:val="008D1B1A"/>
    <w:rsid w:val="008D2537"/>
    <w:rsid w:val="008D29D8"/>
    <w:rsid w:val="008D2E4A"/>
    <w:rsid w:val="008D3B75"/>
    <w:rsid w:val="008D417C"/>
    <w:rsid w:val="008D47D4"/>
    <w:rsid w:val="008D489B"/>
    <w:rsid w:val="008D4A5A"/>
    <w:rsid w:val="008D4B69"/>
    <w:rsid w:val="008D56AA"/>
    <w:rsid w:val="008D5825"/>
    <w:rsid w:val="008D58B0"/>
    <w:rsid w:val="008D6172"/>
    <w:rsid w:val="008D6205"/>
    <w:rsid w:val="008D62A4"/>
    <w:rsid w:val="008D6562"/>
    <w:rsid w:val="008D6B03"/>
    <w:rsid w:val="008D6BCE"/>
    <w:rsid w:val="008D719A"/>
    <w:rsid w:val="008D7511"/>
    <w:rsid w:val="008D7740"/>
    <w:rsid w:val="008D7A1F"/>
    <w:rsid w:val="008D7B8C"/>
    <w:rsid w:val="008D7C67"/>
    <w:rsid w:val="008D7D14"/>
    <w:rsid w:val="008E0168"/>
    <w:rsid w:val="008E042E"/>
    <w:rsid w:val="008E0796"/>
    <w:rsid w:val="008E08E1"/>
    <w:rsid w:val="008E101D"/>
    <w:rsid w:val="008E1357"/>
    <w:rsid w:val="008E154E"/>
    <w:rsid w:val="008E1982"/>
    <w:rsid w:val="008E1D19"/>
    <w:rsid w:val="008E1FC5"/>
    <w:rsid w:val="008E21AA"/>
    <w:rsid w:val="008E255B"/>
    <w:rsid w:val="008E2563"/>
    <w:rsid w:val="008E331B"/>
    <w:rsid w:val="008E34A0"/>
    <w:rsid w:val="008E378C"/>
    <w:rsid w:val="008E3C13"/>
    <w:rsid w:val="008E3DA4"/>
    <w:rsid w:val="008E4134"/>
    <w:rsid w:val="008E46C2"/>
    <w:rsid w:val="008E4741"/>
    <w:rsid w:val="008E541A"/>
    <w:rsid w:val="008E5823"/>
    <w:rsid w:val="008E59F6"/>
    <w:rsid w:val="008E6268"/>
    <w:rsid w:val="008E6CC6"/>
    <w:rsid w:val="008E70C6"/>
    <w:rsid w:val="008E732A"/>
    <w:rsid w:val="008E77A5"/>
    <w:rsid w:val="008E77F9"/>
    <w:rsid w:val="008E797F"/>
    <w:rsid w:val="008F00C6"/>
    <w:rsid w:val="008F037F"/>
    <w:rsid w:val="008F0994"/>
    <w:rsid w:val="008F0B99"/>
    <w:rsid w:val="008F0D9F"/>
    <w:rsid w:val="008F0F0C"/>
    <w:rsid w:val="008F1258"/>
    <w:rsid w:val="008F1709"/>
    <w:rsid w:val="008F1B10"/>
    <w:rsid w:val="008F1BF7"/>
    <w:rsid w:val="008F25F7"/>
    <w:rsid w:val="008F2B64"/>
    <w:rsid w:val="008F2EAF"/>
    <w:rsid w:val="008F3377"/>
    <w:rsid w:val="008F34CF"/>
    <w:rsid w:val="008F4057"/>
    <w:rsid w:val="008F406C"/>
    <w:rsid w:val="008F46BA"/>
    <w:rsid w:val="008F4EB3"/>
    <w:rsid w:val="008F4ED8"/>
    <w:rsid w:val="008F54A2"/>
    <w:rsid w:val="008F565D"/>
    <w:rsid w:val="008F5E59"/>
    <w:rsid w:val="008F67B4"/>
    <w:rsid w:val="008F6AB3"/>
    <w:rsid w:val="008F6BAC"/>
    <w:rsid w:val="008F6C8A"/>
    <w:rsid w:val="008F6E27"/>
    <w:rsid w:val="008F7C37"/>
    <w:rsid w:val="008F7F6C"/>
    <w:rsid w:val="0090042A"/>
    <w:rsid w:val="009004F5"/>
    <w:rsid w:val="00900512"/>
    <w:rsid w:val="00900635"/>
    <w:rsid w:val="00900BBD"/>
    <w:rsid w:val="00900CA1"/>
    <w:rsid w:val="00901297"/>
    <w:rsid w:val="009015BA"/>
    <w:rsid w:val="00901B62"/>
    <w:rsid w:val="00901D44"/>
    <w:rsid w:val="00901DFC"/>
    <w:rsid w:val="0090265C"/>
    <w:rsid w:val="00902D9E"/>
    <w:rsid w:val="00903B94"/>
    <w:rsid w:val="00903E4E"/>
    <w:rsid w:val="00903E61"/>
    <w:rsid w:val="00903F33"/>
    <w:rsid w:val="009040F1"/>
    <w:rsid w:val="00904CBB"/>
    <w:rsid w:val="00904CDE"/>
    <w:rsid w:val="009051AC"/>
    <w:rsid w:val="00905C99"/>
    <w:rsid w:val="00906259"/>
    <w:rsid w:val="009063DD"/>
    <w:rsid w:val="00906861"/>
    <w:rsid w:val="0090694F"/>
    <w:rsid w:val="00907337"/>
    <w:rsid w:val="009073F6"/>
    <w:rsid w:val="00907416"/>
    <w:rsid w:val="0090748F"/>
    <w:rsid w:val="009076A0"/>
    <w:rsid w:val="00907A55"/>
    <w:rsid w:val="00907D6E"/>
    <w:rsid w:val="0091055B"/>
    <w:rsid w:val="0091070E"/>
    <w:rsid w:val="00910AE8"/>
    <w:rsid w:val="00910B14"/>
    <w:rsid w:val="009110A6"/>
    <w:rsid w:val="0091166F"/>
    <w:rsid w:val="0091168D"/>
    <w:rsid w:val="00912252"/>
    <w:rsid w:val="00912294"/>
    <w:rsid w:val="00912783"/>
    <w:rsid w:val="0091328D"/>
    <w:rsid w:val="00913586"/>
    <w:rsid w:val="009135E9"/>
    <w:rsid w:val="00913A0D"/>
    <w:rsid w:val="0091451E"/>
    <w:rsid w:val="00914605"/>
    <w:rsid w:val="00914BD7"/>
    <w:rsid w:val="009152AD"/>
    <w:rsid w:val="00915387"/>
    <w:rsid w:val="009154F6"/>
    <w:rsid w:val="009156D4"/>
    <w:rsid w:val="009159AD"/>
    <w:rsid w:val="00915BF4"/>
    <w:rsid w:val="00915DB7"/>
    <w:rsid w:val="00915E4A"/>
    <w:rsid w:val="009167C3"/>
    <w:rsid w:val="0091726D"/>
    <w:rsid w:val="00917400"/>
    <w:rsid w:val="00917815"/>
    <w:rsid w:val="00917C20"/>
    <w:rsid w:val="00917E65"/>
    <w:rsid w:val="00917F99"/>
    <w:rsid w:val="009208C0"/>
    <w:rsid w:val="00920991"/>
    <w:rsid w:val="00920C39"/>
    <w:rsid w:val="00921666"/>
    <w:rsid w:val="0092193D"/>
    <w:rsid w:val="00921CF6"/>
    <w:rsid w:val="0092209A"/>
    <w:rsid w:val="00922A93"/>
    <w:rsid w:val="00922AB5"/>
    <w:rsid w:val="00922CB5"/>
    <w:rsid w:val="00922EB6"/>
    <w:rsid w:val="00922ED7"/>
    <w:rsid w:val="00923522"/>
    <w:rsid w:val="00923DB6"/>
    <w:rsid w:val="009240B5"/>
    <w:rsid w:val="00924578"/>
    <w:rsid w:val="00924630"/>
    <w:rsid w:val="009246EB"/>
    <w:rsid w:val="009249B7"/>
    <w:rsid w:val="00924F57"/>
    <w:rsid w:val="0092509F"/>
    <w:rsid w:val="00925391"/>
    <w:rsid w:val="009256BD"/>
    <w:rsid w:val="00925A46"/>
    <w:rsid w:val="00925F18"/>
    <w:rsid w:val="00926207"/>
    <w:rsid w:val="009268C2"/>
    <w:rsid w:val="00926936"/>
    <w:rsid w:val="00927209"/>
    <w:rsid w:val="00927297"/>
    <w:rsid w:val="0092735D"/>
    <w:rsid w:val="00927AD6"/>
    <w:rsid w:val="00927D6D"/>
    <w:rsid w:val="0093023B"/>
    <w:rsid w:val="00930B88"/>
    <w:rsid w:val="00931692"/>
    <w:rsid w:val="009317DD"/>
    <w:rsid w:val="00931C1B"/>
    <w:rsid w:val="0093241E"/>
    <w:rsid w:val="0093263C"/>
    <w:rsid w:val="0093265A"/>
    <w:rsid w:val="00932690"/>
    <w:rsid w:val="009326DC"/>
    <w:rsid w:val="00932FF1"/>
    <w:rsid w:val="00933499"/>
    <w:rsid w:val="00933550"/>
    <w:rsid w:val="00933A34"/>
    <w:rsid w:val="00935345"/>
    <w:rsid w:val="009353DC"/>
    <w:rsid w:val="00935979"/>
    <w:rsid w:val="00935DCF"/>
    <w:rsid w:val="00935E2D"/>
    <w:rsid w:val="00936751"/>
    <w:rsid w:val="00936B25"/>
    <w:rsid w:val="00937192"/>
    <w:rsid w:val="0093743F"/>
    <w:rsid w:val="00937671"/>
    <w:rsid w:val="0093790E"/>
    <w:rsid w:val="00937AF8"/>
    <w:rsid w:val="00937C48"/>
    <w:rsid w:val="00940CD2"/>
    <w:rsid w:val="00942DC9"/>
    <w:rsid w:val="00943119"/>
    <w:rsid w:val="00943D2C"/>
    <w:rsid w:val="00944371"/>
    <w:rsid w:val="009446F6"/>
    <w:rsid w:val="00944DDB"/>
    <w:rsid w:val="00945D78"/>
    <w:rsid w:val="00945E67"/>
    <w:rsid w:val="00946177"/>
    <w:rsid w:val="00946331"/>
    <w:rsid w:val="00946643"/>
    <w:rsid w:val="00946A87"/>
    <w:rsid w:val="00946E75"/>
    <w:rsid w:val="00947458"/>
    <w:rsid w:val="0094781A"/>
    <w:rsid w:val="00947F2E"/>
    <w:rsid w:val="00950A81"/>
    <w:rsid w:val="009515C7"/>
    <w:rsid w:val="00951927"/>
    <w:rsid w:val="00951E31"/>
    <w:rsid w:val="00951F8F"/>
    <w:rsid w:val="0095259F"/>
    <w:rsid w:val="009528B9"/>
    <w:rsid w:val="00952BD7"/>
    <w:rsid w:val="00952F6A"/>
    <w:rsid w:val="0095310E"/>
    <w:rsid w:val="00953C0A"/>
    <w:rsid w:val="00953CEF"/>
    <w:rsid w:val="00953F06"/>
    <w:rsid w:val="00953FBF"/>
    <w:rsid w:val="009547B8"/>
    <w:rsid w:val="00954821"/>
    <w:rsid w:val="0095501A"/>
    <w:rsid w:val="009560D4"/>
    <w:rsid w:val="0095690E"/>
    <w:rsid w:val="00956C0C"/>
    <w:rsid w:val="00956EF7"/>
    <w:rsid w:val="009573D3"/>
    <w:rsid w:val="009574E6"/>
    <w:rsid w:val="00957885"/>
    <w:rsid w:val="00957E2C"/>
    <w:rsid w:val="00960068"/>
    <w:rsid w:val="0096013E"/>
    <w:rsid w:val="00960388"/>
    <w:rsid w:val="00960641"/>
    <w:rsid w:val="0096093A"/>
    <w:rsid w:val="00960CFF"/>
    <w:rsid w:val="00960EC1"/>
    <w:rsid w:val="009618A7"/>
    <w:rsid w:val="00961E3E"/>
    <w:rsid w:val="00961E6F"/>
    <w:rsid w:val="00962228"/>
    <w:rsid w:val="00962BF9"/>
    <w:rsid w:val="00962C6B"/>
    <w:rsid w:val="00963A1D"/>
    <w:rsid w:val="00963ABA"/>
    <w:rsid w:val="00963E18"/>
    <w:rsid w:val="00963E3D"/>
    <w:rsid w:val="00964165"/>
    <w:rsid w:val="009642EE"/>
    <w:rsid w:val="0096462F"/>
    <w:rsid w:val="00964B9F"/>
    <w:rsid w:val="00964D5A"/>
    <w:rsid w:val="0096518C"/>
    <w:rsid w:val="009651E1"/>
    <w:rsid w:val="00965250"/>
    <w:rsid w:val="0096585F"/>
    <w:rsid w:val="00965FE2"/>
    <w:rsid w:val="0096629D"/>
    <w:rsid w:val="009663A7"/>
    <w:rsid w:val="009666E2"/>
    <w:rsid w:val="0096671A"/>
    <w:rsid w:val="009668A1"/>
    <w:rsid w:val="00966945"/>
    <w:rsid w:val="00966E9E"/>
    <w:rsid w:val="009673A8"/>
    <w:rsid w:val="009675AB"/>
    <w:rsid w:val="00967979"/>
    <w:rsid w:val="00967FF7"/>
    <w:rsid w:val="00970599"/>
    <w:rsid w:val="00970612"/>
    <w:rsid w:val="009706C2"/>
    <w:rsid w:val="009706DB"/>
    <w:rsid w:val="00970B16"/>
    <w:rsid w:val="00970F30"/>
    <w:rsid w:val="0097121A"/>
    <w:rsid w:val="00972F35"/>
    <w:rsid w:val="00973160"/>
    <w:rsid w:val="009731E0"/>
    <w:rsid w:val="00973204"/>
    <w:rsid w:val="0097454A"/>
    <w:rsid w:val="0097456C"/>
    <w:rsid w:val="0097522B"/>
    <w:rsid w:val="00975820"/>
    <w:rsid w:val="00975A79"/>
    <w:rsid w:val="00975AB9"/>
    <w:rsid w:val="00975DA4"/>
    <w:rsid w:val="00975DB5"/>
    <w:rsid w:val="00975FF9"/>
    <w:rsid w:val="00976FA7"/>
    <w:rsid w:val="00976FF4"/>
    <w:rsid w:val="00977D1C"/>
    <w:rsid w:val="009801C2"/>
    <w:rsid w:val="0098022F"/>
    <w:rsid w:val="0098057D"/>
    <w:rsid w:val="00980693"/>
    <w:rsid w:val="00980C89"/>
    <w:rsid w:val="0098126B"/>
    <w:rsid w:val="0098179F"/>
    <w:rsid w:val="00981E2B"/>
    <w:rsid w:val="00982437"/>
    <w:rsid w:val="0098278E"/>
    <w:rsid w:val="00982913"/>
    <w:rsid w:val="00983440"/>
    <w:rsid w:val="00983C59"/>
    <w:rsid w:val="00983C60"/>
    <w:rsid w:val="00984395"/>
    <w:rsid w:val="009845CC"/>
    <w:rsid w:val="009853A5"/>
    <w:rsid w:val="00985BDC"/>
    <w:rsid w:val="00986493"/>
    <w:rsid w:val="009865FB"/>
    <w:rsid w:val="00986C72"/>
    <w:rsid w:val="00987428"/>
    <w:rsid w:val="0098786D"/>
    <w:rsid w:val="00987949"/>
    <w:rsid w:val="009900B7"/>
    <w:rsid w:val="0099121D"/>
    <w:rsid w:val="00991560"/>
    <w:rsid w:val="00991798"/>
    <w:rsid w:val="00991DDB"/>
    <w:rsid w:val="00992B44"/>
    <w:rsid w:val="00992DBC"/>
    <w:rsid w:val="00992DF3"/>
    <w:rsid w:val="00992F30"/>
    <w:rsid w:val="00993017"/>
    <w:rsid w:val="009931C6"/>
    <w:rsid w:val="00993C61"/>
    <w:rsid w:val="00993FAD"/>
    <w:rsid w:val="0099455E"/>
    <w:rsid w:val="0099487A"/>
    <w:rsid w:val="00994FE6"/>
    <w:rsid w:val="009958D9"/>
    <w:rsid w:val="00995D00"/>
    <w:rsid w:val="00995F16"/>
    <w:rsid w:val="0099622B"/>
    <w:rsid w:val="0099639C"/>
    <w:rsid w:val="00996429"/>
    <w:rsid w:val="00996472"/>
    <w:rsid w:val="0099660F"/>
    <w:rsid w:val="00996AC3"/>
    <w:rsid w:val="00997188"/>
    <w:rsid w:val="009972C7"/>
    <w:rsid w:val="009974C3"/>
    <w:rsid w:val="0099753D"/>
    <w:rsid w:val="009977B0"/>
    <w:rsid w:val="009977EB"/>
    <w:rsid w:val="00997A0A"/>
    <w:rsid w:val="009A015E"/>
    <w:rsid w:val="009A0C7B"/>
    <w:rsid w:val="009A0CD4"/>
    <w:rsid w:val="009A0E5F"/>
    <w:rsid w:val="009A0F3D"/>
    <w:rsid w:val="009A1068"/>
    <w:rsid w:val="009A10BF"/>
    <w:rsid w:val="009A13A1"/>
    <w:rsid w:val="009A1420"/>
    <w:rsid w:val="009A1551"/>
    <w:rsid w:val="009A1F16"/>
    <w:rsid w:val="009A2346"/>
    <w:rsid w:val="009A23EF"/>
    <w:rsid w:val="009A2D1F"/>
    <w:rsid w:val="009A32DB"/>
    <w:rsid w:val="009A32FF"/>
    <w:rsid w:val="009A33F0"/>
    <w:rsid w:val="009A38C7"/>
    <w:rsid w:val="009A3EDF"/>
    <w:rsid w:val="009A45A7"/>
    <w:rsid w:val="009A49CF"/>
    <w:rsid w:val="009A5814"/>
    <w:rsid w:val="009A5C1B"/>
    <w:rsid w:val="009A63F4"/>
    <w:rsid w:val="009A68FF"/>
    <w:rsid w:val="009A7235"/>
    <w:rsid w:val="009A7387"/>
    <w:rsid w:val="009A7455"/>
    <w:rsid w:val="009A7601"/>
    <w:rsid w:val="009A760B"/>
    <w:rsid w:val="009A7A5C"/>
    <w:rsid w:val="009A7BD5"/>
    <w:rsid w:val="009A7C7E"/>
    <w:rsid w:val="009B0171"/>
    <w:rsid w:val="009B036B"/>
    <w:rsid w:val="009B10D6"/>
    <w:rsid w:val="009B141F"/>
    <w:rsid w:val="009B184A"/>
    <w:rsid w:val="009B1A13"/>
    <w:rsid w:val="009B1C19"/>
    <w:rsid w:val="009B1CC6"/>
    <w:rsid w:val="009B2116"/>
    <w:rsid w:val="009B2350"/>
    <w:rsid w:val="009B2553"/>
    <w:rsid w:val="009B276C"/>
    <w:rsid w:val="009B328C"/>
    <w:rsid w:val="009B33D5"/>
    <w:rsid w:val="009B390B"/>
    <w:rsid w:val="009B4B7C"/>
    <w:rsid w:val="009B50F9"/>
    <w:rsid w:val="009B5A2B"/>
    <w:rsid w:val="009B69BD"/>
    <w:rsid w:val="009B6C97"/>
    <w:rsid w:val="009B728A"/>
    <w:rsid w:val="009B77B9"/>
    <w:rsid w:val="009B7A8A"/>
    <w:rsid w:val="009C030C"/>
    <w:rsid w:val="009C0932"/>
    <w:rsid w:val="009C0AE7"/>
    <w:rsid w:val="009C10FA"/>
    <w:rsid w:val="009C1865"/>
    <w:rsid w:val="009C1954"/>
    <w:rsid w:val="009C21E3"/>
    <w:rsid w:val="009C2A0B"/>
    <w:rsid w:val="009C3365"/>
    <w:rsid w:val="009C33DA"/>
    <w:rsid w:val="009C3DBA"/>
    <w:rsid w:val="009C3EE1"/>
    <w:rsid w:val="009C547A"/>
    <w:rsid w:val="009C5488"/>
    <w:rsid w:val="009C570D"/>
    <w:rsid w:val="009C59A1"/>
    <w:rsid w:val="009C5D80"/>
    <w:rsid w:val="009C6136"/>
    <w:rsid w:val="009C652E"/>
    <w:rsid w:val="009C6782"/>
    <w:rsid w:val="009C6E2A"/>
    <w:rsid w:val="009C7103"/>
    <w:rsid w:val="009C7194"/>
    <w:rsid w:val="009C7256"/>
    <w:rsid w:val="009C74AE"/>
    <w:rsid w:val="009C7562"/>
    <w:rsid w:val="009C7605"/>
    <w:rsid w:val="009C7B14"/>
    <w:rsid w:val="009D0840"/>
    <w:rsid w:val="009D1075"/>
    <w:rsid w:val="009D1509"/>
    <w:rsid w:val="009D1813"/>
    <w:rsid w:val="009D1B53"/>
    <w:rsid w:val="009D1F41"/>
    <w:rsid w:val="009D2C28"/>
    <w:rsid w:val="009D3433"/>
    <w:rsid w:val="009D399C"/>
    <w:rsid w:val="009D43CA"/>
    <w:rsid w:val="009D45ED"/>
    <w:rsid w:val="009D4CD4"/>
    <w:rsid w:val="009D4E02"/>
    <w:rsid w:val="009D57DB"/>
    <w:rsid w:val="009D5A6A"/>
    <w:rsid w:val="009D5B68"/>
    <w:rsid w:val="009D5F46"/>
    <w:rsid w:val="009D64D4"/>
    <w:rsid w:val="009D658F"/>
    <w:rsid w:val="009D6F8E"/>
    <w:rsid w:val="009D7249"/>
    <w:rsid w:val="009D7E1F"/>
    <w:rsid w:val="009D7F94"/>
    <w:rsid w:val="009E02D9"/>
    <w:rsid w:val="009E0692"/>
    <w:rsid w:val="009E0926"/>
    <w:rsid w:val="009E0965"/>
    <w:rsid w:val="009E1F3A"/>
    <w:rsid w:val="009E292C"/>
    <w:rsid w:val="009E2D08"/>
    <w:rsid w:val="009E2DDB"/>
    <w:rsid w:val="009E2E2C"/>
    <w:rsid w:val="009E2FAC"/>
    <w:rsid w:val="009E37BD"/>
    <w:rsid w:val="009E3CCA"/>
    <w:rsid w:val="009E3F8B"/>
    <w:rsid w:val="009E42C8"/>
    <w:rsid w:val="009E4EF0"/>
    <w:rsid w:val="009E51BE"/>
    <w:rsid w:val="009E58DA"/>
    <w:rsid w:val="009E6107"/>
    <w:rsid w:val="009E615A"/>
    <w:rsid w:val="009E6700"/>
    <w:rsid w:val="009E6C86"/>
    <w:rsid w:val="009E7301"/>
    <w:rsid w:val="009E7933"/>
    <w:rsid w:val="009F0010"/>
    <w:rsid w:val="009F00ED"/>
    <w:rsid w:val="009F0302"/>
    <w:rsid w:val="009F0D95"/>
    <w:rsid w:val="009F1571"/>
    <w:rsid w:val="009F1C22"/>
    <w:rsid w:val="009F24AE"/>
    <w:rsid w:val="009F259C"/>
    <w:rsid w:val="009F299F"/>
    <w:rsid w:val="009F2CF1"/>
    <w:rsid w:val="009F2F4E"/>
    <w:rsid w:val="009F307A"/>
    <w:rsid w:val="009F3A33"/>
    <w:rsid w:val="009F3CBE"/>
    <w:rsid w:val="009F41EB"/>
    <w:rsid w:val="009F4408"/>
    <w:rsid w:val="009F4753"/>
    <w:rsid w:val="009F5131"/>
    <w:rsid w:val="009F54F5"/>
    <w:rsid w:val="009F5B80"/>
    <w:rsid w:val="009F616C"/>
    <w:rsid w:val="009F6511"/>
    <w:rsid w:val="009F76B6"/>
    <w:rsid w:val="009F7832"/>
    <w:rsid w:val="009F7D65"/>
    <w:rsid w:val="009F7E72"/>
    <w:rsid w:val="00A000B4"/>
    <w:rsid w:val="00A002C7"/>
    <w:rsid w:val="00A00325"/>
    <w:rsid w:val="00A00629"/>
    <w:rsid w:val="00A00691"/>
    <w:rsid w:val="00A00EE2"/>
    <w:rsid w:val="00A015D8"/>
    <w:rsid w:val="00A016A2"/>
    <w:rsid w:val="00A02268"/>
    <w:rsid w:val="00A023FF"/>
    <w:rsid w:val="00A02416"/>
    <w:rsid w:val="00A02809"/>
    <w:rsid w:val="00A0285B"/>
    <w:rsid w:val="00A02FF3"/>
    <w:rsid w:val="00A033DD"/>
    <w:rsid w:val="00A03581"/>
    <w:rsid w:val="00A0365A"/>
    <w:rsid w:val="00A0445B"/>
    <w:rsid w:val="00A04A69"/>
    <w:rsid w:val="00A04F7D"/>
    <w:rsid w:val="00A04FA8"/>
    <w:rsid w:val="00A053F2"/>
    <w:rsid w:val="00A0560F"/>
    <w:rsid w:val="00A05A11"/>
    <w:rsid w:val="00A060C2"/>
    <w:rsid w:val="00A06B65"/>
    <w:rsid w:val="00A07DC0"/>
    <w:rsid w:val="00A100E1"/>
    <w:rsid w:val="00A10C18"/>
    <w:rsid w:val="00A10D9B"/>
    <w:rsid w:val="00A110F8"/>
    <w:rsid w:val="00A1121F"/>
    <w:rsid w:val="00A115CC"/>
    <w:rsid w:val="00A11EF9"/>
    <w:rsid w:val="00A1203A"/>
    <w:rsid w:val="00A125CB"/>
    <w:rsid w:val="00A13114"/>
    <w:rsid w:val="00A131EC"/>
    <w:rsid w:val="00A135EA"/>
    <w:rsid w:val="00A13A61"/>
    <w:rsid w:val="00A1400A"/>
    <w:rsid w:val="00A14BC9"/>
    <w:rsid w:val="00A14F62"/>
    <w:rsid w:val="00A150E4"/>
    <w:rsid w:val="00A15DFE"/>
    <w:rsid w:val="00A15E3D"/>
    <w:rsid w:val="00A16700"/>
    <w:rsid w:val="00A16FAA"/>
    <w:rsid w:val="00A172B8"/>
    <w:rsid w:val="00A20201"/>
    <w:rsid w:val="00A20B17"/>
    <w:rsid w:val="00A20DDA"/>
    <w:rsid w:val="00A2100F"/>
    <w:rsid w:val="00A213A1"/>
    <w:rsid w:val="00A21A64"/>
    <w:rsid w:val="00A22718"/>
    <w:rsid w:val="00A22D6C"/>
    <w:rsid w:val="00A22E49"/>
    <w:rsid w:val="00A23684"/>
    <w:rsid w:val="00A2386B"/>
    <w:rsid w:val="00A2494C"/>
    <w:rsid w:val="00A24FBE"/>
    <w:rsid w:val="00A254CD"/>
    <w:rsid w:val="00A2569C"/>
    <w:rsid w:val="00A256F6"/>
    <w:rsid w:val="00A258AD"/>
    <w:rsid w:val="00A2594A"/>
    <w:rsid w:val="00A25D09"/>
    <w:rsid w:val="00A26257"/>
    <w:rsid w:val="00A262FE"/>
    <w:rsid w:val="00A26916"/>
    <w:rsid w:val="00A26B1E"/>
    <w:rsid w:val="00A27156"/>
    <w:rsid w:val="00A272BF"/>
    <w:rsid w:val="00A274A4"/>
    <w:rsid w:val="00A27B72"/>
    <w:rsid w:val="00A27CA8"/>
    <w:rsid w:val="00A27D85"/>
    <w:rsid w:val="00A27F53"/>
    <w:rsid w:val="00A30231"/>
    <w:rsid w:val="00A30C75"/>
    <w:rsid w:val="00A3154A"/>
    <w:rsid w:val="00A3160E"/>
    <w:rsid w:val="00A31753"/>
    <w:rsid w:val="00A318A0"/>
    <w:rsid w:val="00A318D9"/>
    <w:rsid w:val="00A3295F"/>
    <w:rsid w:val="00A33060"/>
    <w:rsid w:val="00A3335C"/>
    <w:rsid w:val="00A3390F"/>
    <w:rsid w:val="00A34B5A"/>
    <w:rsid w:val="00A35413"/>
    <w:rsid w:val="00A354B8"/>
    <w:rsid w:val="00A35565"/>
    <w:rsid w:val="00A35828"/>
    <w:rsid w:val="00A359C6"/>
    <w:rsid w:val="00A35E8A"/>
    <w:rsid w:val="00A36063"/>
    <w:rsid w:val="00A366EB"/>
    <w:rsid w:val="00A36E2C"/>
    <w:rsid w:val="00A36F5B"/>
    <w:rsid w:val="00A36FCB"/>
    <w:rsid w:val="00A37089"/>
    <w:rsid w:val="00A37427"/>
    <w:rsid w:val="00A37C11"/>
    <w:rsid w:val="00A37F41"/>
    <w:rsid w:val="00A401FD"/>
    <w:rsid w:val="00A4060A"/>
    <w:rsid w:val="00A40C56"/>
    <w:rsid w:val="00A40F6E"/>
    <w:rsid w:val="00A411E2"/>
    <w:rsid w:val="00A41AFE"/>
    <w:rsid w:val="00A41B9E"/>
    <w:rsid w:val="00A41E45"/>
    <w:rsid w:val="00A41FAF"/>
    <w:rsid w:val="00A420E6"/>
    <w:rsid w:val="00A4213F"/>
    <w:rsid w:val="00A42402"/>
    <w:rsid w:val="00A42FBA"/>
    <w:rsid w:val="00A4315D"/>
    <w:rsid w:val="00A43255"/>
    <w:rsid w:val="00A43AD6"/>
    <w:rsid w:val="00A44030"/>
    <w:rsid w:val="00A44387"/>
    <w:rsid w:val="00A444D1"/>
    <w:rsid w:val="00A444E3"/>
    <w:rsid w:val="00A4496D"/>
    <w:rsid w:val="00A4497C"/>
    <w:rsid w:val="00A44BB5"/>
    <w:rsid w:val="00A454FB"/>
    <w:rsid w:val="00A455B0"/>
    <w:rsid w:val="00A46C50"/>
    <w:rsid w:val="00A474B8"/>
    <w:rsid w:val="00A4778B"/>
    <w:rsid w:val="00A47B4D"/>
    <w:rsid w:val="00A47CD8"/>
    <w:rsid w:val="00A501CE"/>
    <w:rsid w:val="00A502AF"/>
    <w:rsid w:val="00A50387"/>
    <w:rsid w:val="00A507C7"/>
    <w:rsid w:val="00A512C5"/>
    <w:rsid w:val="00A51739"/>
    <w:rsid w:val="00A51F99"/>
    <w:rsid w:val="00A52053"/>
    <w:rsid w:val="00A52820"/>
    <w:rsid w:val="00A53114"/>
    <w:rsid w:val="00A534BA"/>
    <w:rsid w:val="00A5362F"/>
    <w:rsid w:val="00A5370E"/>
    <w:rsid w:val="00A53A8A"/>
    <w:rsid w:val="00A53D20"/>
    <w:rsid w:val="00A54075"/>
    <w:rsid w:val="00A55324"/>
    <w:rsid w:val="00A555DF"/>
    <w:rsid w:val="00A56823"/>
    <w:rsid w:val="00A56B23"/>
    <w:rsid w:val="00A56FA2"/>
    <w:rsid w:val="00A570D2"/>
    <w:rsid w:val="00A57714"/>
    <w:rsid w:val="00A57911"/>
    <w:rsid w:val="00A57C72"/>
    <w:rsid w:val="00A61B2C"/>
    <w:rsid w:val="00A61CBB"/>
    <w:rsid w:val="00A620CC"/>
    <w:rsid w:val="00A62902"/>
    <w:rsid w:val="00A62D51"/>
    <w:rsid w:val="00A62F9E"/>
    <w:rsid w:val="00A632FF"/>
    <w:rsid w:val="00A63748"/>
    <w:rsid w:val="00A63F50"/>
    <w:rsid w:val="00A64130"/>
    <w:rsid w:val="00A64A5D"/>
    <w:rsid w:val="00A64EE5"/>
    <w:rsid w:val="00A6503A"/>
    <w:rsid w:val="00A6523D"/>
    <w:rsid w:val="00A654AA"/>
    <w:rsid w:val="00A65BB7"/>
    <w:rsid w:val="00A65F83"/>
    <w:rsid w:val="00A66535"/>
    <w:rsid w:val="00A667B1"/>
    <w:rsid w:val="00A66CFE"/>
    <w:rsid w:val="00A66DD7"/>
    <w:rsid w:val="00A66EE4"/>
    <w:rsid w:val="00A66F9A"/>
    <w:rsid w:val="00A67D10"/>
    <w:rsid w:val="00A67D3B"/>
    <w:rsid w:val="00A7013C"/>
    <w:rsid w:val="00A7086C"/>
    <w:rsid w:val="00A70A8F"/>
    <w:rsid w:val="00A70CC2"/>
    <w:rsid w:val="00A70F6E"/>
    <w:rsid w:val="00A7104D"/>
    <w:rsid w:val="00A72E01"/>
    <w:rsid w:val="00A731A0"/>
    <w:rsid w:val="00A7325F"/>
    <w:rsid w:val="00A73885"/>
    <w:rsid w:val="00A74A2B"/>
    <w:rsid w:val="00A74D15"/>
    <w:rsid w:val="00A74F2F"/>
    <w:rsid w:val="00A7504E"/>
    <w:rsid w:val="00A75482"/>
    <w:rsid w:val="00A75847"/>
    <w:rsid w:val="00A75A6B"/>
    <w:rsid w:val="00A75C3A"/>
    <w:rsid w:val="00A7609E"/>
    <w:rsid w:val="00A7617C"/>
    <w:rsid w:val="00A762BD"/>
    <w:rsid w:val="00A766A5"/>
    <w:rsid w:val="00A76C52"/>
    <w:rsid w:val="00A76E9B"/>
    <w:rsid w:val="00A7703E"/>
    <w:rsid w:val="00A772F6"/>
    <w:rsid w:val="00A77925"/>
    <w:rsid w:val="00A806FE"/>
    <w:rsid w:val="00A80E32"/>
    <w:rsid w:val="00A81055"/>
    <w:rsid w:val="00A8153A"/>
    <w:rsid w:val="00A816AA"/>
    <w:rsid w:val="00A81742"/>
    <w:rsid w:val="00A81E5B"/>
    <w:rsid w:val="00A82034"/>
    <w:rsid w:val="00A8218A"/>
    <w:rsid w:val="00A823AE"/>
    <w:rsid w:val="00A82CBE"/>
    <w:rsid w:val="00A83025"/>
    <w:rsid w:val="00A83E07"/>
    <w:rsid w:val="00A845F0"/>
    <w:rsid w:val="00A847D0"/>
    <w:rsid w:val="00A8488B"/>
    <w:rsid w:val="00A84EFA"/>
    <w:rsid w:val="00A85BE7"/>
    <w:rsid w:val="00A86289"/>
    <w:rsid w:val="00A8635E"/>
    <w:rsid w:val="00A86481"/>
    <w:rsid w:val="00A86CF9"/>
    <w:rsid w:val="00A86DF1"/>
    <w:rsid w:val="00A870A5"/>
    <w:rsid w:val="00A8768B"/>
    <w:rsid w:val="00A87B0E"/>
    <w:rsid w:val="00A87CA0"/>
    <w:rsid w:val="00A900A5"/>
    <w:rsid w:val="00A9044D"/>
    <w:rsid w:val="00A9072B"/>
    <w:rsid w:val="00A90F83"/>
    <w:rsid w:val="00A91764"/>
    <w:rsid w:val="00A91777"/>
    <w:rsid w:val="00A91D1E"/>
    <w:rsid w:val="00A91D6D"/>
    <w:rsid w:val="00A9202F"/>
    <w:rsid w:val="00A9331F"/>
    <w:rsid w:val="00A935ED"/>
    <w:rsid w:val="00A938C0"/>
    <w:rsid w:val="00A93A3B"/>
    <w:rsid w:val="00A93E1A"/>
    <w:rsid w:val="00A93E58"/>
    <w:rsid w:val="00A94456"/>
    <w:rsid w:val="00A94464"/>
    <w:rsid w:val="00A9475B"/>
    <w:rsid w:val="00A948A2"/>
    <w:rsid w:val="00A94F9C"/>
    <w:rsid w:val="00A9549B"/>
    <w:rsid w:val="00A95974"/>
    <w:rsid w:val="00A95A71"/>
    <w:rsid w:val="00A95E77"/>
    <w:rsid w:val="00A960E5"/>
    <w:rsid w:val="00A96559"/>
    <w:rsid w:val="00A967AD"/>
    <w:rsid w:val="00A96924"/>
    <w:rsid w:val="00A96D40"/>
    <w:rsid w:val="00A96DE7"/>
    <w:rsid w:val="00A9752D"/>
    <w:rsid w:val="00A975E4"/>
    <w:rsid w:val="00A97D11"/>
    <w:rsid w:val="00A97F2D"/>
    <w:rsid w:val="00AA0385"/>
    <w:rsid w:val="00AA03FF"/>
    <w:rsid w:val="00AA0879"/>
    <w:rsid w:val="00AA0D5E"/>
    <w:rsid w:val="00AA1F63"/>
    <w:rsid w:val="00AA1FF0"/>
    <w:rsid w:val="00AA26B0"/>
    <w:rsid w:val="00AA2AB2"/>
    <w:rsid w:val="00AA2F54"/>
    <w:rsid w:val="00AA31BB"/>
    <w:rsid w:val="00AA330B"/>
    <w:rsid w:val="00AA3E5C"/>
    <w:rsid w:val="00AA4077"/>
    <w:rsid w:val="00AA42DF"/>
    <w:rsid w:val="00AA4D07"/>
    <w:rsid w:val="00AA502D"/>
    <w:rsid w:val="00AA5206"/>
    <w:rsid w:val="00AA55C7"/>
    <w:rsid w:val="00AA5DC0"/>
    <w:rsid w:val="00AA5F35"/>
    <w:rsid w:val="00AA621B"/>
    <w:rsid w:val="00AA6594"/>
    <w:rsid w:val="00AA6643"/>
    <w:rsid w:val="00AA6650"/>
    <w:rsid w:val="00AA6887"/>
    <w:rsid w:val="00AA6DEA"/>
    <w:rsid w:val="00AA79C7"/>
    <w:rsid w:val="00AA7B51"/>
    <w:rsid w:val="00AA7EE1"/>
    <w:rsid w:val="00AB00E8"/>
    <w:rsid w:val="00AB0AFF"/>
    <w:rsid w:val="00AB0EB2"/>
    <w:rsid w:val="00AB1415"/>
    <w:rsid w:val="00AB16FC"/>
    <w:rsid w:val="00AB1744"/>
    <w:rsid w:val="00AB1986"/>
    <w:rsid w:val="00AB1A48"/>
    <w:rsid w:val="00AB2151"/>
    <w:rsid w:val="00AB2747"/>
    <w:rsid w:val="00AB3906"/>
    <w:rsid w:val="00AB3933"/>
    <w:rsid w:val="00AB39B7"/>
    <w:rsid w:val="00AB4292"/>
    <w:rsid w:val="00AB5117"/>
    <w:rsid w:val="00AB58AE"/>
    <w:rsid w:val="00AB5A9B"/>
    <w:rsid w:val="00AB6755"/>
    <w:rsid w:val="00AB7656"/>
    <w:rsid w:val="00AB7669"/>
    <w:rsid w:val="00AB790A"/>
    <w:rsid w:val="00AC01A4"/>
    <w:rsid w:val="00AC03EB"/>
    <w:rsid w:val="00AC0763"/>
    <w:rsid w:val="00AC0871"/>
    <w:rsid w:val="00AC0EF7"/>
    <w:rsid w:val="00AC1004"/>
    <w:rsid w:val="00AC1C2E"/>
    <w:rsid w:val="00AC1D83"/>
    <w:rsid w:val="00AC1FA9"/>
    <w:rsid w:val="00AC2061"/>
    <w:rsid w:val="00AC2277"/>
    <w:rsid w:val="00AC2548"/>
    <w:rsid w:val="00AC2DDC"/>
    <w:rsid w:val="00AC3281"/>
    <w:rsid w:val="00AC32C2"/>
    <w:rsid w:val="00AC3317"/>
    <w:rsid w:val="00AC384B"/>
    <w:rsid w:val="00AC3F53"/>
    <w:rsid w:val="00AC5125"/>
    <w:rsid w:val="00AC55CB"/>
    <w:rsid w:val="00AC5665"/>
    <w:rsid w:val="00AC571F"/>
    <w:rsid w:val="00AC5CE7"/>
    <w:rsid w:val="00AC5DF6"/>
    <w:rsid w:val="00AC6098"/>
    <w:rsid w:val="00AC6323"/>
    <w:rsid w:val="00AC632A"/>
    <w:rsid w:val="00AC6B19"/>
    <w:rsid w:val="00AC6CA0"/>
    <w:rsid w:val="00AC7B66"/>
    <w:rsid w:val="00AD09D4"/>
    <w:rsid w:val="00AD10F2"/>
    <w:rsid w:val="00AD154A"/>
    <w:rsid w:val="00AD1E73"/>
    <w:rsid w:val="00AD2275"/>
    <w:rsid w:val="00AD2638"/>
    <w:rsid w:val="00AD296C"/>
    <w:rsid w:val="00AD36B7"/>
    <w:rsid w:val="00AD37CE"/>
    <w:rsid w:val="00AD421B"/>
    <w:rsid w:val="00AD445C"/>
    <w:rsid w:val="00AD4D6E"/>
    <w:rsid w:val="00AD4DA8"/>
    <w:rsid w:val="00AD56FE"/>
    <w:rsid w:val="00AD581E"/>
    <w:rsid w:val="00AD594C"/>
    <w:rsid w:val="00AD5E06"/>
    <w:rsid w:val="00AD5F99"/>
    <w:rsid w:val="00AD62BF"/>
    <w:rsid w:val="00AD6361"/>
    <w:rsid w:val="00AD66F7"/>
    <w:rsid w:val="00AD6A6E"/>
    <w:rsid w:val="00AD6CBD"/>
    <w:rsid w:val="00AD721C"/>
    <w:rsid w:val="00AD768D"/>
    <w:rsid w:val="00AD7BC3"/>
    <w:rsid w:val="00AD7BD6"/>
    <w:rsid w:val="00AE0083"/>
    <w:rsid w:val="00AE0565"/>
    <w:rsid w:val="00AE09F0"/>
    <w:rsid w:val="00AE0C5F"/>
    <w:rsid w:val="00AE0C71"/>
    <w:rsid w:val="00AE0F97"/>
    <w:rsid w:val="00AE1600"/>
    <w:rsid w:val="00AE165B"/>
    <w:rsid w:val="00AE1B0D"/>
    <w:rsid w:val="00AE1B2D"/>
    <w:rsid w:val="00AE1BCB"/>
    <w:rsid w:val="00AE1FDA"/>
    <w:rsid w:val="00AE27E5"/>
    <w:rsid w:val="00AE2B72"/>
    <w:rsid w:val="00AE2C9D"/>
    <w:rsid w:val="00AE2FFC"/>
    <w:rsid w:val="00AE385F"/>
    <w:rsid w:val="00AE491D"/>
    <w:rsid w:val="00AE4A42"/>
    <w:rsid w:val="00AE4ABB"/>
    <w:rsid w:val="00AE4D73"/>
    <w:rsid w:val="00AE5153"/>
    <w:rsid w:val="00AE51D0"/>
    <w:rsid w:val="00AE5712"/>
    <w:rsid w:val="00AE593E"/>
    <w:rsid w:val="00AE5D83"/>
    <w:rsid w:val="00AE6185"/>
    <w:rsid w:val="00AE61E3"/>
    <w:rsid w:val="00AE65ED"/>
    <w:rsid w:val="00AE6845"/>
    <w:rsid w:val="00AE6B4E"/>
    <w:rsid w:val="00AE6D64"/>
    <w:rsid w:val="00AE78B7"/>
    <w:rsid w:val="00AE7BAB"/>
    <w:rsid w:val="00AE7FE4"/>
    <w:rsid w:val="00AF01B6"/>
    <w:rsid w:val="00AF0495"/>
    <w:rsid w:val="00AF052F"/>
    <w:rsid w:val="00AF0ACC"/>
    <w:rsid w:val="00AF0E9D"/>
    <w:rsid w:val="00AF130E"/>
    <w:rsid w:val="00AF2057"/>
    <w:rsid w:val="00AF2485"/>
    <w:rsid w:val="00AF299D"/>
    <w:rsid w:val="00AF2FC0"/>
    <w:rsid w:val="00AF3412"/>
    <w:rsid w:val="00AF380B"/>
    <w:rsid w:val="00AF3FD7"/>
    <w:rsid w:val="00AF4ACB"/>
    <w:rsid w:val="00AF51C4"/>
    <w:rsid w:val="00AF5534"/>
    <w:rsid w:val="00AF577C"/>
    <w:rsid w:val="00AF59EB"/>
    <w:rsid w:val="00AF5AD7"/>
    <w:rsid w:val="00AF6185"/>
    <w:rsid w:val="00AF6462"/>
    <w:rsid w:val="00AF6677"/>
    <w:rsid w:val="00AF66FF"/>
    <w:rsid w:val="00AF67F4"/>
    <w:rsid w:val="00AF6896"/>
    <w:rsid w:val="00AF6908"/>
    <w:rsid w:val="00AF6A46"/>
    <w:rsid w:val="00AF6CAE"/>
    <w:rsid w:val="00AF7218"/>
    <w:rsid w:val="00AF7ABC"/>
    <w:rsid w:val="00B00323"/>
    <w:rsid w:val="00B00451"/>
    <w:rsid w:val="00B01088"/>
    <w:rsid w:val="00B010AC"/>
    <w:rsid w:val="00B014AB"/>
    <w:rsid w:val="00B01517"/>
    <w:rsid w:val="00B01861"/>
    <w:rsid w:val="00B024A5"/>
    <w:rsid w:val="00B025EE"/>
    <w:rsid w:val="00B02BD6"/>
    <w:rsid w:val="00B02ED6"/>
    <w:rsid w:val="00B03079"/>
    <w:rsid w:val="00B03329"/>
    <w:rsid w:val="00B04108"/>
    <w:rsid w:val="00B048F7"/>
    <w:rsid w:val="00B04DB4"/>
    <w:rsid w:val="00B0579E"/>
    <w:rsid w:val="00B057B2"/>
    <w:rsid w:val="00B05932"/>
    <w:rsid w:val="00B0635B"/>
    <w:rsid w:val="00B0645A"/>
    <w:rsid w:val="00B06763"/>
    <w:rsid w:val="00B06A56"/>
    <w:rsid w:val="00B06C9F"/>
    <w:rsid w:val="00B078A5"/>
    <w:rsid w:val="00B07AE1"/>
    <w:rsid w:val="00B07F64"/>
    <w:rsid w:val="00B110ED"/>
    <w:rsid w:val="00B11AA8"/>
    <w:rsid w:val="00B11B3F"/>
    <w:rsid w:val="00B11E90"/>
    <w:rsid w:val="00B12646"/>
    <w:rsid w:val="00B12CF0"/>
    <w:rsid w:val="00B131F8"/>
    <w:rsid w:val="00B138BE"/>
    <w:rsid w:val="00B139F0"/>
    <w:rsid w:val="00B14007"/>
    <w:rsid w:val="00B14221"/>
    <w:rsid w:val="00B14A04"/>
    <w:rsid w:val="00B14D11"/>
    <w:rsid w:val="00B14E34"/>
    <w:rsid w:val="00B14F23"/>
    <w:rsid w:val="00B1514A"/>
    <w:rsid w:val="00B1572A"/>
    <w:rsid w:val="00B158B6"/>
    <w:rsid w:val="00B1612A"/>
    <w:rsid w:val="00B162E3"/>
    <w:rsid w:val="00B16AE3"/>
    <w:rsid w:val="00B176CD"/>
    <w:rsid w:val="00B17C71"/>
    <w:rsid w:val="00B17DC3"/>
    <w:rsid w:val="00B21D6F"/>
    <w:rsid w:val="00B21E23"/>
    <w:rsid w:val="00B2290B"/>
    <w:rsid w:val="00B22F0E"/>
    <w:rsid w:val="00B23320"/>
    <w:rsid w:val="00B234EB"/>
    <w:rsid w:val="00B23A4B"/>
    <w:rsid w:val="00B23A77"/>
    <w:rsid w:val="00B2410D"/>
    <w:rsid w:val="00B24270"/>
    <w:rsid w:val="00B24D02"/>
    <w:rsid w:val="00B258E8"/>
    <w:rsid w:val="00B25E42"/>
    <w:rsid w:val="00B25EAD"/>
    <w:rsid w:val="00B26868"/>
    <w:rsid w:val="00B27233"/>
    <w:rsid w:val="00B27310"/>
    <w:rsid w:val="00B27641"/>
    <w:rsid w:val="00B27D05"/>
    <w:rsid w:val="00B27D54"/>
    <w:rsid w:val="00B27D74"/>
    <w:rsid w:val="00B30348"/>
    <w:rsid w:val="00B307E2"/>
    <w:rsid w:val="00B30C4D"/>
    <w:rsid w:val="00B30CF9"/>
    <w:rsid w:val="00B30FA0"/>
    <w:rsid w:val="00B317A8"/>
    <w:rsid w:val="00B3185E"/>
    <w:rsid w:val="00B31B8A"/>
    <w:rsid w:val="00B31D9E"/>
    <w:rsid w:val="00B31F89"/>
    <w:rsid w:val="00B322D0"/>
    <w:rsid w:val="00B32383"/>
    <w:rsid w:val="00B3246F"/>
    <w:rsid w:val="00B326ED"/>
    <w:rsid w:val="00B3282D"/>
    <w:rsid w:val="00B32B94"/>
    <w:rsid w:val="00B3339F"/>
    <w:rsid w:val="00B33618"/>
    <w:rsid w:val="00B33F6F"/>
    <w:rsid w:val="00B3479D"/>
    <w:rsid w:val="00B36C32"/>
    <w:rsid w:val="00B36E90"/>
    <w:rsid w:val="00B36F40"/>
    <w:rsid w:val="00B37E25"/>
    <w:rsid w:val="00B41228"/>
    <w:rsid w:val="00B414B6"/>
    <w:rsid w:val="00B4167D"/>
    <w:rsid w:val="00B418DE"/>
    <w:rsid w:val="00B419B6"/>
    <w:rsid w:val="00B41AD7"/>
    <w:rsid w:val="00B41C25"/>
    <w:rsid w:val="00B42C5A"/>
    <w:rsid w:val="00B4320F"/>
    <w:rsid w:val="00B43298"/>
    <w:rsid w:val="00B4353E"/>
    <w:rsid w:val="00B43941"/>
    <w:rsid w:val="00B43C02"/>
    <w:rsid w:val="00B43E51"/>
    <w:rsid w:val="00B442E4"/>
    <w:rsid w:val="00B4479D"/>
    <w:rsid w:val="00B449E6"/>
    <w:rsid w:val="00B44D38"/>
    <w:rsid w:val="00B44EB9"/>
    <w:rsid w:val="00B45015"/>
    <w:rsid w:val="00B4514B"/>
    <w:rsid w:val="00B4523F"/>
    <w:rsid w:val="00B457FF"/>
    <w:rsid w:val="00B461AA"/>
    <w:rsid w:val="00B46531"/>
    <w:rsid w:val="00B46AD0"/>
    <w:rsid w:val="00B470B9"/>
    <w:rsid w:val="00B4713E"/>
    <w:rsid w:val="00B47EDC"/>
    <w:rsid w:val="00B506E7"/>
    <w:rsid w:val="00B5080C"/>
    <w:rsid w:val="00B50950"/>
    <w:rsid w:val="00B5136B"/>
    <w:rsid w:val="00B51803"/>
    <w:rsid w:val="00B51A56"/>
    <w:rsid w:val="00B51C6E"/>
    <w:rsid w:val="00B51CC5"/>
    <w:rsid w:val="00B51E6B"/>
    <w:rsid w:val="00B52AD9"/>
    <w:rsid w:val="00B532DC"/>
    <w:rsid w:val="00B538CD"/>
    <w:rsid w:val="00B53C45"/>
    <w:rsid w:val="00B54618"/>
    <w:rsid w:val="00B54641"/>
    <w:rsid w:val="00B54797"/>
    <w:rsid w:val="00B54E0A"/>
    <w:rsid w:val="00B55559"/>
    <w:rsid w:val="00B55A35"/>
    <w:rsid w:val="00B56799"/>
    <w:rsid w:val="00B577AA"/>
    <w:rsid w:val="00B60315"/>
    <w:rsid w:val="00B603AC"/>
    <w:rsid w:val="00B60A43"/>
    <w:rsid w:val="00B60CA9"/>
    <w:rsid w:val="00B61278"/>
    <w:rsid w:val="00B61490"/>
    <w:rsid w:val="00B61A11"/>
    <w:rsid w:val="00B6233F"/>
    <w:rsid w:val="00B62426"/>
    <w:rsid w:val="00B629BC"/>
    <w:rsid w:val="00B62B76"/>
    <w:rsid w:val="00B62FFF"/>
    <w:rsid w:val="00B63866"/>
    <w:rsid w:val="00B63E93"/>
    <w:rsid w:val="00B6405D"/>
    <w:rsid w:val="00B640EE"/>
    <w:rsid w:val="00B64130"/>
    <w:rsid w:val="00B64C9D"/>
    <w:rsid w:val="00B64DBC"/>
    <w:rsid w:val="00B651D5"/>
    <w:rsid w:val="00B653B0"/>
    <w:rsid w:val="00B65A16"/>
    <w:rsid w:val="00B65CC3"/>
    <w:rsid w:val="00B65E68"/>
    <w:rsid w:val="00B662FF"/>
    <w:rsid w:val="00B66846"/>
    <w:rsid w:val="00B66C2A"/>
    <w:rsid w:val="00B67467"/>
    <w:rsid w:val="00B67511"/>
    <w:rsid w:val="00B6792B"/>
    <w:rsid w:val="00B67AB1"/>
    <w:rsid w:val="00B67C92"/>
    <w:rsid w:val="00B70F38"/>
    <w:rsid w:val="00B71204"/>
    <w:rsid w:val="00B7171A"/>
    <w:rsid w:val="00B71ADC"/>
    <w:rsid w:val="00B71D86"/>
    <w:rsid w:val="00B7228A"/>
    <w:rsid w:val="00B727E3"/>
    <w:rsid w:val="00B72C60"/>
    <w:rsid w:val="00B73DB0"/>
    <w:rsid w:val="00B7407B"/>
    <w:rsid w:val="00B7486D"/>
    <w:rsid w:val="00B74A72"/>
    <w:rsid w:val="00B75A32"/>
    <w:rsid w:val="00B7625D"/>
    <w:rsid w:val="00B76601"/>
    <w:rsid w:val="00B76919"/>
    <w:rsid w:val="00B77394"/>
    <w:rsid w:val="00B77C78"/>
    <w:rsid w:val="00B77DAE"/>
    <w:rsid w:val="00B77F49"/>
    <w:rsid w:val="00B800E6"/>
    <w:rsid w:val="00B80D46"/>
    <w:rsid w:val="00B81307"/>
    <w:rsid w:val="00B818DE"/>
    <w:rsid w:val="00B81A98"/>
    <w:rsid w:val="00B81B0A"/>
    <w:rsid w:val="00B81E65"/>
    <w:rsid w:val="00B82025"/>
    <w:rsid w:val="00B824B3"/>
    <w:rsid w:val="00B82D1C"/>
    <w:rsid w:val="00B82E79"/>
    <w:rsid w:val="00B82F6E"/>
    <w:rsid w:val="00B82F7A"/>
    <w:rsid w:val="00B831A3"/>
    <w:rsid w:val="00B8379F"/>
    <w:rsid w:val="00B83C6D"/>
    <w:rsid w:val="00B8462A"/>
    <w:rsid w:val="00B84C78"/>
    <w:rsid w:val="00B84CBD"/>
    <w:rsid w:val="00B8522E"/>
    <w:rsid w:val="00B8526E"/>
    <w:rsid w:val="00B85377"/>
    <w:rsid w:val="00B853D5"/>
    <w:rsid w:val="00B8543C"/>
    <w:rsid w:val="00B855AF"/>
    <w:rsid w:val="00B85697"/>
    <w:rsid w:val="00B85767"/>
    <w:rsid w:val="00B857B7"/>
    <w:rsid w:val="00B85D32"/>
    <w:rsid w:val="00B86149"/>
    <w:rsid w:val="00B864BA"/>
    <w:rsid w:val="00B874E3"/>
    <w:rsid w:val="00B9007C"/>
    <w:rsid w:val="00B90244"/>
    <w:rsid w:val="00B90DF6"/>
    <w:rsid w:val="00B90EA7"/>
    <w:rsid w:val="00B91660"/>
    <w:rsid w:val="00B91816"/>
    <w:rsid w:val="00B92079"/>
    <w:rsid w:val="00B92110"/>
    <w:rsid w:val="00B92586"/>
    <w:rsid w:val="00B92BC8"/>
    <w:rsid w:val="00B93A1E"/>
    <w:rsid w:val="00B941FD"/>
    <w:rsid w:val="00B94220"/>
    <w:rsid w:val="00B94DDF"/>
    <w:rsid w:val="00B94F87"/>
    <w:rsid w:val="00B950C9"/>
    <w:rsid w:val="00B95222"/>
    <w:rsid w:val="00B9549E"/>
    <w:rsid w:val="00B9560E"/>
    <w:rsid w:val="00B95ED6"/>
    <w:rsid w:val="00B96455"/>
    <w:rsid w:val="00B964EA"/>
    <w:rsid w:val="00B9755D"/>
    <w:rsid w:val="00B9792A"/>
    <w:rsid w:val="00B9793B"/>
    <w:rsid w:val="00B97AD0"/>
    <w:rsid w:val="00BA0639"/>
    <w:rsid w:val="00BA08AF"/>
    <w:rsid w:val="00BA0A4A"/>
    <w:rsid w:val="00BA0B93"/>
    <w:rsid w:val="00BA0C78"/>
    <w:rsid w:val="00BA105C"/>
    <w:rsid w:val="00BA12C1"/>
    <w:rsid w:val="00BA1675"/>
    <w:rsid w:val="00BA1AA8"/>
    <w:rsid w:val="00BA1BA5"/>
    <w:rsid w:val="00BA2171"/>
    <w:rsid w:val="00BA2187"/>
    <w:rsid w:val="00BA2559"/>
    <w:rsid w:val="00BA2D67"/>
    <w:rsid w:val="00BA3020"/>
    <w:rsid w:val="00BA3022"/>
    <w:rsid w:val="00BA3234"/>
    <w:rsid w:val="00BA3BA1"/>
    <w:rsid w:val="00BA3E3B"/>
    <w:rsid w:val="00BA3EFC"/>
    <w:rsid w:val="00BA54D8"/>
    <w:rsid w:val="00BA56A6"/>
    <w:rsid w:val="00BA5A20"/>
    <w:rsid w:val="00BA5ADE"/>
    <w:rsid w:val="00BA5B70"/>
    <w:rsid w:val="00BA5CAB"/>
    <w:rsid w:val="00BA5DCB"/>
    <w:rsid w:val="00BA6C09"/>
    <w:rsid w:val="00BA716E"/>
    <w:rsid w:val="00BA7764"/>
    <w:rsid w:val="00BA7769"/>
    <w:rsid w:val="00BA7EDE"/>
    <w:rsid w:val="00BB052A"/>
    <w:rsid w:val="00BB08D0"/>
    <w:rsid w:val="00BB0B86"/>
    <w:rsid w:val="00BB0E37"/>
    <w:rsid w:val="00BB116E"/>
    <w:rsid w:val="00BB13E0"/>
    <w:rsid w:val="00BB154D"/>
    <w:rsid w:val="00BB1A23"/>
    <w:rsid w:val="00BB1A6B"/>
    <w:rsid w:val="00BB244D"/>
    <w:rsid w:val="00BB2863"/>
    <w:rsid w:val="00BB2E3B"/>
    <w:rsid w:val="00BB3405"/>
    <w:rsid w:val="00BB346D"/>
    <w:rsid w:val="00BB3667"/>
    <w:rsid w:val="00BB3AE7"/>
    <w:rsid w:val="00BB3DE2"/>
    <w:rsid w:val="00BB3EC3"/>
    <w:rsid w:val="00BB40E1"/>
    <w:rsid w:val="00BB40FD"/>
    <w:rsid w:val="00BB42FA"/>
    <w:rsid w:val="00BB4557"/>
    <w:rsid w:val="00BB4F46"/>
    <w:rsid w:val="00BB526A"/>
    <w:rsid w:val="00BB5CE9"/>
    <w:rsid w:val="00BB6482"/>
    <w:rsid w:val="00BB6BA8"/>
    <w:rsid w:val="00BB6F9E"/>
    <w:rsid w:val="00BB7370"/>
    <w:rsid w:val="00BB77D2"/>
    <w:rsid w:val="00BB7C8E"/>
    <w:rsid w:val="00BB7EAC"/>
    <w:rsid w:val="00BC0202"/>
    <w:rsid w:val="00BC0298"/>
    <w:rsid w:val="00BC05E0"/>
    <w:rsid w:val="00BC08E3"/>
    <w:rsid w:val="00BC0CC1"/>
    <w:rsid w:val="00BC0ECB"/>
    <w:rsid w:val="00BC1032"/>
    <w:rsid w:val="00BC12AD"/>
    <w:rsid w:val="00BC21CA"/>
    <w:rsid w:val="00BC387A"/>
    <w:rsid w:val="00BC3D9C"/>
    <w:rsid w:val="00BC3F33"/>
    <w:rsid w:val="00BC3F70"/>
    <w:rsid w:val="00BC4012"/>
    <w:rsid w:val="00BC420D"/>
    <w:rsid w:val="00BC4536"/>
    <w:rsid w:val="00BC464E"/>
    <w:rsid w:val="00BC4739"/>
    <w:rsid w:val="00BC4C76"/>
    <w:rsid w:val="00BC514F"/>
    <w:rsid w:val="00BC545B"/>
    <w:rsid w:val="00BC54A7"/>
    <w:rsid w:val="00BC5689"/>
    <w:rsid w:val="00BC57A0"/>
    <w:rsid w:val="00BC5C67"/>
    <w:rsid w:val="00BC5DD2"/>
    <w:rsid w:val="00BC65C9"/>
    <w:rsid w:val="00BC70B2"/>
    <w:rsid w:val="00BC73F5"/>
    <w:rsid w:val="00BC792B"/>
    <w:rsid w:val="00BC7C43"/>
    <w:rsid w:val="00BC7C7D"/>
    <w:rsid w:val="00BC7D2B"/>
    <w:rsid w:val="00BD0CCE"/>
    <w:rsid w:val="00BD0DA2"/>
    <w:rsid w:val="00BD0E6F"/>
    <w:rsid w:val="00BD1302"/>
    <w:rsid w:val="00BD16C7"/>
    <w:rsid w:val="00BD1B06"/>
    <w:rsid w:val="00BD1B0F"/>
    <w:rsid w:val="00BD21BD"/>
    <w:rsid w:val="00BD24D4"/>
    <w:rsid w:val="00BD2C27"/>
    <w:rsid w:val="00BD33C4"/>
    <w:rsid w:val="00BD3425"/>
    <w:rsid w:val="00BD41D0"/>
    <w:rsid w:val="00BD4AB5"/>
    <w:rsid w:val="00BD4B3D"/>
    <w:rsid w:val="00BD554A"/>
    <w:rsid w:val="00BD55DE"/>
    <w:rsid w:val="00BD5A64"/>
    <w:rsid w:val="00BD5B85"/>
    <w:rsid w:val="00BE068A"/>
    <w:rsid w:val="00BE0966"/>
    <w:rsid w:val="00BE0C57"/>
    <w:rsid w:val="00BE17BC"/>
    <w:rsid w:val="00BE1A11"/>
    <w:rsid w:val="00BE1E51"/>
    <w:rsid w:val="00BE281A"/>
    <w:rsid w:val="00BE2A18"/>
    <w:rsid w:val="00BE2E0E"/>
    <w:rsid w:val="00BE3110"/>
    <w:rsid w:val="00BE3425"/>
    <w:rsid w:val="00BE3ABC"/>
    <w:rsid w:val="00BE3FF7"/>
    <w:rsid w:val="00BE5A01"/>
    <w:rsid w:val="00BE6B2A"/>
    <w:rsid w:val="00BE6F58"/>
    <w:rsid w:val="00BE76C7"/>
    <w:rsid w:val="00BE775C"/>
    <w:rsid w:val="00BF07FD"/>
    <w:rsid w:val="00BF0928"/>
    <w:rsid w:val="00BF146C"/>
    <w:rsid w:val="00BF188C"/>
    <w:rsid w:val="00BF2365"/>
    <w:rsid w:val="00BF2618"/>
    <w:rsid w:val="00BF26DA"/>
    <w:rsid w:val="00BF2BB8"/>
    <w:rsid w:val="00BF3C68"/>
    <w:rsid w:val="00BF3E44"/>
    <w:rsid w:val="00BF408D"/>
    <w:rsid w:val="00BF4303"/>
    <w:rsid w:val="00BF4629"/>
    <w:rsid w:val="00BF46CA"/>
    <w:rsid w:val="00BF4850"/>
    <w:rsid w:val="00BF49C1"/>
    <w:rsid w:val="00BF49DB"/>
    <w:rsid w:val="00BF51EE"/>
    <w:rsid w:val="00BF5A2B"/>
    <w:rsid w:val="00BF5A60"/>
    <w:rsid w:val="00BF5E16"/>
    <w:rsid w:val="00BF6024"/>
    <w:rsid w:val="00BF6E6D"/>
    <w:rsid w:val="00BF6FD1"/>
    <w:rsid w:val="00BF7B6D"/>
    <w:rsid w:val="00BF7D21"/>
    <w:rsid w:val="00BF7D93"/>
    <w:rsid w:val="00BF7F3B"/>
    <w:rsid w:val="00C003C1"/>
    <w:rsid w:val="00C0048F"/>
    <w:rsid w:val="00C0068E"/>
    <w:rsid w:val="00C00743"/>
    <w:rsid w:val="00C00761"/>
    <w:rsid w:val="00C00824"/>
    <w:rsid w:val="00C0091B"/>
    <w:rsid w:val="00C00A12"/>
    <w:rsid w:val="00C00DCD"/>
    <w:rsid w:val="00C018C9"/>
    <w:rsid w:val="00C01F46"/>
    <w:rsid w:val="00C02751"/>
    <w:rsid w:val="00C03939"/>
    <w:rsid w:val="00C03ACB"/>
    <w:rsid w:val="00C03E68"/>
    <w:rsid w:val="00C04085"/>
    <w:rsid w:val="00C0422F"/>
    <w:rsid w:val="00C04DF6"/>
    <w:rsid w:val="00C052E0"/>
    <w:rsid w:val="00C057DB"/>
    <w:rsid w:val="00C05F8E"/>
    <w:rsid w:val="00C069E8"/>
    <w:rsid w:val="00C06A41"/>
    <w:rsid w:val="00C06C52"/>
    <w:rsid w:val="00C0768B"/>
    <w:rsid w:val="00C07EB4"/>
    <w:rsid w:val="00C100FE"/>
    <w:rsid w:val="00C10676"/>
    <w:rsid w:val="00C10F69"/>
    <w:rsid w:val="00C1110D"/>
    <w:rsid w:val="00C1138C"/>
    <w:rsid w:val="00C11547"/>
    <w:rsid w:val="00C116B0"/>
    <w:rsid w:val="00C11E04"/>
    <w:rsid w:val="00C11E57"/>
    <w:rsid w:val="00C12165"/>
    <w:rsid w:val="00C1217A"/>
    <w:rsid w:val="00C12461"/>
    <w:rsid w:val="00C12492"/>
    <w:rsid w:val="00C12713"/>
    <w:rsid w:val="00C128B4"/>
    <w:rsid w:val="00C12BF2"/>
    <w:rsid w:val="00C12EDE"/>
    <w:rsid w:val="00C1322B"/>
    <w:rsid w:val="00C13618"/>
    <w:rsid w:val="00C13F59"/>
    <w:rsid w:val="00C15575"/>
    <w:rsid w:val="00C158A8"/>
    <w:rsid w:val="00C159B3"/>
    <w:rsid w:val="00C16382"/>
    <w:rsid w:val="00C16F2D"/>
    <w:rsid w:val="00C170AE"/>
    <w:rsid w:val="00C176D6"/>
    <w:rsid w:val="00C17940"/>
    <w:rsid w:val="00C17B3C"/>
    <w:rsid w:val="00C2008A"/>
    <w:rsid w:val="00C2009B"/>
    <w:rsid w:val="00C20298"/>
    <w:rsid w:val="00C206D5"/>
    <w:rsid w:val="00C20E36"/>
    <w:rsid w:val="00C210F4"/>
    <w:rsid w:val="00C21796"/>
    <w:rsid w:val="00C21A3E"/>
    <w:rsid w:val="00C22835"/>
    <w:rsid w:val="00C2286B"/>
    <w:rsid w:val="00C229E3"/>
    <w:rsid w:val="00C22E9A"/>
    <w:rsid w:val="00C22EC1"/>
    <w:rsid w:val="00C24207"/>
    <w:rsid w:val="00C24307"/>
    <w:rsid w:val="00C2449F"/>
    <w:rsid w:val="00C24DEB"/>
    <w:rsid w:val="00C24F55"/>
    <w:rsid w:val="00C251F8"/>
    <w:rsid w:val="00C25B1F"/>
    <w:rsid w:val="00C25C7A"/>
    <w:rsid w:val="00C26B93"/>
    <w:rsid w:val="00C26C54"/>
    <w:rsid w:val="00C26E7F"/>
    <w:rsid w:val="00C2786D"/>
    <w:rsid w:val="00C27A2F"/>
    <w:rsid w:val="00C300B4"/>
    <w:rsid w:val="00C30580"/>
    <w:rsid w:val="00C3067E"/>
    <w:rsid w:val="00C30875"/>
    <w:rsid w:val="00C31DC0"/>
    <w:rsid w:val="00C31F23"/>
    <w:rsid w:val="00C32437"/>
    <w:rsid w:val="00C3301C"/>
    <w:rsid w:val="00C33275"/>
    <w:rsid w:val="00C33642"/>
    <w:rsid w:val="00C33B4B"/>
    <w:rsid w:val="00C34190"/>
    <w:rsid w:val="00C3440F"/>
    <w:rsid w:val="00C34437"/>
    <w:rsid w:val="00C34AC7"/>
    <w:rsid w:val="00C34B5E"/>
    <w:rsid w:val="00C35794"/>
    <w:rsid w:val="00C35896"/>
    <w:rsid w:val="00C35A54"/>
    <w:rsid w:val="00C360BD"/>
    <w:rsid w:val="00C36598"/>
    <w:rsid w:val="00C368E2"/>
    <w:rsid w:val="00C36AE5"/>
    <w:rsid w:val="00C36F82"/>
    <w:rsid w:val="00C3792B"/>
    <w:rsid w:val="00C37B44"/>
    <w:rsid w:val="00C400FE"/>
    <w:rsid w:val="00C404F2"/>
    <w:rsid w:val="00C406F9"/>
    <w:rsid w:val="00C40927"/>
    <w:rsid w:val="00C40C74"/>
    <w:rsid w:val="00C40D3B"/>
    <w:rsid w:val="00C40F0C"/>
    <w:rsid w:val="00C419FB"/>
    <w:rsid w:val="00C42903"/>
    <w:rsid w:val="00C42BBD"/>
    <w:rsid w:val="00C4357B"/>
    <w:rsid w:val="00C43D82"/>
    <w:rsid w:val="00C43F3B"/>
    <w:rsid w:val="00C4418F"/>
    <w:rsid w:val="00C44452"/>
    <w:rsid w:val="00C44777"/>
    <w:rsid w:val="00C45C8E"/>
    <w:rsid w:val="00C45D06"/>
    <w:rsid w:val="00C46CBC"/>
    <w:rsid w:val="00C47566"/>
    <w:rsid w:val="00C47818"/>
    <w:rsid w:val="00C47C39"/>
    <w:rsid w:val="00C504A5"/>
    <w:rsid w:val="00C51778"/>
    <w:rsid w:val="00C5187E"/>
    <w:rsid w:val="00C51D77"/>
    <w:rsid w:val="00C51FF3"/>
    <w:rsid w:val="00C5246B"/>
    <w:rsid w:val="00C52CF1"/>
    <w:rsid w:val="00C5393E"/>
    <w:rsid w:val="00C53D32"/>
    <w:rsid w:val="00C54643"/>
    <w:rsid w:val="00C546A2"/>
    <w:rsid w:val="00C54911"/>
    <w:rsid w:val="00C55248"/>
    <w:rsid w:val="00C55FDA"/>
    <w:rsid w:val="00C562F7"/>
    <w:rsid w:val="00C5638A"/>
    <w:rsid w:val="00C572A2"/>
    <w:rsid w:val="00C579AB"/>
    <w:rsid w:val="00C57DA7"/>
    <w:rsid w:val="00C606AF"/>
    <w:rsid w:val="00C60862"/>
    <w:rsid w:val="00C60D30"/>
    <w:rsid w:val="00C60E4A"/>
    <w:rsid w:val="00C61257"/>
    <w:rsid w:val="00C61652"/>
    <w:rsid w:val="00C631E4"/>
    <w:rsid w:val="00C63602"/>
    <w:rsid w:val="00C637B2"/>
    <w:rsid w:val="00C63FBC"/>
    <w:rsid w:val="00C6479A"/>
    <w:rsid w:val="00C64860"/>
    <w:rsid w:val="00C64CC7"/>
    <w:rsid w:val="00C64D85"/>
    <w:rsid w:val="00C64DC8"/>
    <w:rsid w:val="00C64EE2"/>
    <w:rsid w:val="00C652CD"/>
    <w:rsid w:val="00C65671"/>
    <w:rsid w:val="00C65AB7"/>
    <w:rsid w:val="00C66249"/>
    <w:rsid w:val="00C66565"/>
    <w:rsid w:val="00C66819"/>
    <w:rsid w:val="00C66CFD"/>
    <w:rsid w:val="00C66D75"/>
    <w:rsid w:val="00C67630"/>
    <w:rsid w:val="00C67A83"/>
    <w:rsid w:val="00C67EE8"/>
    <w:rsid w:val="00C67FC3"/>
    <w:rsid w:val="00C70192"/>
    <w:rsid w:val="00C7026B"/>
    <w:rsid w:val="00C70629"/>
    <w:rsid w:val="00C70865"/>
    <w:rsid w:val="00C713E1"/>
    <w:rsid w:val="00C7144D"/>
    <w:rsid w:val="00C71586"/>
    <w:rsid w:val="00C718DD"/>
    <w:rsid w:val="00C7200A"/>
    <w:rsid w:val="00C72604"/>
    <w:rsid w:val="00C727FC"/>
    <w:rsid w:val="00C72C56"/>
    <w:rsid w:val="00C73078"/>
    <w:rsid w:val="00C73314"/>
    <w:rsid w:val="00C73777"/>
    <w:rsid w:val="00C740AC"/>
    <w:rsid w:val="00C74A2F"/>
    <w:rsid w:val="00C74C60"/>
    <w:rsid w:val="00C750BC"/>
    <w:rsid w:val="00C753F0"/>
    <w:rsid w:val="00C75DD6"/>
    <w:rsid w:val="00C75E94"/>
    <w:rsid w:val="00C75FB0"/>
    <w:rsid w:val="00C7619D"/>
    <w:rsid w:val="00C76711"/>
    <w:rsid w:val="00C76986"/>
    <w:rsid w:val="00C7699A"/>
    <w:rsid w:val="00C77563"/>
    <w:rsid w:val="00C77C8D"/>
    <w:rsid w:val="00C8092E"/>
    <w:rsid w:val="00C80B65"/>
    <w:rsid w:val="00C8101A"/>
    <w:rsid w:val="00C82603"/>
    <w:rsid w:val="00C82607"/>
    <w:rsid w:val="00C8269A"/>
    <w:rsid w:val="00C8277A"/>
    <w:rsid w:val="00C82D0A"/>
    <w:rsid w:val="00C82DEE"/>
    <w:rsid w:val="00C82E4F"/>
    <w:rsid w:val="00C83674"/>
    <w:rsid w:val="00C84456"/>
    <w:rsid w:val="00C84F68"/>
    <w:rsid w:val="00C858D3"/>
    <w:rsid w:val="00C85D0B"/>
    <w:rsid w:val="00C86558"/>
    <w:rsid w:val="00C867C7"/>
    <w:rsid w:val="00C86C90"/>
    <w:rsid w:val="00C86EA8"/>
    <w:rsid w:val="00C870E1"/>
    <w:rsid w:val="00C875BC"/>
    <w:rsid w:val="00C87961"/>
    <w:rsid w:val="00C87A89"/>
    <w:rsid w:val="00C90652"/>
    <w:rsid w:val="00C9093C"/>
    <w:rsid w:val="00C90A94"/>
    <w:rsid w:val="00C90F31"/>
    <w:rsid w:val="00C910A0"/>
    <w:rsid w:val="00C91128"/>
    <w:rsid w:val="00C914FD"/>
    <w:rsid w:val="00C9193E"/>
    <w:rsid w:val="00C91BB9"/>
    <w:rsid w:val="00C91E84"/>
    <w:rsid w:val="00C92129"/>
    <w:rsid w:val="00C924E0"/>
    <w:rsid w:val="00C925FE"/>
    <w:rsid w:val="00C928D6"/>
    <w:rsid w:val="00C92B85"/>
    <w:rsid w:val="00C92C4B"/>
    <w:rsid w:val="00C92E35"/>
    <w:rsid w:val="00C931FB"/>
    <w:rsid w:val="00C93200"/>
    <w:rsid w:val="00C935F0"/>
    <w:rsid w:val="00C939E6"/>
    <w:rsid w:val="00C93A6B"/>
    <w:rsid w:val="00C94603"/>
    <w:rsid w:val="00C94EC0"/>
    <w:rsid w:val="00C94FD3"/>
    <w:rsid w:val="00C9527C"/>
    <w:rsid w:val="00C95547"/>
    <w:rsid w:val="00C95A20"/>
    <w:rsid w:val="00C95E41"/>
    <w:rsid w:val="00C96125"/>
    <w:rsid w:val="00C96322"/>
    <w:rsid w:val="00C9659A"/>
    <w:rsid w:val="00C965E0"/>
    <w:rsid w:val="00C9683B"/>
    <w:rsid w:val="00C96F44"/>
    <w:rsid w:val="00C96F55"/>
    <w:rsid w:val="00C97844"/>
    <w:rsid w:val="00C9793F"/>
    <w:rsid w:val="00C97FCD"/>
    <w:rsid w:val="00CA04A3"/>
    <w:rsid w:val="00CA0525"/>
    <w:rsid w:val="00CA0ACF"/>
    <w:rsid w:val="00CA1641"/>
    <w:rsid w:val="00CA1C60"/>
    <w:rsid w:val="00CA1CCC"/>
    <w:rsid w:val="00CA223E"/>
    <w:rsid w:val="00CA238F"/>
    <w:rsid w:val="00CA2540"/>
    <w:rsid w:val="00CA26CF"/>
    <w:rsid w:val="00CA29D4"/>
    <w:rsid w:val="00CA3514"/>
    <w:rsid w:val="00CA3778"/>
    <w:rsid w:val="00CA390F"/>
    <w:rsid w:val="00CA3CA8"/>
    <w:rsid w:val="00CA3DCF"/>
    <w:rsid w:val="00CA42AB"/>
    <w:rsid w:val="00CA49AA"/>
    <w:rsid w:val="00CA4B99"/>
    <w:rsid w:val="00CA4F3F"/>
    <w:rsid w:val="00CA5858"/>
    <w:rsid w:val="00CA5A1C"/>
    <w:rsid w:val="00CA5A41"/>
    <w:rsid w:val="00CA5C88"/>
    <w:rsid w:val="00CA6CBF"/>
    <w:rsid w:val="00CA77AB"/>
    <w:rsid w:val="00CA7D7B"/>
    <w:rsid w:val="00CA7FAF"/>
    <w:rsid w:val="00CB10BB"/>
    <w:rsid w:val="00CB16D0"/>
    <w:rsid w:val="00CB1B03"/>
    <w:rsid w:val="00CB1C7B"/>
    <w:rsid w:val="00CB1F1A"/>
    <w:rsid w:val="00CB21D6"/>
    <w:rsid w:val="00CB2238"/>
    <w:rsid w:val="00CB2469"/>
    <w:rsid w:val="00CB31BE"/>
    <w:rsid w:val="00CB39FE"/>
    <w:rsid w:val="00CB3D21"/>
    <w:rsid w:val="00CB3F20"/>
    <w:rsid w:val="00CB46EA"/>
    <w:rsid w:val="00CB4737"/>
    <w:rsid w:val="00CB4746"/>
    <w:rsid w:val="00CB4ABB"/>
    <w:rsid w:val="00CB58D5"/>
    <w:rsid w:val="00CB5DDD"/>
    <w:rsid w:val="00CB5EA0"/>
    <w:rsid w:val="00CB5FC9"/>
    <w:rsid w:val="00CB60DE"/>
    <w:rsid w:val="00CB75F7"/>
    <w:rsid w:val="00CC0811"/>
    <w:rsid w:val="00CC0979"/>
    <w:rsid w:val="00CC1041"/>
    <w:rsid w:val="00CC15DE"/>
    <w:rsid w:val="00CC1820"/>
    <w:rsid w:val="00CC1AB3"/>
    <w:rsid w:val="00CC1C5A"/>
    <w:rsid w:val="00CC1CF7"/>
    <w:rsid w:val="00CC3E56"/>
    <w:rsid w:val="00CC4A73"/>
    <w:rsid w:val="00CC4CBD"/>
    <w:rsid w:val="00CC4F9B"/>
    <w:rsid w:val="00CC50B2"/>
    <w:rsid w:val="00CC550D"/>
    <w:rsid w:val="00CC5F4E"/>
    <w:rsid w:val="00CC6EAC"/>
    <w:rsid w:val="00CC6EB5"/>
    <w:rsid w:val="00CC6FA0"/>
    <w:rsid w:val="00CC7B52"/>
    <w:rsid w:val="00CC7E4E"/>
    <w:rsid w:val="00CD0CDF"/>
    <w:rsid w:val="00CD0E66"/>
    <w:rsid w:val="00CD0EE0"/>
    <w:rsid w:val="00CD0F75"/>
    <w:rsid w:val="00CD17E9"/>
    <w:rsid w:val="00CD1DC3"/>
    <w:rsid w:val="00CD2082"/>
    <w:rsid w:val="00CD2344"/>
    <w:rsid w:val="00CD24A0"/>
    <w:rsid w:val="00CD2617"/>
    <w:rsid w:val="00CD2751"/>
    <w:rsid w:val="00CD2C8E"/>
    <w:rsid w:val="00CD2ED6"/>
    <w:rsid w:val="00CD383D"/>
    <w:rsid w:val="00CD3FDC"/>
    <w:rsid w:val="00CD3FE4"/>
    <w:rsid w:val="00CD4C12"/>
    <w:rsid w:val="00CD4E2B"/>
    <w:rsid w:val="00CD5476"/>
    <w:rsid w:val="00CD55E5"/>
    <w:rsid w:val="00CD57C2"/>
    <w:rsid w:val="00CD5C49"/>
    <w:rsid w:val="00CD5DC2"/>
    <w:rsid w:val="00CD6712"/>
    <w:rsid w:val="00CD69E3"/>
    <w:rsid w:val="00CD6BAA"/>
    <w:rsid w:val="00CD6C38"/>
    <w:rsid w:val="00CD6D3E"/>
    <w:rsid w:val="00CD71CD"/>
    <w:rsid w:val="00CD782D"/>
    <w:rsid w:val="00CD7913"/>
    <w:rsid w:val="00CD7FD9"/>
    <w:rsid w:val="00CE02A8"/>
    <w:rsid w:val="00CE04D3"/>
    <w:rsid w:val="00CE0A33"/>
    <w:rsid w:val="00CE0EB1"/>
    <w:rsid w:val="00CE0EEC"/>
    <w:rsid w:val="00CE11A1"/>
    <w:rsid w:val="00CE15FD"/>
    <w:rsid w:val="00CE1843"/>
    <w:rsid w:val="00CE1880"/>
    <w:rsid w:val="00CE1DAB"/>
    <w:rsid w:val="00CE230F"/>
    <w:rsid w:val="00CE2401"/>
    <w:rsid w:val="00CE370C"/>
    <w:rsid w:val="00CE46F0"/>
    <w:rsid w:val="00CE4E3F"/>
    <w:rsid w:val="00CE5293"/>
    <w:rsid w:val="00CE5712"/>
    <w:rsid w:val="00CE5742"/>
    <w:rsid w:val="00CE59F9"/>
    <w:rsid w:val="00CE5FA6"/>
    <w:rsid w:val="00CE6387"/>
    <w:rsid w:val="00CE63B6"/>
    <w:rsid w:val="00CE6A59"/>
    <w:rsid w:val="00CE7183"/>
    <w:rsid w:val="00CE729F"/>
    <w:rsid w:val="00CE7B38"/>
    <w:rsid w:val="00CE7BA7"/>
    <w:rsid w:val="00CE7F1A"/>
    <w:rsid w:val="00CF011E"/>
    <w:rsid w:val="00CF0247"/>
    <w:rsid w:val="00CF0346"/>
    <w:rsid w:val="00CF03F2"/>
    <w:rsid w:val="00CF0749"/>
    <w:rsid w:val="00CF0797"/>
    <w:rsid w:val="00CF0919"/>
    <w:rsid w:val="00CF0FD1"/>
    <w:rsid w:val="00CF17A9"/>
    <w:rsid w:val="00CF19C9"/>
    <w:rsid w:val="00CF1ABB"/>
    <w:rsid w:val="00CF1BAE"/>
    <w:rsid w:val="00CF2910"/>
    <w:rsid w:val="00CF34FF"/>
    <w:rsid w:val="00CF3624"/>
    <w:rsid w:val="00CF3EE6"/>
    <w:rsid w:val="00CF478A"/>
    <w:rsid w:val="00CF4D2B"/>
    <w:rsid w:val="00CF50DD"/>
    <w:rsid w:val="00CF5565"/>
    <w:rsid w:val="00CF5954"/>
    <w:rsid w:val="00CF5B78"/>
    <w:rsid w:val="00CF5C72"/>
    <w:rsid w:val="00CF6145"/>
    <w:rsid w:val="00CF66AF"/>
    <w:rsid w:val="00CF6920"/>
    <w:rsid w:val="00CF6D1B"/>
    <w:rsid w:val="00CF714D"/>
    <w:rsid w:val="00CF7192"/>
    <w:rsid w:val="00CF75C0"/>
    <w:rsid w:val="00CF789C"/>
    <w:rsid w:val="00CF78CA"/>
    <w:rsid w:val="00CF7F73"/>
    <w:rsid w:val="00D00627"/>
    <w:rsid w:val="00D00B59"/>
    <w:rsid w:val="00D00D25"/>
    <w:rsid w:val="00D00FFD"/>
    <w:rsid w:val="00D01DAD"/>
    <w:rsid w:val="00D0212A"/>
    <w:rsid w:val="00D02633"/>
    <w:rsid w:val="00D02976"/>
    <w:rsid w:val="00D02A8F"/>
    <w:rsid w:val="00D02D7A"/>
    <w:rsid w:val="00D02D83"/>
    <w:rsid w:val="00D02EE8"/>
    <w:rsid w:val="00D036FC"/>
    <w:rsid w:val="00D03A19"/>
    <w:rsid w:val="00D03CA9"/>
    <w:rsid w:val="00D04862"/>
    <w:rsid w:val="00D04972"/>
    <w:rsid w:val="00D05081"/>
    <w:rsid w:val="00D05287"/>
    <w:rsid w:val="00D055AE"/>
    <w:rsid w:val="00D057FC"/>
    <w:rsid w:val="00D063BB"/>
    <w:rsid w:val="00D06457"/>
    <w:rsid w:val="00D06AFB"/>
    <w:rsid w:val="00D06F55"/>
    <w:rsid w:val="00D074ED"/>
    <w:rsid w:val="00D07DCB"/>
    <w:rsid w:val="00D07DF2"/>
    <w:rsid w:val="00D104DC"/>
    <w:rsid w:val="00D109F2"/>
    <w:rsid w:val="00D11ACE"/>
    <w:rsid w:val="00D121FB"/>
    <w:rsid w:val="00D12369"/>
    <w:rsid w:val="00D12840"/>
    <w:rsid w:val="00D13594"/>
    <w:rsid w:val="00D136BB"/>
    <w:rsid w:val="00D13CE4"/>
    <w:rsid w:val="00D140FE"/>
    <w:rsid w:val="00D145DE"/>
    <w:rsid w:val="00D146CE"/>
    <w:rsid w:val="00D15156"/>
    <w:rsid w:val="00D15759"/>
    <w:rsid w:val="00D15CE8"/>
    <w:rsid w:val="00D15E88"/>
    <w:rsid w:val="00D1603F"/>
    <w:rsid w:val="00D161E9"/>
    <w:rsid w:val="00D1628C"/>
    <w:rsid w:val="00D16E3B"/>
    <w:rsid w:val="00D1789D"/>
    <w:rsid w:val="00D178B0"/>
    <w:rsid w:val="00D17AD7"/>
    <w:rsid w:val="00D17D60"/>
    <w:rsid w:val="00D17F1F"/>
    <w:rsid w:val="00D20254"/>
    <w:rsid w:val="00D20978"/>
    <w:rsid w:val="00D20C38"/>
    <w:rsid w:val="00D20EF6"/>
    <w:rsid w:val="00D21653"/>
    <w:rsid w:val="00D21776"/>
    <w:rsid w:val="00D21C2E"/>
    <w:rsid w:val="00D222B6"/>
    <w:rsid w:val="00D222F6"/>
    <w:rsid w:val="00D22853"/>
    <w:rsid w:val="00D23102"/>
    <w:rsid w:val="00D233A8"/>
    <w:rsid w:val="00D235A7"/>
    <w:rsid w:val="00D24072"/>
    <w:rsid w:val="00D244AB"/>
    <w:rsid w:val="00D24A6D"/>
    <w:rsid w:val="00D24DC4"/>
    <w:rsid w:val="00D24F81"/>
    <w:rsid w:val="00D25510"/>
    <w:rsid w:val="00D2560A"/>
    <w:rsid w:val="00D257D1"/>
    <w:rsid w:val="00D2590F"/>
    <w:rsid w:val="00D2598B"/>
    <w:rsid w:val="00D2609E"/>
    <w:rsid w:val="00D26CDB"/>
    <w:rsid w:val="00D27094"/>
    <w:rsid w:val="00D2767B"/>
    <w:rsid w:val="00D27764"/>
    <w:rsid w:val="00D27A33"/>
    <w:rsid w:val="00D302A2"/>
    <w:rsid w:val="00D30452"/>
    <w:rsid w:val="00D314E7"/>
    <w:rsid w:val="00D317F4"/>
    <w:rsid w:val="00D3243C"/>
    <w:rsid w:val="00D331D3"/>
    <w:rsid w:val="00D33AB9"/>
    <w:rsid w:val="00D33B07"/>
    <w:rsid w:val="00D34587"/>
    <w:rsid w:val="00D3473C"/>
    <w:rsid w:val="00D3541E"/>
    <w:rsid w:val="00D355AB"/>
    <w:rsid w:val="00D355D6"/>
    <w:rsid w:val="00D35780"/>
    <w:rsid w:val="00D359B2"/>
    <w:rsid w:val="00D35AB6"/>
    <w:rsid w:val="00D35D74"/>
    <w:rsid w:val="00D35D8C"/>
    <w:rsid w:val="00D35F68"/>
    <w:rsid w:val="00D361D4"/>
    <w:rsid w:val="00D3642C"/>
    <w:rsid w:val="00D365EA"/>
    <w:rsid w:val="00D3669D"/>
    <w:rsid w:val="00D36D14"/>
    <w:rsid w:val="00D36DA1"/>
    <w:rsid w:val="00D37042"/>
    <w:rsid w:val="00D370A2"/>
    <w:rsid w:val="00D3735E"/>
    <w:rsid w:val="00D3758D"/>
    <w:rsid w:val="00D37FB4"/>
    <w:rsid w:val="00D409D7"/>
    <w:rsid w:val="00D40E86"/>
    <w:rsid w:val="00D41009"/>
    <w:rsid w:val="00D4133B"/>
    <w:rsid w:val="00D416B1"/>
    <w:rsid w:val="00D417C6"/>
    <w:rsid w:val="00D423D4"/>
    <w:rsid w:val="00D429F3"/>
    <w:rsid w:val="00D42AD8"/>
    <w:rsid w:val="00D43290"/>
    <w:rsid w:val="00D432E6"/>
    <w:rsid w:val="00D43578"/>
    <w:rsid w:val="00D43F75"/>
    <w:rsid w:val="00D43F86"/>
    <w:rsid w:val="00D441C3"/>
    <w:rsid w:val="00D4444A"/>
    <w:rsid w:val="00D44537"/>
    <w:rsid w:val="00D4455D"/>
    <w:rsid w:val="00D44CD7"/>
    <w:rsid w:val="00D44D82"/>
    <w:rsid w:val="00D44EF3"/>
    <w:rsid w:val="00D45168"/>
    <w:rsid w:val="00D452E0"/>
    <w:rsid w:val="00D45725"/>
    <w:rsid w:val="00D459D3"/>
    <w:rsid w:val="00D45EE8"/>
    <w:rsid w:val="00D460FB"/>
    <w:rsid w:val="00D4641A"/>
    <w:rsid w:val="00D469B6"/>
    <w:rsid w:val="00D46CCD"/>
    <w:rsid w:val="00D46DB0"/>
    <w:rsid w:val="00D4709D"/>
    <w:rsid w:val="00D47487"/>
    <w:rsid w:val="00D47A2E"/>
    <w:rsid w:val="00D47C8F"/>
    <w:rsid w:val="00D50DE7"/>
    <w:rsid w:val="00D50F01"/>
    <w:rsid w:val="00D514F6"/>
    <w:rsid w:val="00D51763"/>
    <w:rsid w:val="00D51EF2"/>
    <w:rsid w:val="00D52065"/>
    <w:rsid w:val="00D5215C"/>
    <w:rsid w:val="00D525FC"/>
    <w:rsid w:val="00D527C2"/>
    <w:rsid w:val="00D529C2"/>
    <w:rsid w:val="00D52A14"/>
    <w:rsid w:val="00D52F7C"/>
    <w:rsid w:val="00D5361A"/>
    <w:rsid w:val="00D53A1A"/>
    <w:rsid w:val="00D53A3E"/>
    <w:rsid w:val="00D53A52"/>
    <w:rsid w:val="00D53BA2"/>
    <w:rsid w:val="00D544D5"/>
    <w:rsid w:val="00D545D3"/>
    <w:rsid w:val="00D54691"/>
    <w:rsid w:val="00D54717"/>
    <w:rsid w:val="00D54817"/>
    <w:rsid w:val="00D54CE7"/>
    <w:rsid w:val="00D54F02"/>
    <w:rsid w:val="00D55C7A"/>
    <w:rsid w:val="00D55ED6"/>
    <w:rsid w:val="00D56875"/>
    <w:rsid w:val="00D568AE"/>
    <w:rsid w:val="00D56BB9"/>
    <w:rsid w:val="00D56F06"/>
    <w:rsid w:val="00D57BF6"/>
    <w:rsid w:val="00D57D99"/>
    <w:rsid w:val="00D60093"/>
    <w:rsid w:val="00D6040C"/>
    <w:rsid w:val="00D60535"/>
    <w:rsid w:val="00D6103C"/>
    <w:rsid w:val="00D61C01"/>
    <w:rsid w:val="00D62537"/>
    <w:rsid w:val="00D626E0"/>
    <w:rsid w:val="00D62725"/>
    <w:rsid w:val="00D629F9"/>
    <w:rsid w:val="00D63693"/>
    <w:rsid w:val="00D637FB"/>
    <w:rsid w:val="00D63ABD"/>
    <w:rsid w:val="00D63C2F"/>
    <w:rsid w:val="00D63FC6"/>
    <w:rsid w:val="00D641FE"/>
    <w:rsid w:val="00D65395"/>
    <w:rsid w:val="00D653DE"/>
    <w:rsid w:val="00D65EA7"/>
    <w:rsid w:val="00D6604F"/>
    <w:rsid w:val="00D66325"/>
    <w:rsid w:val="00D66680"/>
    <w:rsid w:val="00D66BCB"/>
    <w:rsid w:val="00D66C1A"/>
    <w:rsid w:val="00D66D48"/>
    <w:rsid w:val="00D67364"/>
    <w:rsid w:val="00D673CC"/>
    <w:rsid w:val="00D677D7"/>
    <w:rsid w:val="00D67C5E"/>
    <w:rsid w:val="00D67DDC"/>
    <w:rsid w:val="00D70666"/>
    <w:rsid w:val="00D70C54"/>
    <w:rsid w:val="00D719D7"/>
    <w:rsid w:val="00D71AE8"/>
    <w:rsid w:val="00D7201D"/>
    <w:rsid w:val="00D722A1"/>
    <w:rsid w:val="00D722F3"/>
    <w:rsid w:val="00D72639"/>
    <w:rsid w:val="00D73287"/>
    <w:rsid w:val="00D734BD"/>
    <w:rsid w:val="00D736E5"/>
    <w:rsid w:val="00D738B7"/>
    <w:rsid w:val="00D73CC6"/>
    <w:rsid w:val="00D73D1E"/>
    <w:rsid w:val="00D73DB7"/>
    <w:rsid w:val="00D73DEF"/>
    <w:rsid w:val="00D745E0"/>
    <w:rsid w:val="00D74B5F"/>
    <w:rsid w:val="00D74B81"/>
    <w:rsid w:val="00D74E7B"/>
    <w:rsid w:val="00D757D4"/>
    <w:rsid w:val="00D75F22"/>
    <w:rsid w:val="00D75F41"/>
    <w:rsid w:val="00D762C5"/>
    <w:rsid w:val="00D76351"/>
    <w:rsid w:val="00D76809"/>
    <w:rsid w:val="00D77269"/>
    <w:rsid w:val="00D77466"/>
    <w:rsid w:val="00D80116"/>
    <w:rsid w:val="00D8014D"/>
    <w:rsid w:val="00D80970"/>
    <w:rsid w:val="00D80A5A"/>
    <w:rsid w:val="00D80C2A"/>
    <w:rsid w:val="00D80C85"/>
    <w:rsid w:val="00D810AB"/>
    <w:rsid w:val="00D8156C"/>
    <w:rsid w:val="00D8158B"/>
    <w:rsid w:val="00D81E67"/>
    <w:rsid w:val="00D82253"/>
    <w:rsid w:val="00D823C8"/>
    <w:rsid w:val="00D830F9"/>
    <w:rsid w:val="00D83886"/>
    <w:rsid w:val="00D83C33"/>
    <w:rsid w:val="00D83F19"/>
    <w:rsid w:val="00D83FBC"/>
    <w:rsid w:val="00D84487"/>
    <w:rsid w:val="00D845D9"/>
    <w:rsid w:val="00D862F8"/>
    <w:rsid w:val="00D86864"/>
    <w:rsid w:val="00D868F4"/>
    <w:rsid w:val="00D86BA5"/>
    <w:rsid w:val="00D86E87"/>
    <w:rsid w:val="00D86F86"/>
    <w:rsid w:val="00D87370"/>
    <w:rsid w:val="00D8772A"/>
    <w:rsid w:val="00D87785"/>
    <w:rsid w:val="00D87888"/>
    <w:rsid w:val="00D87B0C"/>
    <w:rsid w:val="00D87CC7"/>
    <w:rsid w:val="00D87DB4"/>
    <w:rsid w:val="00D87EE6"/>
    <w:rsid w:val="00D90315"/>
    <w:rsid w:val="00D9033A"/>
    <w:rsid w:val="00D907A3"/>
    <w:rsid w:val="00D908BA"/>
    <w:rsid w:val="00D90E81"/>
    <w:rsid w:val="00D91190"/>
    <w:rsid w:val="00D91DF8"/>
    <w:rsid w:val="00D925EA"/>
    <w:rsid w:val="00D926A9"/>
    <w:rsid w:val="00D93680"/>
    <w:rsid w:val="00D9384B"/>
    <w:rsid w:val="00D93BAC"/>
    <w:rsid w:val="00D94232"/>
    <w:rsid w:val="00D946D8"/>
    <w:rsid w:val="00D95406"/>
    <w:rsid w:val="00D955BC"/>
    <w:rsid w:val="00D9621B"/>
    <w:rsid w:val="00D9622E"/>
    <w:rsid w:val="00D96724"/>
    <w:rsid w:val="00D96FE9"/>
    <w:rsid w:val="00D97B3C"/>
    <w:rsid w:val="00D97C4B"/>
    <w:rsid w:val="00DA0043"/>
    <w:rsid w:val="00DA0ACD"/>
    <w:rsid w:val="00DA0CB2"/>
    <w:rsid w:val="00DA1150"/>
    <w:rsid w:val="00DA1263"/>
    <w:rsid w:val="00DA1EC7"/>
    <w:rsid w:val="00DA25A8"/>
    <w:rsid w:val="00DA2A03"/>
    <w:rsid w:val="00DA2E55"/>
    <w:rsid w:val="00DA35D9"/>
    <w:rsid w:val="00DA3CB9"/>
    <w:rsid w:val="00DA3FAB"/>
    <w:rsid w:val="00DA4196"/>
    <w:rsid w:val="00DA429B"/>
    <w:rsid w:val="00DA4995"/>
    <w:rsid w:val="00DA4AF1"/>
    <w:rsid w:val="00DA50A8"/>
    <w:rsid w:val="00DA52CC"/>
    <w:rsid w:val="00DA57F8"/>
    <w:rsid w:val="00DA679F"/>
    <w:rsid w:val="00DA6E38"/>
    <w:rsid w:val="00DA7307"/>
    <w:rsid w:val="00DA752D"/>
    <w:rsid w:val="00DA789A"/>
    <w:rsid w:val="00DA7B5C"/>
    <w:rsid w:val="00DA7FC4"/>
    <w:rsid w:val="00DB0102"/>
    <w:rsid w:val="00DB058D"/>
    <w:rsid w:val="00DB0792"/>
    <w:rsid w:val="00DB121E"/>
    <w:rsid w:val="00DB1539"/>
    <w:rsid w:val="00DB1549"/>
    <w:rsid w:val="00DB167C"/>
    <w:rsid w:val="00DB1ABD"/>
    <w:rsid w:val="00DB1D39"/>
    <w:rsid w:val="00DB2277"/>
    <w:rsid w:val="00DB29C4"/>
    <w:rsid w:val="00DB3109"/>
    <w:rsid w:val="00DB3597"/>
    <w:rsid w:val="00DB3ADF"/>
    <w:rsid w:val="00DB3CBF"/>
    <w:rsid w:val="00DB3E1E"/>
    <w:rsid w:val="00DB4A97"/>
    <w:rsid w:val="00DB4E91"/>
    <w:rsid w:val="00DB55AA"/>
    <w:rsid w:val="00DB5ABA"/>
    <w:rsid w:val="00DB6237"/>
    <w:rsid w:val="00DB6DB5"/>
    <w:rsid w:val="00DB6DD4"/>
    <w:rsid w:val="00DB7026"/>
    <w:rsid w:val="00DB717E"/>
    <w:rsid w:val="00DB73BB"/>
    <w:rsid w:val="00DB759D"/>
    <w:rsid w:val="00DB7764"/>
    <w:rsid w:val="00DB782E"/>
    <w:rsid w:val="00DB7A2C"/>
    <w:rsid w:val="00DB7CE1"/>
    <w:rsid w:val="00DB7DA1"/>
    <w:rsid w:val="00DB7F1E"/>
    <w:rsid w:val="00DC04B1"/>
    <w:rsid w:val="00DC070D"/>
    <w:rsid w:val="00DC08B4"/>
    <w:rsid w:val="00DC1129"/>
    <w:rsid w:val="00DC1738"/>
    <w:rsid w:val="00DC18CA"/>
    <w:rsid w:val="00DC24DB"/>
    <w:rsid w:val="00DC303A"/>
    <w:rsid w:val="00DC3337"/>
    <w:rsid w:val="00DC35F6"/>
    <w:rsid w:val="00DC398B"/>
    <w:rsid w:val="00DC3ACF"/>
    <w:rsid w:val="00DC3E40"/>
    <w:rsid w:val="00DC41A8"/>
    <w:rsid w:val="00DC4E23"/>
    <w:rsid w:val="00DC4EC9"/>
    <w:rsid w:val="00DC516E"/>
    <w:rsid w:val="00DC5B2A"/>
    <w:rsid w:val="00DC5BC1"/>
    <w:rsid w:val="00DC64E1"/>
    <w:rsid w:val="00DC6E08"/>
    <w:rsid w:val="00DC6ECD"/>
    <w:rsid w:val="00DC731E"/>
    <w:rsid w:val="00DC731F"/>
    <w:rsid w:val="00DC775F"/>
    <w:rsid w:val="00DC7A6C"/>
    <w:rsid w:val="00DC7BEB"/>
    <w:rsid w:val="00DC7D2E"/>
    <w:rsid w:val="00DC7E13"/>
    <w:rsid w:val="00DC7E54"/>
    <w:rsid w:val="00DD00C6"/>
    <w:rsid w:val="00DD080A"/>
    <w:rsid w:val="00DD0B5D"/>
    <w:rsid w:val="00DD1731"/>
    <w:rsid w:val="00DD1A1C"/>
    <w:rsid w:val="00DD2214"/>
    <w:rsid w:val="00DD2694"/>
    <w:rsid w:val="00DD291B"/>
    <w:rsid w:val="00DD38D9"/>
    <w:rsid w:val="00DD3C90"/>
    <w:rsid w:val="00DD481E"/>
    <w:rsid w:val="00DD4E8B"/>
    <w:rsid w:val="00DD5069"/>
    <w:rsid w:val="00DD540E"/>
    <w:rsid w:val="00DD54A9"/>
    <w:rsid w:val="00DD5DB8"/>
    <w:rsid w:val="00DD68E9"/>
    <w:rsid w:val="00DD6FA2"/>
    <w:rsid w:val="00DD769B"/>
    <w:rsid w:val="00DD76DF"/>
    <w:rsid w:val="00DD7A2F"/>
    <w:rsid w:val="00DD7CB3"/>
    <w:rsid w:val="00DD7E6E"/>
    <w:rsid w:val="00DD7F63"/>
    <w:rsid w:val="00DE0810"/>
    <w:rsid w:val="00DE08D3"/>
    <w:rsid w:val="00DE14BC"/>
    <w:rsid w:val="00DE280B"/>
    <w:rsid w:val="00DE2BED"/>
    <w:rsid w:val="00DE2CB4"/>
    <w:rsid w:val="00DE3091"/>
    <w:rsid w:val="00DE35B0"/>
    <w:rsid w:val="00DE382F"/>
    <w:rsid w:val="00DE3D68"/>
    <w:rsid w:val="00DE3DC7"/>
    <w:rsid w:val="00DE3FB9"/>
    <w:rsid w:val="00DE4054"/>
    <w:rsid w:val="00DE47D3"/>
    <w:rsid w:val="00DE54FF"/>
    <w:rsid w:val="00DE58F7"/>
    <w:rsid w:val="00DE5AA3"/>
    <w:rsid w:val="00DE607E"/>
    <w:rsid w:val="00DE6224"/>
    <w:rsid w:val="00DE6906"/>
    <w:rsid w:val="00DE7476"/>
    <w:rsid w:val="00DE7491"/>
    <w:rsid w:val="00DE79B2"/>
    <w:rsid w:val="00DE7ADC"/>
    <w:rsid w:val="00DE7D80"/>
    <w:rsid w:val="00DE7ED9"/>
    <w:rsid w:val="00DE7F30"/>
    <w:rsid w:val="00DE7FBD"/>
    <w:rsid w:val="00DF0165"/>
    <w:rsid w:val="00DF0340"/>
    <w:rsid w:val="00DF0542"/>
    <w:rsid w:val="00DF079D"/>
    <w:rsid w:val="00DF0BDC"/>
    <w:rsid w:val="00DF1117"/>
    <w:rsid w:val="00DF140A"/>
    <w:rsid w:val="00DF15E2"/>
    <w:rsid w:val="00DF1ECF"/>
    <w:rsid w:val="00DF22D4"/>
    <w:rsid w:val="00DF2B30"/>
    <w:rsid w:val="00DF42A7"/>
    <w:rsid w:val="00DF48D9"/>
    <w:rsid w:val="00DF52B7"/>
    <w:rsid w:val="00DF68AB"/>
    <w:rsid w:val="00DF6B84"/>
    <w:rsid w:val="00E00BE4"/>
    <w:rsid w:val="00E01B4A"/>
    <w:rsid w:val="00E01D34"/>
    <w:rsid w:val="00E029E2"/>
    <w:rsid w:val="00E030F2"/>
    <w:rsid w:val="00E0339F"/>
    <w:rsid w:val="00E034A0"/>
    <w:rsid w:val="00E035C2"/>
    <w:rsid w:val="00E03EEB"/>
    <w:rsid w:val="00E047D2"/>
    <w:rsid w:val="00E0485E"/>
    <w:rsid w:val="00E049F5"/>
    <w:rsid w:val="00E05A2C"/>
    <w:rsid w:val="00E05C8C"/>
    <w:rsid w:val="00E05EC0"/>
    <w:rsid w:val="00E06221"/>
    <w:rsid w:val="00E06264"/>
    <w:rsid w:val="00E06D38"/>
    <w:rsid w:val="00E06EFC"/>
    <w:rsid w:val="00E0765E"/>
    <w:rsid w:val="00E07AB1"/>
    <w:rsid w:val="00E101A2"/>
    <w:rsid w:val="00E10DAC"/>
    <w:rsid w:val="00E11157"/>
    <w:rsid w:val="00E1122B"/>
    <w:rsid w:val="00E118AA"/>
    <w:rsid w:val="00E118C1"/>
    <w:rsid w:val="00E11DE6"/>
    <w:rsid w:val="00E12030"/>
    <w:rsid w:val="00E12108"/>
    <w:rsid w:val="00E12560"/>
    <w:rsid w:val="00E12746"/>
    <w:rsid w:val="00E12D4F"/>
    <w:rsid w:val="00E12F7D"/>
    <w:rsid w:val="00E131FB"/>
    <w:rsid w:val="00E133C3"/>
    <w:rsid w:val="00E133EB"/>
    <w:rsid w:val="00E13D8E"/>
    <w:rsid w:val="00E14BEB"/>
    <w:rsid w:val="00E15301"/>
    <w:rsid w:val="00E153BA"/>
    <w:rsid w:val="00E15CF8"/>
    <w:rsid w:val="00E15DBE"/>
    <w:rsid w:val="00E16279"/>
    <w:rsid w:val="00E16292"/>
    <w:rsid w:val="00E1645F"/>
    <w:rsid w:val="00E1671F"/>
    <w:rsid w:val="00E16D8F"/>
    <w:rsid w:val="00E176D8"/>
    <w:rsid w:val="00E178AB"/>
    <w:rsid w:val="00E17AC6"/>
    <w:rsid w:val="00E17BF8"/>
    <w:rsid w:val="00E2003C"/>
    <w:rsid w:val="00E20114"/>
    <w:rsid w:val="00E203B5"/>
    <w:rsid w:val="00E20448"/>
    <w:rsid w:val="00E20A81"/>
    <w:rsid w:val="00E20CF5"/>
    <w:rsid w:val="00E20D91"/>
    <w:rsid w:val="00E20FFC"/>
    <w:rsid w:val="00E21D85"/>
    <w:rsid w:val="00E22193"/>
    <w:rsid w:val="00E224C2"/>
    <w:rsid w:val="00E22CAA"/>
    <w:rsid w:val="00E23434"/>
    <w:rsid w:val="00E235F6"/>
    <w:rsid w:val="00E23F02"/>
    <w:rsid w:val="00E23FBF"/>
    <w:rsid w:val="00E24078"/>
    <w:rsid w:val="00E240BE"/>
    <w:rsid w:val="00E2460F"/>
    <w:rsid w:val="00E259E6"/>
    <w:rsid w:val="00E25CC7"/>
    <w:rsid w:val="00E263AC"/>
    <w:rsid w:val="00E26B37"/>
    <w:rsid w:val="00E27316"/>
    <w:rsid w:val="00E2774C"/>
    <w:rsid w:val="00E27A7A"/>
    <w:rsid w:val="00E27B3C"/>
    <w:rsid w:val="00E27B3F"/>
    <w:rsid w:val="00E27FD7"/>
    <w:rsid w:val="00E3019A"/>
    <w:rsid w:val="00E314BF"/>
    <w:rsid w:val="00E317CE"/>
    <w:rsid w:val="00E31885"/>
    <w:rsid w:val="00E31B56"/>
    <w:rsid w:val="00E31BD8"/>
    <w:rsid w:val="00E32369"/>
    <w:rsid w:val="00E32CF6"/>
    <w:rsid w:val="00E32EFF"/>
    <w:rsid w:val="00E32FF0"/>
    <w:rsid w:val="00E3348C"/>
    <w:rsid w:val="00E3382F"/>
    <w:rsid w:val="00E33A81"/>
    <w:rsid w:val="00E33B37"/>
    <w:rsid w:val="00E34123"/>
    <w:rsid w:val="00E3463F"/>
    <w:rsid w:val="00E34BE2"/>
    <w:rsid w:val="00E34CD1"/>
    <w:rsid w:val="00E34E17"/>
    <w:rsid w:val="00E34F84"/>
    <w:rsid w:val="00E35882"/>
    <w:rsid w:val="00E36290"/>
    <w:rsid w:val="00E366B3"/>
    <w:rsid w:val="00E36C69"/>
    <w:rsid w:val="00E36C78"/>
    <w:rsid w:val="00E36FA2"/>
    <w:rsid w:val="00E372BB"/>
    <w:rsid w:val="00E37582"/>
    <w:rsid w:val="00E37647"/>
    <w:rsid w:val="00E37B8C"/>
    <w:rsid w:val="00E40656"/>
    <w:rsid w:val="00E40A4B"/>
    <w:rsid w:val="00E416C3"/>
    <w:rsid w:val="00E4193E"/>
    <w:rsid w:val="00E41BD7"/>
    <w:rsid w:val="00E4239E"/>
    <w:rsid w:val="00E43209"/>
    <w:rsid w:val="00E444A4"/>
    <w:rsid w:val="00E450E4"/>
    <w:rsid w:val="00E45178"/>
    <w:rsid w:val="00E461D4"/>
    <w:rsid w:val="00E46349"/>
    <w:rsid w:val="00E464B1"/>
    <w:rsid w:val="00E469B1"/>
    <w:rsid w:val="00E46BB3"/>
    <w:rsid w:val="00E475C1"/>
    <w:rsid w:val="00E4770B"/>
    <w:rsid w:val="00E47A39"/>
    <w:rsid w:val="00E47B62"/>
    <w:rsid w:val="00E5003F"/>
    <w:rsid w:val="00E50359"/>
    <w:rsid w:val="00E504D2"/>
    <w:rsid w:val="00E5068F"/>
    <w:rsid w:val="00E5091A"/>
    <w:rsid w:val="00E50A91"/>
    <w:rsid w:val="00E51D26"/>
    <w:rsid w:val="00E51DBE"/>
    <w:rsid w:val="00E51FB2"/>
    <w:rsid w:val="00E52B8D"/>
    <w:rsid w:val="00E532D5"/>
    <w:rsid w:val="00E535F9"/>
    <w:rsid w:val="00E53914"/>
    <w:rsid w:val="00E53919"/>
    <w:rsid w:val="00E539EE"/>
    <w:rsid w:val="00E539F2"/>
    <w:rsid w:val="00E542E0"/>
    <w:rsid w:val="00E542F5"/>
    <w:rsid w:val="00E547B2"/>
    <w:rsid w:val="00E54B6F"/>
    <w:rsid w:val="00E54E24"/>
    <w:rsid w:val="00E54E35"/>
    <w:rsid w:val="00E54F80"/>
    <w:rsid w:val="00E5530D"/>
    <w:rsid w:val="00E5547F"/>
    <w:rsid w:val="00E557CD"/>
    <w:rsid w:val="00E559D8"/>
    <w:rsid w:val="00E55A67"/>
    <w:rsid w:val="00E560D6"/>
    <w:rsid w:val="00E56811"/>
    <w:rsid w:val="00E571FD"/>
    <w:rsid w:val="00E57F2C"/>
    <w:rsid w:val="00E57F3F"/>
    <w:rsid w:val="00E57F86"/>
    <w:rsid w:val="00E60136"/>
    <w:rsid w:val="00E60234"/>
    <w:rsid w:val="00E61401"/>
    <w:rsid w:val="00E6176D"/>
    <w:rsid w:val="00E61E13"/>
    <w:rsid w:val="00E6201C"/>
    <w:rsid w:val="00E63032"/>
    <w:rsid w:val="00E635DD"/>
    <w:rsid w:val="00E63B26"/>
    <w:rsid w:val="00E64163"/>
    <w:rsid w:val="00E643D9"/>
    <w:rsid w:val="00E6462D"/>
    <w:rsid w:val="00E64748"/>
    <w:rsid w:val="00E64766"/>
    <w:rsid w:val="00E64C86"/>
    <w:rsid w:val="00E65682"/>
    <w:rsid w:val="00E65768"/>
    <w:rsid w:val="00E66634"/>
    <w:rsid w:val="00E66A4A"/>
    <w:rsid w:val="00E66D0D"/>
    <w:rsid w:val="00E66E70"/>
    <w:rsid w:val="00E66F8B"/>
    <w:rsid w:val="00E6719E"/>
    <w:rsid w:val="00E672B5"/>
    <w:rsid w:val="00E67BFC"/>
    <w:rsid w:val="00E70022"/>
    <w:rsid w:val="00E70228"/>
    <w:rsid w:val="00E70306"/>
    <w:rsid w:val="00E703B8"/>
    <w:rsid w:val="00E704BD"/>
    <w:rsid w:val="00E710D7"/>
    <w:rsid w:val="00E71157"/>
    <w:rsid w:val="00E712A0"/>
    <w:rsid w:val="00E7189B"/>
    <w:rsid w:val="00E71FA4"/>
    <w:rsid w:val="00E72D39"/>
    <w:rsid w:val="00E730D8"/>
    <w:rsid w:val="00E73341"/>
    <w:rsid w:val="00E73798"/>
    <w:rsid w:val="00E737CB"/>
    <w:rsid w:val="00E73D14"/>
    <w:rsid w:val="00E74010"/>
    <w:rsid w:val="00E742A1"/>
    <w:rsid w:val="00E74EA8"/>
    <w:rsid w:val="00E74F9C"/>
    <w:rsid w:val="00E750A5"/>
    <w:rsid w:val="00E751B9"/>
    <w:rsid w:val="00E757FA"/>
    <w:rsid w:val="00E75A0A"/>
    <w:rsid w:val="00E75EB0"/>
    <w:rsid w:val="00E7628A"/>
    <w:rsid w:val="00E763F0"/>
    <w:rsid w:val="00E76B8F"/>
    <w:rsid w:val="00E779C3"/>
    <w:rsid w:val="00E77F0E"/>
    <w:rsid w:val="00E801E4"/>
    <w:rsid w:val="00E8040D"/>
    <w:rsid w:val="00E8069D"/>
    <w:rsid w:val="00E80746"/>
    <w:rsid w:val="00E809BE"/>
    <w:rsid w:val="00E809D4"/>
    <w:rsid w:val="00E81481"/>
    <w:rsid w:val="00E81CE2"/>
    <w:rsid w:val="00E81D1D"/>
    <w:rsid w:val="00E81EE4"/>
    <w:rsid w:val="00E820A5"/>
    <w:rsid w:val="00E824A6"/>
    <w:rsid w:val="00E826D6"/>
    <w:rsid w:val="00E8281A"/>
    <w:rsid w:val="00E829D4"/>
    <w:rsid w:val="00E82BDA"/>
    <w:rsid w:val="00E833DE"/>
    <w:rsid w:val="00E83734"/>
    <w:rsid w:val="00E83ADA"/>
    <w:rsid w:val="00E844C5"/>
    <w:rsid w:val="00E84F28"/>
    <w:rsid w:val="00E8521A"/>
    <w:rsid w:val="00E85523"/>
    <w:rsid w:val="00E8570B"/>
    <w:rsid w:val="00E86126"/>
    <w:rsid w:val="00E867DC"/>
    <w:rsid w:val="00E86883"/>
    <w:rsid w:val="00E86896"/>
    <w:rsid w:val="00E87386"/>
    <w:rsid w:val="00E87399"/>
    <w:rsid w:val="00E8745D"/>
    <w:rsid w:val="00E87632"/>
    <w:rsid w:val="00E87C6A"/>
    <w:rsid w:val="00E87CF0"/>
    <w:rsid w:val="00E91A01"/>
    <w:rsid w:val="00E91CDC"/>
    <w:rsid w:val="00E92065"/>
    <w:rsid w:val="00E92671"/>
    <w:rsid w:val="00E927B5"/>
    <w:rsid w:val="00E928AB"/>
    <w:rsid w:val="00E92C71"/>
    <w:rsid w:val="00E931D3"/>
    <w:rsid w:val="00E93CF5"/>
    <w:rsid w:val="00E93F1E"/>
    <w:rsid w:val="00E94875"/>
    <w:rsid w:val="00E94989"/>
    <w:rsid w:val="00E94B6E"/>
    <w:rsid w:val="00E94C19"/>
    <w:rsid w:val="00E95304"/>
    <w:rsid w:val="00E9548C"/>
    <w:rsid w:val="00E9563B"/>
    <w:rsid w:val="00E9589C"/>
    <w:rsid w:val="00E95D3D"/>
    <w:rsid w:val="00E95FC5"/>
    <w:rsid w:val="00E96177"/>
    <w:rsid w:val="00E96440"/>
    <w:rsid w:val="00E96E45"/>
    <w:rsid w:val="00E97BD9"/>
    <w:rsid w:val="00EA0141"/>
    <w:rsid w:val="00EA069E"/>
    <w:rsid w:val="00EA0D44"/>
    <w:rsid w:val="00EA0DC5"/>
    <w:rsid w:val="00EA1D81"/>
    <w:rsid w:val="00EA2D1E"/>
    <w:rsid w:val="00EA39B1"/>
    <w:rsid w:val="00EA4075"/>
    <w:rsid w:val="00EA4429"/>
    <w:rsid w:val="00EA4900"/>
    <w:rsid w:val="00EA4A6E"/>
    <w:rsid w:val="00EA4B95"/>
    <w:rsid w:val="00EA4E32"/>
    <w:rsid w:val="00EA4E8A"/>
    <w:rsid w:val="00EA4FB1"/>
    <w:rsid w:val="00EA548F"/>
    <w:rsid w:val="00EA5637"/>
    <w:rsid w:val="00EA57AA"/>
    <w:rsid w:val="00EA5ACC"/>
    <w:rsid w:val="00EA5C77"/>
    <w:rsid w:val="00EA5D12"/>
    <w:rsid w:val="00EA5DF4"/>
    <w:rsid w:val="00EA5E70"/>
    <w:rsid w:val="00EA5F7A"/>
    <w:rsid w:val="00EA664D"/>
    <w:rsid w:val="00EA6A8E"/>
    <w:rsid w:val="00EA6BA0"/>
    <w:rsid w:val="00EA7554"/>
    <w:rsid w:val="00EB0856"/>
    <w:rsid w:val="00EB139D"/>
    <w:rsid w:val="00EB13D2"/>
    <w:rsid w:val="00EB196F"/>
    <w:rsid w:val="00EB199E"/>
    <w:rsid w:val="00EB1B3F"/>
    <w:rsid w:val="00EB1E19"/>
    <w:rsid w:val="00EB2571"/>
    <w:rsid w:val="00EB2E1C"/>
    <w:rsid w:val="00EB3126"/>
    <w:rsid w:val="00EB4C54"/>
    <w:rsid w:val="00EB519C"/>
    <w:rsid w:val="00EB5341"/>
    <w:rsid w:val="00EB5901"/>
    <w:rsid w:val="00EB5B1F"/>
    <w:rsid w:val="00EB6F47"/>
    <w:rsid w:val="00EB7728"/>
    <w:rsid w:val="00EB7C8B"/>
    <w:rsid w:val="00EC03CB"/>
    <w:rsid w:val="00EC0FF8"/>
    <w:rsid w:val="00EC1C94"/>
    <w:rsid w:val="00EC1FF2"/>
    <w:rsid w:val="00EC22B9"/>
    <w:rsid w:val="00EC282A"/>
    <w:rsid w:val="00EC29C6"/>
    <w:rsid w:val="00EC32FB"/>
    <w:rsid w:val="00EC3ABF"/>
    <w:rsid w:val="00EC3D8D"/>
    <w:rsid w:val="00EC3ED8"/>
    <w:rsid w:val="00EC4008"/>
    <w:rsid w:val="00EC45EC"/>
    <w:rsid w:val="00EC4957"/>
    <w:rsid w:val="00EC5097"/>
    <w:rsid w:val="00EC52E3"/>
    <w:rsid w:val="00EC5BB7"/>
    <w:rsid w:val="00EC6810"/>
    <w:rsid w:val="00EC703C"/>
    <w:rsid w:val="00ED0093"/>
    <w:rsid w:val="00ED04DE"/>
    <w:rsid w:val="00ED0606"/>
    <w:rsid w:val="00ED0D3F"/>
    <w:rsid w:val="00ED1712"/>
    <w:rsid w:val="00ED1CA9"/>
    <w:rsid w:val="00ED2230"/>
    <w:rsid w:val="00ED2C58"/>
    <w:rsid w:val="00ED3181"/>
    <w:rsid w:val="00ED3597"/>
    <w:rsid w:val="00ED3672"/>
    <w:rsid w:val="00ED392F"/>
    <w:rsid w:val="00ED3EC8"/>
    <w:rsid w:val="00ED3ED4"/>
    <w:rsid w:val="00ED3FF7"/>
    <w:rsid w:val="00ED42EF"/>
    <w:rsid w:val="00ED4AA5"/>
    <w:rsid w:val="00ED4BF8"/>
    <w:rsid w:val="00ED4C48"/>
    <w:rsid w:val="00ED6A28"/>
    <w:rsid w:val="00ED6E60"/>
    <w:rsid w:val="00ED6F2D"/>
    <w:rsid w:val="00ED7090"/>
    <w:rsid w:val="00ED7125"/>
    <w:rsid w:val="00ED7139"/>
    <w:rsid w:val="00ED719D"/>
    <w:rsid w:val="00ED773E"/>
    <w:rsid w:val="00ED7F0E"/>
    <w:rsid w:val="00ED7F10"/>
    <w:rsid w:val="00EE0A37"/>
    <w:rsid w:val="00EE0D9B"/>
    <w:rsid w:val="00EE1964"/>
    <w:rsid w:val="00EE2784"/>
    <w:rsid w:val="00EE2BF3"/>
    <w:rsid w:val="00EE2F58"/>
    <w:rsid w:val="00EE37BC"/>
    <w:rsid w:val="00EE39C6"/>
    <w:rsid w:val="00EE3A26"/>
    <w:rsid w:val="00EE3BEF"/>
    <w:rsid w:val="00EE3E72"/>
    <w:rsid w:val="00EE4610"/>
    <w:rsid w:val="00EE4C22"/>
    <w:rsid w:val="00EE4DBD"/>
    <w:rsid w:val="00EE4F37"/>
    <w:rsid w:val="00EE55E3"/>
    <w:rsid w:val="00EE55E8"/>
    <w:rsid w:val="00EE575E"/>
    <w:rsid w:val="00EE58DD"/>
    <w:rsid w:val="00EE590E"/>
    <w:rsid w:val="00EE5D57"/>
    <w:rsid w:val="00EE6116"/>
    <w:rsid w:val="00EE64EA"/>
    <w:rsid w:val="00EE6D44"/>
    <w:rsid w:val="00EE6E89"/>
    <w:rsid w:val="00EE72D2"/>
    <w:rsid w:val="00EE7727"/>
    <w:rsid w:val="00EE7AF4"/>
    <w:rsid w:val="00EE7CA1"/>
    <w:rsid w:val="00EF022B"/>
    <w:rsid w:val="00EF0511"/>
    <w:rsid w:val="00EF05A3"/>
    <w:rsid w:val="00EF167C"/>
    <w:rsid w:val="00EF2111"/>
    <w:rsid w:val="00EF21C3"/>
    <w:rsid w:val="00EF2206"/>
    <w:rsid w:val="00EF2289"/>
    <w:rsid w:val="00EF2323"/>
    <w:rsid w:val="00EF2757"/>
    <w:rsid w:val="00EF29A6"/>
    <w:rsid w:val="00EF29B0"/>
    <w:rsid w:val="00EF2CDA"/>
    <w:rsid w:val="00EF2DAC"/>
    <w:rsid w:val="00EF337E"/>
    <w:rsid w:val="00EF37B0"/>
    <w:rsid w:val="00EF3A4F"/>
    <w:rsid w:val="00EF3FE4"/>
    <w:rsid w:val="00EF4126"/>
    <w:rsid w:val="00EF4A49"/>
    <w:rsid w:val="00EF4C35"/>
    <w:rsid w:val="00EF4DA8"/>
    <w:rsid w:val="00EF5129"/>
    <w:rsid w:val="00EF51B6"/>
    <w:rsid w:val="00EF5535"/>
    <w:rsid w:val="00EF624E"/>
    <w:rsid w:val="00EF693A"/>
    <w:rsid w:val="00EF6A6A"/>
    <w:rsid w:val="00EF7788"/>
    <w:rsid w:val="00EF7B23"/>
    <w:rsid w:val="00EF7D82"/>
    <w:rsid w:val="00F00BF0"/>
    <w:rsid w:val="00F010D0"/>
    <w:rsid w:val="00F0149B"/>
    <w:rsid w:val="00F014E3"/>
    <w:rsid w:val="00F0205B"/>
    <w:rsid w:val="00F0208F"/>
    <w:rsid w:val="00F02127"/>
    <w:rsid w:val="00F0248F"/>
    <w:rsid w:val="00F02916"/>
    <w:rsid w:val="00F02B31"/>
    <w:rsid w:val="00F02D83"/>
    <w:rsid w:val="00F03735"/>
    <w:rsid w:val="00F03F40"/>
    <w:rsid w:val="00F04935"/>
    <w:rsid w:val="00F04C34"/>
    <w:rsid w:val="00F05262"/>
    <w:rsid w:val="00F0548E"/>
    <w:rsid w:val="00F055CA"/>
    <w:rsid w:val="00F05FCD"/>
    <w:rsid w:val="00F0672F"/>
    <w:rsid w:val="00F067E6"/>
    <w:rsid w:val="00F0695A"/>
    <w:rsid w:val="00F06C77"/>
    <w:rsid w:val="00F073CD"/>
    <w:rsid w:val="00F07444"/>
    <w:rsid w:val="00F07474"/>
    <w:rsid w:val="00F074F1"/>
    <w:rsid w:val="00F0790E"/>
    <w:rsid w:val="00F07F52"/>
    <w:rsid w:val="00F1024D"/>
    <w:rsid w:val="00F103A8"/>
    <w:rsid w:val="00F1044B"/>
    <w:rsid w:val="00F104D4"/>
    <w:rsid w:val="00F10E12"/>
    <w:rsid w:val="00F1253E"/>
    <w:rsid w:val="00F1286E"/>
    <w:rsid w:val="00F12C00"/>
    <w:rsid w:val="00F12F2B"/>
    <w:rsid w:val="00F13400"/>
    <w:rsid w:val="00F1341A"/>
    <w:rsid w:val="00F1352D"/>
    <w:rsid w:val="00F13735"/>
    <w:rsid w:val="00F13805"/>
    <w:rsid w:val="00F138F6"/>
    <w:rsid w:val="00F13A34"/>
    <w:rsid w:val="00F14AB5"/>
    <w:rsid w:val="00F14BB3"/>
    <w:rsid w:val="00F14E97"/>
    <w:rsid w:val="00F14EF7"/>
    <w:rsid w:val="00F15B54"/>
    <w:rsid w:val="00F15FF7"/>
    <w:rsid w:val="00F16548"/>
    <w:rsid w:val="00F165DA"/>
    <w:rsid w:val="00F16615"/>
    <w:rsid w:val="00F16658"/>
    <w:rsid w:val="00F172BB"/>
    <w:rsid w:val="00F173D8"/>
    <w:rsid w:val="00F17589"/>
    <w:rsid w:val="00F17C8E"/>
    <w:rsid w:val="00F2014C"/>
    <w:rsid w:val="00F20335"/>
    <w:rsid w:val="00F20C0A"/>
    <w:rsid w:val="00F21733"/>
    <w:rsid w:val="00F218DE"/>
    <w:rsid w:val="00F21AFC"/>
    <w:rsid w:val="00F21BA1"/>
    <w:rsid w:val="00F21DAE"/>
    <w:rsid w:val="00F21F8F"/>
    <w:rsid w:val="00F2225F"/>
    <w:rsid w:val="00F22F15"/>
    <w:rsid w:val="00F2374D"/>
    <w:rsid w:val="00F23877"/>
    <w:rsid w:val="00F23A20"/>
    <w:rsid w:val="00F24698"/>
    <w:rsid w:val="00F25895"/>
    <w:rsid w:val="00F25B06"/>
    <w:rsid w:val="00F26227"/>
    <w:rsid w:val="00F2658A"/>
    <w:rsid w:val="00F26973"/>
    <w:rsid w:val="00F27979"/>
    <w:rsid w:val="00F27AE2"/>
    <w:rsid w:val="00F300FD"/>
    <w:rsid w:val="00F30316"/>
    <w:rsid w:val="00F303DB"/>
    <w:rsid w:val="00F30565"/>
    <w:rsid w:val="00F31371"/>
    <w:rsid w:val="00F31C2C"/>
    <w:rsid w:val="00F324B5"/>
    <w:rsid w:val="00F325C6"/>
    <w:rsid w:val="00F32854"/>
    <w:rsid w:val="00F32948"/>
    <w:rsid w:val="00F32F9C"/>
    <w:rsid w:val="00F331EB"/>
    <w:rsid w:val="00F349AD"/>
    <w:rsid w:val="00F35171"/>
    <w:rsid w:val="00F35C11"/>
    <w:rsid w:val="00F3621A"/>
    <w:rsid w:val="00F365AD"/>
    <w:rsid w:val="00F36A15"/>
    <w:rsid w:val="00F372DE"/>
    <w:rsid w:val="00F37AFF"/>
    <w:rsid w:val="00F37B7D"/>
    <w:rsid w:val="00F40055"/>
    <w:rsid w:val="00F4209A"/>
    <w:rsid w:val="00F4237F"/>
    <w:rsid w:val="00F4249D"/>
    <w:rsid w:val="00F425D3"/>
    <w:rsid w:val="00F427C8"/>
    <w:rsid w:val="00F4324A"/>
    <w:rsid w:val="00F4336E"/>
    <w:rsid w:val="00F438BD"/>
    <w:rsid w:val="00F43BC5"/>
    <w:rsid w:val="00F444EA"/>
    <w:rsid w:val="00F44886"/>
    <w:rsid w:val="00F44DFD"/>
    <w:rsid w:val="00F4541F"/>
    <w:rsid w:val="00F45524"/>
    <w:rsid w:val="00F45FB1"/>
    <w:rsid w:val="00F46437"/>
    <w:rsid w:val="00F4657F"/>
    <w:rsid w:val="00F4658A"/>
    <w:rsid w:val="00F46692"/>
    <w:rsid w:val="00F469F8"/>
    <w:rsid w:val="00F474ED"/>
    <w:rsid w:val="00F47585"/>
    <w:rsid w:val="00F47AF4"/>
    <w:rsid w:val="00F47B29"/>
    <w:rsid w:val="00F47DDE"/>
    <w:rsid w:val="00F47E37"/>
    <w:rsid w:val="00F501A8"/>
    <w:rsid w:val="00F50DC0"/>
    <w:rsid w:val="00F50EAE"/>
    <w:rsid w:val="00F5165E"/>
    <w:rsid w:val="00F523E5"/>
    <w:rsid w:val="00F524D5"/>
    <w:rsid w:val="00F527F9"/>
    <w:rsid w:val="00F52B6B"/>
    <w:rsid w:val="00F53018"/>
    <w:rsid w:val="00F530B7"/>
    <w:rsid w:val="00F53435"/>
    <w:rsid w:val="00F5345E"/>
    <w:rsid w:val="00F534B7"/>
    <w:rsid w:val="00F536F5"/>
    <w:rsid w:val="00F54A0A"/>
    <w:rsid w:val="00F552C5"/>
    <w:rsid w:val="00F55927"/>
    <w:rsid w:val="00F55E6B"/>
    <w:rsid w:val="00F562D0"/>
    <w:rsid w:val="00F5638C"/>
    <w:rsid w:val="00F572B8"/>
    <w:rsid w:val="00F576EF"/>
    <w:rsid w:val="00F60079"/>
    <w:rsid w:val="00F60126"/>
    <w:rsid w:val="00F60613"/>
    <w:rsid w:val="00F60A1F"/>
    <w:rsid w:val="00F60A50"/>
    <w:rsid w:val="00F60BCC"/>
    <w:rsid w:val="00F61791"/>
    <w:rsid w:val="00F617EE"/>
    <w:rsid w:val="00F61EB1"/>
    <w:rsid w:val="00F6204C"/>
    <w:rsid w:val="00F6249F"/>
    <w:rsid w:val="00F62C38"/>
    <w:rsid w:val="00F62DA2"/>
    <w:rsid w:val="00F62F45"/>
    <w:rsid w:val="00F63563"/>
    <w:rsid w:val="00F636B2"/>
    <w:rsid w:val="00F64080"/>
    <w:rsid w:val="00F647F5"/>
    <w:rsid w:val="00F64891"/>
    <w:rsid w:val="00F652DD"/>
    <w:rsid w:val="00F653BA"/>
    <w:rsid w:val="00F6586E"/>
    <w:rsid w:val="00F65902"/>
    <w:rsid w:val="00F659FB"/>
    <w:rsid w:val="00F65DDF"/>
    <w:rsid w:val="00F65EB3"/>
    <w:rsid w:val="00F660CB"/>
    <w:rsid w:val="00F66478"/>
    <w:rsid w:val="00F664B4"/>
    <w:rsid w:val="00F6660F"/>
    <w:rsid w:val="00F66777"/>
    <w:rsid w:val="00F66B37"/>
    <w:rsid w:val="00F66BC8"/>
    <w:rsid w:val="00F66D62"/>
    <w:rsid w:val="00F67DD7"/>
    <w:rsid w:val="00F67E0C"/>
    <w:rsid w:val="00F67F12"/>
    <w:rsid w:val="00F701E8"/>
    <w:rsid w:val="00F70265"/>
    <w:rsid w:val="00F70375"/>
    <w:rsid w:val="00F705D4"/>
    <w:rsid w:val="00F706E3"/>
    <w:rsid w:val="00F7072F"/>
    <w:rsid w:val="00F70C08"/>
    <w:rsid w:val="00F71208"/>
    <w:rsid w:val="00F71381"/>
    <w:rsid w:val="00F7192A"/>
    <w:rsid w:val="00F71A3B"/>
    <w:rsid w:val="00F729DB"/>
    <w:rsid w:val="00F729F1"/>
    <w:rsid w:val="00F73119"/>
    <w:rsid w:val="00F73A5B"/>
    <w:rsid w:val="00F73E0E"/>
    <w:rsid w:val="00F73E40"/>
    <w:rsid w:val="00F7433D"/>
    <w:rsid w:val="00F7454F"/>
    <w:rsid w:val="00F74F14"/>
    <w:rsid w:val="00F75869"/>
    <w:rsid w:val="00F7623C"/>
    <w:rsid w:val="00F769BD"/>
    <w:rsid w:val="00F76C39"/>
    <w:rsid w:val="00F76D04"/>
    <w:rsid w:val="00F772A6"/>
    <w:rsid w:val="00F77377"/>
    <w:rsid w:val="00F77774"/>
    <w:rsid w:val="00F77C28"/>
    <w:rsid w:val="00F80525"/>
    <w:rsid w:val="00F80FFA"/>
    <w:rsid w:val="00F81139"/>
    <w:rsid w:val="00F8123E"/>
    <w:rsid w:val="00F81463"/>
    <w:rsid w:val="00F818FC"/>
    <w:rsid w:val="00F81B3D"/>
    <w:rsid w:val="00F81F79"/>
    <w:rsid w:val="00F82038"/>
    <w:rsid w:val="00F8243A"/>
    <w:rsid w:val="00F829E7"/>
    <w:rsid w:val="00F82A0A"/>
    <w:rsid w:val="00F83141"/>
    <w:rsid w:val="00F831A6"/>
    <w:rsid w:val="00F833D4"/>
    <w:rsid w:val="00F83AC9"/>
    <w:rsid w:val="00F83D5D"/>
    <w:rsid w:val="00F84069"/>
    <w:rsid w:val="00F8418E"/>
    <w:rsid w:val="00F843C7"/>
    <w:rsid w:val="00F8470E"/>
    <w:rsid w:val="00F84CE7"/>
    <w:rsid w:val="00F8560C"/>
    <w:rsid w:val="00F85716"/>
    <w:rsid w:val="00F8590F"/>
    <w:rsid w:val="00F85A99"/>
    <w:rsid w:val="00F85ABC"/>
    <w:rsid w:val="00F85FB0"/>
    <w:rsid w:val="00F867A3"/>
    <w:rsid w:val="00F8689C"/>
    <w:rsid w:val="00F86E14"/>
    <w:rsid w:val="00F8714D"/>
    <w:rsid w:val="00F871AA"/>
    <w:rsid w:val="00F87C00"/>
    <w:rsid w:val="00F87F0E"/>
    <w:rsid w:val="00F9083D"/>
    <w:rsid w:val="00F90A80"/>
    <w:rsid w:val="00F90E90"/>
    <w:rsid w:val="00F919E1"/>
    <w:rsid w:val="00F919E2"/>
    <w:rsid w:val="00F919E8"/>
    <w:rsid w:val="00F91AC2"/>
    <w:rsid w:val="00F91DCE"/>
    <w:rsid w:val="00F92063"/>
    <w:rsid w:val="00F92146"/>
    <w:rsid w:val="00F9223C"/>
    <w:rsid w:val="00F925C9"/>
    <w:rsid w:val="00F92709"/>
    <w:rsid w:val="00F93240"/>
    <w:rsid w:val="00F934CA"/>
    <w:rsid w:val="00F937C9"/>
    <w:rsid w:val="00F9381A"/>
    <w:rsid w:val="00F939E9"/>
    <w:rsid w:val="00F93C34"/>
    <w:rsid w:val="00F9457B"/>
    <w:rsid w:val="00F953AD"/>
    <w:rsid w:val="00F955F0"/>
    <w:rsid w:val="00F962F1"/>
    <w:rsid w:val="00F96678"/>
    <w:rsid w:val="00F96C2E"/>
    <w:rsid w:val="00F97306"/>
    <w:rsid w:val="00F975AB"/>
    <w:rsid w:val="00F97A5F"/>
    <w:rsid w:val="00F97ADC"/>
    <w:rsid w:val="00F97F86"/>
    <w:rsid w:val="00FA00D7"/>
    <w:rsid w:val="00FA1027"/>
    <w:rsid w:val="00FA10DC"/>
    <w:rsid w:val="00FA1370"/>
    <w:rsid w:val="00FA1727"/>
    <w:rsid w:val="00FA1EAE"/>
    <w:rsid w:val="00FA2E1E"/>
    <w:rsid w:val="00FA3023"/>
    <w:rsid w:val="00FA3284"/>
    <w:rsid w:val="00FA337F"/>
    <w:rsid w:val="00FA4B57"/>
    <w:rsid w:val="00FA5092"/>
    <w:rsid w:val="00FA54D1"/>
    <w:rsid w:val="00FA5744"/>
    <w:rsid w:val="00FA5A75"/>
    <w:rsid w:val="00FA6134"/>
    <w:rsid w:val="00FA62B2"/>
    <w:rsid w:val="00FA679B"/>
    <w:rsid w:val="00FA67A2"/>
    <w:rsid w:val="00FA67C7"/>
    <w:rsid w:val="00FA6812"/>
    <w:rsid w:val="00FA6DD8"/>
    <w:rsid w:val="00FA6E09"/>
    <w:rsid w:val="00FA6F75"/>
    <w:rsid w:val="00FA71AB"/>
    <w:rsid w:val="00FA7278"/>
    <w:rsid w:val="00FA7DAA"/>
    <w:rsid w:val="00FA7F44"/>
    <w:rsid w:val="00FB0981"/>
    <w:rsid w:val="00FB1224"/>
    <w:rsid w:val="00FB15CF"/>
    <w:rsid w:val="00FB177C"/>
    <w:rsid w:val="00FB1D02"/>
    <w:rsid w:val="00FB2855"/>
    <w:rsid w:val="00FB2DA9"/>
    <w:rsid w:val="00FB2F9E"/>
    <w:rsid w:val="00FB3111"/>
    <w:rsid w:val="00FB3408"/>
    <w:rsid w:val="00FB361D"/>
    <w:rsid w:val="00FB3EFF"/>
    <w:rsid w:val="00FB3FE1"/>
    <w:rsid w:val="00FB46D5"/>
    <w:rsid w:val="00FB4AD1"/>
    <w:rsid w:val="00FB4C68"/>
    <w:rsid w:val="00FB5466"/>
    <w:rsid w:val="00FB54DE"/>
    <w:rsid w:val="00FB5967"/>
    <w:rsid w:val="00FB5E11"/>
    <w:rsid w:val="00FB5E28"/>
    <w:rsid w:val="00FB5E6F"/>
    <w:rsid w:val="00FB635D"/>
    <w:rsid w:val="00FB636A"/>
    <w:rsid w:val="00FB6709"/>
    <w:rsid w:val="00FB6A70"/>
    <w:rsid w:val="00FB6FF9"/>
    <w:rsid w:val="00FB7277"/>
    <w:rsid w:val="00FB74CC"/>
    <w:rsid w:val="00FB7975"/>
    <w:rsid w:val="00FB7C0C"/>
    <w:rsid w:val="00FB7C2E"/>
    <w:rsid w:val="00FC0481"/>
    <w:rsid w:val="00FC0523"/>
    <w:rsid w:val="00FC06E2"/>
    <w:rsid w:val="00FC0842"/>
    <w:rsid w:val="00FC09D2"/>
    <w:rsid w:val="00FC0C13"/>
    <w:rsid w:val="00FC0E12"/>
    <w:rsid w:val="00FC1114"/>
    <w:rsid w:val="00FC117A"/>
    <w:rsid w:val="00FC11B4"/>
    <w:rsid w:val="00FC11E8"/>
    <w:rsid w:val="00FC16E2"/>
    <w:rsid w:val="00FC176D"/>
    <w:rsid w:val="00FC17B7"/>
    <w:rsid w:val="00FC2092"/>
    <w:rsid w:val="00FC37BC"/>
    <w:rsid w:val="00FC41AA"/>
    <w:rsid w:val="00FC48B0"/>
    <w:rsid w:val="00FC4E77"/>
    <w:rsid w:val="00FC53F9"/>
    <w:rsid w:val="00FC5A92"/>
    <w:rsid w:val="00FC5C77"/>
    <w:rsid w:val="00FC5D55"/>
    <w:rsid w:val="00FC6046"/>
    <w:rsid w:val="00FC61F4"/>
    <w:rsid w:val="00FC67A5"/>
    <w:rsid w:val="00FC6EFF"/>
    <w:rsid w:val="00FC7763"/>
    <w:rsid w:val="00FC7FB3"/>
    <w:rsid w:val="00FD0264"/>
    <w:rsid w:val="00FD0893"/>
    <w:rsid w:val="00FD121D"/>
    <w:rsid w:val="00FD1224"/>
    <w:rsid w:val="00FD14A6"/>
    <w:rsid w:val="00FD16A6"/>
    <w:rsid w:val="00FD19CE"/>
    <w:rsid w:val="00FD19D5"/>
    <w:rsid w:val="00FD23FA"/>
    <w:rsid w:val="00FD26BF"/>
    <w:rsid w:val="00FD2B7B"/>
    <w:rsid w:val="00FD2D90"/>
    <w:rsid w:val="00FD323F"/>
    <w:rsid w:val="00FD375C"/>
    <w:rsid w:val="00FD399F"/>
    <w:rsid w:val="00FD4B11"/>
    <w:rsid w:val="00FD5AA3"/>
    <w:rsid w:val="00FD5C1F"/>
    <w:rsid w:val="00FD5D83"/>
    <w:rsid w:val="00FD6C2D"/>
    <w:rsid w:val="00FD70DD"/>
    <w:rsid w:val="00FD74A9"/>
    <w:rsid w:val="00FD776D"/>
    <w:rsid w:val="00FD7D86"/>
    <w:rsid w:val="00FD7E36"/>
    <w:rsid w:val="00FD7F14"/>
    <w:rsid w:val="00FE070E"/>
    <w:rsid w:val="00FE0CA9"/>
    <w:rsid w:val="00FE0DBC"/>
    <w:rsid w:val="00FE109E"/>
    <w:rsid w:val="00FE1105"/>
    <w:rsid w:val="00FE150C"/>
    <w:rsid w:val="00FE1C10"/>
    <w:rsid w:val="00FE1F13"/>
    <w:rsid w:val="00FE205B"/>
    <w:rsid w:val="00FE214C"/>
    <w:rsid w:val="00FE2BCE"/>
    <w:rsid w:val="00FE2ED2"/>
    <w:rsid w:val="00FE2F5A"/>
    <w:rsid w:val="00FE324C"/>
    <w:rsid w:val="00FE3CA3"/>
    <w:rsid w:val="00FE3E65"/>
    <w:rsid w:val="00FE40A1"/>
    <w:rsid w:val="00FE452E"/>
    <w:rsid w:val="00FE49A3"/>
    <w:rsid w:val="00FE4DC5"/>
    <w:rsid w:val="00FE4FD4"/>
    <w:rsid w:val="00FE5624"/>
    <w:rsid w:val="00FE56D4"/>
    <w:rsid w:val="00FE5BEE"/>
    <w:rsid w:val="00FE5CA1"/>
    <w:rsid w:val="00FE5FE8"/>
    <w:rsid w:val="00FE660F"/>
    <w:rsid w:val="00FE6E88"/>
    <w:rsid w:val="00FE6F74"/>
    <w:rsid w:val="00FE7438"/>
    <w:rsid w:val="00FE7589"/>
    <w:rsid w:val="00FE7915"/>
    <w:rsid w:val="00FE79F2"/>
    <w:rsid w:val="00FE7AB3"/>
    <w:rsid w:val="00FE7D3E"/>
    <w:rsid w:val="00FF0119"/>
    <w:rsid w:val="00FF0867"/>
    <w:rsid w:val="00FF112F"/>
    <w:rsid w:val="00FF143A"/>
    <w:rsid w:val="00FF1A12"/>
    <w:rsid w:val="00FF1A14"/>
    <w:rsid w:val="00FF1BC4"/>
    <w:rsid w:val="00FF1E01"/>
    <w:rsid w:val="00FF20FE"/>
    <w:rsid w:val="00FF24B8"/>
    <w:rsid w:val="00FF264C"/>
    <w:rsid w:val="00FF2B0D"/>
    <w:rsid w:val="00FF2BAA"/>
    <w:rsid w:val="00FF2CFD"/>
    <w:rsid w:val="00FF2DB3"/>
    <w:rsid w:val="00FF39DF"/>
    <w:rsid w:val="00FF3D34"/>
    <w:rsid w:val="00FF43CB"/>
    <w:rsid w:val="00FF4478"/>
    <w:rsid w:val="00FF4BEB"/>
    <w:rsid w:val="00FF4CF3"/>
    <w:rsid w:val="00FF4FC5"/>
    <w:rsid w:val="00FF5AC6"/>
    <w:rsid w:val="00FF5E5C"/>
    <w:rsid w:val="00FF742E"/>
    <w:rsid w:val="00FF7CFA"/>
    <w:rsid w:val="313E4E5B"/>
    <w:rsid w:val="5A409B2A"/>
    <w:rsid w:val="704892AC"/>
    <w:rsid w:val="7DD4B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51CC8C"/>
  <w15:docId w15:val="{C8F0350C-FBAA-451E-A2F9-A9FF9155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0979"/>
    <w:pPr>
      <w:spacing w:after="12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2059"/>
    <w:pPr>
      <w:keepNext/>
      <w:numPr>
        <w:numId w:val="20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eastAsia="Times New Roman" w:cstheme="minorHAnsi"/>
      <w:b/>
      <w:color w:val="00000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D3669D"/>
    <w:pPr>
      <w:keepNext/>
      <w:numPr>
        <w:ilvl w:val="1"/>
        <w:numId w:val="20"/>
      </w:numPr>
      <w:spacing w:before="120"/>
      <w:ind w:left="578" w:hanging="578"/>
      <w:outlineLvl w:val="1"/>
    </w:pPr>
    <w:rPr>
      <w:rFonts w:eastAsia="Times New Roman" w:cs="Arial"/>
      <w:b/>
      <w:bCs/>
      <w:color w:val="000000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265340"/>
    <w:pPr>
      <w:keepNext/>
      <w:keepLines/>
      <w:numPr>
        <w:ilvl w:val="2"/>
        <w:numId w:val="20"/>
      </w:numPr>
      <w:spacing w:before="120"/>
      <w:outlineLvl w:val="2"/>
    </w:pPr>
    <w:rPr>
      <w:rFonts w:eastAsiaTheme="majorEastAsia" w:cstheme="majorBidi"/>
      <w:b/>
      <w:bCs/>
      <w:color w:val="000000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41A9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A9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A9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A9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A9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A9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2059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3669D"/>
    <w:rPr>
      <w:rFonts w:eastAsia="Times New Roman" w:cs="Arial"/>
      <w:b/>
      <w:b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5340"/>
    <w:rPr>
      <w:rFonts w:eastAsiaTheme="majorEastAsia" w:cstheme="majorBidi"/>
      <w:b/>
      <w:bCs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41A9A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A9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A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A9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A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A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341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A9A"/>
    <w:rPr>
      <w:sz w:val="20"/>
      <w:szCs w:val="20"/>
    </w:rPr>
  </w:style>
  <w:style w:type="paragraph" w:styleId="Textpoznpodarou">
    <w:name w:val="footnote text"/>
    <w:aliases w:val="Schriftart: 9 pt,Schriftart: 10 pt,Schriftart: 8 pt,Char,Char Char Char Char,Boston 10,Font: Geneva 9,Fußnotentextf,Geneva 9,Podrozdzia3,Podrozdział,Text poznámky pod čiarou 007,f,pozn. pod čarou"/>
    <w:basedOn w:val="Normln"/>
    <w:link w:val="TextpoznpodarouChar"/>
    <w:uiPriority w:val="99"/>
    <w:unhideWhenUsed/>
    <w:rsid w:val="00341A9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Char Char,Char Char Char Char Char,Boston 10 Char,Font: Geneva 9 Char,Fußnotentextf Char,Geneva 9 Char,Podrozdzia3 Char,Podrozdział Char,f Char"/>
    <w:basedOn w:val="Standardnpsmoodstavce"/>
    <w:link w:val="Textpoznpodarou"/>
    <w:uiPriority w:val="99"/>
    <w:rsid w:val="00341A9A"/>
    <w:rPr>
      <w:sz w:val="20"/>
      <w:szCs w:val="20"/>
    </w:rPr>
  </w:style>
  <w:style w:type="character" w:styleId="Znakapoznpodarou">
    <w:name w:val="footnote reference"/>
    <w:aliases w:val="Footnote,Footnote call,12 b.,PGI Fußnote Ziffer,PGI Fußnote Ziffer + Times New Roman,Zúžené o ..."/>
    <w:basedOn w:val="Standardnpsmoodstavce"/>
    <w:uiPriority w:val="99"/>
    <w:unhideWhenUsed/>
    <w:rsid w:val="00341A9A"/>
    <w:rPr>
      <w:vertAlign w:val="superscript"/>
    </w:rPr>
  </w:style>
  <w:style w:type="paragraph" w:styleId="Odstavecseseznamem">
    <w:name w:val="List Paragraph"/>
    <w:aliases w:val="Odstavec_muj,odrážky,Odstavec cíl se seznamem,Odstavec se seznamem1,Nadpis pro KZ,List Paragraph (Czech Tourism),Nad,List Paragraph,Bullet List,Bullet Number,Bulletr List Paragraph,FooterText,List Paragraph2,List Paragraph21"/>
    <w:basedOn w:val="Normln"/>
    <w:link w:val="OdstavecseseznamemChar"/>
    <w:uiPriority w:val="34"/>
    <w:qFormat/>
    <w:rsid w:val="00341A9A"/>
    <w:pPr>
      <w:ind w:left="720"/>
      <w:contextualSpacing/>
    </w:pPr>
  </w:style>
  <w:style w:type="character" w:customStyle="1" w:styleId="OdstavecseseznamemChar">
    <w:name w:val="Odstavec se seznamem Char"/>
    <w:aliases w:val="Odstavec_muj Char,odrážky Char,Odstavec cíl se seznamem Char,Odstavec se seznamem1 Char,Nadpis pro KZ Char,List Paragraph (Czech Tourism) Char,Nad Char,List Paragraph Char,Bullet List Char,Bullet Number Char,FooterText Char"/>
    <w:basedOn w:val="Standardnpsmoodstavce"/>
    <w:link w:val="Odstavecseseznamem"/>
    <w:uiPriority w:val="34"/>
    <w:qFormat/>
    <w:rsid w:val="00341A9A"/>
  </w:style>
  <w:style w:type="paragraph" w:styleId="Zkladntextodsazen">
    <w:name w:val="Body Text Indent"/>
    <w:basedOn w:val="Normln"/>
    <w:link w:val="ZkladntextodsazenChar"/>
    <w:unhideWhenUsed/>
    <w:rsid w:val="00341A9A"/>
    <w:pPr>
      <w:ind w:left="283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41A9A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341A9A"/>
    <w:pPr>
      <w:spacing w:before="120" w:after="0"/>
    </w:pPr>
    <w:rPr>
      <w:rFonts w:ascii="Arial" w:eastAsia="Times New Roman" w:hAnsi="Arial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A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A9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B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B1F"/>
    <w:rPr>
      <w:b/>
      <w:bCs/>
      <w:sz w:val="20"/>
      <w:szCs w:val="20"/>
    </w:rPr>
  </w:style>
  <w:style w:type="table" w:customStyle="1" w:styleId="Mkatabulky5">
    <w:name w:val="Mřížka tabulky5"/>
    <w:basedOn w:val="Normlntabulka"/>
    <w:next w:val="Mkatabulky"/>
    <w:uiPriority w:val="59"/>
    <w:rsid w:val="008C27A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8C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A7554"/>
    <w:pPr>
      <w:spacing w:after="200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78B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78B1"/>
  </w:style>
  <w:style w:type="paragraph" w:styleId="Zpat">
    <w:name w:val="footer"/>
    <w:basedOn w:val="Normln"/>
    <w:link w:val="ZpatChar"/>
    <w:uiPriority w:val="99"/>
    <w:unhideWhenUsed/>
    <w:rsid w:val="001378B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78B1"/>
  </w:style>
  <w:style w:type="character" w:styleId="slostrnky">
    <w:name w:val="page number"/>
    <w:basedOn w:val="Standardnpsmoodstavce"/>
    <w:semiHidden/>
    <w:rsid w:val="001378B1"/>
  </w:style>
  <w:style w:type="character" w:styleId="Hypertextovodkaz">
    <w:name w:val="Hyperlink"/>
    <w:basedOn w:val="Standardnpsmoodstavce"/>
    <w:uiPriority w:val="99"/>
    <w:unhideWhenUsed/>
    <w:rsid w:val="00B162E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6E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E413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A1353"/>
    <w:rPr>
      <w:color w:val="954F72" w:themeColor="followedHyperlink"/>
      <w:u w:val="single"/>
    </w:rPr>
  </w:style>
  <w:style w:type="paragraph" w:customStyle="1" w:styleId="NormlnKZ">
    <w:name w:val="Normální KZ"/>
    <w:basedOn w:val="Normln"/>
    <w:rsid w:val="00273246"/>
    <w:pPr>
      <w:ind w:firstLine="425"/>
    </w:pPr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90E2E"/>
    <w:rPr>
      <w:i/>
      <w:iCs/>
    </w:rPr>
  </w:style>
  <w:style w:type="paragraph" w:customStyle="1" w:styleId="Odrky">
    <w:name w:val="Odrážky"/>
    <w:basedOn w:val="Odstavecseseznamem"/>
    <w:link w:val="OdrkyChar"/>
    <w:qFormat/>
    <w:rsid w:val="007C7B6A"/>
    <w:pPr>
      <w:numPr>
        <w:numId w:val="1"/>
      </w:numPr>
      <w:contextualSpacing w:val="0"/>
    </w:pPr>
    <w:rPr>
      <w:rFonts w:eastAsiaTheme="minorEastAsia" w:cstheme="minorHAnsi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7C7B6A"/>
    <w:rPr>
      <w:rFonts w:eastAsiaTheme="minorEastAsia" w:cstheme="minorHAnsi"/>
      <w:sz w:val="24"/>
      <w:szCs w:val="24"/>
      <w:lang w:eastAsia="cs-CZ"/>
    </w:rPr>
  </w:style>
  <w:style w:type="paragraph" w:styleId="Bezmezer">
    <w:name w:val="No Spacing"/>
    <w:aliases w:val="Vyhodnocení tučně"/>
    <w:basedOn w:val="Normln"/>
    <w:uiPriority w:val="1"/>
    <w:qFormat/>
    <w:rsid w:val="00B65E68"/>
    <w:rPr>
      <w:rFonts w:ascii="Calibri" w:eastAsiaTheme="minorEastAsia" w:hAnsi="Calibri"/>
      <w:b/>
      <w:lang w:eastAsia="cs-CZ"/>
    </w:rPr>
  </w:style>
  <w:style w:type="character" w:customStyle="1" w:styleId="st1">
    <w:name w:val="st1"/>
    <w:basedOn w:val="Standardnpsmoodstavce"/>
    <w:rsid w:val="00A10C18"/>
  </w:style>
  <w:style w:type="character" w:customStyle="1" w:styleId="h1a">
    <w:name w:val="h1a"/>
    <w:basedOn w:val="Standardnpsmoodstavce"/>
    <w:rsid w:val="0016296B"/>
  </w:style>
  <w:style w:type="character" w:customStyle="1" w:styleId="PoznmkapodarouChar">
    <w:name w:val="Poznámka pod čarou Char"/>
    <w:basedOn w:val="Standardnpsmoodstavce"/>
    <w:link w:val="Poznmkapodarou"/>
    <w:locked/>
    <w:rsid w:val="00487402"/>
    <w:rPr>
      <w:rFonts w:ascii="Times New Roman" w:eastAsiaTheme="minorEastAsia" w:hAnsi="Times New Roman" w:cs="Times New Roman"/>
      <w:sz w:val="20"/>
      <w:szCs w:val="20"/>
    </w:rPr>
  </w:style>
  <w:style w:type="paragraph" w:customStyle="1" w:styleId="Poznmkapodarou">
    <w:name w:val="Poznámka pod čarou"/>
    <w:basedOn w:val="Textpoznpodarou"/>
    <w:link w:val="PoznmkapodarouChar"/>
    <w:qFormat/>
    <w:rsid w:val="00487402"/>
    <w:rPr>
      <w:rFonts w:ascii="Times New Roman" w:eastAsiaTheme="minorEastAsia" w:hAnsi="Times New Roman" w:cs="Times New Roman"/>
    </w:rPr>
  </w:style>
  <w:style w:type="character" w:customStyle="1" w:styleId="ZdrojChar">
    <w:name w:val="Zdroj Char"/>
    <w:basedOn w:val="Standardnpsmoodstavce"/>
    <w:link w:val="Zdroj"/>
    <w:locked/>
    <w:rsid w:val="00487402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customStyle="1" w:styleId="Zdroj">
    <w:name w:val="Zdroj"/>
    <w:basedOn w:val="Normln"/>
    <w:link w:val="ZdrojChar"/>
    <w:qFormat/>
    <w:rsid w:val="00487402"/>
    <w:pPr>
      <w:spacing w:after="200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customStyle="1" w:styleId="obsahtabulkyChar">
    <w:name w:val="obsah tabulky Char"/>
    <w:basedOn w:val="Standardnpsmoodstavce"/>
    <w:link w:val="obsahtabulky"/>
    <w:locked/>
    <w:rsid w:val="00487402"/>
    <w:rPr>
      <w:rFonts w:ascii="Times New Roman" w:eastAsia="Times New Roman" w:hAnsi="Times New Roman" w:cstheme="minorHAnsi"/>
      <w:color w:val="000000"/>
      <w:sz w:val="20"/>
      <w:lang w:eastAsia="cs-CZ"/>
    </w:rPr>
  </w:style>
  <w:style w:type="paragraph" w:customStyle="1" w:styleId="obsahtabulky">
    <w:name w:val="obsah tabulky"/>
    <w:basedOn w:val="Normln"/>
    <w:link w:val="obsahtabulkyChar"/>
    <w:qFormat/>
    <w:rsid w:val="00487402"/>
    <w:pPr>
      <w:keepNext/>
      <w:keepLines/>
      <w:spacing w:after="0"/>
    </w:pPr>
    <w:rPr>
      <w:rFonts w:ascii="Times New Roman" w:eastAsia="Times New Roman" w:hAnsi="Times New Roman" w:cstheme="minorHAnsi"/>
      <w:color w:val="000000"/>
      <w:sz w:val="20"/>
      <w:lang w:eastAsia="cs-CZ"/>
    </w:rPr>
  </w:style>
  <w:style w:type="paragraph" w:customStyle="1" w:styleId="Zdrojdat">
    <w:name w:val="Zdroj dat"/>
    <w:basedOn w:val="Normln"/>
    <w:link w:val="ZdrojdatChar"/>
    <w:qFormat/>
    <w:rsid w:val="00706FE7"/>
    <w:pPr>
      <w:keepLines/>
      <w:widowControl w:val="0"/>
    </w:pPr>
    <w:rPr>
      <w:rFonts w:eastAsiaTheme="minorEastAsia"/>
      <w:sz w:val="20"/>
      <w:lang w:eastAsia="cs-CZ"/>
    </w:rPr>
  </w:style>
  <w:style w:type="character" w:customStyle="1" w:styleId="ZdrojdatChar">
    <w:name w:val="Zdroj dat Char"/>
    <w:basedOn w:val="Standardnpsmoodstavce"/>
    <w:link w:val="Zdrojdat"/>
    <w:rsid w:val="00706FE7"/>
    <w:rPr>
      <w:rFonts w:eastAsiaTheme="minorEastAsia"/>
      <w:sz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348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E0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2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880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902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721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659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145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74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hart" Target="charts/chart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SYKORAP\KZ%20ke%20korektur&#225;m\2022\2022,%20IV\KZ%2021-28%20-%20Graf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27699693547125"/>
          <c:y val="9.0557828958059403E-2"/>
          <c:w val="0.85076926898333294"/>
          <c:h val="0.62828834641487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Kapitola_336_MSpr!$B$55</c:f>
              <c:strCache>
                <c:ptCount val="1"/>
              </c:strCache>
            </c:strRef>
          </c:tx>
          <c:spPr>
            <a:solidFill>
              <a:schemeClr val="bg1"/>
            </a:solidFill>
            <a:ln>
              <a:noFill/>
            </a:ln>
            <a:effectLst/>
          </c:spPr>
          <c:invertIfNegative val="0"/>
          <c:cat>
            <c:strRef>
              <c:f>Kapitola_336_MSpr!$B$56:$B$72</c:f>
              <c:strCache>
                <c:ptCount val="17"/>
                <c:pt idx="0">
                  <c:v>NE-INV</c:v>
                </c:pt>
                <c:pt idx="1">
                  <c:v>INV</c:v>
                </c:pt>
                <c:pt idx="3">
                  <c:v>NE-INV</c:v>
                </c:pt>
                <c:pt idx="4">
                  <c:v>INV</c:v>
                </c:pt>
                <c:pt idx="6">
                  <c:v>NE-INV</c:v>
                </c:pt>
                <c:pt idx="7">
                  <c:v>INV</c:v>
                </c:pt>
                <c:pt idx="9">
                  <c:v>NE-INV</c:v>
                </c:pt>
                <c:pt idx="10">
                  <c:v>INV</c:v>
                </c:pt>
                <c:pt idx="12">
                  <c:v>NE-INV</c:v>
                </c:pt>
                <c:pt idx="13">
                  <c:v>INV</c:v>
                </c:pt>
                <c:pt idx="15">
                  <c:v>NE-INV</c:v>
                </c:pt>
                <c:pt idx="16">
                  <c:v>INV</c:v>
                </c:pt>
              </c:strCache>
            </c:strRef>
          </c:cat>
          <c:val>
            <c:numRef>
              <c:f>Kapitola_336_MSpr!$B$56:$B$72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  <c:pt idx="6">
                  <c:v>0</c:v>
                </c:pt>
                <c:pt idx="7">
                  <c:v>0</c:v>
                </c:pt>
                <c:pt idx="9">
                  <c:v>0</c:v>
                </c:pt>
                <c:pt idx="10">
                  <c:v>0</c:v>
                </c:pt>
                <c:pt idx="12">
                  <c:v>0</c:v>
                </c:pt>
                <c:pt idx="13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5D-4FB4-85E7-3A8E7CC2951D}"/>
            </c:ext>
          </c:extLst>
        </c:ser>
        <c:ser>
          <c:idx val="1"/>
          <c:order val="1"/>
          <c:tx>
            <c:strRef>
              <c:f>Kapitola_336_MSpr!$C$55</c:f>
              <c:strCache>
                <c:ptCount val="1"/>
                <c:pt idx="0">
                  <c:v>NE-INV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95D-4FB4-85E7-3A8E7CC2951D}"/>
              </c:ext>
            </c:extLst>
          </c:dPt>
          <c:dPt>
            <c:idx val="1"/>
            <c:invertIfNegative val="0"/>
            <c:bubble3D val="0"/>
            <c:spPr>
              <a:solidFill>
                <a:srgbClr val="BD2A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95D-4FB4-85E7-3A8E7CC2951D}"/>
              </c:ext>
            </c:extLst>
          </c:dPt>
          <c:dPt>
            <c:idx val="3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95D-4FB4-85E7-3A8E7CC2951D}"/>
              </c:ext>
            </c:extLst>
          </c:dPt>
          <c:dPt>
            <c:idx val="4"/>
            <c:invertIfNegative val="0"/>
            <c:bubble3D val="0"/>
            <c:spPr>
              <a:solidFill>
                <a:srgbClr val="BD2A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195D-4FB4-85E7-3A8E7CC2951D}"/>
              </c:ext>
            </c:extLst>
          </c:dPt>
          <c:dPt>
            <c:idx val="6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195D-4FB4-85E7-3A8E7CC2951D}"/>
              </c:ext>
            </c:extLst>
          </c:dPt>
          <c:dPt>
            <c:idx val="7"/>
            <c:invertIfNegative val="0"/>
            <c:bubble3D val="0"/>
            <c:spPr>
              <a:solidFill>
                <a:srgbClr val="BD2A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195D-4FB4-85E7-3A8E7CC2951D}"/>
              </c:ext>
            </c:extLst>
          </c:dPt>
          <c:dPt>
            <c:idx val="9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195D-4FB4-85E7-3A8E7CC2951D}"/>
              </c:ext>
            </c:extLst>
          </c:dPt>
          <c:dPt>
            <c:idx val="10"/>
            <c:invertIfNegative val="0"/>
            <c:bubble3D val="0"/>
            <c:spPr>
              <a:solidFill>
                <a:srgbClr val="BD2A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195D-4FB4-85E7-3A8E7CC2951D}"/>
              </c:ext>
            </c:extLst>
          </c:dPt>
          <c:dPt>
            <c:idx val="12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195D-4FB4-85E7-3A8E7CC2951D}"/>
              </c:ext>
            </c:extLst>
          </c:dPt>
          <c:dPt>
            <c:idx val="13"/>
            <c:invertIfNegative val="0"/>
            <c:bubble3D val="0"/>
            <c:spPr>
              <a:solidFill>
                <a:srgbClr val="BD2A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195D-4FB4-85E7-3A8E7CC2951D}"/>
              </c:ext>
            </c:extLst>
          </c:dPt>
          <c:dPt>
            <c:idx val="15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195D-4FB4-85E7-3A8E7CC2951D}"/>
              </c:ext>
            </c:extLst>
          </c:dPt>
          <c:dPt>
            <c:idx val="16"/>
            <c:invertIfNegative val="0"/>
            <c:bubble3D val="0"/>
            <c:spPr>
              <a:solidFill>
                <a:srgbClr val="BD2A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195D-4FB4-85E7-3A8E7CC2951D}"/>
              </c:ext>
            </c:extLst>
          </c:dPt>
          <c:cat>
            <c:strRef>
              <c:f>Kapitola_336_MSpr!$B$56:$B$72</c:f>
              <c:strCache>
                <c:ptCount val="17"/>
                <c:pt idx="0">
                  <c:v>NE-INV</c:v>
                </c:pt>
                <c:pt idx="1">
                  <c:v>INV</c:v>
                </c:pt>
                <c:pt idx="3">
                  <c:v>NE-INV</c:v>
                </c:pt>
                <c:pt idx="4">
                  <c:v>INV</c:v>
                </c:pt>
                <c:pt idx="6">
                  <c:v>NE-INV</c:v>
                </c:pt>
                <c:pt idx="7">
                  <c:v>INV</c:v>
                </c:pt>
                <c:pt idx="9">
                  <c:v>NE-INV</c:v>
                </c:pt>
                <c:pt idx="10">
                  <c:v>INV</c:v>
                </c:pt>
                <c:pt idx="12">
                  <c:v>NE-INV</c:v>
                </c:pt>
                <c:pt idx="13">
                  <c:v>INV</c:v>
                </c:pt>
                <c:pt idx="15">
                  <c:v>NE-INV</c:v>
                </c:pt>
                <c:pt idx="16">
                  <c:v>INV</c:v>
                </c:pt>
              </c:strCache>
            </c:strRef>
          </c:cat>
          <c:val>
            <c:numRef>
              <c:f>Kapitola_336_MSpr!$C$56:$C$72</c:f>
              <c:numCache>
                <c:formatCode>#,##0</c:formatCode>
                <c:ptCount val="17"/>
                <c:pt idx="0">
                  <c:v>444.98664007999997</c:v>
                </c:pt>
                <c:pt idx="1">
                  <c:v>126.57090349000001</c:v>
                </c:pt>
                <c:pt idx="3">
                  <c:v>453.17787263999998</c:v>
                </c:pt>
                <c:pt idx="4">
                  <c:v>63.512247479999999</c:v>
                </c:pt>
                <c:pt idx="6">
                  <c:v>391.02626966999998</c:v>
                </c:pt>
                <c:pt idx="7">
                  <c:v>162.97531702000001</c:v>
                </c:pt>
                <c:pt idx="9">
                  <c:v>442.04391232</c:v>
                </c:pt>
                <c:pt idx="10">
                  <c:v>160.51743515999999</c:v>
                </c:pt>
                <c:pt idx="12">
                  <c:v>580.49312110999995</c:v>
                </c:pt>
                <c:pt idx="13">
                  <c:v>198.05231438999999</c:v>
                </c:pt>
                <c:pt idx="15">
                  <c:v>629.45707823999999</c:v>
                </c:pt>
                <c:pt idx="16">
                  <c:v>215.11740172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195D-4FB4-85E7-3A8E7CC2951D}"/>
            </c:ext>
          </c:extLst>
        </c:ser>
        <c:ser>
          <c:idx val="2"/>
          <c:order val="2"/>
          <c:tx>
            <c:strRef>
              <c:f>Kapitola_336_MSpr!$D$55</c:f>
              <c:strCache>
                <c:ptCount val="1"/>
                <c:pt idx="0">
                  <c:v>Rozdíl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4595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195D-4FB4-85E7-3A8E7CC2951D}"/>
              </c:ext>
            </c:extLst>
          </c:dPt>
          <c:dPt>
            <c:idx val="1"/>
            <c:invertIfNegative val="0"/>
            <c:bubble3D val="0"/>
            <c:spPr>
              <a:solidFill>
                <a:srgbClr val="BD2A33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195D-4FB4-85E7-3A8E7CC2951D}"/>
              </c:ext>
            </c:extLst>
          </c:dPt>
          <c:dPt>
            <c:idx val="3"/>
            <c:invertIfNegative val="0"/>
            <c:bubble3D val="0"/>
            <c:spPr>
              <a:solidFill>
                <a:srgbClr val="004595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195D-4FB4-85E7-3A8E7CC2951D}"/>
              </c:ext>
            </c:extLst>
          </c:dPt>
          <c:dPt>
            <c:idx val="4"/>
            <c:invertIfNegative val="0"/>
            <c:bubble3D val="0"/>
            <c:spPr>
              <a:solidFill>
                <a:srgbClr val="BD2A33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195D-4FB4-85E7-3A8E7CC2951D}"/>
              </c:ext>
            </c:extLst>
          </c:dPt>
          <c:dPt>
            <c:idx val="6"/>
            <c:invertIfNegative val="0"/>
            <c:bubble3D val="0"/>
            <c:spPr>
              <a:solidFill>
                <a:srgbClr val="004595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195D-4FB4-85E7-3A8E7CC2951D}"/>
              </c:ext>
            </c:extLst>
          </c:dPt>
          <c:dPt>
            <c:idx val="7"/>
            <c:invertIfNegative val="0"/>
            <c:bubble3D val="0"/>
            <c:spPr>
              <a:solidFill>
                <a:srgbClr val="BD2A33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195D-4FB4-85E7-3A8E7CC2951D}"/>
              </c:ext>
            </c:extLst>
          </c:dPt>
          <c:dPt>
            <c:idx val="9"/>
            <c:invertIfNegative val="0"/>
            <c:bubble3D val="0"/>
            <c:spPr>
              <a:solidFill>
                <a:srgbClr val="004595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195D-4FB4-85E7-3A8E7CC2951D}"/>
              </c:ext>
            </c:extLst>
          </c:dPt>
          <c:dPt>
            <c:idx val="10"/>
            <c:invertIfNegative val="0"/>
            <c:bubble3D val="0"/>
            <c:spPr>
              <a:solidFill>
                <a:srgbClr val="C00000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195D-4FB4-85E7-3A8E7CC2951D}"/>
              </c:ext>
            </c:extLst>
          </c:dPt>
          <c:dPt>
            <c:idx val="12"/>
            <c:invertIfNegative val="0"/>
            <c:bubble3D val="0"/>
            <c:spPr>
              <a:solidFill>
                <a:srgbClr val="004595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195D-4FB4-85E7-3A8E7CC2951D}"/>
              </c:ext>
            </c:extLst>
          </c:dPt>
          <c:dPt>
            <c:idx val="13"/>
            <c:invertIfNegative val="0"/>
            <c:bubble3D val="0"/>
            <c:spPr>
              <a:solidFill>
                <a:srgbClr val="C00000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195D-4FB4-85E7-3A8E7CC2951D}"/>
              </c:ext>
            </c:extLst>
          </c:dPt>
          <c:dPt>
            <c:idx val="15"/>
            <c:invertIfNegative val="0"/>
            <c:bubble3D val="0"/>
            <c:spPr>
              <a:solidFill>
                <a:srgbClr val="004595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195D-4FB4-85E7-3A8E7CC2951D}"/>
              </c:ext>
            </c:extLst>
          </c:dPt>
          <c:dPt>
            <c:idx val="16"/>
            <c:invertIfNegative val="0"/>
            <c:bubble3D val="0"/>
            <c:spPr>
              <a:solidFill>
                <a:srgbClr val="BD2A33">
                  <a:alpha val="50196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195D-4FB4-85E7-3A8E7CC2951D}"/>
              </c:ext>
            </c:extLst>
          </c:dPt>
          <c:cat>
            <c:strRef>
              <c:f>Kapitola_336_MSpr!$B$56:$B$72</c:f>
              <c:strCache>
                <c:ptCount val="17"/>
                <c:pt idx="0">
                  <c:v>NE-INV</c:v>
                </c:pt>
                <c:pt idx="1">
                  <c:v>INV</c:v>
                </c:pt>
                <c:pt idx="3">
                  <c:v>NE-INV</c:v>
                </c:pt>
                <c:pt idx="4">
                  <c:v>INV</c:v>
                </c:pt>
                <c:pt idx="6">
                  <c:v>NE-INV</c:v>
                </c:pt>
                <c:pt idx="7">
                  <c:v>INV</c:v>
                </c:pt>
                <c:pt idx="9">
                  <c:v>NE-INV</c:v>
                </c:pt>
                <c:pt idx="10">
                  <c:v>INV</c:v>
                </c:pt>
                <c:pt idx="12">
                  <c:v>NE-INV</c:v>
                </c:pt>
                <c:pt idx="13">
                  <c:v>INV</c:v>
                </c:pt>
                <c:pt idx="15">
                  <c:v>NE-INV</c:v>
                </c:pt>
                <c:pt idx="16">
                  <c:v>INV</c:v>
                </c:pt>
              </c:strCache>
            </c:strRef>
          </c:cat>
          <c:val>
            <c:numRef>
              <c:f>Kapitola_336_MSpr!$D$56:$D$72</c:f>
              <c:numCache>
                <c:formatCode>#,##0</c:formatCode>
                <c:ptCount val="17"/>
                <c:pt idx="0">
                  <c:v>43.813737289999999</c:v>
                </c:pt>
                <c:pt idx="1">
                  <c:v>288.96400641999998</c:v>
                </c:pt>
                <c:pt idx="3">
                  <c:v>19.4396338200001</c:v>
                </c:pt>
                <c:pt idx="4">
                  <c:v>243.78974245000001</c:v>
                </c:pt>
                <c:pt idx="6">
                  <c:v>74.863518299999996</c:v>
                </c:pt>
                <c:pt idx="7">
                  <c:v>228.58252876</c:v>
                </c:pt>
                <c:pt idx="9">
                  <c:v>122.61731885</c:v>
                </c:pt>
                <c:pt idx="10">
                  <c:v>273.36553974999998</c:v>
                </c:pt>
                <c:pt idx="12">
                  <c:v>95.861879879999904</c:v>
                </c:pt>
                <c:pt idx="13">
                  <c:v>199.34935274</c:v>
                </c:pt>
                <c:pt idx="15">
                  <c:v>69.425010709999995</c:v>
                </c:pt>
                <c:pt idx="16">
                  <c:v>308.40486716999999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2-195D-4FB4-85E7-3A8E7CC2951D}"/>
            </c:ext>
          </c:extLst>
        </c:ser>
        <c:ser>
          <c:idx val="3"/>
          <c:order val="3"/>
          <c:tx>
            <c:strRef>
              <c:f>Kapitola_336_MSpr!$E$55</c:f>
              <c:strCache>
                <c:ptCount val="1"/>
                <c:pt idx="0">
                  <c:v>Procento čerpání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212923426183892E-17"/>
                  <c:y val="0.1995461826900092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195D-4FB4-85E7-3A8E7CC2951D}"/>
                </c:ext>
              </c:extLst>
            </c:dLbl>
            <c:dLbl>
              <c:idx val="1"/>
              <c:layout>
                <c:manualLayout>
                  <c:x val="-2.0212923426183892E-17"/>
                  <c:y val="0.3025818589622377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293361345267346E-2"/>
                      <c:h val="5.13065681017330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34-195D-4FB4-85E7-3A8E7CC2951D}"/>
                </c:ext>
              </c:extLst>
            </c:dLbl>
            <c:dLbl>
              <c:idx val="3"/>
              <c:layout>
                <c:manualLayout>
                  <c:x val="0"/>
                  <c:y val="0.1920884039925457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195D-4FB4-85E7-3A8E7CC2951D}"/>
                </c:ext>
              </c:extLst>
            </c:dLbl>
            <c:dLbl>
              <c:idx val="4"/>
              <c:layout>
                <c:manualLayout>
                  <c:x val="-4.0425846852367784E-17"/>
                  <c:y val="0.2142671789950134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/>
                      <a:t>21 %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293361345267346E-2"/>
                      <c:h val="3.922380114810070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36-195D-4FB4-85E7-3A8E7CC2951D}"/>
                </c:ext>
              </c:extLst>
            </c:dLbl>
            <c:dLbl>
              <c:idx val="6"/>
              <c:layout>
                <c:manualLayout>
                  <c:x val="0"/>
                  <c:y val="0.1846306252950823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195D-4FB4-85E7-3A8E7CC2951D}"/>
                </c:ext>
              </c:extLst>
            </c:dLbl>
            <c:dLbl>
              <c:idx val="7"/>
              <c:layout>
                <c:manualLayout>
                  <c:x val="-8.0851693704735569E-17"/>
                  <c:y val="0.2825210169979318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42 %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195D-4FB4-85E7-3A8E7CC2951D}"/>
                </c:ext>
              </c:extLst>
            </c:dLbl>
            <c:dLbl>
              <c:idx val="9"/>
              <c:layout>
                <c:manualLayout>
                  <c:x val="0"/>
                  <c:y val="0.2610505585306594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78 %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195D-4FB4-85E7-3A8E7CC2951D}"/>
                </c:ext>
              </c:extLst>
            </c:dLbl>
            <c:dLbl>
              <c:idx val="10"/>
              <c:layout>
                <c:manualLayout>
                  <c:x val="0"/>
                  <c:y val="0.3143826550453280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195D-4FB4-85E7-3A8E7CC2951D}"/>
                </c:ext>
              </c:extLst>
            </c:dLbl>
            <c:dLbl>
              <c:idx val="12"/>
              <c:layout>
                <c:manualLayout>
                  <c:x val="0"/>
                  <c:y val="0.3538024443818105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195D-4FB4-85E7-3A8E7CC2951D}"/>
                </c:ext>
              </c:extLst>
            </c:dLbl>
            <c:dLbl>
              <c:idx val="13"/>
              <c:layout>
                <c:manualLayout>
                  <c:x val="-1.0209308180468621E-4"/>
                  <c:y val="0.2869581039569872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195D-4FB4-85E7-3A8E7CC2951D}"/>
                </c:ext>
              </c:extLst>
            </c:dLbl>
            <c:dLbl>
              <c:idx val="15"/>
              <c:layout>
                <c:manualLayout>
                  <c:x val="1.0435024177655852E-4"/>
                  <c:y val="0.3709364263313936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195D-4FB4-85E7-3A8E7CC2951D}"/>
                </c:ext>
              </c:extLst>
            </c:dLbl>
            <c:dLbl>
              <c:idx val="16"/>
              <c:layout>
                <c:manualLayout>
                  <c:x val="0"/>
                  <c:y val="0.3833448095834417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195D-4FB4-85E7-3A8E7CC29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Kapitola_336_MSpr!$B$56:$B$72</c:f>
              <c:strCache>
                <c:ptCount val="17"/>
                <c:pt idx="0">
                  <c:v>NE-INV</c:v>
                </c:pt>
                <c:pt idx="1">
                  <c:v>INV</c:v>
                </c:pt>
                <c:pt idx="3">
                  <c:v>NE-INV</c:v>
                </c:pt>
                <c:pt idx="4">
                  <c:v>INV</c:v>
                </c:pt>
                <c:pt idx="6">
                  <c:v>NE-INV</c:v>
                </c:pt>
                <c:pt idx="7">
                  <c:v>INV</c:v>
                </c:pt>
                <c:pt idx="9">
                  <c:v>NE-INV</c:v>
                </c:pt>
                <c:pt idx="10">
                  <c:v>INV</c:v>
                </c:pt>
                <c:pt idx="12">
                  <c:v>NE-INV</c:v>
                </c:pt>
                <c:pt idx="13">
                  <c:v>INV</c:v>
                </c:pt>
                <c:pt idx="15">
                  <c:v>NE-INV</c:v>
                </c:pt>
                <c:pt idx="16">
                  <c:v>INV</c:v>
                </c:pt>
              </c:strCache>
            </c:strRef>
          </c:cat>
          <c:val>
            <c:numRef>
              <c:f>Kapitola_336_MSpr!$E$56:$E$72</c:f>
              <c:numCache>
                <c:formatCode>0%</c:formatCode>
                <c:ptCount val="17"/>
                <c:pt idx="0">
                  <c:v>0.91</c:v>
                </c:pt>
                <c:pt idx="1">
                  <c:v>0.3</c:v>
                </c:pt>
                <c:pt idx="3">
                  <c:v>0.96</c:v>
                </c:pt>
                <c:pt idx="4">
                  <c:v>0.21</c:v>
                </c:pt>
                <c:pt idx="6">
                  <c:v>0.84</c:v>
                </c:pt>
                <c:pt idx="7">
                  <c:v>0.42</c:v>
                </c:pt>
                <c:pt idx="9">
                  <c:v>0.78</c:v>
                </c:pt>
                <c:pt idx="10">
                  <c:v>0.37</c:v>
                </c:pt>
                <c:pt idx="12">
                  <c:v>0.86</c:v>
                </c:pt>
                <c:pt idx="13">
                  <c:v>0.5</c:v>
                </c:pt>
                <c:pt idx="15">
                  <c:v>0.9</c:v>
                </c:pt>
                <c:pt idx="16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F-195D-4FB4-85E7-3A8E7CC29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"/>
        <c:overlap val="100"/>
        <c:axId val="379799360"/>
        <c:axId val="276041376"/>
      </c:barChart>
      <c:catAx>
        <c:axId val="3797993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76041376"/>
        <c:crossesAt val="0"/>
        <c:auto val="1"/>
        <c:lblAlgn val="ctr"/>
        <c:lblOffset val="100"/>
        <c:noMultiLvlLbl val="0"/>
      </c:catAx>
      <c:valAx>
        <c:axId val="276041376"/>
        <c:scaling>
          <c:orientation val="minMax"/>
          <c:max val="8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79799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0.08634</cdr:x>
      <cdr:y>0.75234</cdr:y>
    </cdr:from>
    <cdr:to>
      <cdr:x>0.94596</cdr:x>
      <cdr:y>0.80595</cdr:y>
    </cdr:to>
    <cdr:sp macro="" textlink="">
      <cdr:nvSpPr>
        <cdr:cNvPr id="2" name="TextovéPole 1">
          <a:extLst xmlns:a="http://schemas.openxmlformats.org/drawingml/2006/main">
            <a:ext uri="{FF2B5EF4-FFF2-40B4-BE49-F238E27FC236}">
              <a16:creationId xmlns:a16="http://schemas.microsoft.com/office/drawing/2014/main" id="{5CE60C17-E457-4859-BA7B-57A7BA099232}"/>
            </a:ext>
          </a:extLst>
        </cdr:cNvPr>
        <cdr:cNvSpPr txBox="1"/>
      </cdr:nvSpPr>
      <cdr:spPr>
        <a:xfrm xmlns:a="http://schemas.openxmlformats.org/drawingml/2006/main">
          <a:off x="497266" y="3055592"/>
          <a:ext cx="4950938" cy="2177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000"/>
            <a:t>     2016</a:t>
          </a:r>
          <a:r>
            <a:rPr lang="cs-CZ" sz="1000" baseline="0"/>
            <a:t>                      2017                       2018                       2019                      2020                       2021</a:t>
          </a:r>
          <a:endParaRPr lang="cs-CZ" sz="1000"/>
        </a:p>
      </cdr:txBody>
    </cdr:sp>
  </cdr:relSizeAnchor>
  <cdr:relSizeAnchor xmlns:cdr="http://schemas.openxmlformats.org/drawingml/2006/chartDrawing">
    <cdr:from>
      <cdr:x>0.01558</cdr:x>
      <cdr:y>0.18302</cdr:y>
    </cdr:from>
    <cdr:to>
      <cdr:x>0.06289</cdr:x>
      <cdr:y>0.74043</cdr:y>
    </cdr:to>
    <cdr:sp macro="" textlink="">
      <cdr:nvSpPr>
        <cdr:cNvPr id="9" name="TextovéPole 8">
          <a:extLst xmlns:a="http://schemas.openxmlformats.org/drawingml/2006/main">
            <a:ext uri="{FF2B5EF4-FFF2-40B4-BE49-F238E27FC236}">
              <a16:creationId xmlns:a16="http://schemas.microsoft.com/office/drawing/2014/main" id="{BD801E17-A1B3-4E3C-8AB1-414F2C00FF5B}"/>
            </a:ext>
          </a:extLst>
        </cdr:cNvPr>
        <cdr:cNvSpPr txBox="1"/>
      </cdr:nvSpPr>
      <cdr:spPr>
        <a:xfrm xmlns:a="http://schemas.openxmlformats.org/drawingml/2006/main" rot="16200000">
          <a:off x="-905980" y="1739038"/>
          <a:ext cx="2263899" cy="2724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cs-CZ" sz="900"/>
            <a:t>V mil. Kč</a:t>
          </a:r>
        </a:p>
      </cdr:txBody>
    </cdr:sp>
  </cdr:relSizeAnchor>
  <cdr:relSizeAnchor xmlns:cdr="http://schemas.openxmlformats.org/drawingml/2006/chartDrawing">
    <cdr:from>
      <cdr:x>0.09832</cdr:x>
      <cdr:y>0.84241</cdr:y>
    </cdr:from>
    <cdr:to>
      <cdr:x>0.99424</cdr:x>
      <cdr:y>0.94447</cdr:y>
    </cdr:to>
    <cdr:grpSp>
      <cdr:nvGrpSpPr>
        <cdr:cNvPr id="11" name="Skupina 10">
          <a:extLst xmlns:a="http://schemas.openxmlformats.org/drawingml/2006/main">
            <a:ext uri="{FF2B5EF4-FFF2-40B4-BE49-F238E27FC236}">
              <a16:creationId xmlns:a16="http://schemas.microsoft.com/office/drawing/2014/main" id="{59D89E45-E5B4-459C-852A-A83D761373A3}"/>
            </a:ext>
          </a:extLst>
        </cdr:cNvPr>
        <cdr:cNvGrpSpPr/>
      </cdr:nvGrpSpPr>
      <cdr:grpSpPr>
        <a:xfrm xmlns:a="http://schemas.openxmlformats.org/drawingml/2006/main">
          <a:off x="566366" y="4785477"/>
          <a:ext cx="5161167" cy="579764"/>
          <a:chOff x="0" y="0"/>
          <a:chExt cx="5157546" cy="445798"/>
        </a:xfrm>
      </cdr:grpSpPr>
      <cdr:sp macro="" textlink="">
        <cdr:nvSpPr>
          <cdr:cNvPr id="12" name="TextovéPole 2">
            <a:extLst xmlns:a="http://schemas.openxmlformats.org/drawingml/2006/main">
              <a:ext uri="{FF2B5EF4-FFF2-40B4-BE49-F238E27FC236}">
                <a16:creationId xmlns:a16="http://schemas.microsoft.com/office/drawing/2014/main" id="{2682D2AB-9194-4C39-89C2-52B1F4754B4C}"/>
              </a:ext>
            </a:extLst>
          </cdr:cNvPr>
          <cdr:cNvSpPr txBox="1"/>
        </cdr:nvSpPr>
        <cdr:spPr>
          <a:xfrm xmlns:a="http://schemas.openxmlformats.org/drawingml/2006/main">
            <a:off x="0" y="0"/>
            <a:ext cx="2043313" cy="231594"/>
          </a:xfrm>
          <a:prstGeom xmlns:a="http://schemas.openxmlformats.org/drawingml/2006/main" prst="rect">
            <a:avLst/>
          </a:prstGeom>
          <a:noFill xmlns:a="http://schemas.openxmlformats.org/drawingml/2006/main"/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wrap="square" rtlCol="0" anchor="t"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cs-CZ" sz="1000"/>
              <a:t>Nevyčerpané</a:t>
            </a:r>
            <a:r>
              <a:rPr lang="cs-CZ" sz="1000" baseline="0"/>
              <a:t> neinv. prostředky           </a:t>
            </a:r>
            <a:endParaRPr lang="cs-CZ" sz="1000"/>
          </a:p>
        </cdr:txBody>
      </cdr:sp>
      <cdr:sp macro="" textlink="">
        <cdr:nvSpPr>
          <cdr:cNvPr id="13" name="TextovéPole 5">
            <a:extLst xmlns:a="http://schemas.openxmlformats.org/drawingml/2006/main">
              <a:ext uri="{FF2B5EF4-FFF2-40B4-BE49-F238E27FC236}">
                <a16:creationId xmlns:a16="http://schemas.microsoft.com/office/drawing/2014/main" id="{BC44A7F9-6C36-416C-92D8-A4A8F1C3807A}"/>
              </a:ext>
            </a:extLst>
          </cdr:cNvPr>
          <cdr:cNvSpPr txBox="1"/>
        </cdr:nvSpPr>
        <cdr:spPr>
          <a:xfrm xmlns:a="http://schemas.openxmlformats.org/drawingml/2006/main">
            <a:off x="3103735" y="574"/>
            <a:ext cx="2048892" cy="231594"/>
          </a:xfrm>
          <a:prstGeom xmlns:a="http://schemas.openxmlformats.org/drawingml/2006/main" prst="rect">
            <a:avLst/>
          </a:prstGeom>
          <a:noFill xmlns:a="http://schemas.openxmlformats.org/drawingml/2006/main"/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wrap="square" rtlCol="0" anchor="t"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cs-CZ" sz="1000"/>
              <a:t>Nevyčerpané</a:t>
            </a:r>
            <a:r>
              <a:rPr lang="cs-CZ" sz="1000" baseline="0"/>
              <a:t> inv. prostředky           </a:t>
            </a:r>
            <a:endParaRPr lang="cs-CZ" sz="1000"/>
          </a:p>
        </cdr:txBody>
      </cdr:sp>
      <cdr:sp macro="" textlink="">
        <cdr:nvSpPr>
          <cdr:cNvPr id="14" name="TextovéPole 6">
            <a:extLst xmlns:a="http://schemas.openxmlformats.org/drawingml/2006/main">
              <a:ext uri="{FF2B5EF4-FFF2-40B4-BE49-F238E27FC236}">
                <a16:creationId xmlns:a16="http://schemas.microsoft.com/office/drawing/2014/main" id="{265FB17B-0406-484F-B286-2C1568E3310D}"/>
              </a:ext>
            </a:extLst>
          </cdr:cNvPr>
          <cdr:cNvSpPr txBox="1"/>
        </cdr:nvSpPr>
        <cdr:spPr>
          <a:xfrm xmlns:a="http://schemas.openxmlformats.org/drawingml/2006/main">
            <a:off x="14429" y="214204"/>
            <a:ext cx="2043313" cy="231594"/>
          </a:xfrm>
          <a:prstGeom xmlns:a="http://schemas.openxmlformats.org/drawingml/2006/main" prst="rect">
            <a:avLst/>
          </a:prstGeom>
          <a:noFill xmlns:a="http://schemas.openxmlformats.org/drawingml/2006/main"/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wrap="square" rtlCol="0" anchor="t"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cs-CZ" sz="1000"/>
              <a:t>Vyčerpané</a:t>
            </a:r>
            <a:r>
              <a:rPr lang="cs-CZ" sz="1000" baseline="0"/>
              <a:t> neinv. prostředky           </a:t>
            </a:r>
            <a:endParaRPr lang="cs-CZ" sz="1000"/>
          </a:p>
        </cdr:txBody>
      </cdr:sp>
      <cdr:sp macro="" textlink="">
        <cdr:nvSpPr>
          <cdr:cNvPr id="15" name="TextovéPole 7">
            <a:extLst xmlns:a="http://schemas.openxmlformats.org/drawingml/2006/main">
              <a:ext uri="{FF2B5EF4-FFF2-40B4-BE49-F238E27FC236}">
                <a16:creationId xmlns:a16="http://schemas.microsoft.com/office/drawing/2014/main" id="{149D1364-A929-45B2-85E0-D29DB3D24C3B}"/>
              </a:ext>
            </a:extLst>
          </cdr:cNvPr>
          <cdr:cNvSpPr txBox="1"/>
        </cdr:nvSpPr>
        <cdr:spPr>
          <a:xfrm xmlns:a="http://schemas.openxmlformats.org/drawingml/2006/main">
            <a:off x="3108654" y="209604"/>
            <a:ext cx="2048892" cy="231594"/>
          </a:xfrm>
          <a:prstGeom xmlns:a="http://schemas.openxmlformats.org/drawingml/2006/main" prst="rect">
            <a:avLst/>
          </a:prstGeom>
          <a:noFill xmlns:a="http://schemas.openxmlformats.org/drawingml/2006/main"/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 wrap="square" rtlCol="0" anchor="t"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cs-CZ" sz="1000"/>
              <a:t>Vyčerpané</a:t>
            </a:r>
            <a:r>
              <a:rPr lang="cs-CZ" sz="1000" baseline="0"/>
              <a:t> inv. prostředky           </a:t>
            </a:r>
            <a:endParaRPr lang="cs-CZ" sz="1000"/>
          </a:p>
        </cdr:txBody>
      </cdr:sp>
    </cdr:grpSp>
  </cdr:relSizeAnchor>
  <cdr:relSizeAnchor xmlns:cdr="http://schemas.openxmlformats.org/drawingml/2006/chartDrawing">
    <cdr:from>
      <cdr:x>0.08314</cdr:x>
      <cdr:y>0.85428</cdr:y>
    </cdr:from>
    <cdr:to>
      <cdr:x>0.10793</cdr:x>
      <cdr:y>0.88601</cdr:y>
    </cdr:to>
    <cdr:sp macro="" textlink="">
      <cdr:nvSpPr>
        <cdr:cNvPr id="16" name="Obdélník 15">
          <a:extLst xmlns:a="http://schemas.openxmlformats.org/drawingml/2006/main">
            <a:ext uri="{FF2B5EF4-FFF2-40B4-BE49-F238E27FC236}">
              <a16:creationId xmlns:a16="http://schemas.microsoft.com/office/drawing/2014/main" id="{CCC9A336-5FDA-4FA4-9661-8362EEA6B23D}"/>
            </a:ext>
          </a:extLst>
        </cdr:cNvPr>
        <cdr:cNvSpPr/>
      </cdr:nvSpPr>
      <cdr:spPr>
        <a:xfrm xmlns:a="http://schemas.openxmlformats.org/drawingml/2006/main">
          <a:off x="478817" y="3591668"/>
          <a:ext cx="142829" cy="133427"/>
        </a:xfrm>
        <a:prstGeom xmlns:a="http://schemas.openxmlformats.org/drawingml/2006/main" prst="rect">
          <a:avLst/>
        </a:prstGeom>
        <a:solidFill xmlns:a="http://schemas.openxmlformats.org/drawingml/2006/main">
          <a:srgbClr val="004595">
            <a:alpha val="50196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cs-CZ"/>
        </a:p>
      </cdr:txBody>
    </cdr:sp>
  </cdr:relSizeAnchor>
  <cdr:relSizeAnchor xmlns:cdr="http://schemas.openxmlformats.org/drawingml/2006/chartDrawing">
    <cdr:from>
      <cdr:x>0.08314</cdr:x>
      <cdr:y>0.90518</cdr:y>
    </cdr:from>
    <cdr:to>
      <cdr:x>0.10793</cdr:x>
      <cdr:y>0.93691</cdr:y>
    </cdr:to>
    <cdr:sp macro="" textlink="">
      <cdr:nvSpPr>
        <cdr:cNvPr id="17" name="Obdélník 16">
          <a:extLst xmlns:a="http://schemas.openxmlformats.org/drawingml/2006/main">
            <a:ext uri="{FF2B5EF4-FFF2-40B4-BE49-F238E27FC236}">
              <a16:creationId xmlns:a16="http://schemas.microsoft.com/office/drawing/2014/main" id="{03EE4DFA-D139-4162-922E-BE66DEF60D8E}"/>
            </a:ext>
          </a:extLst>
        </cdr:cNvPr>
        <cdr:cNvSpPr/>
      </cdr:nvSpPr>
      <cdr:spPr>
        <a:xfrm xmlns:a="http://schemas.openxmlformats.org/drawingml/2006/main">
          <a:off x="478817" y="3805677"/>
          <a:ext cx="142828" cy="133427"/>
        </a:xfrm>
        <a:prstGeom xmlns:a="http://schemas.openxmlformats.org/drawingml/2006/main" prst="rect">
          <a:avLst/>
        </a:prstGeom>
        <a:solidFill xmlns:a="http://schemas.openxmlformats.org/drawingml/2006/main">
          <a:srgbClr val="004595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cs-CZ"/>
        </a:p>
      </cdr:txBody>
    </cdr:sp>
  </cdr:relSizeAnchor>
  <cdr:relSizeAnchor xmlns:cdr="http://schemas.openxmlformats.org/drawingml/2006/chartDrawing">
    <cdr:from>
      <cdr:x>0.62361</cdr:x>
      <cdr:y>0.85428</cdr:y>
    </cdr:from>
    <cdr:to>
      <cdr:x>0.64841</cdr:x>
      <cdr:y>0.88601</cdr:y>
    </cdr:to>
    <cdr:sp macro="" textlink="">
      <cdr:nvSpPr>
        <cdr:cNvPr id="18" name="Obdélník 17">
          <a:extLst xmlns:a="http://schemas.openxmlformats.org/drawingml/2006/main">
            <a:ext uri="{FF2B5EF4-FFF2-40B4-BE49-F238E27FC236}">
              <a16:creationId xmlns:a16="http://schemas.microsoft.com/office/drawing/2014/main" id="{700BC2C2-7C6B-4A4C-82A2-A62989C1FFBF}"/>
            </a:ext>
          </a:extLst>
        </cdr:cNvPr>
        <cdr:cNvSpPr/>
      </cdr:nvSpPr>
      <cdr:spPr>
        <a:xfrm xmlns:a="http://schemas.openxmlformats.org/drawingml/2006/main">
          <a:off x="3591668" y="3591668"/>
          <a:ext cx="142828" cy="133427"/>
        </a:xfrm>
        <a:prstGeom xmlns:a="http://schemas.openxmlformats.org/drawingml/2006/main" prst="rect">
          <a:avLst/>
        </a:prstGeom>
        <a:solidFill xmlns:a="http://schemas.openxmlformats.org/drawingml/2006/main">
          <a:srgbClr val="C00000">
            <a:alpha val="50196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cs-CZ"/>
        </a:p>
      </cdr:txBody>
    </cdr:sp>
  </cdr:relSizeAnchor>
  <cdr:relSizeAnchor xmlns:cdr="http://schemas.openxmlformats.org/drawingml/2006/chartDrawing">
    <cdr:from>
      <cdr:x>0.62361</cdr:x>
      <cdr:y>0.90287</cdr:y>
    </cdr:from>
    <cdr:to>
      <cdr:x>0.64841</cdr:x>
      <cdr:y>0.9346</cdr:y>
    </cdr:to>
    <cdr:sp macro="" textlink="">
      <cdr:nvSpPr>
        <cdr:cNvPr id="19" name="Obdélník 18">
          <a:extLst xmlns:a="http://schemas.openxmlformats.org/drawingml/2006/main">
            <a:ext uri="{FF2B5EF4-FFF2-40B4-BE49-F238E27FC236}">
              <a16:creationId xmlns:a16="http://schemas.microsoft.com/office/drawing/2014/main" id="{2B318D22-DEC5-40F0-B250-7A09A2249922}"/>
            </a:ext>
          </a:extLst>
        </cdr:cNvPr>
        <cdr:cNvSpPr/>
      </cdr:nvSpPr>
      <cdr:spPr>
        <a:xfrm xmlns:a="http://schemas.openxmlformats.org/drawingml/2006/main">
          <a:off x="3591668" y="3795949"/>
          <a:ext cx="142828" cy="133427"/>
        </a:xfrm>
        <a:prstGeom xmlns:a="http://schemas.openxmlformats.org/drawingml/2006/main" prst="rect">
          <a:avLst/>
        </a:prstGeom>
        <a:solidFill xmlns:a="http://schemas.openxmlformats.org/drawingml/2006/main">
          <a:srgbClr val="C0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cs-CZ"/>
        </a:p>
      </cdr:txBody>
    </cdr:sp>
  </cdr:relSizeAnchor>
  <cdr:relSizeAnchor xmlns:cdr="http://schemas.openxmlformats.org/drawingml/2006/chartDrawing">
    <cdr:from>
      <cdr:x>0.11133</cdr:x>
      <cdr:y>0.89094</cdr:y>
    </cdr:from>
    <cdr:to>
      <cdr:x>0.46636</cdr:x>
      <cdr:y>0.94412</cdr:y>
    </cdr:to>
    <cdr:sp macro="" textlink="">
      <cdr:nvSpPr>
        <cdr:cNvPr id="20" name="TextovéPole 6">
          <a:extLst xmlns:a="http://schemas.openxmlformats.org/drawingml/2006/main"/>
        </cdr:cNvPr>
        <cdr:cNvSpPr txBox="1"/>
      </cdr:nvSpPr>
      <cdr:spPr>
        <a:xfrm xmlns:a="http://schemas.openxmlformats.org/drawingml/2006/main">
          <a:off x="641200" y="3618516"/>
          <a:ext cx="2044800" cy="2160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cs-CZ" sz="1000"/>
            <a:t>Vyčerpané</a:t>
          </a:r>
          <a:r>
            <a:rPr lang="cs-CZ" sz="1000" baseline="0"/>
            <a:t> neinv. prostředky           </a:t>
          </a:r>
          <a:endParaRPr lang="cs-CZ" sz="1000"/>
        </a:p>
      </cdr:txBody>
    </cdr:sp>
  </cdr:relSizeAnchor>
  <cdr:relSizeAnchor xmlns:cdr="http://schemas.openxmlformats.org/drawingml/2006/chartDrawing">
    <cdr:from>
      <cdr:x>0.11054</cdr:x>
      <cdr:y>0.84044</cdr:y>
    </cdr:from>
    <cdr:to>
      <cdr:x>0.46557</cdr:x>
      <cdr:y>0.91224</cdr:y>
    </cdr:to>
    <cdr:sp macro="" textlink="">
      <cdr:nvSpPr>
        <cdr:cNvPr id="21" name="TextovéPole 2">
          <a:extLst xmlns:a="http://schemas.openxmlformats.org/drawingml/2006/main"/>
        </cdr:cNvPr>
        <cdr:cNvSpPr txBox="1"/>
      </cdr:nvSpPr>
      <cdr:spPr>
        <a:xfrm xmlns:a="http://schemas.openxmlformats.org/drawingml/2006/main">
          <a:off x="636650" y="3413412"/>
          <a:ext cx="2044800" cy="2916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cs-CZ" sz="1000"/>
            <a:t>Nevyčerpané</a:t>
          </a:r>
          <a:r>
            <a:rPr lang="cs-CZ" sz="1000" baseline="0"/>
            <a:t> neinv. prostředky           </a:t>
          </a:r>
          <a:endParaRPr lang="cs-CZ" sz="1000"/>
        </a:p>
      </cdr:txBody>
    </cdr:sp>
  </cdr:relSizeAnchor>
  <cdr:relSizeAnchor xmlns:cdr="http://schemas.openxmlformats.org/drawingml/2006/chartDrawing">
    <cdr:from>
      <cdr:x>0.65254</cdr:x>
      <cdr:y>0.89087</cdr:y>
    </cdr:from>
    <cdr:to>
      <cdr:x>0.99007</cdr:x>
      <cdr:y>0.96267</cdr:y>
    </cdr:to>
    <cdr:sp macro="" textlink="">
      <cdr:nvSpPr>
        <cdr:cNvPr id="22" name="TextovéPole 7">
          <a:extLst xmlns:a="http://schemas.openxmlformats.org/drawingml/2006/main"/>
        </cdr:cNvPr>
        <cdr:cNvSpPr txBox="1"/>
      </cdr:nvSpPr>
      <cdr:spPr>
        <a:xfrm xmlns:a="http://schemas.openxmlformats.org/drawingml/2006/main">
          <a:off x="3758272" y="3618229"/>
          <a:ext cx="1944000" cy="2916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cs-CZ" sz="1000"/>
            <a:t>Vyčerpané</a:t>
          </a:r>
          <a:r>
            <a:rPr lang="cs-CZ" sz="1000" baseline="0"/>
            <a:t> inv. prostředky           </a:t>
          </a:r>
          <a:endParaRPr lang="cs-CZ" sz="1000"/>
        </a:p>
      </cdr:txBody>
    </cdr:sp>
  </cdr:relSizeAnchor>
  <cdr:relSizeAnchor xmlns:cdr="http://schemas.openxmlformats.org/drawingml/2006/chartDrawing">
    <cdr:from>
      <cdr:x>0.65092</cdr:x>
      <cdr:y>0.84037</cdr:y>
    </cdr:from>
    <cdr:to>
      <cdr:x>0.9922</cdr:x>
      <cdr:y>0.91217</cdr:y>
    </cdr:to>
    <cdr:sp macro="" textlink="">
      <cdr:nvSpPr>
        <cdr:cNvPr id="23" name="TextovéPole 5">
          <a:extLst xmlns:a="http://schemas.openxmlformats.org/drawingml/2006/main"/>
        </cdr:cNvPr>
        <cdr:cNvSpPr txBox="1"/>
      </cdr:nvSpPr>
      <cdr:spPr>
        <a:xfrm xmlns:a="http://schemas.openxmlformats.org/drawingml/2006/main">
          <a:off x="3748941" y="3413124"/>
          <a:ext cx="1965600" cy="2916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cs-CZ" sz="1000"/>
            <a:t>Nevyčerpané</a:t>
          </a:r>
          <a:r>
            <a:rPr lang="cs-CZ" sz="1000" baseline="0"/>
            <a:t> inv. prostředky           </a:t>
          </a:r>
          <a:endParaRPr lang="cs-CZ" sz="1000"/>
        </a:p>
      </cdr:txBody>
    </cdr:sp>
  </cdr:relSizeAnchor>
</c:userShape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327E1526D28740942F8736A2340CD9" ma:contentTypeVersion="3" ma:contentTypeDescription="Vytvoří nový dokument" ma:contentTypeScope="" ma:versionID="8f82920449088a418ce2c0109f6b218a">
  <xsd:schema xmlns:xsd="http://www.w3.org/2001/XMLSchema" xmlns:xs="http://www.w3.org/2001/XMLSchema" xmlns:p="http://schemas.microsoft.com/office/2006/metadata/properties" xmlns:ns1="http://schemas.microsoft.com/sharepoint/v3" xmlns:ns2="abbe3eab-d9c1-4af9-a0e4-9f563e06fb5b" targetNamespace="http://schemas.microsoft.com/office/2006/metadata/properties" ma:root="true" ma:fieldsID="f2e5b74e29787404957d640d7c608413" ns1:_="" ns2:_="">
    <xsd:import namespace="http://schemas.microsoft.com/sharepoint/v3"/>
    <xsd:import namespace="abbe3eab-d9c1-4af9-a0e4-9f563e06fb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3eab-d9c1-4af9-a0e4-9f563e06f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AEB0D-6895-401D-B7AE-B87A32424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be3eab-d9c1-4af9-a0e4-9f563e06f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DEA26-4262-4232-AAAA-CC572549B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F7F94-8565-45B7-AA0C-BBBA8D21E9ED}">
  <ds:schemaRefs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abbe3eab-d9c1-4af9-a0e4-9f563e06fb5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E3D357F-4CBE-4FAE-8A1B-EE0D1A19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9396</Words>
  <Characters>55438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64705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21/28 - Elektronizace v resortu Ministerstva spravedlnosti</dc:title>
  <dc:subject>Kontrolní závěr z kontrolní akce NKÚ č. 21/28 - Elektronizace v resortu Ministerstva spravedlnosti</dc:subject>
  <dc:creator>Nejvyšší kontrolní úřad</dc:creator>
  <cp:keywords>kontrolní závěr; elektronizace justice; ministerstvo spravedlnosti; MS</cp:keywords>
  <cp:lastModifiedBy>KOKRDA Daniel</cp:lastModifiedBy>
  <cp:revision>3</cp:revision>
  <cp:lastPrinted>2022-11-03T12:31:00Z</cp:lastPrinted>
  <dcterms:created xsi:type="dcterms:W3CDTF">2022-11-03T12:29:00Z</dcterms:created>
  <dcterms:modified xsi:type="dcterms:W3CDTF">2022-11-03T12:32:00Z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0x010100F8327E1526D28740942F8736A2340CD9</vt:lpwstr>
  </property>
</Properties>
</file>