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F2EFF" w14:textId="77777777" w:rsidR="00291417" w:rsidRPr="00291417" w:rsidRDefault="00291417" w:rsidP="00291417">
      <w:pPr>
        <w:spacing w:after="0"/>
        <w:jc w:val="center"/>
      </w:pPr>
      <w:bookmarkStart w:id="0" w:name="_Hlk107243266"/>
      <w:bookmarkStart w:id="1" w:name="_GoBack"/>
      <w:bookmarkEnd w:id="0"/>
      <w:bookmarkEnd w:id="1"/>
      <w:r w:rsidRPr="00291417"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4644E5AF" wp14:editId="5C2C5592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792480" cy="559435"/>
            <wp:effectExtent l="0" t="0" r="762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0310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DAD995" w14:textId="77777777" w:rsidR="00291417" w:rsidRPr="00291417" w:rsidRDefault="00291417" w:rsidP="00291417">
      <w:pPr>
        <w:spacing w:after="0"/>
        <w:jc w:val="center"/>
      </w:pPr>
    </w:p>
    <w:p w14:paraId="33DA072A" w14:textId="77777777" w:rsidR="00291417" w:rsidRPr="00291417" w:rsidRDefault="00291417" w:rsidP="00291417">
      <w:pPr>
        <w:spacing w:after="0"/>
        <w:jc w:val="center"/>
      </w:pPr>
    </w:p>
    <w:p w14:paraId="4E51AE86" w14:textId="77777777" w:rsidR="00291417" w:rsidRPr="00291417" w:rsidRDefault="00291417" w:rsidP="0029141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291417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2EA12379" w14:textId="77777777" w:rsidR="00031FF6" w:rsidRDefault="00031FF6" w:rsidP="00031FF6">
      <w:pPr>
        <w:spacing w:after="0"/>
        <w:jc w:val="center"/>
      </w:pPr>
    </w:p>
    <w:p w14:paraId="76DA95CC" w14:textId="77777777" w:rsidR="00EC3A0D" w:rsidRPr="00EC3A0D" w:rsidRDefault="0000654C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 w:rsidR="00D71C60">
        <w:rPr>
          <w:rFonts w:asciiTheme="minorHAnsi" w:eastAsiaTheme="minorHAnsi" w:hAnsiTheme="minorHAnsi" w:cstheme="minorHAnsi"/>
          <w:b/>
          <w:sz w:val="28"/>
          <w:szCs w:val="28"/>
        </w:rPr>
        <w:t>1</w:t>
      </w:r>
      <w:r w:rsidR="00A640AE" w:rsidRPr="00EC3A0D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 w:rsidR="00D71C60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4</w:t>
      </w:r>
    </w:p>
    <w:p w14:paraId="3AB19FD5" w14:textId="77777777" w:rsidR="00031FF6" w:rsidRDefault="00031FF6" w:rsidP="00031FF6">
      <w:pPr>
        <w:spacing w:after="0"/>
        <w:jc w:val="center"/>
      </w:pPr>
    </w:p>
    <w:p w14:paraId="4B4D776F" w14:textId="77777777" w:rsidR="00937A73" w:rsidRPr="00937A73" w:rsidRDefault="0000654C" w:rsidP="00DB6C92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00654C">
        <w:rPr>
          <w:rFonts w:asciiTheme="minorHAnsi" w:eastAsiaTheme="minorHAnsi" w:hAnsiTheme="minorHAnsi" w:cstheme="minorHAnsi"/>
          <w:b/>
          <w:sz w:val="28"/>
          <w:szCs w:val="28"/>
        </w:rPr>
        <w:t xml:space="preserve">Závěrečný účet kapitoly státního rozpočtu </w:t>
      </w:r>
      <w:r w:rsidRPr="004E2D6E">
        <w:rPr>
          <w:rFonts w:asciiTheme="minorHAnsi" w:eastAsiaTheme="minorHAnsi" w:hAnsiTheme="minorHAnsi" w:cstheme="minorHAnsi"/>
          <w:b/>
          <w:i/>
          <w:sz w:val="28"/>
          <w:szCs w:val="28"/>
        </w:rPr>
        <w:t xml:space="preserve">Ministerstvo </w:t>
      </w:r>
      <w:r w:rsidR="00D71C60" w:rsidRPr="004E2D6E">
        <w:rPr>
          <w:rFonts w:asciiTheme="minorHAnsi" w:eastAsiaTheme="minorHAnsi" w:hAnsiTheme="minorHAnsi" w:cstheme="minorHAnsi"/>
          <w:b/>
          <w:i/>
          <w:sz w:val="28"/>
          <w:szCs w:val="28"/>
        </w:rPr>
        <w:t>zdravotnictví</w:t>
      </w:r>
      <w:r w:rsidRPr="0000654C">
        <w:rPr>
          <w:rFonts w:asciiTheme="minorHAnsi" w:eastAsiaTheme="minorHAnsi" w:hAnsiTheme="minorHAnsi" w:cstheme="minorHAnsi"/>
          <w:b/>
          <w:sz w:val="28"/>
          <w:szCs w:val="28"/>
        </w:rPr>
        <w:t xml:space="preserve"> za rok 202</w:t>
      </w:r>
      <w:r w:rsidR="00D71C60">
        <w:rPr>
          <w:rFonts w:asciiTheme="minorHAnsi" w:eastAsiaTheme="minorHAnsi" w:hAnsiTheme="minorHAnsi" w:cstheme="minorHAnsi"/>
          <w:b/>
          <w:sz w:val="28"/>
          <w:szCs w:val="28"/>
        </w:rPr>
        <w:t>1</w:t>
      </w:r>
      <w:r w:rsidRPr="0000654C">
        <w:rPr>
          <w:rFonts w:asciiTheme="minorHAnsi" w:eastAsiaTheme="minorHAnsi" w:hAnsiTheme="minorHAnsi" w:cstheme="minorHAnsi"/>
          <w:b/>
          <w:sz w:val="28"/>
          <w:szCs w:val="28"/>
        </w:rPr>
        <w:t xml:space="preserve">, účetní závěrka Ministerstva </w:t>
      </w:r>
      <w:r w:rsidR="00D71C60">
        <w:rPr>
          <w:rFonts w:asciiTheme="minorHAnsi" w:eastAsiaTheme="minorHAnsi" w:hAnsiTheme="minorHAnsi" w:cstheme="minorHAnsi"/>
          <w:b/>
          <w:sz w:val="28"/>
          <w:szCs w:val="28"/>
        </w:rPr>
        <w:t>zdravotnictví</w:t>
      </w:r>
      <w:r w:rsidRPr="0000654C">
        <w:rPr>
          <w:rFonts w:asciiTheme="minorHAnsi" w:eastAsiaTheme="minorHAnsi" w:hAnsiTheme="minorHAnsi" w:cstheme="minorHAnsi"/>
          <w:b/>
          <w:sz w:val="28"/>
          <w:szCs w:val="28"/>
        </w:rPr>
        <w:t xml:space="preserve"> za rok 202</w:t>
      </w:r>
      <w:r w:rsidR="00D71C60">
        <w:rPr>
          <w:rFonts w:asciiTheme="minorHAnsi" w:eastAsiaTheme="minorHAnsi" w:hAnsiTheme="minorHAnsi" w:cstheme="minorHAnsi"/>
          <w:b/>
          <w:sz w:val="28"/>
          <w:szCs w:val="28"/>
        </w:rPr>
        <w:t>1</w:t>
      </w:r>
      <w:r w:rsidRPr="0000654C">
        <w:rPr>
          <w:rFonts w:asciiTheme="minorHAnsi" w:eastAsiaTheme="minorHAnsi" w:hAnsiTheme="minorHAnsi" w:cstheme="minorHAnsi"/>
          <w:b/>
          <w:sz w:val="28"/>
          <w:szCs w:val="28"/>
        </w:rPr>
        <w:t xml:space="preserve"> a</w:t>
      </w:r>
      <w:r w:rsidR="007F5510">
        <w:rPr>
          <w:rFonts w:asciiTheme="minorHAnsi" w:eastAsiaTheme="minorHAnsi" w:hAnsiTheme="minorHAnsi" w:cstheme="minorHAnsi"/>
          <w:b/>
          <w:sz w:val="28"/>
          <w:szCs w:val="28"/>
        </w:rPr>
        <w:t> </w:t>
      </w:r>
      <w:r w:rsidRPr="0000654C">
        <w:rPr>
          <w:rFonts w:asciiTheme="minorHAnsi" w:eastAsiaTheme="minorHAnsi" w:hAnsiTheme="minorHAnsi" w:cstheme="minorHAnsi"/>
          <w:b/>
          <w:sz w:val="28"/>
          <w:szCs w:val="28"/>
        </w:rPr>
        <w:t xml:space="preserve">údaje předkládané Ministerstvem </w:t>
      </w:r>
      <w:r w:rsidR="00D71C60">
        <w:rPr>
          <w:rFonts w:asciiTheme="minorHAnsi" w:eastAsiaTheme="minorHAnsi" w:hAnsiTheme="minorHAnsi" w:cstheme="minorHAnsi"/>
          <w:b/>
          <w:sz w:val="28"/>
          <w:szCs w:val="28"/>
        </w:rPr>
        <w:t>zdravotnictví</w:t>
      </w:r>
      <w:r w:rsidRPr="0000654C">
        <w:rPr>
          <w:rFonts w:asciiTheme="minorHAnsi" w:eastAsiaTheme="minorHAnsi" w:hAnsiTheme="minorHAnsi" w:cstheme="minorHAnsi"/>
          <w:b/>
          <w:sz w:val="28"/>
          <w:szCs w:val="28"/>
        </w:rPr>
        <w:t xml:space="preserve"> pro hodnocení plnění státního rozpočtu za rok 202</w:t>
      </w:r>
      <w:r w:rsidR="00D71C60">
        <w:rPr>
          <w:rFonts w:asciiTheme="minorHAnsi" w:eastAsiaTheme="minorHAnsi" w:hAnsiTheme="minorHAnsi" w:cstheme="minorHAnsi"/>
          <w:b/>
          <w:sz w:val="28"/>
          <w:szCs w:val="28"/>
        </w:rPr>
        <w:t>1</w:t>
      </w:r>
    </w:p>
    <w:p w14:paraId="75EBBAFB" w14:textId="77777777" w:rsidR="00937A73" w:rsidRDefault="00937A73" w:rsidP="00031FF6">
      <w:pPr>
        <w:spacing w:after="0"/>
        <w:jc w:val="both"/>
      </w:pPr>
    </w:p>
    <w:p w14:paraId="6F713155" w14:textId="77777777" w:rsidR="00E86085" w:rsidRDefault="00E86085" w:rsidP="00031FF6">
      <w:pPr>
        <w:spacing w:after="0"/>
        <w:jc w:val="both"/>
      </w:pPr>
    </w:p>
    <w:p w14:paraId="647E7759" w14:textId="497C1E52" w:rsidR="00EC3A0D" w:rsidRPr="00D71C60" w:rsidRDefault="00DB6C92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D71C60">
        <w:rPr>
          <w:rFonts w:asciiTheme="minorHAnsi" w:eastAsiaTheme="minorHAnsi" w:hAnsiTheme="minorHAnsi" w:cstheme="minorHAnsi"/>
        </w:rPr>
        <w:t>Kontrolní akce</w:t>
      </w:r>
      <w:r w:rsidR="000377B3" w:rsidRPr="00D71C60">
        <w:rPr>
          <w:rFonts w:asciiTheme="minorHAnsi" w:eastAsiaTheme="minorHAnsi" w:hAnsiTheme="minorHAnsi" w:cstheme="minorHAnsi"/>
        </w:rPr>
        <w:t xml:space="preserve"> (dále také „KA“)</w:t>
      </w:r>
      <w:r w:rsidRPr="00D71C60">
        <w:rPr>
          <w:rFonts w:asciiTheme="minorHAnsi" w:eastAsiaTheme="minorHAnsi" w:hAnsiTheme="minorHAnsi" w:cstheme="minorHAnsi"/>
        </w:rPr>
        <w:t xml:space="preserve"> byla zařazena do plánu kontrolní činnosti Nejvyššího kontrolního úřadu (dále </w:t>
      </w:r>
      <w:r w:rsidR="005A1D55">
        <w:rPr>
          <w:rFonts w:asciiTheme="minorHAnsi" w:eastAsiaTheme="minorHAnsi" w:hAnsiTheme="minorHAnsi" w:cstheme="minorHAnsi"/>
        </w:rPr>
        <w:t>také</w:t>
      </w:r>
      <w:r w:rsidRPr="00D71C60">
        <w:rPr>
          <w:rFonts w:asciiTheme="minorHAnsi" w:eastAsiaTheme="minorHAnsi" w:hAnsiTheme="minorHAnsi" w:cstheme="minorHAnsi"/>
        </w:rPr>
        <w:t xml:space="preserve"> „NKÚ“) na rok </w:t>
      </w:r>
      <w:r w:rsidR="0000654C" w:rsidRPr="00D71C60">
        <w:rPr>
          <w:rFonts w:asciiTheme="minorHAnsi" w:eastAsiaTheme="minorHAnsi" w:hAnsiTheme="minorHAnsi" w:cstheme="minorHAnsi"/>
        </w:rPr>
        <w:t>202</w:t>
      </w:r>
      <w:r w:rsidR="00D71C60" w:rsidRPr="00D71C60">
        <w:rPr>
          <w:rFonts w:asciiTheme="minorHAnsi" w:eastAsiaTheme="minorHAnsi" w:hAnsiTheme="minorHAnsi" w:cstheme="minorHAnsi"/>
        </w:rPr>
        <w:t>1</w:t>
      </w:r>
      <w:r w:rsidR="0000654C" w:rsidRPr="00D71C60">
        <w:rPr>
          <w:rFonts w:asciiTheme="minorHAnsi" w:eastAsiaTheme="minorHAnsi" w:hAnsiTheme="minorHAnsi" w:cstheme="minorHAnsi"/>
        </w:rPr>
        <w:t xml:space="preserve"> pod číslem 2</w:t>
      </w:r>
      <w:r w:rsidR="00D71C60" w:rsidRPr="00D71C60">
        <w:rPr>
          <w:rFonts w:asciiTheme="minorHAnsi" w:eastAsiaTheme="minorHAnsi" w:hAnsiTheme="minorHAnsi" w:cstheme="minorHAnsi"/>
        </w:rPr>
        <w:t>1</w:t>
      </w:r>
      <w:r w:rsidR="0000654C" w:rsidRPr="00D71C60">
        <w:rPr>
          <w:rFonts w:asciiTheme="minorHAnsi" w:eastAsiaTheme="minorHAnsi" w:hAnsiTheme="minorHAnsi" w:cstheme="minorHAnsi"/>
        </w:rPr>
        <w:t>/</w:t>
      </w:r>
      <w:r w:rsidR="00D71C60" w:rsidRPr="00D71C60">
        <w:rPr>
          <w:rFonts w:asciiTheme="minorHAnsi" w:eastAsiaTheme="minorHAnsi" w:hAnsiTheme="minorHAnsi" w:cstheme="minorHAnsi"/>
        </w:rPr>
        <w:t>2</w:t>
      </w:r>
      <w:r w:rsidR="0000654C" w:rsidRPr="00D71C60">
        <w:rPr>
          <w:rFonts w:asciiTheme="minorHAnsi" w:eastAsiaTheme="minorHAnsi" w:hAnsiTheme="minorHAnsi" w:cstheme="minorHAnsi"/>
        </w:rPr>
        <w:t>4</w:t>
      </w:r>
      <w:r w:rsidR="00E775AA" w:rsidRPr="00D71C60">
        <w:rPr>
          <w:rFonts w:asciiTheme="minorHAnsi" w:eastAsiaTheme="minorHAnsi" w:hAnsiTheme="minorHAnsi" w:cstheme="minorHAnsi"/>
        </w:rPr>
        <w:t>. Kontrolní akci řídila a </w:t>
      </w:r>
      <w:r w:rsidRPr="00D71C60">
        <w:rPr>
          <w:rFonts w:asciiTheme="minorHAnsi" w:eastAsiaTheme="minorHAnsi" w:hAnsiTheme="minorHAnsi" w:cstheme="minorHAnsi"/>
        </w:rPr>
        <w:t xml:space="preserve">kontrolní závěr vypracovala členka NKÚ Ing. Jaromíra </w:t>
      </w:r>
      <w:proofErr w:type="spellStart"/>
      <w:r w:rsidRPr="00D71C60">
        <w:rPr>
          <w:rFonts w:asciiTheme="minorHAnsi" w:eastAsiaTheme="minorHAnsi" w:hAnsiTheme="minorHAnsi" w:cstheme="minorHAnsi"/>
        </w:rPr>
        <w:t>Steidlová</w:t>
      </w:r>
      <w:proofErr w:type="spellEnd"/>
      <w:r w:rsidRPr="00D71C60">
        <w:rPr>
          <w:rFonts w:asciiTheme="minorHAnsi" w:eastAsiaTheme="minorHAnsi" w:hAnsiTheme="minorHAnsi" w:cstheme="minorHAnsi"/>
        </w:rPr>
        <w:t>.</w:t>
      </w:r>
    </w:p>
    <w:p w14:paraId="62B579B5" w14:textId="77777777" w:rsidR="00031FF6" w:rsidRPr="00D71C60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670AEF91" w14:textId="77777777" w:rsidR="00CC0706" w:rsidRPr="00D71C60" w:rsidRDefault="00DB6C92" w:rsidP="00CC0706">
      <w:pPr>
        <w:spacing w:after="0"/>
        <w:jc w:val="both"/>
        <w:rPr>
          <w:rFonts w:asciiTheme="minorHAnsi" w:eastAsiaTheme="minorHAnsi" w:hAnsiTheme="minorHAnsi" w:cstheme="minorHAnsi"/>
          <w:bCs/>
        </w:rPr>
      </w:pPr>
      <w:r w:rsidRPr="00D71C60">
        <w:rPr>
          <w:rFonts w:asciiTheme="minorHAnsi" w:eastAsiaTheme="minorHAnsi" w:hAnsiTheme="minorHAnsi" w:cstheme="minorHAnsi"/>
        </w:rPr>
        <w:t xml:space="preserve">Cílem kontroly bylo prověřit, zda </w:t>
      </w:r>
      <w:r w:rsidR="0000654C" w:rsidRPr="00D71C60">
        <w:rPr>
          <w:rFonts w:asciiTheme="minorHAnsi" w:eastAsiaTheme="minorHAnsi" w:hAnsiTheme="minorHAnsi" w:cstheme="minorHAnsi"/>
        </w:rPr>
        <w:t xml:space="preserve">Ministerstvo </w:t>
      </w:r>
      <w:r w:rsidR="00D71C60" w:rsidRPr="00D71C60">
        <w:rPr>
          <w:rFonts w:asciiTheme="minorHAnsi" w:eastAsiaTheme="minorHAnsi" w:hAnsiTheme="minorHAnsi" w:cstheme="minorHAnsi"/>
        </w:rPr>
        <w:t>zdravotnictví</w:t>
      </w:r>
      <w:r w:rsidR="0000654C" w:rsidRPr="00D71C60">
        <w:rPr>
          <w:rFonts w:asciiTheme="minorHAnsi" w:eastAsiaTheme="minorHAnsi" w:hAnsiTheme="minorHAnsi" w:cstheme="minorHAnsi"/>
        </w:rPr>
        <w:t xml:space="preserve"> při sestavení závěrečného účtu a</w:t>
      </w:r>
      <w:r w:rsidR="00232DBD">
        <w:rPr>
          <w:rFonts w:asciiTheme="minorHAnsi" w:eastAsiaTheme="minorHAnsi" w:hAnsiTheme="minorHAnsi" w:cstheme="minorHAnsi"/>
        </w:rPr>
        <w:t> </w:t>
      </w:r>
      <w:r w:rsidR="0000654C" w:rsidRPr="00D71C60">
        <w:rPr>
          <w:rFonts w:asciiTheme="minorHAnsi" w:eastAsiaTheme="minorHAnsi" w:hAnsiTheme="minorHAnsi" w:cstheme="minorHAnsi"/>
        </w:rPr>
        <w:t>při vedení účetnictví a sestavení účetní závěrky a předkládání údajů pro hodnocení plnění státního rozpočtu za rok 202</w:t>
      </w:r>
      <w:r w:rsidR="00D71C60" w:rsidRPr="00D71C60">
        <w:rPr>
          <w:rFonts w:asciiTheme="minorHAnsi" w:eastAsiaTheme="minorHAnsi" w:hAnsiTheme="minorHAnsi" w:cstheme="minorHAnsi"/>
        </w:rPr>
        <w:t>1</w:t>
      </w:r>
      <w:r w:rsidR="0000654C" w:rsidRPr="00D71C60">
        <w:rPr>
          <w:rFonts w:asciiTheme="minorHAnsi" w:eastAsiaTheme="minorHAnsi" w:hAnsiTheme="minorHAnsi" w:cstheme="minorHAnsi"/>
        </w:rPr>
        <w:t xml:space="preserve"> postupovalo v souladu s příslušnými právními předpisy.</w:t>
      </w:r>
    </w:p>
    <w:p w14:paraId="29956D36" w14:textId="77777777" w:rsidR="00031FF6" w:rsidRPr="00D71C60" w:rsidRDefault="00031FF6" w:rsidP="00031FF6">
      <w:pPr>
        <w:spacing w:after="0"/>
        <w:jc w:val="both"/>
        <w:rPr>
          <w:rFonts w:asciiTheme="minorHAnsi" w:eastAsiaTheme="minorHAnsi" w:hAnsiTheme="minorHAnsi" w:cstheme="minorHAnsi"/>
          <w:bCs/>
          <w:highlight w:val="yellow"/>
        </w:rPr>
      </w:pPr>
    </w:p>
    <w:p w14:paraId="648B7ACB" w14:textId="77777777" w:rsidR="00EC3A0D" w:rsidRPr="00D71C60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D71C60">
        <w:rPr>
          <w:rFonts w:asciiTheme="minorHAnsi" w:eastAsiaTheme="minorHAnsi" w:hAnsiTheme="minorHAnsi" w:cstheme="minorHAnsi"/>
          <w:b/>
        </w:rPr>
        <w:t>Kontrolovaná osoba:</w:t>
      </w:r>
    </w:p>
    <w:p w14:paraId="55F2B734" w14:textId="77777777" w:rsidR="00EC3A0D" w:rsidRPr="00D71C60" w:rsidRDefault="00DB6C92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D71C60">
        <w:rPr>
          <w:rFonts w:asciiTheme="minorHAnsi" w:eastAsiaTheme="minorHAnsi" w:hAnsiTheme="minorHAnsi" w:cstheme="minorHAnsi"/>
        </w:rPr>
        <w:t xml:space="preserve">Ministerstvo </w:t>
      </w:r>
      <w:r w:rsidR="00D71C60" w:rsidRPr="00D71C60">
        <w:rPr>
          <w:rFonts w:asciiTheme="minorHAnsi" w:eastAsiaTheme="minorHAnsi" w:hAnsiTheme="minorHAnsi" w:cstheme="minorHAnsi"/>
        </w:rPr>
        <w:t>zdravotnictví</w:t>
      </w:r>
      <w:r w:rsidRPr="00D71C60">
        <w:rPr>
          <w:rFonts w:asciiTheme="minorHAnsi" w:eastAsiaTheme="minorHAnsi" w:hAnsiTheme="minorHAnsi" w:cstheme="minorHAnsi"/>
        </w:rPr>
        <w:t xml:space="preserve"> (dále také „</w:t>
      </w:r>
      <w:proofErr w:type="spellStart"/>
      <w:r w:rsidRPr="00D71C60">
        <w:rPr>
          <w:rFonts w:asciiTheme="minorHAnsi" w:eastAsiaTheme="minorHAnsi" w:hAnsiTheme="minorHAnsi" w:cstheme="minorHAnsi"/>
        </w:rPr>
        <w:t>M</w:t>
      </w:r>
      <w:r w:rsidR="00D71C60" w:rsidRPr="00D71C60">
        <w:rPr>
          <w:rFonts w:asciiTheme="minorHAnsi" w:eastAsiaTheme="minorHAnsi" w:hAnsiTheme="minorHAnsi" w:cstheme="minorHAnsi"/>
        </w:rPr>
        <w:t>Z</w:t>
      </w:r>
      <w:r w:rsidR="00C94D69">
        <w:rPr>
          <w:rFonts w:asciiTheme="minorHAnsi" w:eastAsiaTheme="minorHAnsi" w:hAnsiTheme="minorHAnsi" w:cstheme="minorHAnsi"/>
        </w:rPr>
        <w:t>d</w:t>
      </w:r>
      <w:proofErr w:type="spellEnd"/>
      <w:r w:rsidRPr="00D71C60">
        <w:rPr>
          <w:rFonts w:asciiTheme="minorHAnsi" w:eastAsiaTheme="minorHAnsi" w:hAnsiTheme="minorHAnsi" w:cstheme="minorHAnsi"/>
        </w:rPr>
        <w:t>“).</w:t>
      </w:r>
    </w:p>
    <w:p w14:paraId="5B6B3096" w14:textId="77777777" w:rsidR="00031FF6" w:rsidRPr="00D71C60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3A33DD82" w14:textId="77777777" w:rsidR="00EC3A0D" w:rsidRPr="00D71C60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D71C60">
        <w:rPr>
          <w:rFonts w:asciiTheme="minorHAnsi" w:eastAsiaTheme="minorHAnsi" w:hAnsiTheme="minorHAnsi" w:cstheme="minorHAnsi"/>
        </w:rPr>
        <w:t xml:space="preserve">Kontrolováno bylo období roku </w:t>
      </w:r>
      <w:r w:rsidR="0000654C" w:rsidRPr="00D71C60">
        <w:rPr>
          <w:rFonts w:asciiTheme="minorHAnsi" w:eastAsiaTheme="minorHAnsi" w:hAnsiTheme="minorHAnsi" w:cstheme="minorHAnsi"/>
        </w:rPr>
        <w:t>202</w:t>
      </w:r>
      <w:r w:rsidR="00D71C60" w:rsidRPr="00D71C60">
        <w:rPr>
          <w:rFonts w:asciiTheme="minorHAnsi" w:eastAsiaTheme="minorHAnsi" w:hAnsiTheme="minorHAnsi" w:cstheme="minorHAnsi"/>
        </w:rPr>
        <w:t>1</w:t>
      </w:r>
      <w:r w:rsidR="004E3929" w:rsidRPr="00D71C60">
        <w:rPr>
          <w:rFonts w:asciiTheme="minorHAnsi" w:eastAsiaTheme="minorHAnsi" w:hAnsiTheme="minorHAnsi" w:cstheme="minorHAnsi"/>
        </w:rPr>
        <w:t xml:space="preserve"> včetně</w:t>
      </w:r>
      <w:r w:rsidRPr="00D71C60">
        <w:rPr>
          <w:rFonts w:asciiTheme="minorHAnsi" w:eastAsiaTheme="minorHAnsi" w:hAnsiTheme="minorHAnsi" w:cstheme="minorHAnsi"/>
        </w:rPr>
        <w:t xml:space="preserve"> související</w:t>
      </w:r>
      <w:r w:rsidR="004E3929" w:rsidRPr="00D71C60">
        <w:rPr>
          <w:rFonts w:asciiTheme="minorHAnsi" w:eastAsiaTheme="minorHAnsi" w:hAnsiTheme="minorHAnsi" w:cstheme="minorHAnsi"/>
        </w:rPr>
        <w:t>ch</w:t>
      </w:r>
      <w:r w:rsidRPr="00D71C60">
        <w:rPr>
          <w:rFonts w:asciiTheme="minorHAnsi" w:eastAsiaTheme="minorHAnsi" w:hAnsiTheme="minorHAnsi" w:cstheme="minorHAnsi"/>
        </w:rPr>
        <w:t xml:space="preserve"> skutečnost</w:t>
      </w:r>
      <w:r w:rsidR="004E3929" w:rsidRPr="00D71C60">
        <w:rPr>
          <w:rFonts w:asciiTheme="minorHAnsi" w:eastAsiaTheme="minorHAnsi" w:hAnsiTheme="minorHAnsi" w:cstheme="minorHAnsi"/>
        </w:rPr>
        <w:t>í</w:t>
      </w:r>
      <w:r w:rsidRPr="00D71C60">
        <w:rPr>
          <w:rFonts w:asciiTheme="minorHAnsi" w:eastAsiaTheme="minorHAnsi" w:hAnsiTheme="minorHAnsi" w:cstheme="minorHAnsi"/>
        </w:rPr>
        <w:t xml:space="preserve"> </w:t>
      </w:r>
      <w:r w:rsidRPr="00D71C60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D71C60">
        <w:rPr>
          <w:rFonts w:asciiTheme="minorHAnsi" w:eastAsiaTheme="minorHAnsi" w:hAnsiTheme="minorHAnsi" w:cstheme="minorHAnsi"/>
        </w:rPr>
        <w:t>.</w:t>
      </w:r>
    </w:p>
    <w:p w14:paraId="72C59718" w14:textId="77777777" w:rsidR="00031FF6" w:rsidRPr="00D71C60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21426FE1" w14:textId="77777777" w:rsidR="00EC3A0D" w:rsidRPr="00D71C60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D71C60">
        <w:rPr>
          <w:rFonts w:asciiTheme="minorHAnsi" w:eastAsiaTheme="minorHAnsi" w:hAnsiTheme="minorHAnsi" w:cstheme="minorHAnsi"/>
        </w:rPr>
        <w:t xml:space="preserve">Kontrola byla prováděna u kontrolované osoby v době od </w:t>
      </w:r>
      <w:r w:rsidR="00D71C60">
        <w:rPr>
          <w:rFonts w:asciiTheme="minorHAnsi" w:eastAsiaTheme="minorHAnsi" w:hAnsiTheme="minorHAnsi" w:cstheme="minorHAnsi"/>
        </w:rPr>
        <w:t>srpna</w:t>
      </w:r>
      <w:r w:rsidR="005F2754" w:rsidRPr="00D71C60">
        <w:rPr>
          <w:rFonts w:asciiTheme="minorHAnsi" w:eastAsiaTheme="minorHAnsi" w:hAnsiTheme="minorHAnsi" w:cstheme="minorHAnsi"/>
        </w:rPr>
        <w:t xml:space="preserve"> </w:t>
      </w:r>
      <w:r w:rsidR="0000654C" w:rsidRPr="00D71C60">
        <w:rPr>
          <w:rFonts w:asciiTheme="minorHAnsi" w:eastAsiaTheme="minorHAnsi" w:hAnsiTheme="minorHAnsi" w:cstheme="minorHAnsi"/>
        </w:rPr>
        <w:t>202</w:t>
      </w:r>
      <w:r w:rsidR="00D71C60">
        <w:rPr>
          <w:rFonts w:asciiTheme="minorHAnsi" w:eastAsiaTheme="minorHAnsi" w:hAnsiTheme="minorHAnsi" w:cstheme="minorHAnsi"/>
        </w:rPr>
        <w:t>1</w:t>
      </w:r>
      <w:r w:rsidR="00DB6C92" w:rsidRPr="00D71C60">
        <w:rPr>
          <w:rFonts w:asciiTheme="minorHAnsi" w:eastAsiaTheme="minorHAnsi" w:hAnsiTheme="minorHAnsi" w:cstheme="minorHAnsi"/>
        </w:rPr>
        <w:t xml:space="preserve"> do </w:t>
      </w:r>
      <w:r w:rsidR="00D71C60" w:rsidRPr="00D71C60">
        <w:rPr>
          <w:rFonts w:asciiTheme="minorHAnsi" w:eastAsiaTheme="minorHAnsi" w:hAnsiTheme="minorHAnsi" w:cstheme="minorHAnsi"/>
        </w:rPr>
        <w:t>dubna</w:t>
      </w:r>
      <w:r w:rsidR="00DB6C92" w:rsidRPr="00D71C60">
        <w:rPr>
          <w:rFonts w:asciiTheme="minorHAnsi" w:eastAsiaTheme="minorHAnsi" w:hAnsiTheme="minorHAnsi" w:cstheme="minorHAnsi"/>
        </w:rPr>
        <w:t xml:space="preserve"> 202</w:t>
      </w:r>
      <w:r w:rsidR="00D71C60" w:rsidRPr="00D71C60">
        <w:rPr>
          <w:rFonts w:asciiTheme="minorHAnsi" w:eastAsiaTheme="minorHAnsi" w:hAnsiTheme="minorHAnsi" w:cstheme="minorHAnsi"/>
        </w:rPr>
        <w:t>2</w:t>
      </w:r>
      <w:r w:rsidR="00C362F7" w:rsidRPr="00D71C60">
        <w:rPr>
          <w:rFonts w:asciiTheme="minorHAnsi" w:eastAsiaTheme="minorHAnsi" w:hAnsiTheme="minorHAnsi" w:cstheme="minorHAnsi"/>
        </w:rPr>
        <w:t>.</w:t>
      </w:r>
    </w:p>
    <w:p w14:paraId="0CCABD78" w14:textId="77777777" w:rsidR="00EC3A0D" w:rsidRPr="00D71C60" w:rsidRDefault="00EC3A0D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58D356F2" w14:textId="77777777" w:rsidR="00031FF6" w:rsidRPr="00D71C60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3EBB5E27" w14:textId="77777777" w:rsidR="00EC3A0D" w:rsidRPr="00D71C60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  <w:highlight w:val="yellow"/>
        </w:rPr>
      </w:pPr>
      <w:r w:rsidRPr="00D71C60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D71C60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D71C60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D71C60">
        <w:rPr>
          <w:rFonts w:asciiTheme="minorHAnsi" w:eastAsiaTheme="minorHAnsi" w:hAnsiTheme="minorHAnsi" w:cstheme="minorHAnsi"/>
        </w:rPr>
        <w:t xml:space="preserve">   </w:t>
      </w:r>
      <w:r w:rsidRPr="00CB5DA7">
        <w:rPr>
          <w:rFonts w:asciiTheme="minorHAnsi" w:eastAsiaTheme="minorHAnsi" w:hAnsiTheme="minorHAnsi" w:cstheme="minorHAnsi"/>
        </w:rPr>
        <w:t>na svém</w:t>
      </w:r>
      <w:r w:rsidR="00CC0706" w:rsidRPr="00CB5DA7">
        <w:rPr>
          <w:rFonts w:asciiTheme="minorHAnsi" w:eastAsiaTheme="minorHAnsi" w:hAnsiTheme="minorHAnsi" w:cstheme="minorHAnsi"/>
        </w:rPr>
        <w:t xml:space="preserve"> </w:t>
      </w:r>
      <w:r w:rsidR="00CB5DA7" w:rsidRPr="00CB5DA7">
        <w:rPr>
          <w:rFonts w:asciiTheme="minorHAnsi" w:eastAsiaTheme="minorHAnsi" w:hAnsiTheme="minorHAnsi" w:cstheme="minorHAnsi"/>
        </w:rPr>
        <w:t>IX</w:t>
      </w:r>
      <w:r w:rsidR="001A4F28" w:rsidRPr="00CB5DA7">
        <w:rPr>
          <w:rFonts w:asciiTheme="minorHAnsi" w:eastAsiaTheme="minorHAnsi" w:hAnsiTheme="minorHAnsi" w:cstheme="minorHAnsi"/>
        </w:rPr>
        <w:t>.</w:t>
      </w:r>
      <w:r w:rsidR="00074B90" w:rsidRPr="00CB5DA7">
        <w:rPr>
          <w:rFonts w:asciiTheme="minorHAnsi" w:eastAsiaTheme="minorHAnsi" w:hAnsiTheme="minorHAnsi" w:cstheme="minorHAnsi"/>
        </w:rPr>
        <w:t xml:space="preserve"> </w:t>
      </w:r>
      <w:r w:rsidRPr="00CB5DA7">
        <w:rPr>
          <w:rFonts w:asciiTheme="minorHAnsi" w:eastAsiaTheme="minorHAnsi" w:hAnsiTheme="minorHAnsi" w:cstheme="minorHAnsi"/>
        </w:rPr>
        <w:t>jednání, které se konalo dne</w:t>
      </w:r>
      <w:r w:rsidR="00243613" w:rsidRPr="00CB5DA7">
        <w:rPr>
          <w:rFonts w:asciiTheme="minorHAnsi" w:eastAsiaTheme="minorHAnsi" w:hAnsiTheme="minorHAnsi" w:cstheme="minorHAnsi"/>
        </w:rPr>
        <w:t xml:space="preserve"> </w:t>
      </w:r>
      <w:r w:rsidR="00CB5DA7" w:rsidRPr="00CB5DA7">
        <w:rPr>
          <w:rFonts w:asciiTheme="minorHAnsi" w:eastAsiaTheme="minorHAnsi" w:hAnsiTheme="minorHAnsi" w:cstheme="minorHAnsi"/>
        </w:rPr>
        <w:t>27</w:t>
      </w:r>
      <w:r w:rsidR="00976C43" w:rsidRPr="00CB5DA7">
        <w:rPr>
          <w:rFonts w:asciiTheme="minorHAnsi" w:eastAsiaTheme="minorHAnsi" w:hAnsiTheme="minorHAnsi" w:cstheme="minorHAnsi"/>
        </w:rPr>
        <w:t xml:space="preserve">. </w:t>
      </w:r>
      <w:r w:rsidR="00CB5DA7" w:rsidRPr="00CB5DA7">
        <w:rPr>
          <w:rFonts w:asciiTheme="minorHAnsi" w:eastAsiaTheme="minorHAnsi" w:hAnsiTheme="minorHAnsi" w:cstheme="minorHAnsi"/>
        </w:rPr>
        <w:t>června</w:t>
      </w:r>
      <w:r w:rsidR="00976C43" w:rsidRPr="00CB5DA7">
        <w:rPr>
          <w:rFonts w:asciiTheme="minorHAnsi" w:eastAsiaTheme="minorHAnsi" w:hAnsiTheme="minorHAnsi" w:cstheme="minorHAnsi"/>
        </w:rPr>
        <w:t xml:space="preserve"> 202</w:t>
      </w:r>
      <w:r w:rsidR="00D71C60" w:rsidRPr="00CB5DA7">
        <w:rPr>
          <w:rFonts w:asciiTheme="minorHAnsi" w:eastAsiaTheme="minorHAnsi" w:hAnsiTheme="minorHAnsi" w:cstheme="minorHAnsi"/>
        </w:rPr>
        <w:t>2</w:t>
      </w:r>
      <w:r w:rsidR="00976C43" w:rsidRPr="00D71C60">
        <w:rPr>
          <w:rFonts w:asciiTheme="minorHAnsi" w:eastAsiaTheme="minorHAnsi" w:hAnsiTheme="minorHAnsi" w:cstheme="minorHAnsi"/>
        </w:rPr>
        <w:t>,</w:t>
      </w:r>
    </w:p>
    <w:p w14:paraId="3517C8A6" w14:textId="1FB881B7" w:rsidR="00EC3A0D" w:rsidRPr="00D71C60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D71C60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D71C60">
        <w:rPr>
          <w:rFonts w:asciiTheme="minorHAnsi" w:eastAsiaTheme="minorHAnsi" w:hAnsiTheme="minorHAnsi" w:cstheme="minorHAnsi"/>
        </w:rPr>
        <w:t xml:space="preserve">   usnesením č.</w:t>
      </w:r>
      <w:r w:rsidR="00232DBD">
        <w:rPr>
          <w:rFonts w:asciiTheme="minorHAnsi" w:eastAsiaTheme="minorHAnsi" w:hAnsiTheme="minorHAnsi" w:cstheme="minorHAnsi"/>
        </w:rPr>
        <w:t xml:space="preserve"> </w:t>
      </w:r>
      <w:r w:rsidR="003B7717">
        <w:rPr>
          <w:rFonts w:asciiTheme="minorHAnsi" w:eastAsiaTheme="minorHAnsi" w:hAnsiTheme="minorHAnsi" w:cstheme="minorHAnsi"/>
        </w:rPr>
        <w:t>9</w:t>
      </w:r>
      <w:r w:rsidR="00CB5DA7" w:rsidRPr="00CB5DA7">
        <w:rPr>
          <w:rFonts w:asciiTheme="minorHAnsi" w:eastAsiaTheme="minorHAnsi" w:hAnsiTheme="minorHAnsi" w:cstheme="minorHAnsi"/>
        </w:rPr>
        <w:t>/IX</w:t>
      </w:r>
      <w:r w:rsidR="00976C43" w:rsidRPr="00CB5DA7">
        <w:rPr>
          <w:rFonts w:asciiTheme="minorHAnsi" w:eastAsiaTheme="minorHAnsi" w:hAnsiTheme="minorHAnsi" w:cstheme="minorHAnsi"/>
        </w:rPr>
        <w:t>/</w:t>
      </w:r>
      <w:r w:rsidR="00D71C60">
        <w:rPr>
          <w:rFonts w:asciiTheme="minorHAnsi" w:eastAsiaTheme="minorHAnsi" w:hAnsiTheme="minorHAnsi" w:cstheme="minorHAnsi"/>
        </w:rPr>
        <w:t>2022</w:t>
      </w:r>
    </w:p>
    <w:p w14:paraId="6C7950E8" w14:textId="77777777" w:rsidR="00586C85" w:rsidRPr="00D71C60" w:rsidRDefault="00A640AE" w:rsidP="00586C85">
      <w:pPr>
        <w:spacing w:after="160" w:line="259" w:lineRule="auto"/>
        <w:rPr>
          <w:rFonts w:asciiTheme="minorHAnsi" w:eastAsiaTheme="minorHAnsi" w:hAnsiTheme="minorHAnsi" w:cstheme="minorHAnsi"/>
        </w:rPr>
      </w:pPr>
      <w:r w:rsidRPr="00D71C60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D71C60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D71C60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D71C60">
        <w:rPr>
          <w:rFonts w:asciiTheme="minorHAnsi" w:eastAsiaTheme="minorHAnsi" w:hAnsiTheme="minorHAnsi" w:cstheme="minorHAnsi"/>
        </w:rPr>
        <w:t xml:space="preserve">   v tomto znění:</w:t>
      </w:r>
    </w:p>
    <w:p w14:paraId="0521D4DD" w14:textId="77777777" w:rsidR="00586C85" w:rsidRPr="00D71C60" w:rsidRDefault="00586C85" w:rsidP="00586C85">
      <w:pPr>
        <w:spacing w:after="160" w:line="259" w:lineRule="auto"/>
        <w:rPr>
          <w:rFonts w:asciiTheme="minorHAnsi" w:eastAsiaTheme="minorHAnsi" w:hAnsiTheme="minorHAnsi" w:cstheme="minorHAnsi"/>
          <w:highlight w:val="yellow"/>
        </w:rPr>
      </w:pPr>
    </w:p>
    <w:p w14:paraId="7DEFCA12" w14:textId="77777777" w:rsidR="001529C4" w:rsidRPr="00D71C60" w:rsidRDefault="001529C4">
      <w:pPr>
        <w:spacing w:after="160" w:line="259" w:lineRule="auto"/>
        <w:rPr>
          <w:rStyle w:val="A4"/>
          <w:rFonts w:eastAsiaTheme="majorEastAsia"/>
          <w:b/>
          <w:color w:val="auto"/>
          <w:sz w:val="40"/>
          <w:szCs w:val="40"/>
          <w:highlight w:val="yellow"/>
        </w:rPr>
      </w:pPr>
      <w:r w:rsidRPr="00D71C60">
        <w:rPr>
          <w:rStyle w:val="A4"/>
          <w:rFonts w:eastAsiaTheme="majorEastAsia"/>
          <w:b/>
          <w:color w:val="auto"/>
          <w:sz w:val="40"/>
          <w:szCs w:val="40"/>
          <w:highlight w:val="yellow"/>
        </w:rPr>
        <w:br w:type="page"/>
      </w:r>
    </w:p>
    <w:p w14:paraId="7327FFAF" w14:textId="77777777" w:rsidR="00CA5B95" w:rsidRPr="00D71C60" w:rsidRDefault="00597612" w:rsidP="00D73C22">
      <w:pPr>
        <w:jc w:val="center"/>
        <w:rPr>
          <w:rStyle w:val="A4"/>
          <w:rFonts w:eastAsiaTheme="majorEastAsia"/>
          <w:b/>
          <w:color w:val="auto"/>
          <w:sz w:val="40"/>
          <w:szCs w:val="40"/>
        </w:rPr>
      </w:pPr>
      <w:r w:rsidRPr="00D71C60">
        <w:rPr>
          <w:rStyle w:val="A4"/>
          <w:rFonts w:eastAsiaTheme="majorEastAsia"/>
          <w:b/>
          <w:color w:val="auto"/>
          <w:sz w:val="40"/>
          <w:szCs w:val="40"/>
        </w:rPr>
        <w:lastRenderedPageBreak/>
        <w:t>Skládání účtů</w:t>
      </w:r>
      <w:r w:rsidR="00AA34F9" w:rsidRPr="00D71C60">
        <w:rPr>
          <w:rStyle w:val="A4"/>
          <w:rFonts w:eastAsiaTheme="majorEastAsia"/>
          <w:b/>
          <w:color w:val="auto"/>
          <w:sz w:val="40"/>
          <w:szCs w:val="40"/>
        </w:rPr>
        <w:t xml:space="preserve"> </w:t>
      </w:r>
      <w:r w:rsidRPr="00D71C60">
        <w:rPr>
          <w:rStyle w:val="A4"/>
          <w:rFonts w:eastAsiaTheme="majorEastAsia"/>
          <w:b/>
          <w:color w:val="auto"/>
          <w:sz w:val="40"/>
          <w:szCs w:val="40"/>
        </w:rPr>
        <w:t xml:space="preserve">z hospodaření </w:t>
      </w:r>
      <w:r w:rsidR="00AA34F9" w:rsidRPr="00D71C60">
        <w:rPr>
          <w:rStyle w:val="A4"/>
          <w:rFonts w:eastAsiaTheme="majorEastAsia"/>
          <w:b/>
          <w:color w:val="auto"/>
          <w:sz w:val="40"/>
          <w:szCs w:val="40"/>
        </w:rPr>
        <w:t>s majetkem státu</w:t>
      </w:r>
      <w:r w:rsidR="003A2FA5" w:rsidRPr="00D71C60">
        <w:rPr>
          <w:rStyle w:val="Znakapoznpodarou"/>
          <w:rFonts w:eastAsiaTheme="majorEastAsia"/>
          <w:b/>
          <w:sz w:val="40"/>
          <w:szCs w:val="40"/>
        </w:rPr>
        <w:footnoteReference w:id="2"/>
      </w:r>
    </w:p>
    <w:p w14:paraId="6088D32F" w14:textId="77777777" w:rsidR="003E71FF" w:rsidRPr="00D71C60" w:rsidRDefault="006115F5" w:rsidP="00D73C22">
      <w:pPr>
        <w:jc w:val="center"/>
        <w:rPr>
          <w:rStyle w:val="A4"/>
          <w:rFonts w:eastAsiaTheme="majorEastAsia"/>
          <w:b/>
          <w:color w:val="auto"/>
          <w:sz w:val="40"/>
          <w:szCs w:val="40"/>
        </w:rPr>
      </w:pPr>
      <w:proofErr w:type="spellStart"/>
      <w:r w:rsidRPr="00D71C60">
        <w:rPr>
          <w:rStyle w:val="A4"/>
          <w:rFonts w:eastAsiaTheme="majorEastAsia"/>
          <w:b/>
          <w:color w:val="auto"/>
          <w:sz w:val="40"/>
          <w:szCs w:val="40"/>
        </w:rPr>
        <w:t>M</w:t>
      </w:r>
      <w:r w:rsidR="00D71C60" w:rsidRPr="00D71C60">
        <w:rPr>
          <w:rStyle w:val="A4"/>
          <w:rFonts w:eastAsiaTheme="majorEastAsia"/>
          <w:b/>
          <w:color w:val="auto"/>
          <w:sz w:val="40"/>
          <w:szCs w:val="40"/>
        </w:rPr>
        <w:t>Z</w:t>
      </w:r>
      <w:r w:rsidR="003A678F">
        <w:rPr>
          <w:rStyle w:val="A4"/>
          <w:rFonts w:eastAsiaTheme="majorEastAsia"/>
          <w:b/>
          <w:color w:val="auto"/>
          <w:sz w:val="40"/>
          <w:szCs w:val="40"/>
        </w:rPr>
        <w:t>d</w:t>
      </w:r>
      <w:proofErr w:type="spellEnd"/>
      <w:r w:rsidR="0055132B" w:rsidRPr="00D71C60">
        <w:rPr>
          <w:rStyle w:val="A4"/>
          <w:rFonts w:eastAsiaTheme="majorEastAsia"/>
          <w:b/>
          <w:color w:val="auto"/>
          <w:sz w:val="40"/>
          <w:szCs w:val="40"/>
        </w:rPr>
        <w:t xml:space="preserve"> </w:t>
      </w:r>
      <w:r w:rsidR="00AA34F9" w:rsidRPr="00D71C60">
        <w:rPr>
          <w:rStyle w:val="A4"/>
          <w:rFonts w:eastAsiaTheme="majorEastAsia"/>
          <w:b/>
          <w:color w:val="auto"/>
          <w:sz w:val="40"/>
          <w:szCs w:val="40"/>
        </w:rPr>
        <w:t xml:space="preserve">za rok </w:t>
      </w:r>
      <w:r w:rsidRPr="00D71C60">
        <w:rPr>
          <w:rStyle w:val="A4"/>
          <w:rFonts w:eastAsiaTheme="majorEastAsia"/>
          <w:b/>
          <w:color w:val="auto"/>
          <w:sz w:val="40"/>
          <w:szCs w:val="40"/>
        </w:rPr>
        <w:t>202</w:t>
      </w:r>
      <w:r w:rsidR="00D71C60" w:rsidRPr="00D71C60">
        <w:rPr>
          <w:rStyle w:val="A4"/>
          <w:rFonts w:eastAsiaTheme="majorEastAsia"/>
          <w:b/>
          <w:color w:val="auto"/>
          <w:sz w:val="40"/>
          <w:szCs w:val="40"/>
        </w:rPr>
        <w:t>1</w:t>
      </w:r>
    </w:p>
    <w:p w14:paraId="7C1AA097" w14:textId="77777777" w:rsidR="003F327E" w:rsidRPr="00D71C60" w:rsidRDefault="003F327E" w:rsidP="000405AC">
      <w:pPr>
        <w:spacing w:after="0"/>
        <w:jc w:val="center"/>
        <w:rPr>
          <w:rStyle w:val="A4"/>
          <w:rFonts w:eastAsiaTheme="majorEastAsia"/>
          <w:b/>
          <w:color w:val="auto"/>
          <w:sz w:val="24"/>
          <w:szCs w:val="40"/>
          <w:highlight w:val="yellow"/>
        </w:rPr>
      </w:pPr>
    </w:p>
    <w:tbl>
      <w:tblPr>
        <w:tblStyle w:val="Mkatabulky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083"/>
        <w:gridCol w:w="170"/>
        <w:gridCol w:w="4536"/>
      </w:tblGrid>
      <w:tr w:rsidR="001D0B2E" w:rsidRPr="00D71C60" w14:paraId="58941738" w14:textId="77777777" w:rsidTr="004E2D6E">
        <w:trPr>
          <w:trHeight w:val="1363"/>
        </w:trPr>
        <w:tc>
          <w:tcPr>
            <w:tcW w:w="4253" w:type="dxa"/>
            <w:gridSpan w:val="2"/>
            <w:vAlign w:val="center"/>
          </w:tcPr>
          <w:p w14:paraId="248FBDFD" w14:textId="77777777" w:rsidR="001D0B2E" w:rsidRPr="0004276A" w:rsidRDefault="001D0B2E" w:rsidP="006A674D">
            <w:pPr>
              <w:spacing w:after="0"/>
              <w:jc w:val="center"/>
              <w:rPr>
                <w:rFonts w:cs="Calibri"/>
                <w:b/>
                <w:bCs/>
                <w:sz w:val="40"/>
              </w:rPr>
            </w:pPr>
            <w:r w:rsidRPr="0004276A">
              <w:rPr>
                <w:rFonts w:cs="Calibri"/>
                <w:b/>
                <w:bCs/>
                <w:sz w:val="40"/>
              </w:rPr>
              <w:t>0 Kč</w:t>
            </w:r>
          </w:p>
          <w:p w14:paraId="39785393" w14:textId="42CB6BC5" w:rsidR="001D0B2E" w:rsidRPr="00D71C60" w:rsidRDefault="001D0B2E" w:rsidP="006A674D">
            <w:pPr>
              <w:spacing w:after="0"/>
              <w:jc w:val="center"/>
              <w:rPr>
                <w:rStyle w:val="A5"/>
                <w:rFonts w:cs="Calibri"/>
                <w:sz w:val="24"/>
                <w:szCs w:val="24"/>
                <w:highlight w:val="yellow"/>
              </w:rPr>
            </w:pPr>
            <w:r w:rsidRPr="0004276A">
              <w:rPr>
                <w:rFonts w:cs="Calibri"/>
                <w:b/>
              </w:rPr>
              <w:t>nesprávnost</w:t>
            </w:r>
            <w:r w:rsidR="00DD5E24">
              <w:rPr>
                <w:rFonts w:cs="Calibri"/>
                <w:b/>
              </w:rPr>
              <w:t>i</w:t>
            </w:r>
            <w:r w:rsidRPr="0004276A">
              <w:rPr>
                <w:rStyle w:val="Znakapoznpodarou"/>
                <w:rFonts w:cs="Calibri"/>
                <w:b/>
              </w:rPr>
              <w:footnoteReference w:id="3"/>
            </w:r>
            <w:r w:rsidRPr="0004276A">
              <w:rPr>
                <w:rFonts w:cs="Calibri"/>
                <w:b/>
              </w:rPr>
              <w:t xml:space="preserve"> </w:t>
            </w:r>
            <w:r w:rsidR="00D73C22" w:rsidRPr="0004276A">
              <w:rPr>
                <w:rFonts w:cs="Calibri"/>
                <w:b/>
              </w:rPr>
              <w:br/>
            </w:r>
            <w:r w:rsidRPr="0004276A">
              <w:rPr>
                <w:rFonts w:cs="Calibri"/>
                <w:b/>
              </w:rPr>
              <w:t>v účetní závěrce k 31.</w:t>
            </w:r>
            <w:r w:rsidR="00847833" w:rsidRPr="0004276A">
              <w:rPr>
                <w:rFonts w:cs="Calibri"/>
                <w:b/>
              </w:rPr>
              <w:t> </w:t>
            </w:r>
            <w:r w:rsidRPr="0004276A">
              <w:rPr>
                <w:rFonts w:cs="Calibri"/>
                <w:b/>
              </w:rPr>
              <w:t>prosinci 202</w:t>
            </w:r>
            <w:r w:rsidR="0004276A" w:rsidRPr="0004276A">
              <w:rPr>
                <w:rFonts w:cs="Calibri"/>
                <w:b/>
              </w:rPr>
              <w:t>1</w:t>
            </w:r>
            <w:r w:rsidR="00DD5E24">
              <w:rPr>
                <w:rFonts w:cs="Calibri"/>
                <w:b/>
              </w:rPr>
              <w:t>, ve</w:t>
            </w:r>
            <w:r w:rsidR="00CE3C16">
              <w:rPr>
                <w:rFonts w:cs="Calibri"/>
                <w:b/>
              </w:rPr>
              <w:t> </w:t>
            </w:r>
            <w:r w:rsidR="00DD5E24">
              <w:rPr>
                <w:rFonts w:cs="Calibri"/>
                <w:b/>
              </w:rPr>
              <w:t xml:space="preserve">finančním výkazu </w:t>
            </w:r>
            <w:r w:rsidR="0004276A" w:rsidRPr="0004276A">
              <w:rPr>
                <w:rFonts w:cs="Calibri"/>
                <w:b/>
              </w:rPr>
              <w:t>za rok 2021</w:t>
            </w:r>
            <w:r w:rsidR="00DD5E24">
              <w:rPr>
                <w:rFonts w:cs="Calibri"/>
                <w:b/>
              </w:rPr>
              <w:t xml:space="preserve"> a</w:t>
            </w:r>
            <w:r w:rsidR="00CE3C16">
              <w:rPr>
                <w:rFonts w:cs="Calibri"/>
                <w:b/>
              </w:rPr>
              <w:t> </w:t>
            </w:r>
            <w:r w:rsidR="00DD5E24">
              <w:rPr>
                <w:rFonts w:cs="Calibri"/>
                <w:b/>
              </w:rPr>
              <w:t>dopad nesprávností v závěrečném účtu na jeho celkovou vypovídací schopnost</w:t>
            </w:r>
          </w:p>
        </w:tc>
        <w:tc>
          <w:tcPr>
            <w:tcW w:w="4536" w:type="dxa"/>
          </w:tcPr>
          <w:p w14:paraId="582AFEE0" w14:textId="77777777" w:rsidR="001D0B2E" w:rsidRPr="00DD5E24" w:rsidRDefault="001D0B2E" w:rsidP="00CE3C16">
            <w:pPr>
              <w:spacing w:after="0"/>
              <w:jc w:val="center"/>
              <w:rPr>
                <w:rFonts w:cs="Calibri"/>
                <w:b/>
                <w:bCs/>
                <w:color w:val="FF0000"/>
                <w:sz w:val="40"/>
              </w:rPr>
            </w:pPr>
            <w:r w:rsidRPr="00DD5E24">
              <w:rPr>
                <w:rFonts w:cs="Calibri"/>
                <w:b/>
                <w:bCs/>
                <w:color w:val="FF0000"/>
                <w:sz w:val="40"/>
              </w:rPr>
              <w:t>1</w:t>
            </w:r>
            <w:r w:rsidR="00864A2D">
              <w:rPr>
                <w:rFonts w:cs="Calibri"/>
                <w:b/>
                <w:bCs/>
                <w:color w:val="FF0000"/>
                <w:sz w:val="40"/>
              </w:rPr>
              <w:t>0,9</w:t>
            </w:r>
            <w:r w:rsidRPr="00DD5E24">
              <w:rPr>
                <w:rFonts w:cs="Calibri"/>
                <w:b/>
                <w:bCs/>
                <w:color w:val="FF0000"/>
                <w:sz w:val="40"/>
              </w:rPr>
              <w:t xml:space="preserve"> ml</w:t>
            </w:r>
            <w:r w:rsidR="00DD5E24" w:rsidRPr="00DD5E24">
              <w:rPr>
                <w:rFonts w:cs="Calibri"/>
                <w:b/>
                <w:bCs/>
                <w:color w:val="FF0000"/>
                <w:sz w:val="40"/>
              </w:rPr>
              <w:t>d</w:t>
            </w:r>
            <w:r w:rsidRPr="00DD5E24">
              <w:rPr>
                <w:rFonts w:cs="Calibri"/>
                <w:b/>
                <w:bCs/>
                <w:color w:val="FF0000"/>
                <w:sz w:val="40"/>
              </w:rPr>
              <w:t>. Kč</w:t>
            </w:r>
          </w:p>
          <w:p w14:paraId="0480B45D" w14:textId="77777777" w:rsidR="001D0B2E" w:rsidRPr="00D71C60" w:rsidRDefault="00DD5E24" w:rsidP="00CE3C16">
            <w:pPr>
              <w:spacing w:after="0"/>
              <w:jc w:val="center"/>
              <w:rPr>
                <w:rStyle w:val="A5"/>
                <w:rFonts w:cs="Calibri"/>
                <w:sz w:val="24"/>
                <w:szCs w:val="24"/>
                <w:highlight w:val="yellow"/>
              </w:rPr>
            </w:pPr>
            <w:r w:rsidRPr="00DD5E24">
              <w:rPr>
                <w:rFonts w:cs="Calibri"/>
                <w:b/>
              </w:rPr>
              <w:t xml:space="preserve">ministerstvem opravené </w:t>
            </w:r>
            <w:r w:rsidR="00CE3C16">
              <w:rPr>
                <w:rFonts w:cs="Calibri"/>
                <w:b/>
              </w:rPr>
              <w:br/>
            </w:r>
            <w:r w:rsidRPr="00DD5E24">
              <w:rPr>
                <w:rFonts w:cs="Calibri"/>
                <w:b/>
              </w:rPr>
              <w:t xml:space="preserve">účetní nedostatky </w:t>
            </w:r>
            <w:r w:rsidR="00CE3C16">
              <w:rPr>
                <w:rFonts w:cs="Calibri"/>
                <w:b/>
              </w:rPr>
              <w:br/>
            </w:r>
            <w:r w:rsidRPr="00DD5E24">
              <w:rPr>
                <w:rFonts w:cs="Calibri"/>
                <w:b/>
              </w:rPr>
              <w:t xml:space="preserve">identifikované NKÚ </w:t>
            </w:r>
            <w:r w:rsidR="00CE3C16">
              <w:rPr>
                <w:rFonts w:cs="Calibri"/>
                <w:b/>
              </w:rPr>
              <w:br/>
            </w:r>
            <w:r w:rsidRPr="00DD5E24">
              <w:rPr>
                <w:rFonts w:cs="Calibri"/>
                <w:b/>
              </w:rPr>
              <w:t>v průběhu kontroly</w:t>
            </w:r>
            <w:r w:rsidR="001D0B2E" w:rsidRPr="00DD5E24">
              <w:rPr>
                <w:rFonts w:cs="Calibri"/>
                <w:b/>
              </w:rPr>
              <w:t xml:space="preserve"> </w:t>
            </w:r>
            <w:r w:rsidR="00D73C22" w:rsidRPr="00D71C60">
              <w:rPr>
                <w:rFonts w:cs="Calibri"/>
                <w:b/>
                <w:highlight w:val="yellow"/>
              </w:rPr>
              <w:br/>
            </w:r>
          </w:p>
        </w:tc>
      </w:tr>
      <w:tr w:rsidR="001D0B2E" w:rsidRPr="00D71C60" w14:paraId="435B8D1B" w14:textId="77777777" w:rsidTr="004E2D6E">
        <w:trPr>
          <w:trHeight w:val="1363"/>
        </w:trPr>
        <w:tc>
          <w:tcPr>
            <w:tcW w:w="4253" w:type="dxa"/>
            <w:gridSpan w:val="2"/>
          </w:tcPr>
          <w:p w14:paraId="444BAB77" w14:textId="77777777" w:rsidR="00DD5E24" w:rsidRPr="00772303" w:rsidRDefault="00FF7F7A" w:rsidP="00CE3C16">
            <w:pPr>
              <w:spacing w:after="0"/>
              <w:jc w:val="center"/>
              <w:rPr>
                <w:rStyle w:val="A5"/>
                <w:rFonts w:cs="Calibri"/>
                <w:color w:val="auto"/>
              </w:rPr>
            </w:pPr>
            <w:r>
              <w:rPr>
                <w:rStyle w:val="A5"/>
                <w:rFonts w:cs="Calibri"/>
                <w:color w:val="auto"/>
              </w:rPr>
              <w:t>4</w:t>
            </w:r>
            <w:r>
              <w:rPr>
                <w:rStyle w:val="A5"/>
              </w:rPr>
              <w:t>7,7 mld</w:t>
            </w:r>
            <w:r w:rsidR="00016CB1">
              <w:rPr>
                <w:rStyle w:val="A5"/>
              </w:rPr>
              <w:t>. Kč</w:t>
            </w:r>
          </w:p>
          <w:p w14:paraId="25FDD231" w14:textId="07C9C5E7" w:rsidR="001D0B2E" w:rsidRPr="0004276A" w:rsidRDefault="00FF7F7A" w:rsidP="00084969">
            <w:pPr>
              <w:spacing w:after="0"/>
              <w:jc w:val="center"/>
              <w:rPr>
                <w:rStyle w:val="A1"/>
                <w:rFonts w:cs="Calibri"/>
                <w:color w:val="auto"/>
                <w:sz w:val="24"/>
                <w:szCs w:val="24"/>
                <w:highlight w:val="yellow"/>
              </w:rPr>
            </w:pPr>
            <w:r>
              <w:t xml:space="preserve">podmíněné závazky </w:t>
            </w:r>
            <w:proofErr w:type="spellStart"/>
            <w:r>
              <w:t>MZd</w:t>
            </w:r>
            <w:proofErr w:type="spellEnd"/>
            <w:r>
              <w:t xml:space="preserve"> jako nároky </w:t>
            </w:r>
            <w:r w:rsidR="00517CE0">
              <w:br/>
            </w:r>
            <w:r>
              <w:t>na budoucí rozpočty</w:t>
            </w:r>
          </w:p>
        </w:tc>
        <w:tc>
          <w:tcPr>
            <w:tcW w:w="4536" w:type="dxa"/>
          </w:tcPr>
          <w:p w14:paraId="1575731A" w14:textId="77777777" w:rsidR="001D0B2E" w:rsidRPr="00DD5E24" w:rsidRDefault="00DD5E24" w:rsidP="006A674D">
            <w:pPr>
              <w:spacing w:after="0"/>
              <w:jc w:val="center"/>
              <w:rPr>
                <w:rStyle w:val="A5"/>
                <w:rFonts w:cs="Calibri"/>
                <w:color w:val="FF0000"/>
                <w:szCs w:val="24"/>
              </w:rPr>
            </w:pPr>
            <w:r w:rsidRPr="00DD5E24">
              <w:rPr>
                <w:rStyle w:val="A5"/>
                <w:rFonts w:cs="Calibri"/>
                <w:color w:val="FF0000"/>
                <w:szCs w:val="24"/>
              </w:rPr>
              <w:t>4</w:t>
            </w:r>
            <w:r w:rsidR="001D0B2E" w:rsidRPr="00DD5E24">
              <w:rPr>
                <w:rStyle w:val="A5"/>
                <w:rFonts w:cs="Calibri"/>
                <w:color w:val="FF0000"/>
                <w:szCs w:val="24"/>
              </w:rPr>
              <w:t xml:space="preserve"> </w:t>
            </w:r>
            <w:r w:rsidRPr="00DD5E24">
              <w:rPr>
                <w:rStyle w:val="A5"/>
                <w:rFonts w:cs="Calibri"/>
                <w:color w:val="FF0000"/>
                <w:szCs w:val="24"/>
              </w:rPr>
              <w:t xml:space="preserve">mld. </w:t>
            </w:r>
            <w:r w:rsidR="001D0B2E" w:rsidRPr="00DD5E24">
              <w:rPr>
                <w:rStyle w:val="A5"/>
                <w:rFonts w:cs="Calibri"/>
                <w:color w:val="FF0000"/>
                <w:szCs w:val="24"/>
              </w:rPr>
              <w:t>Kč</w:t>
            </w:r>
          </w:p>
          <w:p w14:paraId="55CD62FE" w14:textId="77777777" w:rsidR="001D0B2E" w:rsidRPr="00DD5E24" w:rsidRDefault="00DD5E24" w:rsidP="006A674D">
            <w:pPr>
              <w:spacing w:after="0"/>
              <w:jc w:val="center"/>
              <w:rPr>
                <w:rStyle w:val="A1"/>
                <w:rFonts w:cs="Calibri"/>
                <w:b/>
                <w:color w:val="auto"/>
                <w:sz w:val="24"/>
                <w:szCs w:val="24"/>
                <w:highlight w:val="yellow"/>
              </w:rPr>
            </w:pPr>
            <w:r w:rsidRPr="00DD5E24">
              <w:rPr>
                <w:b/>
              </w:rPr>
              <w:t xml:space="preserve">ministerstvem opravené </w:t>
            </w:r>
            <w:r>
              <w:rPr>
                <w:b/>
              </w:rPr>
              <w:t>nedostatky v </w:t>
            </w:r>
            <w:r w:rsidRPr="00DD5E24">
              <w:rPr>
                <w:b/>
              </w:rPr>
              <w:t>rozpočtové</w:t>
            </w:r>
            <w:r>
              <w:rPr>
                <w:b/>
              </w:rPr>
              <w:t>m systému</w:t>
            </w:r>
            <w:r w:rsidRPr="00DD5E24">
              <w:rPr>
                <w:b/>
              </w:rPr>
              <w:t xml:space="preserve"> identifikované NKÚ v průběhu kontroly</w:t>
            </w:r>
          </w:p>
        </w:tc>
      </w:tr>
      <w:tr w:rsidR="001D0B2E" w:rsidRPr="00D71C60" w14:paraId="06BFECB4" w14:textId="77777777" w:rsidTr="004E2D6E">
        <w:trPr>
          <w:trHeight w:val="1363"/>
        </w:trPr>
        <w:tc>
          <w:tcPr>
            <w:tcW w:w="4083" w:type="dxa"/>
            <w:vAlign w:val="center"/>
          </w:tcPr>
          <w:p w14:paraId="2A410EB1" w14:textId="77777777" w:rsidR="00452AB7" w:rsidRPr="00452AB7" w:rsidRDefault="00452AB7" w:rsidP="006A674D">
            <w:pPr>
              <w:spacing w:after="0"/>
              <w:jc w:val="center"/>
              <w:rPr>
                <w:rStyle w:val="A5"/>
                <w:rFonts w:cs="Calibri"/>
                <w:color w:val="auto"/>
                <w:szCs w:val="24"/>
              </w:rPr>
            </w:pPr>
            <w:r w:rsidRPr="00452AB7">
              <w:rPr>
                <w:rStyle w:val="A5"/>
                <w:rFonts w:cs="Calibri"/>
                <w:color w:val="auto"/>
                <w:szCs w:val="24"/>
              </w:rPr>
              <w:t>7</w:t>
            </w:r>
            <w:r w:rsidRPr="00452AB7">
              <w:rPr>
                <w:rStyle w:val="A5"/>
                <w:color w:val="auto"/>
                <w:szCs w:val="24"/>
              </w:rPr>
              <w:t>1 %</w:t>
            </w:r>
          </w:p>
          <w:p w14:paraId="1CDD5387" w14:textId="10F22F93" w:rsidR="001D0B2E" w:rsidRPr="00D71C60" w:rsidRDefault="00452AB7" w:rsidP="006A674D">
            <w:pPr>
              <w:spacing w:after="0"/>
              <w:jc w:val="center"/>
              <w:rPr>
                <w:rStyle w:val="A5"/>
                <w:rFonts w:cs="Calibri"/>
                <w:color w:val="FF0000"/>
                <w:sz w:val="24"/>
                <w:szCs w:val="24"/>
                <w:highlight w:val="yellow"/>
              </w:rPr>
            </w:pPr>
            <w:r>
              <w:rPr>
                <w:b/>
              </w:rPr>
              <w:t xml:space="preserve">podíl výdajů </w:t>
            </w:r>
            <w:r w:rsidR="00C94D69">
              <w:rPr>
                <w:b/>
              </w:rPr>
              <w:t>ministerstva vynaložených</w:t>
            </w:r>
            <w:r>
              <w:rPr>
                <w:b/>
              </w:rPr>
              <w:t xml:space="preserve"> </w:t>
            </w:r>
            <w:r w:rsidR="00C94D69">
              <w:rPr>
                <w:b/>
              </w:rPr>
              <w:t>v souvislosti</w:t>
            </w:r>
            <w:r>
              <w:rPr>
                <w:b/>
              </w:rPr>
              <w:t xml:space="preserve"> s </w:t>
            </w:r>
            <w:r w:rsidR="00644E73">
              <w:rPr>
                <w:b/>
              </w:rPr>
              <w:t>covidem</w:t>
            </w:r>
            <w:r>
              <w:rPr>
                <w:b/>
              </w:rPr>
              <w:t xml:space="preserve">-19 na celkových výdajích </w:t>
            </w:r>
            <w:proofErr w:type="spellStart"/>
            <w:r>
              <w:rPr>
                <w:b/>
              </w:rPr>
              <w:t>MZ</w:t>
            </w:r>
            <w:r w:rsidR="00C94D69">
              <w:rPr>
                <w:b/>
              </w:rPr>
              <w:t>d</w:t>
            </w:r>
            <w:proofErr w:type="spellEnd"/>
            <w:r w:rsidR="00A555E5">
              <w:rPr>
                <w:b/>
              </w:rPr>
              <w:t xml:space="preserve"> v roce 2021</w:t>
            </w:r>
          </w:p>
        </w:tc>
        <w:tc>
          <w:tcPr>
            <w:tcW w:w="4706" w:type="dxa"/>
            <w:gridSpan w:val="2"/>
          </w:tcPr>
          <w:p w14:paraId="71DA107F" w14:textId="77777777" w:rsidR="00772303" w:rsidRPr="00DD5E24" w:rsidRDefault="00772303" w:rsidP="00CE3C16">
            <w:pPr>
              <w:spacing w:after="0"/>
              <w:jc w:val="center"/>
              <w:rPr>
                <w:rStyle w:val="A5"/>
                <w:rFonts w:cs="Calibri"/>
                <w:color w:val="FF0000"/>
                <w:szCs w:val="24"/>
              </w:rPr>
            </w:pPr>
            <w:r>
              <w:rPr>
                <w:rStyle w:val="A5"/>
                <w:rFonts w:cs="Calibri"/>
                <w:color w:val="FF0000"/>
                <w:szCs w:val="24"/>
              </w:rPr>
              <w:t>3,6</w:t>
            </w:r>
            <w:r w:rsidRPr="00DD5E24">
              <w:rPr>
                <w:rStyle w:val="A5"/>
                <w:rFonts w:cs="Calibri"/>
                <w:color w:val="FF0000"/>
                <w:szCs w:val="24"/>
              </w:rPr>
              <w:t xml:space="preserve"> m</w:t>
            </w:r>
            <w:r>
              <w:rPr>
                <w:rStyle w:val="A5"/>
                <w:rFonts w:cs="Calibri"/>
                <w:color w:val="FF0000"/>
                <w:szCs w:val="24"/>
              </w:rPr>
              <w:t>il</w:t>
            </w:r>
            <w:r w:rsidRPr="00DD5E24">
              <w:rPr>
                <w:rStyle w:val="A5"/>
                <w:rFonts w:cs="Calibri"/>
                <w:color w:val="FF0000"/>
                <w:szCs w:val="24"/>
              </w:rPr>
              <w:t>. Kč</w:t>
            </w:r>
          </w:p>
          <w:p w14:paraId="55B7C9A7" w14:textId="2E5BAB7C" w:rsidR="001D0B2E" w:rsidRPr="00D71C60" w:rsidRDefault="00211A23" w:rsidP="00084969">
            <w:pPr>
              <w:spacing w:after="0"/>
              <w:jc w:val="center"/>
              <w:rPr>
                <w:rStyle w:val="A5"/>
                <w:rFonts w:cs="Calibri"/>
                <w:color w:val="0070C0"/>
                <w:sz w:val="24"/>
                <w:szCs w:val="24"/>
                <w:highlight w:val="yellow"/>
              </w:rPr>
            </w:pPr>
            <w:r>
              <w:rPr>
                <w:b/>
              </w:rPr>
              <w:t xml:space="preserve">výdaje </w:t>
            </w:r>
            <w:r w:rsidR="00C82753">
              <w:rPr>
                <w:b/>
              </w:rPr>
              <w:t xml:space="preserve">Ministerstva zdravotnictví </w:t>
            </w:r>
            <w:r w:rsidR="00C82753">
              <w:rPr>
                <w:b/>
              </w:rPr>
              <w:br/>
            </w:r>
            <w:r>
              <w:rPr>
                <w:b/>
              </w:rPr>
              <w:t>z titulu nařízených exekucí</w:t>
            </w:r>
            <w:r w:rsidR="006A674D">
              <w:rPr>
                <w:b/>
              </w:rPr>
              <w:t xml:space="preserve"> </w:t>
            </w:r>
            <w:r w:rsidR="00C82753">
              <w:rPr>
                <w:b/>
              </w:rPr>
              <w:br/>
            </w:r>
            <w:r w:rsidR="006A674D">
              <w:rPr>
                <w:b/>
              </w:rPr>
              <w:t xml:space="preserve">na majetek </w:t>
            </w:r>
            <w:proofErr w:type="spellStart"/>
            <w:r w:rsidR="006A674D">
              <w:rPr>
                <w:b/>
              </w:rPr>
              <w:t>MZd</w:t>
            </w:r>
            <w:proofErr w:type="spellEnd"/>
            <w:r w:rsidR="006A674D">
              <w:rPr>
                <w:b/>
              </w:rPr>
              <w:t xml:space="preserve"> z důvodu </w:t>
            </w:r>
            <w:r w:rsidR="00C82753">
              <w:rPr>
                <w:b/>
              </w:rPr>
              <w:br/>
            </w:r>
            <w:r w:rsidR="006A674D">
              <w:rPr>
                <w:b/>
              </w:rPr>
              <w:t>nečinnosti</w:t>
            </w:r>
            <w:r w:rsidR="00C82753">
              <w:rPr>
                <w:b/>
              </w:rPr>
              <w:t xml:space="preserve"> </w:t>
            </w:r>
            <w:proofErr w:type="spellStart"/>
            <w:r w:rsidR="00C82753">
              <w:rPr>
                <w:b/>
              </w:rPr>
              <w:t>MZd</w:t>
            </w:r>
            <w:proofErr w:type="spellEnd"/>
          </w:p>
        </w:tc>
      </w:tr>
    </w:tbl>
    <w:p w14:paraId="0BE8717D" w14:textId="77777777" w:rsidR="00B16BE9" w:rsidRPr="00D71C60" w:rsidRDefault="00B16BE9" w:rsidP="001D0B2E">
      <w:pPr>
        <w:jc w:val="center"/>
        <w:rPr>
          <w:rStyle w:val="A1"/>
          <w:b/>
          <w:sz w:val="24"/>
          <w:szCs w:val="32"/>
          <w:highlight w:val="yellow"/>
        </w:rPr>
      </w:pPr>
    </w:p>
    <w:p w14:paraId="6F566F72" w14:textId="0DCE868C" w:rsidR="00153EAA" w:rsidRDefault="00153EAA" w:rsidP="00D73C22">
      <w:pPr>
        <w:jc w:val="center"/>
        <w:rPr>
          <w:rStyle w:val="A1"/>
          <w:b/>
          <w:sz w:val="32"/>
          <w:szCs w:val="32"/>
        </w:rPr>
      </w:pPr>
      <w:r w:rsidRPr="00D71C60">
        <w:rPr>
          <w:rStyle w:val="A1"/>
          <w:b/>
          <w:sz w:val="32"/>
          <w:szCs w:val="32"/>
        </w:rPr>
        <w:t xml:space="preserve">Spolehlivost </w:t>
      </w:r>
      <w:r w:rsidR="005D2441" w:rsidRPr="00D71C60">
        <w:rPr>
          <w:rStyle w:val="A1"/>
          <w:b/>
          <w:sz w:val="32"/>
          <w:szCs w:val="32"/>
        </w:rPr>
        <w:t>účetní závěrky</w:t>
      </w:r>
      <w:r w:rsidR="003F327E" w:rsidRPr="00D71C60">
        <w:rPr>
          <w:rStyle w:val="A1"/>
          <w:b/>
          <w:sz w:val="32"/>
          <w:szCs w:val="32"/>
        </w:rPr>
        <w:t xml:space="preserve"> k 31. prosinci 202</w:t>
      </w:r>
      <w:r w:rsidR="00D71C60" w:rsidRPr="00D71C60">
        <w:rPr>
          <w:rStyle w:val="A1"/>
          <w:b/>
          <w:sz w:val="32"/>
          <w:szCs w:val="32"/>
        </w:rPr>
        <w:t>1</w:t>
      </w:r>
      <w:r w:rsidR="005D2441" w:rsidRPr="00D71C60">
        <w:rPr>
          <w:rStyle w:val="A1"/>
          <w:b/>
          <w:sz w:val="32"/>
          <w:szCs w:val="32"/>
        </w:rPr>
        <w:t xml:space="preserve"> </w:t>
      </w:r>
      <w:r w:rsidR="00D73C22" w:rsidRPr="00D71C60">
        <w:rPr>
          <w:rStyle w:val="A1"/>
          <w:b/>
          <w:sz w:val="32"/>
          <w:szCs w:val="32"/>
        </w:rPr>
        <w:br/>
      </w:r>
      <w:r w:rsidRPr="00D71C60">
        <w:rPr>
          <w:rStyle w:val="A1"/>
          <w:b/>
          <w:sz w:val="32"/>
          <w:szCs w:val="32"/>
        </w:rPr>
        <w:t>po provedení</w:t>
      </w:r>
      <w:r w:rsidR="003E71FF" w:rsidRPr="00D71C60">
        <w:rPr>
          <w:rStyle w:val="A1"/>
          <w:b/>
          <w:sz w:val="32"/>
          <w:szCs w:val="32"/>
        </w:rPr>
        <w:t xml:space="preserve"> účetních oprav</w:t>
      </w:r>
    </w:p>
    <w:p w14:paraId="61FE5A9A" w14:textId="641D0322" w:rsidR="00A26E4A" w:rsidRPr="00D71C60" w:rsidRDefault="00F323EF" w:rsidP="002C596E">
      <w:pPr>
        <w:rPr>
          <w:rStyle w:val="A1"/>
          <w:b/>
          <w:sz w:val="32"/>
          <w:szCs w:val="32"/>
        </w:rPr>
      </w:pPr>
      <w:r>
        <w:rPr>
          <w:rFonts w:ascii="Calibri Light" w:hAnsi="Calibri Light" w:cs="Calibri Light"/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DBAA91" wp14:editId="252B3F10">
                <wp:simplePos x="0" y="0"/>
                <wp:positionH relativeFrom="column">
                  <wp:posOffset>3807541</wp:posOffset>
                </wp:positionH>
                <wp:positionV relativeFrom="paragraph">
                  <wp:posOffset>842185</wp:posOffset>
                </wp:positionV>
                <wp:extent cx="1721566" cy="330741"/>
                <wp:effectExtent l="0" t="0" r="0" b="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566" cy="3307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155E0" w14:textId="77777777" w:rsidR="00517CE0" w:rsidRPr="00E6425E" w:rsidRDefault="009A66D8" w:rsidP="00E6425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pict w14:anchorId="18F59FB5">
                                <v:shape id="_x0000_i1030" type="#_x0000_t75" style="width:7.4pt;height:7.4pt;visibility:visible;mso-wrap-style:square" o:preferrelative="f" o:bordertopcolor="this" o:borderleftcolor="this" o:borderbottomcolor="this" o:borderrightcolor="this">
                                  <v:imagedata r:id="rId12" o:title=""/>
                                  <o:lock v:ext="edit" aspectratio="f"/>
                                  <w10:bordertop type="single" width="2"/>
                                  <w10:borderleft type="single" width="2"/>
                                  <w10:borderbottom type="single" width="2"/>
                                  <w10:borderright type="single" width="2"/>
                                </v:shape>
                              </w:pict>
                            </w:r>
                            <w:r w:rsidR="00517CE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17CE0" w:rsidRPr="00E6425E">
                              <w:rPr>
                                <w:sz w:val="18"/>
                                <w:szCs w:val="18"/>
                              </w:rPr>
                              <w:t>Údaje jsou spolehlivé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BAA91" id="Obdélník 6" o:spid="_x0000_s1026" style="position:absolute;margin-left:299.8pt;margin-top:66.3pt;width:135.55pt;height:26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" fillcolor="white [3201]" stroked="f" strokeweight="1pt">
                <v:textbox>
                  <w:txbxContent>
                    <w:p w14:paraId="11A155E0" w14:textId="77777777" w:rsidR="00517CE0" w:rsidRPr="00E6425E" w:rsidRDefault="00517CE0" w:rsidP="00E6425E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pict w14:anchorId="18F59FB5">
                          <v:shape id="_x0000_i1030" type="#_x0000_t75" style="width:7.5pt;height:7.5pt;visibility:visible;mso-wrap-style:square" o:preferrelative="f" o:bordertopcolor="this" o:borderleftcolor="this" o:borderbottomcolor="this" o:borderrightcolor="this">
                            <v:imagedata r:id="rId13" o:title=""/>
                            <o:lock v:ext="edit" aspectratio="f"/>
                            <w10:bordertop type="single" width="2"/>
                            <w10:borderleft type="single" width="2"/>
                            <w10:borderbottom type="single" width="2"/>
                            <w10:borderright type="single" width="2"/>
                          </v:shape>
                        </w:pic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E6425E">
                        <w:rPr>
                          <w:sz w:val="18"/>
                          <w:szCs w:val="18"/>
                        </w:rPr>
                        <w:t>Údaje jsou spolehlivé</w:t>
                      </w:r>
                    </w:p>
                  </w:txbxContent>
                </v:textbox>
              </v:rect>
            </w:pict>
          </mc:Fallback>
        </mc:AlternateContent>
      </w:r>
      <w:r w:rsidR="00A26E4A">
        <w:rPr>
          <w:noProof/>
        </w:rPr>
        <w:drawing>
          <wp:inline distT="0" distB="0" distL="0" distR="0" wp14:anchorId="621AFCB6" wp14:editId="405DB9F8">
            <wp:extent cx="3754876" cy="1974715"/>
            <wp:effectExtent l="0" t="0" r="0" b="698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E6BF40" w14:textId="77777777" w:rsidR="005B1FC6" w:rsidRPr="00D71C60" w:rsidRDefault="005B1FC6" w:rsidP="004E2D6E">
      <w:pPr>
        <w:rPr>
          <w:rStyle w:val="A1"/>
          <w:sz w:val="24"/>
          <w:szCs w:val="32"/>
          <w:highlight w:val="yellow"/>
        </w:rPr>
      </w:pPr>
    </w:p>
    <w:p w14:paraId="1DF4CB8F" w14:textId="77777777" w:rsidR="00624BC9" w:rsidRPr="00D71C60" w:rsidRDefault="00624BC9" w:rsidP="0066297E">
      <w:pPr>
        <w:spacing w:after="0"/>
        <w:rPr>
          <w:rFonts w:asciiTheme="minorHAnsi" w:eastAsiaTheme="minorHAnsi" w:hAnsiTheme="minorHAnsi" w:cstheme="minorHAnsi"/>
          <w:b/>
          <w:sz w:val="28"/>
          <w:szCs w:val="28"/>
          <w:highlight w:val="yellow"/>
        </w:rPr>
      </w:pPr>
    </w:p>
    <w:p w14:paraId="5331E332" w14:textId="77777777" w:rsidR="0033466E" w:rsidRPr="00A237F0" w:rsidRDefault="00A640AE" w:rsidP="00183D64">
      <w:pPr>
        <w:pStyle w:val="Nadpis1"/>
        <w:spacing w:after="0" w:line="240" w:lineRule="auto"/>
      </w:pPr>
      <w:r w:rsidRPr="00A237F0">
        <w:t>I. Shrnutí a vyhodnocení</w:t>
      </w:r>
    </w:p>
    <w:p w14:paraId="3BE5E27C" w14:textId="77777777" w:rsidR="00183D64" w:rsidRPr="00D71C60" w:rsidRDefault="00183D64" w:rsidP="00183D64">
      <w:pPr>
        <w:spacing w:after="0"/>
        <w:jc w:val="both"/>
        <w:rPr>
          <w:highlight w:val="yellow"/>
        </w:rPr>
      </w:pPr>
    </w:p>
    <w:p w14:paraId="7D2E8968" w14:textId="44A3A997" w:rsidR="00410E09" w:rsidRDefault="00410E09" w:rsidP="00410E09">
      <w:pPr>
        <w:spacing w:after="0"/>
        <w:jc w:val="both"/>
        <w:rPr>
          <w:rFonts w:asciiTheme="minorHAnsi" w:eastAsiaTheme="minorHAnsi" w:hAnsiTheme="minorHAnsi" w:cstheme="minorHAnsi"/>
        </w:rPr>
      </w:pPr>
      <w:r w:rsidRPr="00A237F0">
        <w:rPr>
          <w:rFonts w:asciiTheme="minorHAnsi" w:eastAsiaTheme="minorHAnsi" w:hAnsiTheme="minorHAnsi" w:cstheme="minorHAnsi"/>
        </w:rPr>
        <w:t xml:space="preserve">Cílem kontroly bylo prověřit, zda Ministerstvo </w:t>
      </w:r>
      <w:r w:rsidR="00A237F0" w:rsidRPr="00A237F0">
        <w:rPr>
          <w:rFonts w:asciiTheme="minorHAnsi" w:eastAsiaTheme="minorHAnsi" w:hAnsiTheme="minorHAnsi" w:cstheme="minorHAnsi"/>
        </w:rPr>
        <w:t>zdravotnictví</w:t>
      </w:r>
      <w:r w:rsidRPr="00A237F0">
        <w:rPr>
          <w:rFonts w:asciiTheme="minorHAnsi" w:eastAsiaTheme="minorHAnsi" w:hAnsiTheme="minorHAnsi" w:cstheme="minorHAnsi"/>
        </w:rPr>
        <w:t xml:space="preserve"> při sestavení závěrečného účtu </w:t>
      </w:r>
      <w:r w:rsidR="00517CE0">
        <w:rPr>
          <w:rFonts w:asciiTheme="minorHAnsi" w:eastAsiaTheme="minorHAnsi" w:hAnsiTheme="minorHAnsi" w:cstheme="minorHAnsi"/>
        </w:rPr>
        <w:br/>
      </w:r>
      <w:r w:rsidRPr="00A237F0">
        <w:rPr>
          <w:rFonts w:asciiTheme="minorHAnsi" w:eastAsiaTheme="minorHAnsi" w:hAnsiTheme="minorHAnsi" w:cstheme="minorHAnsi"/>
        </w:rPr>
        <w:t>a</w:t>
      </w:r>
      <w:r w:rsidR="00517CE0">
        <w:rPr>
          <w:rFonts w:asciiTheme="minorHAnsi" w:eastAsiaTheme="minorHAnsi" w:hAnsiTheme="minorHAnsi" w:cstheme="minorHAnsi"/>
        </w:rPr>
        <w:t xml:space="preserve"> </w:t>
      </w:r>
      <w:r w:rsidRPr="00A237F0">
        <w:rPr>
          <w:rFonts w:asciiTheme="minorHAnsi" w:eastAsiaTheme="minorHAnsi" w:hAnsiTheme="minorHAnsi" w:cstheme="minorHAnsi"/>
        </w:rPr>
        <w:t>při vedení účetnictví a sestavení účetní závěrky a předkládání údajů pro hodnocení plnění státního rozpočtu za rok 202</w:t>
      </w:r>
      <w:r w:rsidR="00A237F0" w:rsidRPr="00A237F0">
        <w:rPr>
          <w:rFonts w:asciiTheme="minorHAnsi" w:eastAsiaTheme="minorHAnsi" w:hAnsiTheme="minorHAnsi" w:cstheme="minorHAnsi"/>
        </w:rPr>
        <w:t>1</w:t>
      </w:r>
      <w:r w:rsidRPr="00A237F0">
        <w:rPr>
          <w:rFonts w:asciiTheme="minorHAnsi" w:eastAsiaTheme="minorHAnsi" w:hAnsiTheme="minorHAnsi" w:cstheme="minorHAnsi"/>
        </w:rPr>
        <w:t xml:space="preserve"> postupovalo v souladu s příslušnými právními předpisy.</w:t>
      </w:r>
    </w:p>
    <w:p w14:paraId="7D5A5D3A" w14:textId="77777777" w:rsidR="00410E09" w:rsidRPr="00D71C60" w:rsidRDefault="00410E09" w:rsidP="007A7522">
      <w:pPr>
        <w:spacing w:after="0"/>
        <w:jc w:val="both"/>
        <w:rPr>
          <w:rFonts w:eastAsiaTheme="minorHAnsi" w:cs="Calibri"/>
          <w:highlight w:val="yellow"/>
        </w:rPr>
      </w:pPr>
    </w:p>
    <w:p w14:paraId="0EB7836B" w14:textId="0A51A281" w:rsidR="00410E09" w:rsidRDefault="00410E09" w:rsidP="001B7E65">
      <w:pPr>
        <w:spacing w:after="0"/>
        <w:jc w:val="both"/>
        <w:rPr>
          <w:rFonts w:eastAsiaTheme="minorHAnsi" w:cs="Calibri"/>
        </w:rPr>
      </w:pPr>
      <w:r w:rsidRPr="00A237F0">
        <w:rPr>
          <w:rFonts w:eastAsiaTheme="minorHAnsi" w:cs="Calibri"/>
        </w:rPr>
        <w:t>NKÚ</w:t>
      </w:r>
      <w:r w:rsidR="00C60ABB" w:rsidRPr="00A237F0">
        <w:rPr>
          <w:rFonts w:eastAsiaTheme="minorHAnsi" w:cs="Calibri"/>
        </w:rPr>
        <w:t xml:space="preserve"> proto</w:t>
      </w:r>
      <w:r w:rsidRPr="00A237F0">
        <w:rPr>
          <w:rFonts w:eastAsiaTheme="minorHAnsi" w:cs="Calibri"/>
        </w:rPr>
        <w:t xml:space="preserve"> při kontrole </w:t>
      </w:r>
      <w:r w:rsidR="00A640AE" w:rsidRPr="00A237F0">
        <w:rPr>
          <w:rFonts w:eastAsiaTheme="minorHAnsi" w:cs="Calibri"/>
        </w:rPr>
        <w:t xml:space="preserve">prověřil </w:t>
      </w:r>
      <w:r w:rsidRPr="00A237F0">
        <w:rPr>
          <w:rFonts w:eastAsiaTheme="minorHAnsi" w:cs="Calibri"/>
        </w:rPr>
        <w:t>správnost</w:t>
      </w:r>
      <w:r w:rsidR="00131ED0" w:rsidRPr="00A237F0">
        <w:rPr>
          <w:rFonts w:eastAsiaTheme="minorHAnsi" w:cs="Calibri"/>
        </w:rPr>
        <w:t xml:space="preserve">, </w:t>
      </w:r>
      <w:r w:rsidRPr="00A237F0">
        <w:rPr>
          <w:rFonts w:eastAsiaTheme="minorHAnsi" w:cs="Calibri"/>
        </w:rPr>
        <w:t>úplnost</w:t>
      </w:r>
      <w:r w:rsidR="00131ED0" w:rsidRPr="00A237F0">
        <w:rPr>
          <w:rFonts w:eastAsiaTheme="minorHAnsi" w:cs="Calibri"/>
        </w:rPr>
        <w:t xml:space="preserve"> a srozumitelnost</w:t>
      </w:r>
      <w:r w:rsidRPr="00A237F0">
        <w:rPr>
          <w:rFonts w:eastAsiaTheme="minorHAnsi" w:cs="Calibri"/>
        </w:rPr>
        <w:t xml:space="preserve"> vedení účetnictví, </w:t>
      </w:r>
      <w:r w:rsidR="00A640AE" w:rsidRPr="00A237F0">
        <w:rPr>
          <w:rFonts w:eastAsiaTheme="minorHAnsi" w:cs="Calibri"/>
        </w:rPr>
        <w:t>průkaznost účetního zpracování, spolehlivost finančních informací na výstupu z</w:t>
      </w:r>
      <w:r w:rsidR="00517CE0">
        <w:rPr>
          <w:rFonts w:eastAsiaTheme="minorHAnsi" w:cs="Calibri"/>
        </w:rPr>
        <w:t xml:space="preserve"> </w:t>
      </w:r>
      <w:r w:rsidR="00A640AE" w:rsidRPr="00A237F0">
        <w:rPr>
          <w:rFonts w:eastAsiaTheme="minorHAnsi" w:cs="Calibri"/>
        </w:rPr>
        <w:t xml:space="preserve">účetní jednotky </w:t>
      </w:r>
      <w:proofErr w:type="spellStart"/>
      <w:r w:rsidR="00A237F0" w:rsidRPr="00A237F0">
        <w:rPr>
          <w:rFonts w:eastAsiaTheme="minorHAnsi" w:cs="Calibri"/>
        </w:rPr>
        <w:t>MZ</w:t>
      </w:r>
      <w:r w:rsidR="006A674D">
        <w:rPr>
          <w:rFonts w:eastAsiaTheme="minorHAnsi" w:cs="Calibri"/>
        </w:rPr>
        <w:t>d</w:t>
      </w:r>
      <w:proofErr w:type="spellEnd"/>
      <w:r w:rsidR="0055132B" w:rsidRPr="00A237F0">
        <w:rPr>
          <w:rFonts w:eastAsiaTheme="minorHAnsi" w:cs="Calibri"/>
        </w:rPr>
        <w:t xml:space="preserve"> za rok 20</w:t>
      </w:r>
      <w:r w:rsidR="00842B22" w:rsidRPr="00A237F0">
        <w:rPr>
          <w:rFonts w:eastAsiaTheme="minorHAnsi" w:cs="Calibri"/>
        </w:rPr>
        <w:t>2</w:t>
      </w:r>
      <w:r w:rsidR="00A237F0" w:rsidRPr="00A237F0">
        <w:rPr>
          <w:rFonts w:eastAsiaTheme="minorHAnsi" w:cs="Calibri"/>
        </w:rPr>
        <w:t>1</w:t>
      </w:r>
      <w:r w:rsidR="0055132B" w:rsidRPr="00A237F0">
        <w:rPr>
          <w:rFonts w:eastAsiaTheme="minorHAnsi" w:cs="Calibri"/>
        </w:rPr>
        <w:t xml:space="preserve"> </w:t>
      </w:r>
      <w:r w:rsidR="00A640AE" w:rsidRPr="00A237F0">
        <w:rPr>
          <w:rFonts w:eastAsiaTheme="minorHAnsi" w:cs="Calibri"/>
        </w:rPr>
        <w:t xml:space="preserve">a dodržování </w:t>
      </w:r>
      <w:r w:rsidR="00EC339E" w:rsidRPr="00A237F0">
        <w:rPr>
          <w:rFonts w:eastAsiaTheme="minorHAnsi" w:cs="Calibri"/>
        </w:rPr>
        <w:t>právních předpisů při</w:t>
      </w:r>
      <w:r w:rsidR="006E6758" w:rsidRPr="00A237F0">
        <w:rPr>
          <w:rFonts w:eastAsiaTheme="minorHAnsi" w:cs="Calibri"/>
        </w:rPr>
        <w:t xml:space="preserve"> </w:t>
      </w:r>
      <w:r w:rsidR="00A640AE" w:rsidRPr="00A237F0">
        <w:rPr>
          <w:rFonts w:eastAsiaTheme="minorHAnsi" w:cs="Calibri"/>
        </w:rPr>
        <w:t xml:space="preserve">hospodaření s majetkem státu. </w:t>
      </w:r>
      <w:r w:rsidR="003C668A" w:rsidRPr="00A237F0">
        <w:rPr>
          <w:rFonts w:eastAsiaTheme="minorHAnsi" w:cs="Calibri"/>
        </w:rPr>
        <w:t>Dodržování právních předpisů v těchto oblastech</w:t>
      </w:r>
      <w:r w:rsidR="00A640AE" w:rsidRPr="00A237F0">
        <w:rPr>
          <w:rFonts w:eastAsiaTheme="minorHAnsi" w:cs="Calibri"/>
        </w:rPr>
        <w:t xml:space="preserve"> je základem řádného finančního řízení v souladu se zákonem č. 320/2001 Sb.</w:t>
      </w:r>
      <w:r w:rsidR="002C62D6" w:rsidRPr="00A237F0">
        <w:rPr>
          <w:rStyle w:val="Znakapoznpodarou"/>
          <w:rFonts w:eastAsiaTheme="minorHAnsi" w:cs="Calibri"/>
        </w:rPr>
        <w:footnoteReference w:id="4"/>
      </w:r>
    </w:p>
    <w:p w14:paraId="31395166" w14:textId="77777777" w:rsidR="0016319B" w:rsidRDefault="0016319B" w:rsidP="001B7E65">
      <w:pPr>
        <w:spacing w:after="0"/>
        <w:jc w:val="both"/>
        <w:rPr>
          <w:rFonts w:eastAsiaTheme="minorHAnsi" w:cs="Calibri"/>
        </w:rPr>
      </w:pPr>
    </w:p>
    <w:p w14:paraId="7EF4925D" w14:textId="77777777" w:rsidR="0016319B" w:rsidRPr="00A237F0" w:rsidRDefault="0016319B" w:rsidP="001B7E65">
      <w:pPr>
        <w:spacing w:after="0"/>
        <w:jc w:val="both"/>
        <w:rPr>
          <w:rFonts w:eastAsiaTheme="minorHAnsi" w:cs="Calibri"/>
        </w:rPr>
      </w:pPr>
      <w:r>
        <w:rPr>
          <w:rFonts w:eastAsiaTheme="minorHAnsi" w:cs="Calibri"/>
        </w:rPr>
        <w:t>KA byla zahájena v průběhu kontrolovaného účetního a rozpočtového období 2021.</w:t>
      </w:r>
    </w:p>
    <w:p w14:paraId="079FF199" w14:textId="77777777" w:rsidR="00131ED0" w:rsidRPr="00D71C60" w:rsidRDefault="00131ED0" w:rsidP="001B7E65">
      <w:pPr>
        <w:spacing w:after="0"/>
        <w:jc w:val="both"/>
        <w:rPr>
          <w:rFonts w:eastAsiaTheme="minorHAnsi" w:cs="Calibri"/>
          <w:highlight w:val="yellow"/>
        </w:rPr>
      </w:pPr>
    </w:p>
    <w:p w14:paraId="1E043F25" w14:textId="77777777" w:rsidR="001B3E7F" w:rsidRPr="00A237F0" w:rsidRDefault="00FC0815" w:rsidP="00FC0815">
      <w:pPr>
        <w:keepNext/>
        <w:jc w:val="both"/>
        <w:rPr>
          <w:rFonts w:eastAsiaTheme="minorHAnsi" w:cs="Calibri"/>
          <w:b/>
        </w:rPr>
      </w:pPr>
      <w:r w:rsidRPr="00A237F0">
        <w:rPr>
          <w:rFonts w:eastAsiaTheme="minorHAnsi" w:cs="Calibri"/>
          <w:b/>
        </w:rPr>
        <w:t xml:space="preserve">1. </w:t>
      </w:r>
      <w:r w:rsidR="005D65A9" w:rsidRPr="00A237F0">
        <w:rPr>
          <w:rFonts w:eastAsiaTheme="minorHAnsi" w:cs="Calibri"/>
          <w:b/>
        </w:rPr>
        <w:t>Vedení účetnictví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CC22D4" w:rsidRPr="00D71C60" w14:paraId="5C0518B9" w14:textId="77777777" w:rsidTr="005E63AE">
        <w:tc>
          <w:tcPr>
            <w:tcW w:w="9060" w:type="dxa"/>
            <w:shd w:val="clear" w:color="auto" w:fill="E5F1FF"/>
          </w:tcPr>
          <w:p w14:paraId="23F729A3" w14:textId="43198289" w:rsidR="00CC22D4" w:rsidRPr="00D71C60" w:rsidRDefault="0005626F" w:rsidP="005E63AE">
            <w:pPr>
              <w:jc w:val="both"/>
              <w:rPr>
                <w:rFonts w:eastAsiaTheme="minorHAnsi" w:cs="Calibri"/>
                <w:b/>
                <w:highlight w:val="yellow"/>
              </w:rPr>
            </w:pPr>
            <w:r>
              <w:rPr>
                <w:rFonts w:eastAsiaTheme="minorHAnsi" w:cs="Calibri"/>
                <w:b/>
              </w:rPr>
              <w:t>Nejvyšší kontrolní úřad v</w:t>
            </w:r>
            <w:r w:rsidR="00236546">
              <w:rPr>
                <w:rFonts w:eastAsiaTheme="minorHAnsi" w:cs="Calibri"/>
                <w:b/>
              </w:rPr>
              <w:t xml:space="preserve"> průběhu kontroly identifikoval nesprávnosti ve vedení účetnictví ve výši 11 mld. Kč. Tyto nesprávnosti </w:t>
            </w:r>
            <w:proofErr w:type="spellStart"/>
            <w:r w:rsidR="00236546">
              <w:rPr>
                <w:rFonts w:eastAsiaTheme="minorHAnsi" w:cs="Calibri"/>
                <w:b/>
              </w:rPr>
              <w:t>MZd</w:t>
            </w:r>
            <w:proofErr w:type="spellEnd"/>
            <w:r w:rsidR="00236546">
              <w:rPr>
                <w:rFonts w:eastAsiaTheme="minorHAnsi" w:cs="Calibri"/>
                <w:b/>
              </w:rPr>
              <w:t xml:space="preserve"> opravilo</w:t>
            </w:r>
            <w:r w:rsidR="00D205B6">
              <w:rPr>
                <w:rFonts w:eastAsiaTheme="minorHAnsi" w:cs="Calibri"/>
                <w:b/>
              </w:rPr>
              <w:t>.</w:t>
            </w:r>
            <w:r w:rsidR="00236546">
              <w:rPr>
                <w:rFonts w:eastAsiaTheme="minorHAnsi" w:cs="Calibri"/>
                <w:b/>
              </w:rPr>
              <w:t xml:space="preserve"> V důsledku</w:t>
            </w:r>
            <w:r w:rsidR="00AD3A64" w:rsidRPr="00AD3A64">
              <w:rPr>
                <w:rFonts w:eastAsiaTheme="minorHAnsi" w:cs="Calibri"/>
                <w:b/>
              </w:rPr>
              <w:t xml:space="preserve"> provedení </w:t>
            </w:r>
            <w:r w:rsidR="00B7676A">
              <w:rPr>
                <w:rFonts w:eastAsiaTheme="minorHAnsi" w:cs="Calibri"/>
                <w:b/>
              </w:rPr>
              <w:t>účetních</w:t>
            </w:r>
            <w:r w:rsidR="00AD3A64" w:rsidRPr="00AD3A64">
              <w:rPr>
                <w:rFonts w:eastAsiaTheme="minorHAnsi" w:cs="Calibri"/>
                <w:b/>
              </w:rPr>
              <w:t xml:space="preserve"> oprav </w:t>
            </w:r>
            <w:r w:rsidR="0035336F">
              <w:rPr>
                <w:rFonts w:eastAsiaTheme="minorHAnsi" w:cs="Calibri"/>
                <w:b/>
              </w:rPr>
              <w:t xml:space="preserve">a </w:t>
            </w:r>
            <w:r w:rsidR="00E512BC">
              <w:rPr>
                <w:rFonts w:eastAsiaTheme="minorHAnsi" w:cs="Calibri"/>
                <w:b/>
              </w:rPr>
              <w:t xml:space="preserve">také i </w:t>
            </w:r>
            <w:r w:rsidR="003A678F" w:rsidRPr="00AD3A64">
              <w:rPr>
                <w:rFonts w:eastAsiaTheme="minorHAnsi" w:cs="Calibri"/>
                <w:b/>
              </w:rPr>
              <w:t>přijetí a realizac</w:t>
            </w:r>
            <w:r w:rsidR="00236546">
              <w:rPr>
                <w:rFonts w:eastAsiaTheme="minorHAnsi" w:cs="Calibri"/>
                <w:b/>
              </w:rPr>
              <w:t>e</w:t>
            </w:r>
            <w:r w:rsidR="003A678F">
              <w:rPr>
                <w:rFonts w:eastAsiaTheme="minorHAnsi" w:cs="Calibri"/>
                <w:b/>
              </w:rPr>
              <w:t xml:space="preserve"> </w:t>
            </w:r>
            <w:r w:rsidR="00E512BC">
              <w:rPr>
                <w:rFonts w:eastAsiaTheme="minorHAnsi" w:cs="Calibri"/>
                <w:b/>
              </w:rPr>
              <w:t xml:space="preserve">všech potřebných </w:t>
            </w:r>
            <w:r w:rsidR="003A678F" w:rsidRPr="00AD3A64">
              <w:rPr>
                <w:rFonts w:eastAsiaTheme="minorHAnsi" w:cs="Calibri"/>
                <w:b/>
              </w:rPr>
              <w:t>opatření k eliminaci systémových nedostatků</w:t>
            </w:r>
            <w:r w:rsidR="00AD3A64" w:rsidRPr="00AD3A64">
              <w:rPr>
                <w:rFonts w:eastAsiaTheme="minorHAnsi" w:cs="Calibri"/>
                <w:b/>
              </w:rPr>
              <w:t xml:space="preserve"> bylo</w:t>
            </w:r>
            <w:r w:rsidR="00236546">
              <w:rPr>
                <w:rFonts w:eastAsiaTheme="minorHAnsi" w:cs="Calibri"/>
                <w:b/>
              </w:rPr>
              <w:t xml:space="preserve"> účetnictví </w:t>
            </w:r>
            <w:proofErr w:type="spellStart"/>
            <w:r w:rsidR="00236546">
              <w:rPr>
                <w:rFonts w:eastAsiaTheme="minorHAnsi" w:cs="Calibri"/>
                <w:b/>
              </w:rPr>
              <w:t>MZ</w:t>
            </w:r>
            <w:r w:rsidR="00E512BC">
              <w:rPr>
                <w:rFonts w:eastAsiaTheme="minorHAnsi" w:cs="Calibri"/>
                <w:b/>
              </w:rPr>
              <w:t>d</w:t>
            </w:r>
            <w:proofErr w:type="spellEnd"/>
            <w:r w:rsidR="00AD3A64" w:rsidRPr="00AD3A64">
              <w:rPr>
                <w:rFonts w:eastAsiaTheme="minorHAnsi" w:cs="Calibri"/>
                <w:b/>
              </w:rPr>
              <w:t xml:space="preserve"> vedeno v</w:t>
            </w:r>
            <w:r w:rsidR="000006C9">
              <w:rPr>
                <w:rFonts w:eastAsiaTheme="minorHAnsi" w:cs="Calibri"/>
                <w:b/>
              </w:rPr>
              <w:t xml:space="preserve"> </w:t>
            </w:r>
            <w:r w:rsidR="00AD3A64" w:rsidRPr="00AD3A64">
              <w:rPr>
                <w:rFonts w:eastAsiaTheme="minorHAnsi" w:cs="Calibri"/>
                <w:b/>
              </w:rPr>
              <w:t>souladu s</w:t>
            </w:r>
            <w:r w:rsidR="000006C9">
              <w:rPr>
                <w:rFonts w:eastAsiaTheme="minorHAnsi" w:cs="Calibri"/>
                <w:b/>
              </w:rPr>
              <w:t xml:space="preserve"> </w:t>
            </w:r>
            <w:r w:rsidR="00AD3A64" w:rsidRPr="00AD3A64">
              <w:rPr>
                <w:rFonts w:eastAsiaTheme="minorHAnsi" w:cs="Calibri"/>
                <w:b/>
              </w:rPr>
              <w:t xml:space="preserve">ustanoveními zákona </w:t>
            </w:r>
            <w:r w:rsidR="00AD3A64" w:rsidRPr="00315977">
              <w:rPr>
                <w:rFonts w:eastAsiaTheme="minorHAnsi" w:cs="Calibri"/>
                <w:b/>
              </w:rPr>
              <w:t>č.</w:t>
            </w:r>
            <w:r w:rsidR="000006C9">
              <w:rPr>
                <w:rFonts w:eastAsiaTheme="minorHAnsi" w:cs="Calibri"/>
                <w:b/>
              </w:rPr>
              <w:t> </w:t>
            </w:r>
            <w:r w:rsidR="00AD3A64" w:rsidRPr="00315977">
              <w:rPr>
                <w:rFonts w:eastAsiaTheme="minorHAnsi" w:cs="Calibri"/>
                <w:b/>
              </w:rPr>
              <w:t>563/1991 Sb.</w:t>
            </w:r>
            <w:r w:rsidR="001E684C" w:rsidRPr="00315977">
              <w:rPr>
                <w:rStyle w:val="Znakapoznpodarou"/>
                <w:rFonts w:eastAsiaTheme="minorHAnsi" w:cs="Calibri"/>
                <w:b/>
              </w:rPr>
              <w:footnoteReference w:id="5"/>
            </w:r>
            <w:r w:rsidR="00AD3A64" w:rsidRPr="00AD3A64">
              <w:rPr>
                <w:rFonts w:eastAsiaTheme="minorHAnsi" w:cs="Calibri"/>
                <w:b/>
              </w:rPr>
              <w:t xml:space="preserve"> a</w:t>
            </w:r>
            <w:r>
              <w:rPr>
                <w:rFonts w:eastAsiaTheme="minorHAnsi" w:cs="Calibri"/>
                <w:b/>
              </w:rPr>
              <w:t> </w:t>
            </w:r>
            <w:r w:rsidR="00AD3A64" w:rsidRPr="00AD3A64">
              <w:rPr>
                <w:rFonts w:eastAsiaTheme="minorHAnsi" w:cs="Calibri"/>
                <w:b/>
              </w:rPr>
              <w:t>prováděcími právními předpisy k </w:t>
            </w:r>
            <w:r w:rsidR="00542E4B">
              <w:rPr>
                <w:rFonts w:eastAsiaTheme="minorHAnsi" w:cs="Calibri"/>
                <w:b/>
              </w:rPr>
              <w:t>tomuto zákonu</w:t>
            </w:r>
            <w:r w:rsidR="00CC22D4" w:rsidRPr="00AD3A64">
              <w:rPr>
                <w:rFonts w:eastAsiaTheme="minorHAnsi" w:cs="Calibri"/>
                <w:b/>
              </w:rPr>
              <w:t>.</w:t>
            </w:r>
          </w:p>
        </w:tc>
      </w:tr>
    </w:tbl>
    <w:p w14:paraId="4A924820" w14:textId="77777777" w:rsidR="001B3E7F" w:rsidRPr="00D71C60" w:rsidRDefault="001B3E7F" w:rsidP="005D65A9">
      <w:pPr>
        <w:spacing w:after="0"/>
        <w:jc w:val="both"/>
        <w:rPr>
          <w:rFonts w:eastAsiaTheme="minorHAnsi" w:cs="Calibri"/>
          <w:b/>
          <w:highlight w:val="yellow"/>
        </w:rPr>
      </w:pPr>
    </w:p>
    <w:p w14:paraId="68E5C213" w14:textId="464B73C1" w:rsidR="00A1529B" w:rsidRDefault="00500C91" w:rsidP="0066297E">
      <w:pPr>
        <w:spacing w:after="0"/>
        <w:jc w:val="both"/>
        <w:rPr>
          <w:rFonts w:asciiTheme="minorHAnsi" w:hAnsiTheme="minorHAnsi" w:cstheme="minorHAnsi"/>
          <w:b/>
        </w:rPr>
      </w:pPr>
      <w:r w:rsidRPr="00431337">
        <w:rPr>
          <w:rFonts w:asciiTheme="minorHAnsi" w:hAnsiTheme="minorHAnsi" w:cstheme="minorHAnsi"/>
          <w:b/>
        </w:rPr>
        <w:t xml:space="preserve">Specifickou oblastí v účetnictví </w:t>
      </w:r>
      <w:r w:rsidR="00A1529B" w:rsidRPr="00A56878">
        <w:rPr>
          <w:rFonts w:asciiTheme="minorHAnsi" w:hAnsiTheme="minorHAnsi" w:cstheme="minorHAnsi"/>
          <w:b/>
        </w:rPr>
        <w:t>Ministerstv</w:t>
      </w:r>
      <w:r w:rsidRPr="00952E55">
        <w:rPr>
          <w:rFonts w:asciiTheme="minorHAnsi" w:hAnsiTheme="minorHAnsi" w:cstheme="minorHAnsi"/>
          <w:b/>
        </w:rPr>
        <w:t>a</w:t>
      </w:r>
      <w:r w:rsidR="00A1529B" w:rsidRPr="00F1149E">
        <w:rPr>
          <w:rFonts w:asciiTheme="minorHAnsi" w:hAnsiTheme="minorHAnsi" w:cstheme="minorHAnsi"/>
          <w:b/>
        </w:rPr>
        <w:t xml:space="preserve"> zdravotnictví</w:t>
      </w:r>
      <w:r w:rsidR="00431337" w:rsidRPr="00F1149E">
        <w:rPr>
          <w:rFonts w:asciiTheme="minorHAnsi" w:hAnsiTheme="minorHAnsi" w:cstheme="minorHAnsi"/>
          <w:b/>
        </w:rPr>
        <w:t xml:space="preserve"> </w:t>
      </w:r>
      <w:r w:rsidR="005E1319">
        <w:rPr>
          <w:rFonts w:asciiTheme="minorHAnsi" w:hAnsiTheme="minorHAnsi" w:cstheme="minorHAnsi"/>
          <w:b/>
        </w:rPr>
        <w:t>j</w:t>
      </w:r>
      <w:r w:rsidR="00C00C80">
        <w:rPr>
          <w:rFonts w:asciiTheme="minorHAnsi" w:hAnsiTheme="minorHAnsi" w:cstheme="minorHAnsi"/>
          <w:b/>
        </w:rPr>
        <w:t>sou</w:t>
      </w:r>
      <w:r w:rsidR="005E1319">
        <w:rPr>
          <w:rFonts w:asciiTheme="minorHAnsi" w:hAnsiTheme="minorHAnsi" w:cstheme="minorHAnsi"/>
          <w:b/>
        </w:rPr>
        <w:t xml:space="preserve"> od roku 2020</w:t>
      </w:r>
      <w:r w:rsidR="00A1529B" w:rsidRPr="00F1149E">
        <w:rPr>
          <w:rFonts w:asciiTheme="minorHAnsi" w:hAnsiTheme="minorHAnsi" w:cstheme="minorHAnsi"/>
          <w:b/>
        </w:rPr>
        <w:t xml:space="preserve"> zásob</w:t>
      </w:r>
      <w:r w:rsidR="00A75E55">
        <w:rPr>
          <w:rFonts w:asciiTheme="minorHAnsi" w:hAnsiTheme="minorHAnsi" w:cstheme="minorHAnsi"/>
          <w:b/>
        </w:rPr>
        <w:t>y</w:t>
      </w:r>
      <w:r w:rsidR="00A1529B" w:rsidRPr="00F1149E">
        <w:rPr>
          <w:rFonts w:asciiTheme="minorHAnsi" w:hAnsiTheme="minorHAnsi" w:cstheme="minorHAnsi"/>
          <w:b/>
        </w:rPr>
        <w:t xml:space="preserve"> léčivých přípravků pro očkování proti onemocn</w:t>
      </w:r>
      <w:r w:rsidR="00A1529B" w:rsidRPr="00161572">
        <w:rPr>
          <w:rFonts w:asciiTheme="minorHAnsi" w:hAnsiTheme="minorHAnsi" w:cstheme="minorHAnsi"/>
          <w:b/>
        </w:rPr>
        <w:t xml:space="preserve">ění </w:t>
      </w:r>
      <w:r w:rsidR="0005626F">
        <w:rPr>
          <w:rFonts w:asciiTheme="minorHAnsi" w:hAnsiTheme="minorHAnsi" w:cstheme="minorHAnsi"/>
          <w:b/>
        </w:rPr>
        <w:t>covid</w:t>
      </w:r>
      <w:r w:rsidR="000F6A74">
        <w:rPr>
          <w:rFonts w:asciiTheme="minorHAnsi" w:hAnsiTheme="minorHAnsi" w:cstheme="minorHAnsi"/>
          <w:b/>
        </w:rPr>
        <w:t>-</w:t>
      </w:r>
      <w:r w:rsidR="00A1529B" w:rsidRPr="00161572">
        <w:rPr>
          <w:rFonts w:asciiTheme="minorHAnsi" w:hAnsiTheme="minorHAnsi" w:cstheme="minorHAnsi"/>
          <w:b/>
        </w:rPr>
        <w:t>19 (dále také „</w:t>
      </w:r>
      <w:r w:rsidR="00A1529B" w:rsidRPr="00B328A2">
        <w:rPr>
          <w:rFonts w:asciiTheme="minorHAnsi" w:hAnsiTheme="minorHAnsi" w:cstheme="minorHAnsi"/>
          <w:b/>
        </w:rPr>
        <w:t>vakcíny</w:t>
      </w:r>
      <w:r w:rsidR="00A1529B" w:rsidRPr="00D23ACB">
        <w:rPr>
          <w:rFonts w:asciiTheme="minorHAnsi" w:hAnsiTheme="minorHAnsi" w:cstheme="minorHAnsi"/>
          <w:b/>
        </w:rPr>
        <w:t>“)</w:t>
      </w:r>
      <w:r w:rsidR="00A75E55">
        <w:rPr>
          <w:rFonts w:asciiTheme="minorHAnsi" w:hAnsiTheme="minorHAnsi" w:cstheme="minorHAnsi"/>
          <w:b/>
        </w:rPr>
        <w:t>, které mají charakter zboží</w:t>
      </w:r>
      <w:r w:rsidRPr="00D23ACB">
        <w:rPr>
          <w:rFonts w:asciiTheme="minorHAnsi" w:hAnsiTheme="minorHAnsi" w:cstheme="minorHAnsi"/>
          <w:b/>
        </w:rPr>
        <w:t>.</w:t>
      </w:r>
      <w:r w:rsidRPr="00A21AC3">
        <w:rPr>
          <w:rFonts w:asciiTheme="minorHAnsi" w:hAnsiTheme="minorHAnsi" w:cstheme="minorHAnsi"/>
        </w:rPr>
        <w:t xml:space="preserve"> Ministerstvem zvolené postupy účtování v této oblasti</w:t>
      </w:r>
      <w:r w:rsidR="00A1529B" w:rsidRPr="00A21AC3">
        <w:rPr>
          <w:rFonts w:asciiTheme="minorHAnsi" w:hAnsiTheme="minorHAnsi" w:cstheme="minorHAnsi"/>
        </w:rPr>
        <w:t xml:space="preserve"> byly v souladu s účetními předpisy a </w:t>
      </w:r>
      <w:r w:rsidR="009E1F1F">
        <w:rPr>
          <w:rFonts w:asciiTheme="minorHAnsi" w:hAnsiTheme="minorHAnsi" w:cstheme="minorHAnsi"/>
        </w:rPr>
        <w:t xml:space="preserve">českým účetním standardem </w:t>
      </w:r>
      <w:r w:rsidR="00013F0F">
        <w:rPr>
          <w:rFonts w:asciiTheme="minorHAnsi" w:hAnsiTheme="minorHAnsi" w:cstheme="minorHAnsi"/>
        </w:rPr>
        <w:t>pro některé vybrané účetní jednotky (dále „</w:t>
      </w:r>
      <w:r w:rsidR="00A1529B" w:rsidRPr="00A21AC3">
        <w:rPr>
          <w:rFonts w:asciiTheme="minorHAnsi" w:hAnsiTheme="minorHAnsi" w:cstheme="minorHAnsi"/>
        </w:rPr>
        <w:t>ČÚS</w:t>
      </w:r>
      <w:r w:rsidR="00013F0F">
        <w:rPr>
          <w:rFonts w:asciiTheme="minorHAnsi" w:hAnsiTheme="minorHAnsi" w:cstheme="minorHAnsi"/>
        </w:rPr>
        <w:t>“)</w:t>
      </w:r>
      <w:r w:rsidR="00A1529B" w:rsidRPr="00A21AC3">
        <w:rPr>
          <w:rFonts w:asciiTheme="minorHAnsi" w:hAnsiTheme="minorHAnsi" w:cstheme="minorHAnsi"/>
        </w:rPr>
        <w:t xml:space="preserve"> č. 707 – </w:t>
      </w:r>
      <w:r w:rsidR="00A1529B" w:rsidRPr="004E2D6E">
        <w:rPr>
          <w:rFonts w:asciiTheme="minorHAnsi" w:hAnsiTheme="minorHAnsi" w:cstheme="minorHAnsi"/>
          <w:i/>
        </w:rPr>
        <w:t>Zásoby</w:t>
      </w:r>
      <w:r w:rsidRPr="00A21AC3">
        <w:rPr>
          <w:rFonts w:asciiTheme="minorHAnsi" w:hAnsiTheme="minorHAnsi" w:cstheme="minorHAnsi"/>
        </w:rPr>
        <w:t>,</w:t>
      </w:r>
      <w:r w:rsidR="00A1529B" w:rsidRPr="00A21AC3">
        <w:rPr>
          <w:rFonts w:asciiTheme="minorHAnsi" w:hAnsiTheme="minorHAnsi" w:cstheme="minorHAnsi"/>
        </w:rPr>
        <w:t xml:space="preserve"> neumožňovaly</w:t>
      </w:r>
      <w:r w:rsidRPr="00A21AC3">
        <w:rPr>
          <w:rFonts w:asciiTheme="minorHAnsi" w:hAnsiTheme="minorHAnsi" w:cstheme="minorHAnsi"/>
        </w:rPr>
        <w:t xml:space="preserve"> však</w:t>
      </w:r>
      <w:r w:rsidR="00A1529B" w:rsidRPr="00A21AC3">
        <w:rPr>
          <w:rFonts w:asciiTheme="minorHAnsi" w:hAnsiTheme="minorHAnsi" w:cstheme="minorHAnsi"/>
        </w:rPr>
        <w:t xml:space="preserve"> poskytovat průběžn</w:t>
      </w:r>
      <w:r w:rsidR="000006C9">
        <w:rPr>
          <w:rFonts w:asciiTheme="minorHAnsi" w:hAnsiTheme="minorHAnsi" w:cstheme="minorHAnsi"/>
        </w:rPr>
        <w:t>ě</w:t>
      </w:r>
      <w:r w:rsidR="00A1529B" w:rsidRPr="00A21AC3">
        <w:rPr>
          <w:rFonts w:asciiTheme="minorHAnsi" w:hAnsiTheme="minorHAnsi" w:cstheme="minorHAnsi"/>
        </w:rPr>
        <w:t xml:space="preserve"> informac</w:t>
      </w:r>
      <w:r w:rsidR="000006C9">
        <w:rPr>
          <w:rFonts w:asciiTheme="minorHAnsi" w:hAnsiTheme="minorHAnsi" w:cstheme="minorHAnsi"/>
        </w:rPr>
        <w:t>e</w:t>
      </w:r>
      <w:r w:rsidR="00A1529B" w:rsidRPr="00A21AC3">
        <w:rPr>
          <w:rFonts w:asciiTheme="minorHAnsi" w:hAnsiTheme="minorHAnsi" w:cstheme="minorHAnsi"/>
        </w:rPr>
        <w:t xml:space="preserve"> o</w:t>
      </w:r>
      <w:r w:rsidR="000006C9">
        <w:rPr>
          <w:rFonts w:asciiTheme="minorHAnsi" w:hAnsiTheme="minorHAnsi" w:cstheme="minorHAnsi"/>
        </w:rPr>
        <w:t xml:space="preserve"> </w:t>
      </w:r>
      <w:r w:rsidR="00A1529B" w:rsidRPr="00A21AC3">
        <w:rPr>
          <w:rFonts w:asciiTheme="minorHAnsi" w:hAnsiTheme="minorHAnsi" w:cstheme="minorHAnsi"/>
        </w:rPr>
        <w:t xml:space="preserve">stavu a pohybu zásob vakcín. Informace </w:t>
      </w:r>
      <w:proofErr w:type="spellStart"/>
      <w:r w:rsidR="00A1529B" w:rsidRPr="00A21AC3">
        <w:rPr>
          <w:rFonts w:asciiTheme="minorHAnsi" w:hAnsiTheme="minorHAnsi" w:cstheme="minorHAnsi"/>
        </w:rPr>
        <w:t>MZd</w:t>
      </w:r>
      <w:proofErr w:type="spellEnd"/>
      <w:r w:rsidR="00A1529B" w:rsidRPr="00A21AC3">
        <w:rPr>
          <w:rFonts w:asciiTheme="minorHAnsi" w:hAnsiTheme="minorHAnsi" w:cstheme="minorHAnsi"/>
        </w:rPr>
        <w:t xml:space="preserve"> </w:t>
      </w:r>
      <w:r w:rsidR="00431337" w:rsidRPr="00A21AC3">
        <w:rPr>
          <w:rFonts w:asciiTheme="minorHAnsi" w:hAnsiTheme="minorHAnsi" w:cstheme="minorHAnsi"/>
        </w:rPr>
        <w:t>získávalo</w:t>
      </w:r>
      <w:r w:rsidR="00A1529B" w:rsidRPr="00A21AC3">
        <w:rPr>
          <w:rFonts w:asciiTheme="minorHAnsi" w:hAnsiTheme="minorHAnsi" w:cstheme="minorHAnsi"/>
        </w:rPr>
        <w:t xml:space="preserve"> ze skladové evidence vedené externími subjekty (subjektem zajišťujícím skladování a přepravu zboží</w:t>
      </w:r>
      <w:r w:rsidR="00431337" w:rsidRPr="00A21AC3">
        <w:rPr>
          <w:rFonts w:asciiTheme="minorHAnsi" w:hAnsiTheme="minorHAnsi" w:cstheme="minorHAnsi"/>
        </w:rPr>
        <w:t xml:space="preserve"> a jednotlivými</w:t>
      </w:r>
      <w:r w:rsidR="00A1529B" w:rsidRPr="00A21AC3">
        <w:rPr>
          <w:rFonts w:asciiTheme="minorHAnsi" w:hAnsiTheme="minorHAnsi" w:cstheme="minorHAnsi"/>
        </w:rPr>
        <w:t xml:space="preserve"> vybranými poskytovateli zdravotních služeb), </w:t>
      </w:r>
      <w:r w:rsidR="000006C9">
        <w:rPr>
          <w:rFonts w:asciiTheme="minorHAnsi" w:hAnsiTheme="minorHAnsi" w:cstheme="minorHAnsi"/>
        </w:rPr>
        <w:t>tuto evidenci</w:t>
      </w:r>
      <w:r w:rsidR="00A1529B" w:rsidRPr="00A21AC3">
        <w:rPr>
          <w:rFonts w:asciiTheme="minorHAnsi" w:hAnsiTheme="minorHAnsi" w:cstheme="minorHAnsi"/>
        </w:rPr>
        <w:t xml:space="preserve"> však </w:t>
      </w:r>
      <w:proofErr w:type="spellStart"/>
      <w:r w:rsidR="00A1529B" w:rsidRPr="00A21AC3">
        <w:rPr>
          <w:rFonts w:asciiTheme="minorHAnsi" w:hAnsiTheme="minorHAnsi" w:cstheme="minorHAnsi"/>
        </w:rPr>
        <w:t>MZd</w:t>
      </w:r>
      <w:proofErr w:type="spellEnd"/>
      <w:r w:rsidR="00A1529B" w:rsidRPr="00A21AC3">
        <w:rPr>
          <w:rFonts w:asciiTheme="minorHAnsi" w:hAnsiTheme="minorHAnsi" w:cstheme="minorHAnsi"/>
        </w:rPr>
        <w:t xml:space="preserve"> nem</w:t>
      </w:r>
      <w:r w:rsidR="00431337" w:rsidRPr="00A21AC3">
        <w:rPr>
          <w:rFonts w:asciiTheme="minorHAnsi" w:hAnsiTheme="minorHAnsi" w:cstheme="minorHAnsi"/>
        </w:rPr>
        <w:t>ělo</w:t>
      </w:r>
      <w:r w:rsidR="00A1529B" w:rsidRPr="00A21AC3">
        <w:rPr>
          <w:rFonts w:asciiTheme="minorHAnsi" w:hAnsiTheme="minorHAnsi" w:cstheme="minorHAnsi"/>
        </w:rPr>
        <w:t xml:space="preserve"> kdykoli průběžně k </w:t>
      </w:r>
      <w:r w:rsidR="00A1529B" w:rsidRPr="00427755">
        <w:rPr>
          <w:rFonts w:asciiTheme="minorHAnsi" w:hAnsiTheme="minorHAnsi" w:cstheme="minorHAnsi"/>
        </w:rPr>
        <w:t>dispozici</w:t>
      </w:r>
      <w:r w:rsidR="00A1529B" w:rsidRPr="0066297E">
        <w:rPr>
          <w:rFonts w:asciiTheme="minorHAnsi" w:hAnsiTheme="minorHAnsi" w:cstheme="minorHAnsi"/>
        </w:rPr>
        <w:t>.</w:t>
      </w:r>
      <w:r w:rsidR="00A1529B">
        <w:rPr>
          <w:rFonts w:asciiTheme="minorHAnsi" w:hAnsiTheme="minorHAnsi" w:cstheme="minorHAnsi"/>
          <w:b/>
        </w:rPr>
        <w:t xml:space="preserve"> </w:t>
      </w:r>
      <w:proofErr w:type="spellStart"/>
      <w:r w:rsidR="00A1529B">
        <w:rPr>
          <w:rFonts w:asciiTheme="minorHAnsi" w:hAnsiTheme="minorHAnsi" w:cstheme="minorHAnsi"/>
          <w:b/>
        </w:rPr>
        <w:t>M</w:t>
      </w:r>
      <w:r w:rsidR="00431337">
        <w:rPr>
          <w:rFonts w:asciiTheme="minorHAnsi" w:hAnsiTheme="minorHAnsi" w:cstheme="minorHAnsi"/>
          <w:b/>
        </w:rPr>
        <w:t>Z</w:t>
      </w:r>
      <w:r w:rsidR="00A1529B">
        <w:rPr>
          <w:rFonts w:asciiTheme="minorHAnsi" w:hAnsiTheme="minorHAnsi" w:cstheme="minorHAnsi"/>
          <w:b/>
        </w:rPr>
        <w:t>d</w:t>
      </w:r>
      <w:proofErr w:type="spellEnd"/>
      <w:r w:rsidR="00431337">
        <w:rPr>
          <w:rFonts w:asciiTheme="minorHAnsi" w:hAnsiTheme="minorHAnsi" w:cstheme="minorHAnsi"/>
          <w:b/>
        </w:rPr>
        <w:t xml:space="preserve"> tak byly t</w:t>
      </w:r>
      <w:r w:rsidR="00A1529B">
        <w:rPr>
          <w:rFonts w:asciiTheme="minorHAnsi" w:hAnsiTheme="minorHAnsi" w:cstheme="minorHAnsi"/>
          <w:b/>
        </w:rPr>
        <w:t>yto informace</w:t>
      </w:r>
      <w:r w:rsidR="00A1529B" w:rsidRPr="00CF6BC8">
        <w:rPr>
          <w:rFonts w:asciiTheme="minorHAnsi" w:hAnsiTheme="minorHAnsi" w:cstheme="minorHAnsi"/>
          <w:b/>
        </w:rPr>
        <w:t xml:space="preserve"> známy pouze ve čtvrtletních intervalech</w:t>
      </w:r>
      <w:r w:rsidR="00431337">
        <w:rPr>
          <w:rFonts w:asciiTheme="minorHAnsi" w:hAnsiTheme="minorHAnsi" w:cstheme="minorHAnsi"/>
          <w:b/>
        </w:rPr>
        <w:t xml:space="preserve">, což </w:t>
      </w:r>
      <w:r w:rsidR="00236546">
        <w:rPr>
          <w:rFonts w:asciiTheme="minorHAnsi" w:hAnsiTheme="minorHAnsi" w:cstheme="minorHAnsi"/>
          <w:b/>
        </w:rPr>
        <w:t>odpovídalo mimořádnosti situace.</w:t>
      </w:r>
    </w:p>
    <w:p w14:paraId="5153338F" w14:textId="77777777" w:rsidR="00431337" w:rsidRDefault="00431337" w:rsidP="0066297E">
      <w:pPr>
        <w:spacing w:after="0"/>
        <w:jc w:val="both"/>
        <w:rPr>
          <w:rFonts w:asciiTheme="minorHAnsi" w:hAnsiTheme="minorHAnsi" w:cstheme="minorHAnsi"/>
          <w:b/>
        </w:rPr>
      </w:pPr>
    </w:p>
    <w:p w14:paraId="7FEDDAEC" w14:textId="6D505D5F" w:rsidR="00A1529B" w:rsidRPr="00A21AC3" w:rsidRDefault="00431337" w:rsidP="00A1529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Navíc t</w:t>
      </w:r>
      <w:r w:rsidR="00A1529B" w:rsidRPr="001110F3">
        <w:rPr>
          <w:rFonts w:asciiTheme="minorHAnsi" w:hAnsiTheme="minorHAnsi" w:cstheme="minorHAnsi"/>
          <w:b/>
        </w:rPr>
        <w:t xml:space="preserve">echnické požadavky výrobců vakcín na skladování </w:t>
      </w:r>
      <w:r w:rsidR="000006C9">
        <w:rPr>
          <w:rFonts w:asciiTheme="minorHAnsi" w:hAnsiTheme="minorHAnsi" w:cstheme="minorHAnsi"/>
          <w:b/>
        </w:rPr>
        <w:t xml:space="preserve">vakcín </w:t>
      </w:r>
      <w:r w:rsidR="00A1529B" w:rsidRPr="001110F3">
        <w:rPr>
          <w:rFonts w:asciiTheme="minorHAnsi" w:hAnsiTheme="minorHAnsi" w:cstheme="minorHAnsi"/>
          <w:b/>
        </w:rPr>
        <w:t xml:space="preserve">a </w:t>
      </w:r>
      <w:r w:rsidR="000006C9">
        <w:rPr>
          <w:rFonts w:asciiTheme="minorHAnsi" w:hAnsiTheme="minorHAnsi" w:cstheme="minorHAnsi"/>
          <w:b/>
        </w:rPr>
        <w:t xml:space="preserve">na </w:t>
      </w:r>
      <w:r w:rsidR="00A1529B" w:rsidRPr="001110F3">
        <w:rPr>
          <w:rFonts w:asciiTheme="minorHAnsi" w:hAnsiTheme="minorHAnsi" w:cstheme="minorHAnsi"/>
          <w:b/>
        </w:rPr>
        <w:t>manipulaci s</w:t>
      </w:r>
      <w:r w:rsidR="000006C9">
        <w:rPr>
          <w:rFonts w:asciiTheme="minorHAnsi" w:hAnsiTheme="minorHAnsi" w:cstheme="minorHAnsi"/>
          <w:b/>
        </w:rPr>
        <w:t xml:space="preserve"> nimi </w:t>
      </w:r>
      <w:r w:rsidR="00A1529B" w:rsidRPr="001110F3">
        <w:rPr>
          <w:rFonts w:asciiTheme="minorHAnsi" w:hAnsiTheme="minorHAnsi" w:cstheme="minorHAnsi"/>
          <w:b/>
        </w:rPr>
        <w:t xml:space="preserve">neumožňují </w:t>
      </w:r>
      <w:proofErr w:type="spellStart"/>
      <w:r w:rsidR="00A1529B" w:rsidRPr="001110F3">
        <w:rPr>
          <w:rFonts w:asciiTheme="minorHAnsi" w:hAnsiTheme="minorHAnsi" w:cstheme="minorHAnsi"/>
          <w:b/>
        </w:rPr>
        <w:t>MZ</w:t>
      </w:r>
      <w:r w:rsidR="00A1529B">
        <w:rPr>
          <w:rFonts w:asciiTheme="minorHAnsi" w:hAnsiTheme="minorHAnsi" w:cstheme="minorHAnsi"/>
          <w:b/>
        </w:rPr>
        <w:t>d</w:t>
      </w:r>
      <w:proofErr w:type="spellEnd"/>
      <w:r w:rsidR="00A1529B" w:rsidRPr="001110F3">
        <w:rPr>
          <w:rFonts w:asciiTheme="minorHAnsi" w:hAnsiTheme="minorHAnsi" w:cstheme="minorHAnsi"/>
          <w:b/>
        </w:rPr>
        <w:t xml:space="preserve"> provádět fyzickou inventuru zásob vakcín. </w:t>
      </w:r>
      <w:proofErr w:type="spellStart"/>
      <w:r w:rsidR="00500C91" w:rsidRPr="00A21AC3">
        <w:rPr>
          <w:rFonts w:asciiTheme="minorHAnsi" w:hAnsiTheme="minorHAnsi" w:cstheme="minorHAnsi"/>
        </w:rPr>
        <w:t>MZd</w:t>
      </w:r>
      <w:proofErr w:type="spellEnd"/>
      <w:r w:rsidR="00C00C80">
        <w:rPr>
          <w:rFonts w:asciiTheme="minorHAnsi" w:hAnsiTheme="minorHAnsi" w:cstheme="minorHAnsi"/>
        </w:rPr>
        <w:t xml:space="preserve"> </w:t>
      </w:r>
      <w:r w:rsidR="00500C91" w:rsidRPr="00A21AC3">
        <w:rPr>
          <w:rFonts w:asciiTheme="minorHAnsi" w:hAnsiTheme="minorHAnsi" w:cstheme="minorHAnsi"/>
        </w:rPr>
        <w:t>zvolilo</w:t>
      </w:r>
      <w:r w:rsidR="00C00C80">
        <w:rPr>
          <w:rFonts w:asciiTheme="minorHAnsi" w:hAnsiTheme="minorHAnsi" w:cstheme="minorHAnsi"/>
        </w:rPr>
        <w:t>,</w:t>
      </w:r>
      <w:r w:rsidR="00500C91" w:rsidRPr="00A21AC3">
        <w:rPr>
          <w:rFonts w:asciiTheme="minorHAnsi" w:hAnsiTheme="minorHAnsi" w:cstheme="minorHAnsi"/>
        </w:rPr>
        <w:t xml:space="preserve"> </w:t>
      </w:r>
      <w:r w:rsidR="00C00C80">
        <w:rPr>
          <w:rFonts w:asciiTheme="minorHAnsi" w:hAnsiTheme="minorHAnsi" w:cstheme="minorHAnsi"/>
        </w:rPr>
        <w:t>s</w:t>
      </w:r>
      <w:r w:rsidRPr="00A21AC3">
        <w:rPr>
          <w:rFonts w:asciiTheme="minorHAnsi" w:hAnsiTheme="minorHAnsi" w:cstheme="minorHAnsi"/>
        </w:rPr>
        <w:t> ohledem na uvedená omezení</w:t>
      </w:r>
      <w:r w:rsidR="00C00C80">
        <w:rPr>
          <w:rFonts w:asciiTheme="minorHAnsi" w:hAnsiTheme="minorHAnsi" w:cstheme="minorHAnsi"/>
        </w:rPr>
        <w:t>,</w:t>
      </w:r>
      <w:r w:rsidRPr="00A21AC3">
        <w:rPr>
          <w:rFonts w:asciiTheme="minorHAnsi" w:hAnsiTheme="minorHAnsi" w:cstheme="minorHAnsi"/>
        </w:rPr>
        <w:t xml:space="preserve"> </w:t>
      </w:r>
      <w:r w:rsidR="00C00C80">
        <w:rPr>
          <w:rFonts w:asciiTheme="minorHAnsi" w:hAnsiTheme="minorHAnsi" w:cstheme="minorHAnsi"/>
        </w:rPr>
        <w:t xml:space="preserve">dle názoru NKÚ </w:t>
      </w:r>
      <w:r w:rsidR="00500C91" w:rsidRPr="00A21AC3">
        <w:rPr>
          <w:rFonts w:asciiTheme="minorHAnsi" w:hAnsiTheme="minorHAnsi" w:cstheme="minorHAnsi"/>
        </w:rPr>
        <w:t xml:space="preserve">vhodný způsob inventarizace </w:t>
      </w:r>
      <w:r w:rsidRPr="00A21AC3">
        <w:rPr>
          <w:rFonts w:asciiTheme="minorHAnsi" w:hAnsiTheme="minorHAnsi" w:cstheme="minorHAnsi"/>
        </w:rPr>
        <w:t>těchto zásob</w:t>
      </w:r>
      <w:r w:rsidR="006A674D">
        <w:rPr>
          <w:rFonts w:asciiTheme="minorHAnsi" w:hAnsiTheme="minorHAnsi" w:cstheme="minorHAnsi"/>
        </w:rPr>
        <w:t>,</w:t>
      </w:r>
      <w:r w:rsidRPr="00A21AC3">
        <w:rPr>
          <w:rFonts w:asciiTheme="minorHAnsi" w:hAnsiTheme="minorHAnsi" w:cstheme="minorHAnsi"/>
        </w:rPr>
        <w:t xml:space="preserve"> a to</w:t>
      </w:r>
      <w:r w:rsidR="00500C91" w:rsidRPr="00A21AC3">
        <w:rPr>
          <w:rFonts w:asciiTheme="minorHAnsi" w:hAnsiTheme="minorHAnsi" w:cstheme="minorHAnsi"/>
        </w:rPr>
        <w:t xml:space="preserve"> v souladu s v</w:t>
      </w:r>
      <w:r w:rsidR="00A1529B" w:rsidRPr="00A21AC3">
        <w:rPr>
          <w:rFonts w:asciiTheme="minorHAnsi" w:hAnsiTheme="minorHAnsi" w:cstheme="minorHAnsi"/>
        </w:rPr>
        <w:t>yhlášk</w:t>
      </w:r>
      <w:r w:rsidR="00500C91" w:rsidRPr="00A21AC3">
        <w:rPr>
          <w:rFonts w:asciiTheme="minorHAnsi" w:hAnsiTheme="minorHAnsi" w:cstheme="minorHAnsi"/>
        </w:rPr>
        <w:t>ou</w:t>
      </w:r>
      <w:r w:rsidR="00A1529B" w:rsidRPr="00A21AC3">
        <w:rPr>
          <w:rFonts w:asciiTheme="minorHAnsi" w:hAnsiTheme="minorHAnsi" w:cstheme="minorHAnsi"/>
        </w:rPr>
        <w:t xml:space="preserve"> č. 270/2010 Sb.</w:t>
      </w:r>
      <w:r w:rsidR="00A1529B" w:rsidRPr="00A21AC3">
        <w:rPr>
          <w:rStyle w:val="Znakapoznpodarou"/>
          <w:rFonts w:asciiTheme="minorHAnsi" w:hAnsiTheme="minorHAnsi" w:cstheme="minorHAnsi"/>
        </w:rPr>
        <w:footnoteReference w:id="6"/>
      </w:r>
      <w:r w:rsidR="00C00C80">
        <w:rPr>
          <w:rFonts w:asciiTheme="minorHAnsi" w:hAnsiTheme="minorHAnsi" w:cstheme="minorHAnsi"/>
        </w:rPr>
        <w:t xml:space="preserve"> Vyhláška </w:t>
      </w:r>
      <w:r w:rsidR="00A1529B" w:rsidRPr="00A21AC3">
        <w:rPr>
          <w:rFonts w:asciiTheme="minorHAnsi" w:hAnsiTheme="minorHAnsi" w:cstheme="minorHAnsi"/>
        </w:rPr>
        <w:t>připouští u majetku, se kterým vybraná účetní jednotka v průběhu inventury nedisponuje</w:t>
      </w:r>
      <w:r w:rsidR="00500C91" w:rsidRPr="00A21AC3">
        <w:rPr>
          <w:rFonts w:asciiTheme="minorHAnsi" w:hAnsiTheme="minorHAnsi" w:cstheme="minorHAnsi"/>
        </w:rPr>
        <w:t xml:space="preserve"> (</w:t>
      </w:r>
      <w:r w:rsidR="00A1529B" w:rsidRPr="00A21AC3">
        <w:rPr>
          <w:rFonts w:asciiTheme="minorHAnsi" w:hAnsiTheme="minorHAnsi" w:cstheme="minorHAnsi"/>
        </w:rPr>
        <w:t>zejména pokud je v držení nebo užívání jin</w:t>
      </w:r>
      <w:r w:rsidR="000006C9">
        <w:rPr>
          <w:rFonts w:asciiTheme="minorHAnsi" w:hAnsiTheme="minorHAnsi" w:cstheme="minorHAnsi"/>
        </w:rPr>
        <w:t>é</w:t>
      </w:r>
      <w:r w:rsidR="00A1529B" w:rsidRPr="00A21AC3">
        <w:rPr>
          <w:rFonts w:asciiTheme="minorHAnsi" w:hAnsiTheme="minorHAnsi" w:cstheme="minorHAnsi"/>
        </w:rPr>
        <w:t xml:space="preserve"> osob</w:t>
      </w:r>
      <w:r w:rsidR="000006C9">
        <w:rPr>
          <w:rFonts w:asciiTheme="minorHAnsi" w:hAnsiTheme="minorHAnsi" w:cstheme="minorHAnsi"/>
        </w:rPr>
        <w:t>y</w:t>
      </w:r>
      <w:r w:rsidR="00A1529B" w:rsidRPr="00A21AC3">
        <w:rPr>
          <w:rFonts w:asciiTheme="minorHAnsi" w:hAnsiTheme="minorHAnsi" w:cstheme="minorHAnsi"/>
        </w:rPr>
        <w:t xml:space="preserve"> nebo organizační složk</w:t>
      </w:r>
      <w:r w:rsidR="000006C9">
        <w:rPr>
          <w:rFonts w:asciiTheme="minorHAnsi" w:hAnsiTheme="minorHAnsi" w:cstheme="minorHAnsi"/>
        </w:rPr>
        <w:t>y</w:t>
      </w:r>
      <w:r w:rsidR="00A1529B" w:rsidRPr="00A21AC3">
        <w:rPr>
          <w:rFonts w:asciiTheme="minorHAnsi" w:hAnsiTheme="minorHAnsi" w:cstheme="minorHAnsi"/>
        </w:rPr>
        <w:t xml:space="preserve"> státu</w:t>
      </w:r>
      <w:r w:rsidR="00500C91" w:rsidRPr="00A21AC3">
        <w:rPr>
          <w:rFonts w:asciiTheme="minorHAnsi" w:hAnsiTheme="minorHAnsi" w:cstheme="minorHAnsi"/>
        </w:rPr>
        <w:t>)</w:t>
      </w:r>
      <w:r w:rsidR="00A1529B" w:rsidRPr="00A21AC3">
        <w:rPr>
          <w:rFonts w:asciiTheme="minorHAnsi" w:hAnsiTheme="minorHAnsi" w:cstheme="minorHAnsi"/>
        </w:rPr>
        <w:t>, ověření jeho existence i jiným vhodným způsobem</w:t>
      </w:r>
      <w:r w:rsidR="00500C91" w:rsidRPr="00A21AC3">
        <w:rPr>
          <w:rFonts w:asciiTheme="minorHAnsi" w:hAnsiTheme="minorHAnsi" w:cstheme="minorHAnsi"/>
        </w:rPr>
        <w:t>;</w:t>
      </w:r>
      <w:r w:rsidR="00A1529B" w:rsidRPr="00A21AC3">
        <w:rPr>
          <w:rFonts w:asciiTheme="minorHAnsi" w:hAnsiTheme="minorHAnsi" w:cstheme="minorHAnsi"/>
        </w:rPr>
        <w:t xml:space="preserve"> například na základě potvrzení o existenci tohoto majetku osobou, která má tento majetek v držení nebo užívání. </w:t>
      </w:r>
    </w:p>
    <w:p w14:paraId="62F4981A" w14:textId="77777777" w:rsidR="005D65A9" w:rsidRPr="00D71C60" w:rsidRDefault="005D65A9" w:rsidP="001B7E65">
      <w:pPr>
        <w:spacing w:after="0"/>
        <w:jc w:val="both"/>
        <w:rPr>
          <w:rFonts w:eastAsiaTheme="minorHAnsi" w:cs="Calibri"/>
          <w:b/>
          <w:highlight w:val="yellow"/>
        </w:rPr>
      </w:pPr>
    </w:p>
    <w:p w14:paraId="5C7C0DC3" w14:textId="77777777" w:rsidR="00131ED0" w:rsidRPr="00A237F0" w:rsidRDefault="00FC0815" w:rsidP="00FC0815">
      <w:pPr>
        <w:keepNext/>
        <w:jc w:val="both"/>
        <w:rPr>
          <w:rFonts w:eastAsiaTheme="minorHAnsi" w:cs="Calibri"/>
          <w:b/>
        </w:rPr>
      </w:pPr>
      <w:r w:rsidRPr="00A237F0">
        <w:rPr>
          <w:rFonts w:eastAsiaTheme="minorHAnsi" w:cs="Calibri"/>
          <w:b/>
        </w:rPr>
        <w:t xml:space="preserve">2. </w:t>
      </w:r>
      <w:r w:rsidR="005D65A9" w:rsidRPr="00A237F0">
        <w:rPr>
          <w:rFonts w:eastAsiaTheme="minorHAnsi" w:cs="Calibri"/>
          <w:b/>
        </w:rPr>
        <w:t>Účetní závěrka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7D6050" w:rsidRPr="00D71C60" w14:paraId="1FB5B164" w14:textId="77777777" w:rsidTr="005E63AE">
        <w:tc>
          <w:tcPr>
            <w:tcW w:w="9060" w:type="dxa"/>
            <w:shd w:val="clear" w:color="auto" w:fill="E5F1FF"/>
          </w:tcPr>
          <w:p w14:paraId="1E28D665" w14:textId="77777777" w:rsidR="00C2277E" w:rsidRPr="00D71C60" w:rsidRDefault="007D6050" w:rsidP="00EA2F8B">
            <w:pPr>
              <w:jc w:val="both"/>
              <w:rPr>
                <w:rFonts w:eastAsiaTheme="minorHAnsi" w:cs="Calibri"/>
                <w:b/>
                <w:highlight w:val="yellow"/>
              </w:rPr>
            </w:pPr>
            <w:r w:rsidRPr="00A237F0">
              <w:rPr>
                <w:rFonts w:eastAsiaTheme="minorHAnsi" w:cs="Calibri"/>
                <w:b/>
              </w:rPr>
              <w:t xml:space="preserve">Účetní závěrka </w:t>
            </w:r>
            <w:proofErr w:type="spellStart"/>
            <w:r w:rsidR="00A237F0" w:rsidRPr="00A237F0">
              <w:rPr>
                <w:rFonts w:eastAsiaTheme="minorHAnsi" w:cs="Calibri"/>
                <w:b/>
              </w:rPr>
              <w:t>MZ</w:t>
            </w:r>
            <w:r w:rsidR="00500C91">
              <w:rPr>
                <w:rFonts w:eastAsiaTheme="minorHAnsi" w:cs="Calibri"/>
                <w:b/>
              </w:rPr>
              <w:t>d</w:t>
            </w:r>
            <w:proofErr w:type="spellEnd"/>
            <w:r w:rsidRPr="00A237F0">
              <w:rPr>
                <w:rFonts w:eastAsiaTheme="minorHAnsi" w:cs="Calibri"/>
                <w:b/>
              </w:rPr>
              <w:t xml:space="preserve"> k 31. prosinci 202</w:t>
            </w:r>
            <w:r w:rsidR="00A237F0" w:rsidRPr="00A237F0">
              <w:rPr>
                <w:rFonts w:eastAsiaTheme="minorHAnsi" w:cs="Calibri"/>
                <w:b/>
              </w:rPr>
              <w:t>1</w:t>
            </w:r>
            <w:r w:rsidRPr="00A237F0">
              <w:rPr>
                <w:rFonts w:eastAsiaTheme="minorHAnsi" w:cs="Calibri"/>
                <w:b/>
              </w:rPr>
              <w:t xml:space="preserve"> sestavená 13. </w:t>
            </w:r>
            <w:r w:rsidR="00A237F0" w:rsidRPr="00A237F0">
              <w:rPr>
                <w:rFonts w:eastAsiaTheme="minorHAnsi" w:cs="Calibri"/>
                <w:b/>
              </w:rPr>
              <w:t>dubna</w:t>
            </w:r>
            <w:r w:rsidRPr="00A237F0">
              <w:rPr>
                <w:rFonts w:eastAsiaTheme="minorHAnsi" w:cs="Calibri"/>
                <w:b/>
              </w:rPr>
              <w:t xml:space="preserve"> 202</w:t>
            </w:r>
            <w:r w:rsidR="00A237F0" w:rsidRPr="00A237F0">
              <w:rPr>
                <w:rFonts w:eastAsiaTheme="minorHAnsi" w:cs="Calibri"/>
                <w:b/>
              </w:rPr>
              <w:t>2</w:t>
            </w:r>
            <w:r w:rsidRPr="00A237F0">
              <w:rPr>
                <w:rFonts w:eastAsiaTheme="minorHAnsi" w:cs="Calibri"/>
                <w:b/>
              </w:rPr>
              <w:t xml:space="preserve"> (dále také „ÚZ“) podává podle názoru NKÚ věrný a poctivý obraz předmětu účetnictví a finanční situace účetní jednotky, a to dle účetních předpisů pro některé vybrané účetní jednotky</w:t>
            </w:r>
            <w:r w:rsidRPr="00A237F0">
              <w:rPr>
                <w:rStyle w:val="Znakapoznpodarou"/>
                <w:rFonts w:eastAsiaTheme="minorHAnsi" w:cs="Calibri"/>
                <w:b/>
              </w:rPr>
              <w:footnoteReference w:id="7"/>
            </w:r>
            <w:r w:rsidRPr="00A237F0">
              <w:rPr>
                <w:rFonts w:eastAsiaTheme="minorHAnsi" w:cs="Calibri"/>
                <w:b/>
              </w:rPr>
              <w:t>.</w:t>
            </w:r>
          </w:p>
        </w:tc>
      </w:tr>
    </w:tbl>
    <w:p w14:paraId="186314DC" w14:textId="77777777" w:rsidR="007D6050" w:rsidRPr="00D71C60" w:rsidRDefault="007D6050" w:rsidP="006A79AB">
      <w:pPr>
        <w:spacing w:after="0"/>
        <w:jc w:val="both"/>
        <w:rPr>
          <w:rFonts w:eastAsiaTheme="minorHAnsi" w:cs="Calibri"/>
          <w:b/>
          <w:highlight w:val="yellow"/>
        </w:rPr>
      </w:pPr>
    </w:p>
    <w:p w14:paraId="2C23F2FF" w14:textId="77777777" w:rsidR="0010571E" w:rsidRPr="0091554F" w:rsidRDefault="0010571E" w:rsidP="0066297E">
      <w:pPr>
        <w:jc w:val="both"/>
        <w:rPr>
          <w:rFonts w:eastAsiaTheme="minorHAnsi" w:cs="Calibri"/>
        </w:rPr>
      </w:pPr>
      <w:bookmarkStart w:id="2" w:name="_Hlk102377716"/>
      <w:r w:rsidRPr="00EA577C">
        <w:rPr>
          <w:rFonts w:eastAsiaTheme="minorHAnsi" w:cs="Calibri"/>
          <w:b/>
        </w:rPr>
        <w:t>Informace v</w:t>
      </w:r>
      <w:r>
        <w:rPr>
          <w:rFonts w:eastAsiaTheme="minorHAnsi" w:cs="Calibri"/>
          <w:b/>
        </w:rPr>
        <w:t xml:space="preserve"> ÚZ </w:t>
      </w:r>
      <w:r w:rsidRPr="00EA577C">
        <w:rPr>
          <w:rFonts w:eastAsiaTheme="minorHAnsi" w:cs="Calibri"/>
          <w:b/>
        </w:rPr>
        <w:t>jsou spolehlivé</w:t>
      </w:r>
      <w:r w:rsidR="006C0856">
        <w:rPr>
          <w:rFonts w:eastAsiaTheme="minorHAnsi" w:cs="Calibri"/>
          <w:b/>
        </w:rPr>
        <w:t xml:space="preserve"> mj.</w:t>
      </w:r>
      <w:r w:rsidR="00C479F1">
        <w:rPr>
          <w:rFonts w:eastAsiaTheme="minorHAnsi" w:cs="Calibri"/>
          <w:b/>
        </w:rPr>
        <w:t xml:space="preserve"> </w:t>
      </w:r>
      <w:r w:rsidRPr="00EA577C">
        <w:rPr>
          <w:rFonts w:eastAsiaTheme="minorHAnsi" w:cs="Calibri"/>
          <w:b/>
        </w:rPr>
        <w:t xml:space="preserve">v důsledku oprav realizovaných </w:t>
      </w:r>
      <w:proofErr w:type="spellStart"/>
      <w:r w:rsidRPr="00EA577C">
        <w:rPr>
          <w:rFonts w:eastAsiaTheme="minorHAnsi" w:cs="Calibri"/>
          <w:b/>
        </w:rPr>
        <w:t>MZ</w:t>
      </w:r>
      <w:r>
        <w:rPr>
          <w:rFonts w:eastAsiaTheme="minorHAnsi" w:cs="Calibri"/>
          <w:b/>
        </w:rPr>
        <w:t>d</w:t>
      </w:r>
      <w:proofErr w:type="spellEnd"/>
      <w:r>
        <w:rPr>
          <w:rFonts w:eastAsiaTheme="minorHAnsi" w:cs="Calibri"/>
          <w:b/>
        </w:rPr>
        <w:t xml:space="preserve"> v návaznosti na upozornění </w:t>
      </w:r>
      <w:r w:rsidR="00C479F1">
        <w:rPr>
          <w:rFonts w:eastAsiaTheme="minorHAnsi" w:cs="Calibri"/>
          <w:b/>
        </w:rPr>
        <w:t>NKÚ na nedostatky</w:t>
      </w:r>
      <w:r w:rsidR="006A674D">
        <w:rPr>
          <w:rFonts w:eastAsiaTheme="minorHAnsi" w:cs="Calibri"/>
          <w:b/>
        </w:rPr>
        <w:t>,</w:t>
      </w:r>
      <w:r w:rsidR="00C479F1">
        <w:rPr>
          <w:rFonts w:eastAsiaTheme="minorHAnsi" w:cs="Calibri"/>
          <w:b/>
        </w:rPr>
        <w:t xml:space="preserve"> a to </w:t>
      </w:r>
      <w:r w:rsidRPr="00EA577C">
        <w:rPr>
          <w:rFonts w:eastAsiaTheme="minorHAnsi" w:cs="Calibri"/>
          <w:b/>
        </w:rPr>
        <w:t>v průběhu celé kontroly</w:t>
      </w:r>
      <w:r>
        <w:rPr>
          <w:rFonts w:eastAsiaTheme="minorHAnsi" w:cs="Calibri"/>
          <w:b/>
        </w:rPr>
        <w:t xml:space="preserve">. </w:t>
      </w:r>
      <w:proofErr w:type="spellStart"/>
      <w:r w:rsidRPr="0091554F">
        <w:rPr>
          <w:rFonts w:eastAsiaTheme="minorHAnsi" w:cs="Calibri"/>
        </w:rPr>
        <w:t>MZd</w:t>
      </w:r>
      <w:proofErr w:type="spellEnd"/>
      <w:r w:rsidRPr="0091554F">
        <w:rPr>
          <w:rFonts w:eastAsiaTheme="minorHAnsi" w:cs="Calibri"/>
        </w:rPr>
        <w:t xml:space="preserve"> provádělo opravy:</w:t>
      </w:r>
    </w:p>
    <w:p w14:paraId="7A2DE784" w14:textId="091921DB" w:rsidR="0010571E" w:rsidRPr="0091554F" w:rsidRDefault="0010571E" w:rsidP="0066297E">
      <w:pPr>
        <w:pStyle w:val="Odstavecseseznamem"/>
        <w:numPr>
          <w:ilvl w:val="0"/>
          <w:numId w:val="27"/>
        </w:numPr>
        <w:ind w:left="714" w:hanging="357"/>
        <w:contextualSpacing w:val="0"/>
        <w:jc w:val="both"/>
        <w:rPr>
          <w:rFonts w:eastAsiaTheme="minorHAnsi" w:cs="Calibri"/>
        </w:rPr>
      </w:pPr>
      <w:r w:rsidRPr="0091554F">
        <w:rPr>
          <w:rFonts w:eastAsiaTheme="minorHAnsi" w:cs="Calibri"/>
        </w:rPr>
        <w:t xml:space="preserve">jak před předáním konsolidačních účetních záznamů za rok 2021 do </w:t>
      </w:r>
      <w:r w:rsidRPr="004E2D6E">
        <w:rPr>
          <w:rFonts w:eastAsiaTheme="minorHAnsi" w:cs="Calibri"/>
          <w:i/>
        </w:rPr>
        <w:t>Centrálního systému účetních informací státu</w:t>
      </w:r>
      <w:r w:rsidRPr="0091554F">
        <w:rPr>
          <w:rStyle w:val="Znakapoznpodarou"/>
          <w:rFonts w:eastAsiaTheme="minorHAnsi" w:cs="Calibri"/>
        </w:rPr>
        <w:footnoteReference w:id="8"/>
      </w:r>
      <w:r w:rsidRPr="0091554F">
        <w:rPr>
          <w:rFonts w:eastAsiaTheme="minorHAnsi" w:cs="Calibri"/>
        </w:rPr>
        <w:t xml:space="preserve"> (dále </w:t>
      </w:r>
      <w:r w:rsidR="000006C9">
        <w:rPr>
          <w:rFonts w:eastAsiaTheme="minorHAnsi" w:cs="Calibri"/>
        </w:rPr>
        <w:t xml:space="preserve">také </w:t>
      </w:r>
      <w:r w:rsidRPr="0091554F">
        <w:rPr>
          <w:rFonts w:eastAsiaTheme="minorHAnsi" w:cs="Calibri"/>
        </w:rPr>
        <w:t>„CSÚIS“) dle termínů stanovených vyhláškou č. 383/2009 Sb.</w:t>
      </w:r>
      <w:r w:rsidRPr="0091554F">
        <w:rPr>
          <w:rStyle w:val="Znakapoznpodarou"/>
          <w:rFonts w:eastAsiaTheme="minorHAnsi" w:cs="Calibri"/>
        </w:rPr>
        <w:footnoteReference w:id="9"/>
      </w:r>
      <w:r w:rsidRPr="0091554F">
        <w:rPr>
          <w:rFonts w:eastAsiaTheme="minorHAnsi" w:cs="Calibri"/>
        </w:rPr>
        <w:t xml:space="preserve"> (hodnota provedených opravných účetních zápisů činila 4</w:t>
      </w:r>
      <w:r w:rsidR="000006C9">
        <w:rPr>
          <w:rFonts w:eastAsiaTheme="minorHAnsi" w:cs="Calibri"/>
        </w:rPr>
        <w:t> </w:t>
      </w:r>
      <w:r w:rsidRPr="0091554F">
        <w:rPr>
          <w:rFonts w:eastAsiaTheme="minorHAnsi" w:cs="Calibri"/>
        </w:rPr>
        <w:t xml:space="preserve">mld. Kč), </w:t>
      </w:r>
    </w:p>
    <w:p w14:paraId="4E17ACB6" w14:textId="77777777" w:rsidR="0010571E" w:rsidRPr="0091554F" w:rsidRDefault="0010571E" w:rsidP="0010571E">
      <w:pPr>
        <w:pStyle w:val="Odstavecseseznamem"/>
        <w:numPr>
          <w:ilvl w:val="0"/>
          <w:numId w:val="27"/>
        </w:numPr>
        <w:spacing w:after="0"/>
        <w:jc w:val="both"/>
        <w:rPr>
          <w:rFonts w:eastAsiaTheme="minorHAnsi" w:cs="Calibri"/>
        </w:rPr>
      </w:pPr>
      <w:r w:rsidRPr="0091554F">
        <w:rPr>
          <w:rFonts w:eastAsiaTheme="minorHAnsi" w:cs="Calibri"/>
        </w:rPr>
        <w:t xml:space="preserve">tak po tomto datu, a to až do doby sestavení účetní závěrky 13. dubna 2022 (hodnota provedených opravných účetních zápisů činila </w:t>
      </w:r>
      <w:r w:rsidR="00E932F6">
        <w:rPr>
          <w:rFonts w:eastAsiaTheme="minorHAnsi" w:cs="Calibri"/>
        </w:rPr>
        <w:t>6,9</w:t>
      </w:r>
      <w:r w:rsidRPr="0091554F">
        <w:rPr>
          <w:rFonts w:eastAsiaTheme="minorHAnsi" w:cs="Calibri"/>
        </w:rPr>
        <w:t xml:space="preserve"> mld. Kč). </w:t>
      </w:r>
    </w:p>
    <w:p w14:paraId="7D49A266" w14:textId="77777777" w:rsidR="0010571E" w:rsidRPr="00CC0742" w:rsidRDefault="0010571E" w:rsidP="0010571E">
      <w:pPr>
        <w:pStyle w:val="Odstavecseseznamem"/>
        <w:spacing w:after="0"/>
        <w:jc w:val="both"/>
        <w:rPr>
          <w:rFonts w:eastAsiaTheme="minorHAnsi" w:cs="Calibri"/>
        </w:rPr>
      </w:pPr>
    </w:p>
    <w:p w14:paraId="0CE80C8F" w14:textId="4BE0FAC6" w:rsidR="0010571E" w:rsidRPr="0091554F" w:rsidRDefault="0010571E" w:rsidP="0010571E">
      <w:pPr>
        <w:spacing w:after="0"/>
        <w:jc w:val="both"/>
        <w:rPr>
          <w:rFonts w:eastAsiaTheme="minorHAnsi" w:cs="Calibri"/>
        </w:rPr>
      </w:pPr>
      <w:r w:rsidRPr="0091554F">
        <w:rPr>
          <w:rFonts w:eastAsiaTheme="minorHAnsi" w:cs="Calibri"/>
        </w:rPr>
        <w:t xml:space="preserve">Jednotlivé provedené účetní opravy promítlo </w:t>
      </w:r>
      <w:proofErr w:type="spellStart"/>
      <w:r w:rsidR="000006C9" w:rsidRPr="0091554F">
        <w:rPr>
          <w:rFonts w:eastAsiaTheme="minorHAnsi" w:cs="Calibri"/>
        </w:rPr>
        <w:t>MZd</w:t>
      </w:r>
      <w:proofErr w:type="spellEnd"/>
      <w:r w:rsidR="000006C9" w:rsidRPr="0091554F">
        <w:rPr>
          <w:rFonts w:eastAsiaTheme="minorHAnsi" w:cs="Calibri"/>
        </w:rPr>
        <w:t xml:space="preserve"> </w:t>
      </w:r>
      <w:r w:rsidRPr="0091554F">
        <w:rPr>
          <w:rFonts w:eastAsiaTheme="minorHAnsi" w:cs="Calibri"/>
        </w:rPr>
        <w:t xml:space="preserve">i do úprav svých nastavených účetních </w:t>
      </w:r>
      <w:r w:rsidR="00517CE0">
        <w:rPr>
          <w:rFonts w:eastAsiaTheme="minorHAnsi" w:cs="Calibri"/>
        </w:rPr>
        <w:br/>
      </w:r>
      <w:r w:rsidRPr="0091554F">
        <w:rPr>
          <w:rFonts w:eastAsiaTheme="minorHAnsi" w:cs="Calibri"/>
        </w:rPr>
        <w:t>a</w:t>
      </w:r>
      <w:r w:rsidR="00517CE0">
        <w:rPr>
          <w:rFonts w:eastAsiaTheme="minorHAnsi" w:cs="Calibri"/>
        </w:rPr>
        <w:t xml:space="preserve"> </w:t>
      </w:r>
      <w:r w:rsidRPr="0091554F">
        <w:rPr>
          <w:rFonts w:eastAsiaTheme="minorHAnsi" w:cs="Calibri"/>
        </w:rPr>
        <w:t xml:space="preserve">jiných postupů v rámci vnitřního kontrolního systému (dále </w:t>
      </w:r>
      <w:r w:rsidR="00013F0F">
        <w:rPr>
          <w:rFonts w:eastAsiaTheme="minorHAnsi" w:cs="Calibri"/>
        </w:rPr>
        <w:t xml:space="preserve">také </w:t>
      </w:r>
      <w:r w:rsidRPr="0091554F">
        <w:rPr>
          <w:rFonts w:eastAsiaTheme="minorHAnsi" w:cs="Calibri"/>
        </w:rPr>
        <w:t>„VKS“) v těch případech, kdy se jednalo o systémové nedostatky (viz část IV.2.1 tohoto kontrolního závěru).</w:t>
      </w:r>
    </w:p>
    <w:p w14:paraId="3D3673D6" w14:textId="77777777" w:rsidR="0001175A" w:rsidRPr="004E2D6E" w:rsidRDefault="001F0AC0" w:rsidP="0066297E">
      <w:pPr>
        <w:jc w:val="both"/>
        <w:rPr>
          <w:rFonts w:eastAsiaTheme="minorHAnsi" w:cs="Calibri"/>
          <w:b/>
        </w:rPr>
      </w:pPr>
      <w:r w:rsidRPr="00A21AC3">
        <w:rPr>
          <w:rFonts w:eastAsiaTheme="minorHAnsi" w:cs="Calibri"/>
          <w:b/>
        </w:rPr>
        <w:t>NKÚ upozorňuje na skutečnost</w:t>
      </w:r>
      <w:r w:rsidR="0001175A" w:rsidRPr="00A21AC3">
        <w:rPr>
          <w:rFonts w:eastAsiaTheme="minorHAnsi" w:cs="Calibri"/>
          <w:b/>
        </w:rPr>
        <w:t>i</w:t>
      </w:r>
      <w:r w:rsidR="00D73861">
        <w:rPr>
          <w:rFonts w:eastAsiaTheme="minorHAnsi" w:cs="Calibri"/>
          <w:b/>
        </w:rPr>
        <w:t xml:space="preserve"> </w:t>
      </w:r>
      <w:r w:rsidR="0001175A" w:rsidRPr="00A21AC3">
        <w:rPr>
          <w:rFonts w:eastAsiaTheme="minorHAnsi" w:cs="Calibri"/>
          <w:b/>
        </w:rPr>
        <w:t>uvedené</w:t>
      </w:r>
      <w:r w:rsidR="00834457">
        <w:rPr>
          <w:rFonts w:eastAsiaTheme="minorHAnsi" w:cs="Calibri"/>
          <w:b/>
        </w:rPr>
        <w:t xml:space="preserve"> </w:t>
      </w:r>
      <w:proofErr w:type="spellStart"/>
      <w:r w:rsidR="00834457">
        <w:rPr>
          <w:rFonts w:eastAsiaTheme="minorHAnsi" w:cs="Calibri"/>
          <w:b/>
        </w:rPr>
        <w:t>MZd</w:t>
      </w:r>
      <w:proofErr w:type="spellEnd"/>
      <w:r w:rsidR="0001175A" w:rsidRPr="00A21AC3">
        <w:rPr>
          <w:rFonts w:eastAsiaTheme="minorHAnsi" w:cs="Calibri"/>
          <w:b/>
        </w:rPr>
        <w:t xml:space="preserve"> v příloze ÚZ v bod</w:t>
      </w:r>
      <w:r w:rsidR="006A674D">
        <w:rPr>
          <w:rFonts w:eastAsiaTheme="minorHAnsi" w:cs="Calibri"/>
          <w:b/>
        </w:rPr>
        <w:t>ech:</w:t>
      </w:r>
    </w:p>
    <w:p w14:paraId="6D06A0D2" w14:textId="77777777" w:rsidR="0001175A" w:rsidRDefault="0001175A" w:rsidP="0066297E">
      <w:pPr>
        <w:numPr>
          <w:ilvl w:val="0"/>
          <w:numId w:val="21"/>
        </w:numPr>
        <w:ind w:left="714" w:hanging="357"/>
        <w:jc w:val="both"/>
        <w:rPr>
          <w:rFonts w:eastAsiaTheme="minorHAnsi" w:cs="Calibri"/>
        </w:rPr>
      </w:pPr>
      <w:r w:rsidRPr="0001175A">
        <w:rPr>
          <w:rFonts w:eastAsiaTheme="minorHAnsi" w:cs="Calibri"/>
        </w:rPr>
        <w:t xml:space="preserve">E.1. </w:t>
      </w:r>
      <w:r w:rsidRPr="004E2D6E">
        <w:rPr>
          <w:rFonts w:eastAsiaTheme="minorHAnsi" w:cs="Calibri"/>
          <w:i/>
        </w:rPr>
        <w:t>Doplňující informace k položkám rozvahy</w:t>
      </w:r>
      <w:r w:rsidRPr="0001175A">
        <w:rPr>
          <w:rFonts w:eastAsiaTheme="minorHAnsi" w:cs="Calibri"/>
        </w:rPr>
        <w:t xml:space="preserve"> k</w:t>
      </w:r>
      <w:r w:rsidR="008B632A">
        <w:rPr>
          <w:rFonts w:eastAsiaTheme="minorHAnsi" w:cs="Calibri"/>
        </w:rPr>
        <w:t> syntetickým účtům (dále také „</w:t>
      </w:r>
      <w:r w:rsidRPr="0001175A">
        <w:rPr>
          <w:rFonts w:eastAsiaTheme="minorHAnsi" w:cs="Calibri"/>
        </w:rPr>
        <w:t>SÚ</w:t>
      </w:r>
      <w:r w:rsidR="008B632A">
        <w:rPr>
          <w:rFonts w:eastAsiaTheme="minorHAnsi" w:cs="Calibri"/>
        </w:rPr>
        <w:t>“)</w:t>
      </w:r>
      <w:r w:rsidRPr="0001175A">
        <w:rPr>
          <w:rFonts w:eastAsiaTheme="minorHAnsi" w:cs="Calibri"/>
        </w:rPr>
        <w:t xml:space="preserve"> 132 – </w:t>
      </w:r>
      <w:r w:rsidRPr="0001175A">
        <w:rPr>
          <w:rFonts w:eastAsiaTheme="minorHAnsi" w:cs="Calibri"/>
          <w:i/>
        </w:rPr>
        <w:t>Zboží na skladě</w:t>
      </w:r>
      <w:r w:rsidRPr="0001175A">
        <w:rPr>
          <w:rFonts w:eastAsiaTheme="minorHAnsi" w:cs="Calibri"/>
        </w:rPr>
        <w:t xml:space="preserve">, 388 – </w:t>
      </w:r>
      <w:r w:rsidRPr="0001175A">
        <w:rPr>
          <w:rFonts w:eastAsiaTheme="minorHAnsi" w:cs="Calibri"/>
          <w:i/>
        </w:rPr>
        <w:t>Dohadné účty aktivní</w:t>
      </w:r>
      <w:r w:rsidRPr="0001175A">
        <w:rPr>
          <w:rFonts w:eastAsiaTheme="minorHAnsi" w:cs="Calibri"/>
        </w:rPr>
        <w:t xml:space="preserve">, 222 – </w:t>
      </w:r>
      <w:r w:rsidRPr="0001175A">
        <w:rPr>
          <w:rFonts w:eastAsiaTheme="minorHAnsi" w:cs="Calibri"/>
          <w:i/>
        </w:rPr>
        <w:t>Příjmový účet organizačních složek státu</w:t>
      </w:r>
      <w:r w:rsidRPr="0001175A">
        <w:rPr>
          <w:rFonts w:eastAsiaTheme="minorHAnsi" w:cs="Calibri"/>
        </w:rPr>
        <w:t xml:space="preserve">, 223 – </w:t>
      </w:r>
      <w:r w:rsidRPr="0001175A">
        <w:rPr>
          <w:rFonts w:eastAsiaTheme="minorHAnsi" w:cs="Calibri"/>
          <w:i/>
        </w:rPr>
        <w:t>Zvláštní výdajový účet</w:t>
      </w:r>
      <w:r w:rsidRPr="0001175A">
        <w:rPr>
          <w:rFonts w:eastAsiaTheme="minorHAnsi" w:cs="Calibri"/>
        </w:rPr>
        <w:t xml:space="preserve">, 321 – </w:t>
      </w:r>
      <w:r w:rsidRPr="0001175A">
        <w:rPr>
          <w:rFonts w:eastAsiaTheme="minorHAnsi" w:cs="Calibri"/>
          <w:i/>
        </w:rPr>
        <w:t>Dodavatelé</w:t>
      </w:r>
      <w:r w:rsidRPr="0001175A">
        <w:rPr>
          <w:rFonts w:eastAsiaTheme="minorHAnsi" w:cs="Calibri"/>
        </w:rPr>
        <w:t xml:space="preserve">, 324 – </w:t>
      </w:r>
      <w:r w:rsidRPr="0001175A">
        <w:rPr>
          <w:rFonts w:eastAsiaTheme="minorHAnsi" w:cs="Calibri"/>
          <w:i/>
        </w:rPr>
        <w:t>Krátkodobé přijaté zálohy</w:t>
      </w:r>
      <w:r w:rsidRPr="0001175A">
        <w:rPr>
          <w:rFonts w:eastAsiaTheme="minorHAnsi" w:cs="Calibri"/>
        </w:rPr>
        <w:t xml:space="preserve"> a</w:t>
      </w:r>
    </w:p>
    <w:p w14:paraId="32548E74" w14:textId="77777777" w:rsidR="0001175A" w:rsidRDefault="0001175A" w:rsidP="0066297E">
      <w:pPr>
        <w:numPr>
          <w:ilvl w:val="0"/>
          <w:numId w:val="21"/>
        </w:numPr>
        <w:ind w:left="714" w:hanging="357"/>
        <w:jc w:val="both"/>
        <w:rPr>
          <w:rFonts w:eastAsiaTheme="minorHAnsi" w:cs="Calibri"/>
        </w:rPr>
      </w:pPr>
      <w:r w:rsidRPr="0001175A">
        <w:rPr>
          <w:rFonts w:eastAsiaTheme="minorHAnsi" w:cs="Calibri"/>
        </w:rPr>
        <w:t xml:space="preserve">E.2. </w:t>
      </w:r>
      <w:r w:rsidRPr="004E2D6E">
        <w:rPr>
          <w:rFonts w:eastAsiaTheme="minorHAnsi" w:cs="Calibri"/>
          <w:i/>
        </w:rPr>
        <w:t>Doplňující informace k položkám výkazu zisku a ztráty</w:t>
      </w:r>
      <w:r w:rsidRPr="0001175A">
        <w:rPr>
          <w:rFonts w:eastAsiaTheme="minorHAnsi" w:cs="Calibri"/>
        </w:rPr>
        <w:t xml:space="preserve"> k SÚ 504 – </w:t>
      </w:r>
      <w:r w:rsidRPr="0001175A">
        <w:rPr>
          <w:rFonts w:eastAsiaTheme="minorHAnsi" w:cs="Calibri"/>
          <w:i/>
        </w:rPr>
        <w:t>Prodané zboží</w:t>
      </w:r>
      <w:r w:rsidRPr="0001175A">
        <w:rPr>
          <w:rFonts w:eastAsiaTheme="minorHAnsi" w:cs="Calibri"/>
        </w:rPr>
        <w:t xml:space="preserve">, 543 – </w:t>
      </w:r>
      <w:r w:rsidRPr="0001175A">
        <w:rPr>
          <w:rFonts w:eastAsiaTheme="minorHAnsi" w:cs="Calibri"/>
          <w:i/>
        </w:rPr>
        <w:t>Dary a jiná bezúplatná předání</w:t>
      </w:r>
      <w:r w:rsidRPr="0001175A">
        <w:rPr>
          <w:rFonts w:eastAsiaTheme="minorHAnsi" w:cs="Calibri"/>
        </w:rPr>
        <w:t xml:space="preserve"> a 604 – </w:t>
      </w:r>
      <w:r w:rsidRPr="0001175A">
        <w:rPr>
          <w:rFonts w:eastAsiaTheme="minorHAnsi" w:cs="Calibri"/>
          <w:i/>
        </w:rPr>
        <w:t>Výnosy z prodaného zboží</w:t>
      </w:r>
      <w:r w:rsidR="00FD7D80">
        <w:rPr>
          <w:rFonts w:eastAsiaTheme="minorHAnsi" w:cs="Calibri"/>
        </w:rPr>
        <w:t>.</w:t>
      </w:r>
      <w:r w:rsidRPr="0001175A">
        <w:rPr>
          <w:rFonts w:eastAsiaTheme="minorHAnsi" w:cs="Calibri"/>
        </w:rPr>
        <w:t xml:space="preserve"> </w:t>
      </w:r>
    </w:p>
    <w:p w14:paraId="70E9BCD9" w14:textId="25515B4C" w:rsidR="0001175A" w:rsidRDefault="00741A9E" w:rsidP="0001175A">
      <w:pPr>
        <w:spacing w:after="0"/>
        <w:jc w:val="both"/>
        <w:rPr>
          <w:rFonts w:eastAsiaTheme="minorHAnsi" w:cs="Calibri"/>
          <w:b/>
        </w:rPr>
      </w:pPr>
      <w:r w:rsidRPr="00391821">
        <w:rPr>
          <w:rFonts w:eastAsiaTheme="minorHAnsi" w:cs="Calibri"/>
          <w:b/>
        </w:rPr>
        <w:t>Doplňující informace k uvedeným SÚ</w:t>
      </w:r>
      <w:r w:rsidR="00391821">
        <w:rPr>
          <w:rFonts w:eastAsiaTheme="minorHAnsi" w:cs="Calibri"/>
          <w:b/>
        </w:rPr>
        <w:t xml:space="preserve"> p</w:t>
      </w:r>
      <w:r w:rsidR="0001175A" w:rsidRPr="00391821">
        <w:rPr>
          <w:rFonts w:eastAsiaTheme="minorHAnsi" w:cs="Calibri"/>
          <w:b/>
        </w:rPr>
        <w:t>opisují vliv pořízení, skladování, prodeje a</w:t>
      </w:r>
      <w:r w:rsidR="00337653" w:rsidRPr="00391821">
        <w:rPr>
          <w:rFonts w:eastAsiaTheme="minorHAnsi" w:cs="Calibri"/>
          <w:b/>
        </w:rPr>
        <w:t xml:space="preserve"> </w:t>
      </w:r>
      <w:r w:rsidR="0001175A" w:rsidRPr="00391821">
        <w:rPr>
          <w:rFonts w:eastAsiaTheme="minorHAnsi" w:cs="Calibri"/>
          <w:b/>
        </w:rPr>
        <w:t>darování vakcín na vybrané položky ÚZ</w:t>
      </w:r>
      <w:r w:rsidR="00CC0742" w:rsidRPr="00391821">
        <w:rPr>
          <w:rFonts w:eastAsiaTheme="minorHAnsi" w:cs="Calibri"/>
          <w:b/>
        </w:rPr>
        <w:t>.</w:t>
      </w:r>
      <w:r w:rsidR="00935504" w:rsidRPr="00391821">
        <w:rPr>
          <w:rFonts w:eastAsiaTheme="minorHAnsi" w:cs="Calibri"/>
          <w:b/>
        </w:rPr>
        <w:t xml:space="preserve"> </w:t>
      </w:r>
      <w:proofErr w:type="spellStart"/>
      <w:r w:rsidR="000F6A74" w:rsidRPr="00391821">
        <w:rPr>
          <w:rFonts w:eastAsiaTheme="minorHAnsi" w:cs="Calibri"/>
          <w:b/>
        </w:rPr>
        <w:t>MZd</w:t>
      </w:r>
      <w:proofErr w:type="spellEnd"/>
      <w:r w:rsidR="000F6A74" w:rsidRPr="00391821">
        <w:rPr>
          <w:rFonts w:eastAsiaTheme="minorHAnsi" w:cs="Calibri"/>
          <w:b/>
        </w:rPr>
        <w:t xml:space="preserve"> v nich informuje o tom, že z</w:t>
      </w:r>
      <w:r w:rsidR="00935504" w:rsidRPr="00391821">
        <w:rPr>
          <w:rFonts w:eastAsiaTheme="minorHAnsi" w:cs="Calibri"/>
          <w:b/>
        </w:rPr>
        <w:t xml:space="preserve">a účetní </w:t>
      </w:r>
      <w:r w:rsidR="00935504">
        <w:rPr>
          <w:rFonts w:eastAsiaTheme="minorHAnsi" w:cs="Calibri"/>
          <w:b/>
        </w:rPr>
        <w:t xml:space="preserve">období roku 2021 </w:t>
      </w:r>
      <w:r w:rsidR="00D17F27">
        <w:rPr>
          <w:rFonts w:eastAsiaTheme="minorHAnsi" w:cs="Calibri"/>
          <w:b/>
        </w:rPr>
        <w:t>nakoupilo a zaplatilo</w:t>
      </w:r>
      <w:r w:rsidR="00C00C80">
        <w:rPr>
          <w:rFonts w:eastAsiaTheme="minorHAnsi" w:cs="Calibri"/>
          <w:b/>
        </w:rPr>
        <w:t xml:space="preserve"> vakcíny</w:t>
      </w:r>
      <w:r w:rsidR="00935504">
        <w:rPr>
          <w:rFonts w:eastAsiaTheme="minorHAnsi" w:cs="Calibri"/>
          <w:b/>
        </w:rPr>
        <w:t xml:space="preserve"> za </w:t>
      </w:r>
      <w:r w:rsidR="00834457">
        <w:rPr>
          <w:rFonts w:eastAsiaTheme="minorHAnsi" w:cs="Calibri"/>
          <w:b/>
        </w:rPr>
        <w:t>6</w:t>
      </w:r>
      <w:r w:rsidR="0010571E">
        <w:rPr>
          <w:rFonts w:eastAsiaTheme="minorHAnsi" w:cs="Calibri"/>
          <w:b/>
        </w:rPr>
        <w:t>,5</w:t>
      </w:r>
      <w:r w:rsidR="005B3933">
        <w:rPr>
          <w:rFonts w:eastAsiaTheme="minorHAnsi" w:cs="Calibri"/>
          <w:b/>
        </w:rPr>
        <w:t xml:space="preserve"> </w:t>
      </w:r>
      <w:r w:rsidR="00935504">
        <w:rPr>
          <w:rFonts w:eastAsiaTheme="minorHAnsi" w:cs="Calibri"/>
          <w:b/>
        </w:rPr>
        <w:t>mld</w:t>
      </w:r>
      <w:r w:rsidR="00423348">
        <w:rPr>
          <w:rFonts w:eastAsiaTheme="minorHAnsi" w:cs="Calibri"/>
          <w:b/>
        </w:rPr>
        <w:t>.</w:t>
      </w:r>
      <w:r w:rsidR="00935504">
        <w:rPr>
          <w:rFonts w:eastAsiaTheme="minorHAnsi" w:cs="Calibri"/>
          <w:b/>
        </w:rPr>
        <w:t xml:space="preserve"> Kč</w:t>
      </w:r>
      <w:r w:rsidR="00C479F1">
        <w:rPr>
          <w:rFonts w:eastAsiaTheme="minorHAnsi" w:cs="Calibri"/>
          <w:b/>
        </w:rPr>
        <w:t>.</w:t>
      </w:r>
      <w:r w:rsidR="00423348">
        <w:rPr>
          <w:rFonts w:eastAsiaTheme="minorHAnsi" w:cs="Calibri"/>
          <w:b/>
        </w:rPr>
        <w:t xml:space="preserve"> Hodnota nakoupených, ale dodavatelům k datu ÚZ zatím neuhrazených vakcín pak činila 1,2 mld. Kč.</w:t>
      </w:r>
      <w:r w:rsidR="00935504">
        <w:rPr>
          <w:rFonts w:eastAsiaTheme="minorHAnsi" w:cs="Calibri"/>
          <w:b/>
        </w:rPr>
        <w:t xml:space="preserve"> </w:t>
      </w:r>
      <w:r w:rsidR="000F6A74">
        <w:rPr>
          <w:rFonts w:eastAsiaTheme="minorHAnsi" w:cs="Calibri"/>
          <w:b/>
        </w:rPr>
        <w:t xml:space="preserve">Skladové zásoby vakcín k datu ÚZ jsou </w:t>
      </w:r>
      <w:r w:rsidR="00C479F1">
        <w:rPr>
          <w:rFonts w:eastAsiaTheme="minorHAnsi" w:cs="Calibri"/>
          <w:b/>
        </w:rPr>
        <w:t>u</w:t>
      </w:r>
      <w:r w:rsidR="00935504">
        <w:rPr>
          <w:rFonts w:eastAsiaTheme="minorHAnsi" w:cs="Calibri"/>
          <w:b/>
        </w:rPr>
        <w:t xml:space="preserve"> </w:t>
      </w:r>
      <w:proofErr w:type="spellStart"/>
      <w:r w:rsidR="00935504">
        <w:rPr>
          <w:rFonts w:eastAsiaTheme="minorHAnsi" w:cs="Calibri"/>
          <w:b/>
        </w:rPr>
        <w:t>M</w:t>
      </w:r>
      <w:r w:rsidR="00716B91">
        <w:rPr>
          <w:rFonts w:eastAsiaTheme="minorHAnsi" w:cs="Calibri"/>
          <w:b/>
        </w:rPr>
        <w:t>Z</w:t>
      </w:r>
      <w:r w:rsidR="00935504">
        <w:rPr>
          <w:rFonts w:eastAsiaTheme="minorHAnsi" w:cs="Calibri"/>
          <w:b/>
        </w:rPr>
        <w:t>d</w:t>
      </w:r>
      <w:proofErr w:type="spellEnd"/>
      <w:r w:rsidR="00935504">
        <w:rPr>
          <w:rFonts w:eastAsiaTheme="minorHAnsi" w:cs="Calibri"/>
          <w:b/>
        </w:rPr>
        <w:t xml:space="preserve"> ve výši 888 mil. Kč</w:t>
      </w:r>
      <w:r w:rsidR="000F6A74">
        <w:rPr>
          <w:rFonts w:eastAsiaTheme="minorHAnsi" w:cs="Calibri"/>
          <w:b/>
        </w:rPr>
        <w:t xml:space="preserve"> a j</w:t>
      </w:r>
      <w:r w:rsidR="00C479F1">
        <w:rPr>
          <w:rFonts w:eastAsiaTheme="minorHAnsi" w:cs="Calibri"/>
          <w:b/>
        </w:rPr>
        <w:t xml:space="preserve">ako dar </w:t>
      </w:r>
      <w:r w:rsidR="0010571E">
        <w:rPr>
          <w:rFonts w:eastAsiaTheme="minorHAnsi" w:cs="Calibri"/>
          <w:b/>
        </w:rPr>
        <w:t>poskytla Česká republika</w:t>
      </w:r>
      <w:r w:rsidR="0001175A" w:rsidRPr="00A21AC3">
        <w:rPr>
          <w:rFonts w:eastAsiaTheme="minorHAnsi" w:cs="Calibri"/>
          <w:b/>
        </w:rPr>
        <w:t xml:space="preserve"> </w:t>
      </w:r>
      <w:r w:rsidR="00C479F1">
        <w:rPr>
          <w:rFonts w:eastAsiaTheme="minorHAnsi" w:cs="Calibri"/>
          <w:b/>
        </w:rPr>
        <w:t>v roce 2021</w:t>
      </w:r>
      <w:r w:rsidR="000F6A74">
        <w:rPr>
          <w:rFonts w:eastAsiaTheme="minorHAnsi" w:cs="Calibri"/>
          <w:b/>
        </w:rPr>
        <w:t xml:space="preserve"> prostřednictvím </w:t>
      </w:r>
      <w:proofErr w:type="spellStart"/>
      <w:r w:rsidR="000F6A74">
        <w:rPr>
          <w:rFonts w:eastAsiaTheme="minorHAnsi" w:cs="Calibri"/>
          <w:b/>
        </w:rPr>
        <w:t>MZd</w:t>
      </w:r>
      <w:proofErr w:type="spellEnd"/>
      <w:r w:rsidR="00C479F1">
        <w:rPr>
          <w:rFonts w:eastAsiaTheme="minorHAnsi" w:cs="Calibri"/>
          <w:b/>
        </w:rPr>
        <w:t xml:space="preserve"> </w:t>
      </w:r>
      <w:r w:rsidR="0010571E">
        <w:rPr>
          <w:rFonts w:eastAsiaTheme="minorHAnsi" w:cs="Calibri"/>
          <w:b/>
        </w:rPr>
        <w:t xml:space="preserve">vakcíny </w:t>
      </w:r>
      <w:r w:rsidR="00C479F1">
        <w:rPr>
          <w:rFonts w:eastAsiaTheme="minorHAnsi" w:cs="Calibri"/>
          <w:b/>
        </w:rPr>
        <w:t>v</w:t>
      </w:r>
      <w:r w:rsidR="0010571E">
        <w:rPr>
          <w:rFonts w:eastAsiaTheme="minorHAnsi" w:cs="Calibri"/>
          <w:b/>
        </w:rPr>
        <w:t>e výši 151 mil. Kč.</w:t>
      </w:r>
      <w:r w:rsidR="000F6A74" w:rsidRPr="000F6A74">
        <w:rPr>
          <w:rFonts w:eastAsiaTheme="minorHAnsi" w:cs="Calibri"/>
          <w:b/>
        </w:rPr>
        <w:t xml:space="preserve"> </w:t>
      </w:r>
      <w:r w:rsidR="000F6A74">
        <w:rPr>
          <w:rFonts w:eastAsiaTheme="minorHAnsi" w:cs="Calibri"/>
          <w:b/>
        </w:rPr>
        <w:t xml:space="preserve">Zálohové platby, </w:t>
      </w:r>
      <w:r w:rsidR="00FD7D80">
        <w:rPr>
          <w:rFonts w:eastAsiaTheme="minorHAnsi" w:cs="Calibri"/>
          <w:b/>
        </w:rPr>
        <w:t xml:space="preserve">které </w:t>
      </w:r>
      <w:r w:rsidR="000F6A74">
        <w:rPr>
          <w:rFonts w:eastAsiaTheme="minorHAnsi" w:cs="Calibri"/>
          <w:b/>
        </w:rPr>
        <w:t>přija</w:t>
      </w:r>
      <w:r w:rsidR="00FD7D80">
        <w:rPr>
          <w:rFonts w:eastAsiaTheme="minorHAnsi" w:cs="Calibri"/>
          <w:b/>
        </w:rPr>
        <w:t>lo</w:t>
      </w:r>
      <w:r w:rsidR="000F6A74">
        <w:rPr>
          <w:rFonts w:eastAsiaTheme="minorHAnsi" w:cs="Calibri"/>
          <w:b/>
        </w:rPr>
        <w:t xml:space="preserve"> </w:t>
      </w:r>
      <w:proofErr w:type="spellStart"/>
      <w:r w:rsidR="000F6A74">
        <w:rPr>
          <w:rFonts w:eastAsiaTheme="minorHAnsi" w:cs="Calibri"/>
          <w:b/>
        </w:rPr>
        <w:t>MZd</w:t>
      </w:r>
      <w:proofErr w:type="spellEnd"/>
      <w:r w:rsidR="000F6A74">
        <w:rPr>
          <w:rFonts w:eastAsiaTheme="minorHAnsi" w:cs="Calibri"/>
          <w:b/>
        </w:rPr>
        <w:t xml:space="preserve"> od zdravotních pojišťoven za jejich pojištěnce </w:t>
      </w:r>
      <w:r w:rsidR="00FD7D80">
        <w:rPr>
          <w:rFonts w:eastAsiaTheme="minorHAnsi" w:cs="Calibri"/>
          <w:b/>
        </w:rPr>
        <w:t xml:space="preserve">a které jsou </w:t>
      </w:r>
      <w:r w:rsidR="000F6A74">
        <w:rPr>
          <w:rFonts w:eastAsiaTheme="minorHAnsi" w:cs="Calibri"/>
          <w:b/>
        </w:rPr>
        <w:t>určen</w:t>
      </w:r>
      <w:r w:rsidR="00FD7D80">
        <w:rPr>
          <w:rFonts w:eastAsiaTheme="minorHAnsi" w:cs="Calibri"/>
          <w:b/>
        </w:rPr>
        <w:t>y</w:t>
      </w:r>
      <w:r w:rsidR="000F6A74">
        <w:rPr>
          <w:rFonts w:eastAsiaTheme="minorHAnsi" w:cs="Calibri"/>
          <w:b/>
        </w:rPr>
        <w:t xml:space="preserve"> ke kompenzaci výdajů </w:t>
      </w:r>
      <w:r w:rsidR="00610133">
        <w:rPr>
          <w:rFonts w:eastAsiaTheme="minorHAnsi" w:cs="Calibri"/>
          <w:b/>
        </w:rPr>
        <w:t>v</w:t>
      </w:r>
      <w:r w:rsidR="000F6A74">
        <w:rPr>
          <w:rFonts w:eastAsiaTheme="minorHAnsi" w:cs="Calibri"/>
          <w:b/>
        </w:rPr>
        <w:t>ynaložených</w:t>
      </w:r>
      <w:r w:rsidR="00610133">
        <w:rPr>
          <w:rFonts w:eastAsiaTheme="minorHAnsi" w:cs="Calibri"/>
          <w:b/>
        </w:rPr>
        <w:t xml:space="preserve"> </w:t>
      </w:r>
      <w:proofErr w:type="spellStart"/>
      <w:r w:rsidR="00610133">
        <w:rPr>
          <w:rFonts w:eastAsiaTheme="minorHAnsi" w:cs="Calibri"/>
          <w:b/>
        </w:rPr>
        <w:t>MZd</w:t>
      </w:r>
      <w:proofErr w:type="spellEnd"/>
      <w:r w:rsidR="000F6A74">
        <w:rPr>
          <w:rFonts w:eastAsiaTheme="minorHAnsi" w:cs="Calibri"/>
          <w:b/>
        </w:rPr>
        <w:t xml:space="preserve"> na vakcíny</w:t>
      </w:r>
      <w:r w:rsidR="00FD7D80">
        <w:rPr>
          <w:rFonts w:eastAsiaTheme="minorHAnsi" w:cs="Calibri"/>
          <w:b/>
        </w:rPr>
        <w:t>,</w:t>
      </w:r>
      <w:r w:rsidR="000F6A74">
        <w:rPr>
          <w:rFonts w:eastAsiaTheme="minorHAnsi" w:cs="Calibri"/>
          <w:b/>
        </w:rPr>
        <w:t xml:space="preserve"> </w:t>
      </w:r>
      <w:r w:rsidR="00FD7D80">
        <w:rPr>
          <w:rFonts w:eastAsiaTheme="minorHAnsi" w:cs="Calibri"/>
          <w:b/>
        </w:rPr>
        <w:t>dosáhly</w:t>
      </w:r>
      <w:r w:rsidR="000F6A74">
        <w:rPr>
          <w:rFonts w:eastAsiaTheme="minorHAnsi" w:cs="Calibri"/>
          <w:b/>
        </w:rPr>
        <w:t xml:space="preserve"> </w:t>
      </w:r>
      <w:r w:rsidR="00610133">
        <w:rPr>
          <w:rFonts w:eastAsiaTheme="minorHAnsi" w:cs="Calibri"/>
          <w:b/>
        </w:rPr>
        <w:t xml:space="preserve">k datu ÚZ </w:t>
      </w:r>
      <w:r w:rsidR="000F6A74">
        <w:rPr>
          <w:rFonts w:eastAsiaTheme="minorHAnsi" w:cs="Calibri"/>
          <w:b/>
        </w:rPr>
        <w:t>výš</w:t>
      </w:r>
      <w:r w:rsidR="00FD7D80">
        <w:rPr>
          <w:rFonts w:eastAsiaTheme="minorHAnsi" w:cs="Calibri"/>
          <w:b/>
        </w:rPr>
        <w:t>e</w:t>
      </w:r>
      <w:r w:rsidR="000F6A74">
        <w:rPr>
          <w:rFonts w:eastAsiaTheme="minorHAnsi" w:cs="Calibri"/>
          <w:b/>
        </w:rPr>
        <w:t xml:space="preserve"> 5,7 mld.</w:t>
      </w:r>
      <w:r w:rsidR="00FD7D80">
        <w:rPr>
          <w:rFonts w:eastAsiaTheme="minorHAnsi" w:cs="Calibri"/>
          <w:b/>
        </w:rPr>
        <w:t xml:space="preserve"> Kč.</w:t>
      </w:r>
    </w:p>
    <w:p w14:paraId="51FEC053" w14:textId="77777777" w:rsidR="00ED505F" w:rsidRDefault="00ED505F">
      <w:pPr>
        <w:spacing w:after="160" w:line="259" w:lineRule="auto"/>
        <w:rPr>
          <w:rFonts w:eastAsiaTheme="minorHAnsi" w:cs="Calibri"/>
          <w:b/>
        </w:rPr>
      </w:pPr>
      <w:r>
        <w:rPr>
          <w:rFonts w:eastAsiaTheme="minorHAnsi" w:cs="Calibri"/>
          <w:b/>
        </w:rPr>
        <w:br w:type="page"/>
      </w:r>
    </w:p>
    <w:p w14:paraId="352514C8" w14:textId="77777777" w:rsidR="00E05522" w:rsidRDefault="00E05522" w:rsidP="0001175A">
      <w:pPr>
        <w:spacing w:after="0"/>
        <w:jc w:val="both"/>
        <w:rPr>
          <w:rFonts w:eastAsiaTheme="minorHAnsi" w:cs="Calibri"/>
          <w:b/>
        </w:rPr>
      </w:pPr>
    </w:p>
    <w:p w14:paraId="6A9B1452" w14:textId="799708FF" w:rsidR="0001175A" w:rsidRDefault="00E05522" w:rsidP="0001175A">
      <w:pPr>
        <w:spacing w:after="0"/>
        <w:jc w:val="both"/>
        <w:rPr>
          <w:rFonts w:eastAsiaTheme="minorHAnsi" w:cs="Calibri"/>
          <w:b/>
        </w:rPr>
      </w:pPr>
      <w:r w:rsidRPr="00A21AC3">
        <w:rPr>
          <w:rFonts w:eastAsiaTheme="minorHAnsi" w:cs="Calibri"/>
        </w:rPr>
        <w:t xml:space="preserve">Tyto </w:t>
      </w:r>
      <w:r w:rsidR="00935504" w:rsidRPr="00A21AC3">
        <w:rPr>
          <w:rFonts w:eastAsiaTheme="minorHAnsi" w:cs="Calibri"/>
        </w:rPr>
        <w:t xml:space="preserve">i další </w:t>
      </w:r>
      <w:r w:rsidRPr="00A21AC3">
        <w:rPr>
          <w:rFonts w:eastAsiaTheme="minorHAnsi" w:cs="Calibri"/>
        </w:rPr>
        <w:t>skutečnosti měly významný vliv n</w:t>
      </w:r>
      <w:r w:rsidR="00CC0742" w:rsidRPr="00A21AC3">
        <w:rPr>
          <w:rFonts w:eastAsiaTheme="minorHAnsi" w:cs="Calibri"/>
        </w:rPr>
        <w:t>a</w:t>
      </w:r>
      <w:r w:rsidRPr="00A21AC3">
        <w:rPr>
          <w:rFonts w:eastAsiaTheme="minorHAnsi" w:cs="Calibri"/>
        </w:rPr>
        <w:t xml:space="preserve"> hodnotu některých konečných zůstatků účetní závěrky</w:t>
      </w:r>
      <w:r w:rsidR="00CC0742" w:rsidRPr="00A21AC3">
        <w:rPr>
          <w:rFonts w:eastAsiaTheme="minorHAnsi" w:cs="Calibri"/>
        </w:rPr>
        <w:t xml:space="preserve"> </w:t>
      </w:r>
      <w:r w:rsidR="00935504" w:rsidRPr="00A21AC3">
        <w:rPr>
          <w:rFonts w:eastAsiaTheme="minorHAnsi" w:cs="Calibri"/>
        </w:rPr>
        <w:t xml:space="preserve">(blíže </w:t>
      </w:r>
      <w:r w:rsidR="00CC0742" w:rsidRPr="00A21AC3">
        <w:rPr>
          <w:rFonts w:eastAsiaTheme="minorHAnsi" w:cs="Calibri"/>
        </w:rPr>
        <w:t>část IV.1.1 tohoto kontrolního závěru</w:t>
      </w:r>
      <w:r w:rsidR="00935504" w:rsidRPr="00A21AC3">
        <w:rPr>
          <w:rFonts w:eastAsiaTheme="minorHAnsi" w:cs="Calibri"/>
        </w:rPr>
        <w:t>)</w:t>
      </w:r>
      <w:r w:rsidR="00CC0742" w:rsidRPr="00A21AC3">
        <w:rPr>
          <w:rFonts w:eastAsiaTheme="minorHAnsi" w:cs="Calibri"/>
        </w:rPr>
        <w:t xml:space="preserve">. </w:t>
      </w:r>
      <w:r w:rsidR="0001175A" w:rsidRPr="00A21AC3">
        <w:rPr>
          <w:rFonts w:eastAsiaTheme="minorHAnsi" w:cs="Calibri"/>
          <w:b/>
        </w:rPr>
        <w:t xml:space="preserve">NKÚ </w:t>
      </w:r>
      <w:r w:rsidR="00CC0742">
        <w:rPr>
          <w:rFonts w:eastAsiaTheme="minorHAnsi" w:cs="Calibri"/>
          <w:b/>
        </w:rPr>
        <w:t xml:space="preserve">v této souvislosti </w:t>
      </w:r>
      <w:r w:rsidR="0001175A" w:rsidRPr="00A21AC3">
        <w:rPr>
          <w:rFonts w:eastAsiaTheme="minorHAnsi" w:cs="Calibri"/>
          <w:b/>
        </w:rPr>
        <w:t>upozorňuje</w:t>
      </w:r>
      <w:r w:rsidR="00756C60">
        <w:rPr>
          <w:rFonts w:eastAsiaTheme="minorHAnsi" w:cs="Calibri"/>
          <w:b/>
        </w:rPr>
        <w:t xml:space="preserve"> i</w:t>
      </w:r>
      <w:r w:rsidR="00CC0742">
        <w:rPr>
          <w:rFonts w:eastAsiaTheme="minorHAnsi" w:cs="Calibri"/>
          <w:b/>
        </w:rPr>
        <w:t xml:space="preserve"> </w:t>
      </w:r>
      <w:r w:rsidR="0001175A" w:rsidRPr="00A21AC3">
        <w:rPr>
          <w:rFonts w:eastAsiaTheme="minorHAnsi" w:cs="Calibri"/>
          <w:b/>
        </w:rPr>
        <w:t xml:space="preserve">na </w:t>
      </w:r>
      <w:r w:rsidR="00756C60">
        <w:rPr>
          <w:rFonts w:eastAsiaTheme="minorHAnsi" w:cs="Calibri"/>
          <w:b/>
        </w:rPr>
        <w:t>informace</w:t>
      </w:r>
      <w:r w:rsidR="0001175A" w:rsidRPr="00A21AC3">
        <w:rPr>
          <w:rFonts w:eastAsiaTheme="minorHAnsi" w:cs="Calibri"/>
          <w:b/>
        </w:rPr>
        <w:t xml:space="preserve"> v příloze ÚZ </w:t>
      </w:r>
      <w:r w:rsidR="00756C60">
        <w:rPr>
          <w:rFonts w:eastAsiaTheme="minorHAnsi" w:cs="Calibri"/>
          <w:b/>
        </w:rPr>
        <w:t xml:space="preserve">vykázané </w:t>
      </w:r>
      <w:r w:rsidR="0001175A" w:rsidRPr="00A21AC3">
        <w:rPr>
          <w:rFonts w:eastAsiaTheme="minorHAnsi" w:cs="Calibri"/>
          <w:b/>
        </w:rPr>
        <w:t xml:space="preserve">na podrozvahových účtech 973 – </w:t>
      </w:r>
      <w:r w:rsidR="0001175A" w:rsidRPr="00A21AC3">
        <w:rPr>
          <w:rFonts w:eastAsiaTheme="minorHAnsi" w:cs="Calibri"/>
          <w:b/>
          <w:i/>
        </w:rPr>
        <w:t>Krátkodobé podmíněné závazky z jiných smluv</w:t>
      </w:r>
      <w:r w:rsidR="0001175A" w:rsidRPr="00A21AC3">
        <w:rPr>
          <w:rFonts w:eastAsiaTheme="minorHAnsi" w:cs="Calibri"/>
          <w:b/>
        </w:rPr>
        <w:t xml:space="preserve"> a 974 – </w:t>
      </w:r>
      <w:r w:rsidR="0001175A" w:rsidRPr="00A21AC3">
        <w:rPr>
          <w:rFonts w:eastAsiaTheme="minorHAnsi" w:cs="Calibri"/>
          <w:b/>
          <w:i/>
        </w:rPr>
        <w:t>Dlouhodobé podmíněné závazky z jiných smluv</w:t>
      </w:r>
      <w:r w:rsidR="00756C60" w:rsidRPr="0058584E">
        <w:rPr>
          <w:rFonts w:eastAsiaTheme="minorHAnsi" w:cs="Calibri"/>
          <w:b/>
          <w:i/>
        </w:rPr>
        <w:t xml:space="preserve">, </w:t>
      </w:r>
      <w:r w:rsidR="00756C60" w:rsidRPr="00A21AC3">
        <w:rPr>
          <w:rFonts w:eastAsiaTheme="minorHAnsi" w:cs="Calibri"/>
          <w:b/>
        </w:rPr>
        <w:t>na kterých</w:t>
      </w:r>
      <w:r w:rsidR="00756C60" w:rsidRPr="0058584E">
        <w:rPr>
          <w:rFonts w:eastAsiaTheme="minorHAnsi" w:cs="Calibri"/>
          <w:b/>
        </w:rPr>
        <w:t xml:space="preserve"> </w:t>
      </w:r>
      <w:proofErr w:type="spellStart"/>
      <w:r w:rsidR="00756C60" w:rsidRPr="0058584E">
        <w:rPr>
          <w:rFonts w:eastAsiaTheme="minorHAnsi" w:cs="Calibri"/>
          <w:b/>
        </w:rPr>
        <w:t>MZd</w:t>
      </w:r>
      <w:proofErr w:type="spellEnd"/>
      <w:r w:rsidR="0001175A" w:rsidRPr="00A21AC3">
        <w:rPr>
          <w:rFonts w:eastAsiaTheme="minorHAnsi" w:cs="Calibri"/>
          <w:b/>
        </w:rPr>
        <w:t xml:space="preserve"> vykázalo významné částky podmíněných závazků vyplývajících z </w:t>
      </w:r>
      <w:r w:rsidR="006B0F77">
        <w:rPr>
          <w:rFonts w:eastAsiaTheme="minorHAnsi" w:cs="Calibri"/>
          <w:b/>
        </w:rPr>
        <w:t xml:space="preserve">předběžných </w:t>
      </w:r>
      <w:r w:rsidR="0001175A" w:rsidRPr="00A21AC3">
        <w:rPr>
          <w:rFonts w:eastAsiaTheme="minorHAnsi" w:cs="Calibri"/>
          <w:b/>
        </w:rPr>
        <w:t>dohod o</w:t>
      </w:r>
      <w:r w:rsidR="00054593">
        <w:rPr>
          <w:rFonts w:eastAsiaTheme="minorHAnsi" w:cs="Calibri"/>
          <w:b/>
        </w:rPr>
        <w:t> </w:t>
      </w:r>
      <w:r w:rsidR="0001175A" w:rsidRPr="00A21AC3">
        <w:rPr>
          <w:rFonts w:eastAsiaTheme="minorHAnsi" w:cs="Calibri"/>
          <w:b/>
        </w:rPr>
        <w:t>nákupu</w:t>
      </w:r>
      <w:r w:rsidR="006B0F77">
        <w:rPr>
          <w:rStyle w:val="Znakapoznpodarou"/>
          <w:rFonts w:eastAsiaTheme="minorHAnsi" w:cs="Calibri"/>
          <w:b/>
        </w:rPr>
        <w:footnoteReference w:id="10"/>
      </w:r>
      <w:r w:rsidR="0001175A" w:rsidRPr="00A21AC3">
        <w:rPr>
          <w:rFonts w:eastAsiaTheme="minorHAnsi" w:cs="Calibri"/>
          <w:b/>
        </w:rPr>
        <w:t xml:space="preserve"> a </w:t>
      </w:r>
      <w:r w:rsidR="00171B28">
        <w:rPr>
          <w:rFonts w:eastAsiaTheme="minorHAnsi" w:cs="Calibri"/>
          <w:b/>
        </w:rPr>
        <w:t xml:space="preserve">z </w:t>
      </w:r>
      <w:r w:rsidR="0001175A" w:rsidRPr="00A21AC3">
        <w:rPr>
          <w:rFonts w:eastAsiaTheme="minorHAnsi" w:cs="Calibri"/>
          <w:b/>
        </w:rPr>
        <w:t>kupních smluv na dodávku vakcín</w:t>
      </w:r>
      <w:r w:rsidR="00417433">
        <w:rPr>
          <w:rFonts w:eastAsiaTheme="minorHAnsi" w:cs="Calibri"/>
          <w:b/>
          <w:vertAlign w:val="superscript"/>
        </w:rPr>
        <w:t>9</w:t>
      </w:r>
      <w:r w:rsidR="00054593">
        <w:rPr>
          <w:rFonts w:eastAsiaTheme="minorHAnsi" w:cs="Calibri"/>
          <w:b/>
        </w:rPr>
        <w:t xml:space="preserve"> </w:t>
      </w:r>
      <w:r w:rsidR="0010571E">
        <w:rPr>
          <w:rFonts w:eastAsiaTheme="minorHAnsi" w:cs="Calibri"/>
          <w:b/>
        </w:rPr>
        <w:t>v celkové výši 10,5 mld. Kč</w:t>
      </w:r>
      <w:r w:rsidR="00C479F1">
        <w:rPr>
          <w:rFonts w:eastAsiaTheme="minorHAnsi" w:cs="Calibri"/>
          <w:b/>
        </w:rPr>
        <w:t xml:space="preserve">. Tyto informace </w:t>
      </w:r>
      <w:proofErr w:type="spellStart"/>
      <w:r w:rsidR="00C479F1">
        <w:rPr>
          <w:rFonts w:eastAsiaTheme="minorHAnsi" w:cs="Calibri"/>
          <w:b/>
        </w:rPr>
        <w:t>MZd</w:t>
      </w:r>
      <w:bookmarkEnd w:id="2"/>
      <w:proofErr w:type="spellEnd"/>
      <w:r w:rsidR="00423348">
        <w:rPr>
          <w:rFonts w:eastAsiaTheme="minorHAnsi" w:cs="Calibri"/>
          <w:b/>
        </w:rPr>
        <w:t xml:space="preserve"> </w:t>
      </w:r>
      <w:r w:rsidR="003B3FF1">
        <w:rPr>
          <w:rFonts w:eastAsiaTheme="minorHAnsi" w:cs="Calibri"/>
          <w:b/>
        </w:rPr>
        <w:t>v</w:t>
      </w:r>
      <w:r w:rsidR="00517CE0">
        <w:rPr>
          <w:rFonts w:eastAsiaTheme="minorHAnsi" w:cs="Calibri"/>
          <w:b/>
        </w:rPr>
        <w:t xml:space="preserve"> </w:t>
      </w:r>
      <w:r w:rsidR="0010571E">
        <w:rPr>
          <w:rFonts w:eastAsiaTheme="minorHAnsi" w:cs="Calibri"/>
          <w:b/>
        </w:rPr>
        <w:t>příloze ÚZ nekomentovalo</w:t>
      </w:r>
      <w:r w:rsidR="00423348">
        <w:rPr>
          <w:rFonts w:eastAsiaTheme="minorHAnsi" w:cs="Calibri"/>
          <w:b/>
        </w:rPr>
        <w:t>, protože doplňující a vysvětlující informace k podrozvahovým účtům nejsou účetními předpisy vyžadovány</w:t>
      </w:r>
      <w:r w:rsidR="0010571E">
        <w:rPr>
          <w:rFonts w:eastAsiaTheme="minorHAnsi" w:cs="Calibri"/>
          <w:b/>
        </w:rPr>
        <w:t>.</w:t>
      </w:r>
    </w:p>
    <w:p w14:paraId="5A677B8F" w14:textId="77777777" w:rsidR="00CF7198" w:rsidRPr="00A21AC3" w:rsidRDefault="00CF7198" w:rsidP="0001175A">
      <w:pPr>
        <w:spacing w:after="0"/>
        <w:jc w:val="both"/>
        <w:rPr>
          <w:rFonts w:eastAsiaTheme="minorHAnsi" w:cs="Calibri"/>
          <w:b/>
        </w:rPr>
      </w:pPr>
    </w:p>
    <w:p w14:paraId="4EFBFAC2" w14:textId="6F3F4B40" w:rsidR="008329A2" w:rsidRPr="00EA577C" w:rsidRDefault="00FC0815" w:rsidP="001217F1">
      <w:pPr>
        <w:jc w:val="both"/>
        <w:rPr>
          <w:rFonts w:eastAsiaTheme="minorHAnsi" w:cs="Calibri"/>
          <w:b/>
        </w:rPr>
      </w:pPr>
      <w:r w:rsidRPr="00EA577C">
        <w:rPr>
          <w:rFonts w:eastAsiaTheme="minorHAnsi" w:cs="Calibri"/>
          <w:b/>
        </w:rPr>
        <w:t xml:space="preserve">3. </w:t>
      </w:r>
      <w:r w:rsidR="00AE46A1" w:rsidRPr="00EA577C">
        <w:rPr>
          <w:rFonts w:eastAsiaTheme="minorHAnsi" w:cs="Calibri"/>
          <w:b/>
        </w:rPr>
        <w:t xml:space="preserve">Údaje předkládané </w:t>
      </w:r>
      <w:r w:rsidR="00FD7D80">
        <w:rPr>
          <w:rFonts w:eastAsiaTheme="minorHAnsi" w:cs="Calibri"/>
          <w:b/>
        </w:rPr>
        <w:t>Ministerstvem zdravotnictví</w:t>
      </w:r>
      <w:r w:rsidR="00AE46A1" w:rsidRPr="00EA577C">
        <w:rPr>
          <w:rFonts w:eastAsiaTheme="minorHAnsi" w:cs="Calibri"/>
          <w:b/>
        </w:rPr>
        <w:t xml:space="preserve"> pro hodnocení plnění státního rozpočtu</w:t>
      </w:r>
      <w:r w:rsidR="008329A2" w:rsidRPr="00EA577C">
        <w:rPr>
          <w:rFonts w:eastAsiaTheme="minorHAnsi" w:cs="Calibri"/>
          <w:b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7D6050" w:rsidRPr="00D71C60" w14:paraId="46265FAE" w14:textId="77777777" w:rsidTr="005E63AE">
        <w:tc>
          <w:tcPr>
            <w:tcW w:w="9060" w:type="dxa"/>
            <w:shd w:val="clear" w:color="auto" w:fill="E5F1FF"/>
          </w:tcPr>
          <w:p w14:paraId="33CFCE34" w14:textId="06ADB6D7" w:rsidR="007D6050" w:rsidRPr="00485A80" w:rsidRDefault="007D6050" w:rsidP="005E63AE">
            <w:pPr>
              <w:jc w:val="both"/>
              <w:rPr>
                <w:rFonts w:eastAsiaTheme="minorHAnsi" w:cs="Calibri"/>
                <w:b/>
              </w:rPr>
            </w:pPr>
            <w:r w:rsidRPr="00485A80">
              <w:rPr>
                <w:rFonts w:eastAsiaTheme="minorHAnsi" w:cs="Calibri"/>
                <w:b/>
              </w:rPr>
              <w:t>V</w:t>
            </w:r>
            <w:r w:rsidR="00517CE0">
              <w:rPr>
                <w:rFonts w:eastAsiaTheme="minorHAnsi" w:cs="Calibri"/>
                <w:b/>
              </w:rPr>
              <w:t xml:space="preserve"> </w:t>
            </w:r>
            <w:r w:rsidRPr="00485A80">
              <w:rPr>
                <w:rFonts w:eastAsiaTheme="minorHAnsi" w:cs="Calibri"/>
                <w:b/>
              </w:rPr>
              <w:t>údajích pro hodnocení plnění státního rozpočtu za rok 202</w:t>
            </w:r>
            <w:r w:rsidR="00485A80">
              <w:rPr>
                <w:rFonts w:eastAsiaTheme="minorHAnsi" w:cs="Calibri"/>
                <w:b/>
              </w:rPr>
              <w:t>1</w:t>
            </w:r>
            <w:r w:rsidRPr="00485A80">
              <w:rPr>
                <w:rStyle w:val="Znakapoznpodarou"/>
                <w:rFonts w:eastAsiaTheme="minorHAnsi" w:cs="Calibri"/>
                <w:b/>
              </w:rPr>
              <w:footnoteReference w:id="11"/>
            </w:r>
            <w:r w:rsidRPr="00485A80">
              <w:rPr>
                <w:rFonts w:eastAsiaTheme="minorHAnsi" w:cs="Calibri"/>
                <w:b/>
              </w:rPr>
              <w:t xml:space="preserve"> nebyly u </w:t>
            </w:r>
            <w:proofErr w:type="spellStart"/>
            <w:r w:rsidR="00485A80">
              <w:rPr>
                <w:rFonts w:eastAsiaTheme="minorHAnsi" w:cs="Calibri"/>
                <w:b/>
              </w:rPr>
              <w:t>MZ</w:t>
            </w:r>
            <w:r w:rsidR="00500C91">
              <w:rPr>
                <w:rFonts w:eastAsiaTheme="minorHAnsi" w:cs="Calibri"/>
                <w:b/>
              </w:rPr>
              <w:t>d</w:t>
            </w:r>
            <w:proofErr w:type="spellEnd"/>
            <w:r w:rsidRPr="00485A80">
              <w:rPr>
                <w:rFonts w:eastAsiaTheme="minorHAnsi" w:cs="Calibri"/>
                <w:b/>
              </w:rPr>
              <w:t xml:space="preserve"> zjištěny nesprávnosti.</w:t>
            </w:r>
          </w:p>
        </w:tc>
      </w:tr>
    </w:tbl>
    <w:p w14:paraId="4931784B" w14:textId="77777777" w:rsidR="007D6050" w:rsidRPr="00D71C60" w:rsidRDefault="007D6050" w:rsidP="00BD15B5">
      <w:pPr>
        <w:spacing w:after="0"/>
        <w:jc w:val="both"/>
        <w:rPr>
          <w:rFonts w:eastAsiaTheme="minorHAnsi" w:cs="Calibri"/>
          <w:b/>
          <w:highlight w:val="yellow"/>
        </w:rPr>
      </w:pPr>
    </w:p>
    <w:p w14:paraId="09E0A62C" w14:textId="6CED4CBD" w:rsidR="00506C08" w:rsidRPr="00A21AC3" w:rsidRDefault="00506C08" w:rsidP="00BD15B5">
      <w:pPr>
        <w:spacing w:after="0"/>
        <w:jc w:val="both"/>
        <w:rPr>
          <w:rFonts w:eastAsia="Calibri"/>
          <w:szCs w:val="22"/>
        </w:rPr>
      </w:pPr>
      <w:r w:rsidRPr="00A21AC3">
        <w:rPr>
          <w:rFonts w:eastAsiaTheme="minorHAnsi" w:cs="Calibri"/>
        </w:rPr>
        <w:t>Informace v</w:t>
      </w:r>
      <w:r w:rsidR="0058584E">
        <w:rPr>
          <w:rFonts w:eastAsiaTheme="minorHAnsi" w:cs="Calibri"/>
        </w:rPr>
        <w:t> </w:t>
      </w:r>
      <w:r w:rsidRPr="00A21AC3">
        <w:rPr>
          <w:rFonts w:eastAsiaTheme="minorHAnsi" w:cs="Calibri"/>
        </w:rPr>
        <w:t>údajích</w:t>
      </w:r>
      <w:r w:rsidR="0058584E">
        <w:rPr>
          <w:rFonts w:eastAsiaTheme="minorHAnsi" w:cs="Calibri"/>
        </w:rPr>
        <w:t xml:space="preserve"> </w:t>
      </w:r>
      <w:proofErr w:type="spellStart"/>
      <w:r w:rsidR="0058584E">
        <w:rPr>
          <w:rFonts w:eastAsiaTheme="minorHAnsi" w:cs="Calibri"/>
        </w:rPr>
        <w:t>MZd</w:t>
      </w:r>
      <w:proofErr w:type="spellEnd"/>
      <w:r w:rsidRPr="00A21AC3">
        <w:rPr>
          <w:rFonts w:eastAsiaTheme="minorHAnsi" w:cs="Calibri"/>
        </w:rPr>
        <w:t xml:space="preserve"> pro hodnocení plnění státního rozpočtu za rok 2021 jsou </w:t>
      </w:r>
      <w:r w:rsidR="0058584E">
        <w:rPr>
          <w:rFonts w:eastAsiaTheme="minorHAnsi" w:cs="Calibri"/>
        </w:rPr>
        <w:t xml:space="preserve">dle názoru NKÚ </w:t>
      </w:r>
      <w:r w:rsidRPr="00A21AC3">
        <w:rPr>
          <w:rFonts w:eastAsiaTheme="minorHAnsi" w:cs="Calibri"/>
        </w:rPr>
        <w:t>spolehlivé</w:t>
      </w:r>
      <w:r w:rsidR="00423348">
        <w:rPr>
          <w:rFonts w:eastAsiaTheme="minorHAnsi" w:cs="Calibri"/>
        </w:rPr>
        <w:t>,</w:t>
      </w:r>
      <w:r w:rsidRPr="00A21AC3">
        <w:rPr>
          <w:rFonts w:eastAsiaTheme="minorHAnsi" w:cs="Calibri"/>
        </w:rPr>
        <w:t xml:space="preserve"> </w:t>
      </w:r>
      <w:r w:rsidR="0058584E">
        <w:rPr>
          <w:rFonts w:eastAsiaTheme="minorHAnsi" w:cs="Calibri"/>
        </w:rPr>
        <w:t xml:space="preserve">a to </w:t>
      </w:r>
      <w:r w:rsidR="006C0856">
        <w:rPr>
          <w:rFonts w:eastAsiaTheme="minorHAnsi" w:cs="Calibri"/>
        </w:rPr>
        <w:t xml:space="preserve">mj. </w:t>
      </w:r>
      <w:r w:rsidRPr="00A21AC3">
        <w:rPr>
          <w:rFonts w:eastAsiaTheme="minorHAnsi" w:cs="Calibri"/>
        </w:rPr>
        <w:t xml:space="preserve">v důsledku oprav realizovaných </w:t>
      </w:r>
      <w:proofErr w:type="spellStart"/>
      <w:r w:rsidRPr="00A21AC3">
        <w:rPr>
          <w:rFonts w:eastAsiaTheme="minorHAnsi" w:cs="Calibri"/>
        </w:rPr>
        <w:t>MZ</w:t>
      </w:r>
      <w:r w:rsidR="00500C91" w:rsidRPr="00A21AC3">
        <w:rPr>
          <w:rFonts w:eastAsiaTheme="minorHAnsi" w:cs="Calibri"/>
        </w:rPr>
        <w:t>d</w:t>
      </w:r>
      <w:proofErr w:type="spellEnd"/>
      <w:r w:rsidRPr="00A21AC3">
        <w:rPr>
          <w:rFonts w:eastAsiaTheme="minorHAnsi" w:cs="Calibri"/>
        </w:rPr>
        <w:t xml:space="preserve"> v průběhu kontroly</w:t>
      </w:r>
      <w:r w:rsidR="0058584E">
        <w:rPr>
          <w:rFonts w:eastAsiaTheme="minorHAnsi" w:cs="Calibri"/>
        </w:rPr>
        <w:t>.</w:t>
      </w:r>
      <w:r w:rsidRPr="00A21AC3">
        <w:rPr>
          <w:rFonts w:eastAsiaTheme="minorHAnsi" w:cs="Calibri"/>
        </w:rPr>
        <w:t xml:space="preserve"> </w:t>
      </w:r>
      <w:r w:rsidR="00FD7D80">
        <w:rPr>
          <w:rFonts w:eastAsiaTheme="minorHAnsi" w:cs="Calibri"/>
        </w:rPr>
        <w:t xml:space="preserve">Ministerstvo zdravotnictví </w:t>
      </w:r>
      <w:r w:rsidRPr="00A21AC3">
        <w:rPr>
          <w:rFonts w:eastAsiaTheme="minorHAnsi" w:cs="Calibri"/>
        </w:rPr>
        <w:t>opravilo</w:t>
      </w:r>
      <w:r w:rsidR="0058584E">
        <w:rPr>
          <w:rFonts w:eastAsiaTheme="minorHAnsi" w:cs="Calibri"/>
        </w:rPr>
        <w:t xml:space="preserve"> v</w:t>
      </w:r>
      <w:r w:rsidR="00517CE0">
        <w:rPr>
          <w:rFonts w:eastAsiaTheme="minorHAnsi" w:cs="Calibri"/>
        </w:rPr>
        <w:t xml:space="preserve"> </w:t>
      </w:r>
      <w:r w:rsidR="0058584E">
        <w:rPr>
          <w:rFonts w:eastAsiaTheme="minorHAnsi" w:cs="Calibri"/>
        </w:rPr>
        <w:t>průběhu kontrol</w:t>
      </w:r>
      <w:r w:rsidR="00FD7D80">
        <w:rPr>
          <w:rFonts w:eastAsiaTheme="minorHAnsi" w:cs="Calibri"/>
        </w:rPr>
        <w:t>y</w:t>
      </w:r>
      <w:r w:rsidRPr="00A21AC3">
        <w:rPr>
          <w:rFonts w:eastAsiaTheme="minorHAnsi" w:cs="Calibri"/>
        </w:rPr>
        <w:t xml:space="preserve"> nedostatky</w:t>
      </w:r>
      <w:r w:rsidR="00057126">
        <w:rPr>
          <w:rFonts w:eastAsiaTheme="minorHAnsi" w:cs="Calibri"/>
        </w:rPr>
        <w:t>, které</w:t>
      </w:r>
      <w:r w:rsidR="00FC3AF4">
        <w:rPr>
          <w:rFonts w:eastAsiaTheme="minorHAnsi" w:cs="Calibri"/>
        </w:rPr>
        <w:t xml:space="preserve"> byly </w:t>
      </w:r>
      <w:r w:rsidR="002F1A91">
        <w:rPr>
          <w:rFonts w:eastAsiaTheme="minorHAnsi" w:cs="Calibri"/>
        </w:rPr>
        <w:t>identifikov</w:t>
      </w:r>
      <w:r w:rsidR="00FC3AF4">
        <w:rPr>
          <w:rFonts w:eastAsiaTheme="minorHAnsi" w:cs="Calibri"/>
        </w:rPr>
        <w:t>ány</w:t>
      </w:r>
      <w:r w:rsidR="002F1A91">
        <w:rPr>
          <w:rFonts w:eastAsiaTheme="minorHAnsi" w:cs="Calibri"/>
        </w:rPr>
        <w:t xml:space="preserve"> NKÚ</w:t>
      </w:r>
      <w:r w:rsidRPr="00A21AC3">
        <w:rPr>
          <w:rFonts w:eastAsiaTheme="minorHAnsi" w:cs="Calibri"/>
        </w:rPr>
        <w:t xml:space="preserve"> v</w:t>
      </w:r>
      <w:r w:rsidR="00FD7D80">
        <w:rPr>
          <w:rFonts w:eastAsiaTheme="minorHAnsi" w:cs="Calibri"/>
        </w:rPr>
        <w:t> </w:t>
      </w:r>
      <w:r w:rsidRPr="00A21AC3">
        <w:rPr>
          <w:rFonts w:eastAsiaTheme="minorHAnsi" w:cs="Calibri"/>
        </w:rPr>
        <w:t>rozpočtovém systému</w:t>
      </w:r>
      <w:r w:rsidR="00057126">
        <w:rPr>
          <w:rFonts w:eastAsiaTheme="minorHAnsi" w:cs="Calibri"/>
        </w:rPr>
        <w:t xml:space="preserve"> </w:t>
      </w:r>
      <w:proofErr w:type="spellStart"/>
      <w:r w:rsidR="00FD7D80" w:rsidRPr="00A21AC3">
        <w:rPr>
          <w:rFonts w:eastAsiaTheme="minorHAnsi" w:cs="Calibri"/>
        </w:rPr>
        <w:t>MZd</w:t>
      </w:r>
      <w:proofErr w:type="spellEnd"/>
      <w:r w:rsidR="00FD7D80" w:rsidRPr="00A21AC3">
        <w:rPr>
          <w:rFonts w:eastAsiaTheme="minorHAnsi" w:cs="Calibri"/>
        </w:rPr>
        <w:t xml:space="preserve"> </w:t>
      </w:r>
      <w:r w:rsidR="00057126">
        <w:rPr>
          <w:rFonts w:eastAsiaTheme="minorHAnsi" w:cs="Calibri"/>
        </w:rPr>
        <w:t>ve výši 4 mld. Kč</w:t>
      </w:r>
      <w:r w:rsidR="00FC3AF4">
        <w:rPr>
          <w:rFonts w:eastAsiaTheme="minorHAnsi" w:cs="Calibri"/>
        </w:rPr>
        <w:t>.</w:t>
      </w:r>
      <w:r w:rsidRPr="00A21AC3">
        <w:rPr>
          <w:rFonts w:eastAsiaTheme="minorHAnsi" w:cs="Calibri"/>
        </w:rPr>
        <w:t xml:space="preserve"> </w:t>
      </w:r>
      <w:r w:rsidR="00DE1D62">
        <w:rPr>
          <w:rFonts w:eastAsiaTheme="minorHAnsi" w:cs="Calibri"/>
        </w:rPr>
        <w:t>Nejvýznam</w:t>
      </w:r>
      <w:r w:rsidR="00FC3AF4">
        <w:rPr>
          <w:rFonts w:eastAsiaTheme="minorHAnsi" w:cs="Calibri"/>
        </w:rPr>
        <w:t xml:space="preserve">nější </w:t>
      </w:r>
      <w:r w:rsidR="00DE1D62">
        <w:rPr>
          <w:rFonts w:eastAsiaTheme="minorHAnsi" w:cs="Calibri"/>
        </w:rPr>
        <w:t>nedostatek byl systémový a</w:t>
      </w:r>
      <w:r w:rsidR="00FD7D80">
        <w:rPr>
          <w:rFonts w:eastAsiaTheme="minorHAnsi" w:cs="Calibri"/>
        </w:rPr>
        <w:t> </w:t>
      </w:r>
      <w:r w:rsidR="00FC3AF4">
        <w:rPr>
          <w:rFonts w:eastAsiaTheme="minorHAnsi" w:cs="Calibri"/>
        </w:rPr>
        <w:t xml:space="preserve">spočíval </w:t>
      </w:r>
      <w:r w:rsidR="00ED505F">
        <w:rPr>
          <w:rFonts w:eastAsiaTheme="minorHAnsi" w:cs="Calibri"/>
        </w:rPr>
        <w:t xml:space="preserve">v tom, že </w:t>
      </w:r>
      <w:r w:rsidRPr="00A21AC3">
        <w:rPr>
          <w:rFonts w:eastAsiaTheme="minorHAnsi" w:cs="Calibri"/>
        </w:rPr>
        <w:t>výdaj</w:t>
      </w:r>
      <w:r w:rsidR="00ED505F">
        <w:rPr>
          <w:rFonts w:eastAsiaTheme="minorHAnsi" w:cs="Calibri"/>
        </w:rPr>
        <w:t>e</w:t>
      </w:r>
      <w:r w:rsidR="00FD7D80">
        <w:rPr>
          <w:rFonts w:eastAsiaTheme="minorHAnsi" w:cs="Calibri"/>
        </w:rPr>
        <w:t xml:space="preserve"> </w:t>
      </w:r>
      <w:r w:rsidR="00FC3AF4">
        <w:rPr>
          <w:rFonts w:eastAsiaTheme="minorHAnsi" w:cs="Calibri"/>
        </w:rPr>
        <w:t xml:space="preserve">na </w:t>
      </w:r>
      <w:r w:rsidRPr="00A21AC3">
        <w:rPr>
          <w:rFonts w:eastAsiaTheme="minorHAnsi" w:cs="Calibri"/>
        </w:rPr>
        <w:t xml:space="preserve">transfery </w:t>
      </w:r>
      <w:r w:rsidR="002F1A91">
        <w:rPr>
          <w:rFonts w:eastAsiaTheme="minorHAnsi" w:cs="Calibri"/>
        </w:rPr>
        <w:t>poskytovan</w:t>
      </w:r>
      <w:r w:rsidR="00FC3AF4">
        <w:rPr>
          <w:rFonts w:eastAsiaTheme="minorHAnsi" w:cs="Calibri"/>
        </w:rPr>
        <w:t>é</w:t>
      </w:r>
      <w:r w:rsidR="002F1A91">
        <w:rPr>
          <w:rFonts w:eastAsiaTheme="minorHAnsi" w:cs="Calibri"/>
        </w:rPr>
        <w:t xml:space="preserve"> </w:t>
      </w:r>
      <w:r w:rsidRPr="00A21AC3">
        <w:rPr>
          <w:rFonts w:eastAsiaTheme="minorHAnsi" w:cs="Calibri"/>
        </w:rPr>
        <w:t>obecním a</w:t>
      </w:r>
      <w:r w:rsidR="00ED505F">
        <w:rPr>
          <w:rFonts w:eastAsiaTheme="minorHAnsi" w:cs="Calibri"/>
        </w:rPr>
        <w:t xml:space="preserve"> </w:t>
      </w:r>
      <w:r w:rsidRPr="00A21AC3">
        <w:rPr>
          <w:rFonts w:eastAsiaTheme="minorHAnsi" w:cs="Calibri"/>
        </w:rPr>
        <w:t>krajským nemocnicím</w:t>
      </w:r>
      <w:r w:rsidR="00AC271B">
        <w:rPr>
          <w:rStyle w:val="Znakapoznpodarou"/>
          <w:rFonts w:eastAsiaTheme="minorHAnsi" w:cs="Calibri"/>
        </w:rPr>
        <w:footnoteReference w:id="12"/>
      </w:r>
      <w:r w:rsidR="00423348">
        <w:rPr>
          <w:rFonts w:eastAsiaTheme="minorHAnsi" w:cs="Calibri"/>
        </w:rPr>
        <w:t xml:space="preserve"> </w:t>
      </w:r>
      <w:r w:rsidR="00ED505F">
        <w:rPr>
          <w:rFonts w:eastAsiaTheme="minorHAnsi" w:cs="Calibri"/>
        </w:rPr>
        <w:t xml:space="preserve">byly </w:t>
      </w:r>
      <w:r w:rsidR="00FD1DC1">
        <w:rPr>
          <w:rFonts w:eastAsiaTheme="minorHAnsi" w:cs="Calibri"/>
        </w:rPr>
        <w:t xml:space="preserve">položkou </w:t>
      </w:r>
      <w:r w:rsidR="003920DE">
        <w:rPr>
          <w:rFonts w:eastAsiaTheme="minorHAnsi" w:cs="Calibri"/>
        </w:rPr>
        <w:t>rozpočtové skladby</w:t>
      </w:r>
      <w:r w:rsidR="00ED505F" w:rsidRPr="00ED505F">
        <w:rPr>
          <w:rFonts w:eastAsiaTheme="minorHAnsi" w:cs="Calibri"/>
        </w:rPr>
        <w:t xml:space="preserve"> </w:t>
      </w:r>
      <w:r w:rsidR="00ED505F">
        <w:rPr>
          <w:rFonts w:eastAsiaTheme="minorHAnsi" w:cs="Calibri"/>
        </w:rPr>
        <w:t xml:space="preserve">nesprávně druhově </w:t>
      </w:r>
      <w:r w:rsidR="00ED505F" w:rsidRPr="00A21AC3">
        <w:rPr>
          <w:rFonts w:eastAsiaTheme="minorHAnsi" w:cs="Calibri"/>
        </w:rPr>
        <w:t>tříděn</w:t>
      </w:r>
      <w:r w:rsidR="00ED505F">
        <w:rPr>
          <w:rFonts w:eastAsiaTheme="minorHAnsi" w:cs="Calibri"/>
        </w:rPr>
        <w:t>y</w:t>
      </w:r>
      <w:r w:rsidR="00423348">
        <w:rPr>
          <w:rFonts w:eastAsiaTheme="minorHAnsi" w:cs="Calibri"/>
        </w:rPr>
        <w:t>.</w:t>
      </w:r>
      <w:r w:rsidR="00FC3AF4">
        <w:rPr>
          <w:rFonts w:eastAsiaTheme="minorHAnsi" w:cs="Calibri"/>
        </w:rPr>
        <w:t xml:space="preserve"> </w:t>
      </w:r>
      <w:r w:rsidR="00FD7D80">
        <w:rPr>
          <w:rFonts w:eastAsiaTheme="minorHAnsi" w:cs="Calibri"/>
        </w:rPr>
        <w:t>Ke</w:t>
      </w:r>
      <w:r w:rsidR="00DE1D62">
        <w:rPr>
          <w:rFonts w:eastAsiaTheme="minorHAnsi" w:cs="Calibri"/>
        </w:rPr>
        <w:t xml:space="preserve"> vše</w:t>
      </w:r>
      <w:r w:rsidR="00FD7D80">
        <w:rPr>
          <w:rFonts w:eastAsiaTheme="minorHAnsi" w:cs="Calibri"/>
        </w:rPr>
        <w:t>m</w:t>
      </w:r>
      <w:r w:rsidR="00DE1D62">
        <w:rPr>
          <w:rFonts w:eastAsiaTheme="minorHAnsi" w:cs="Calibri"/>
        </w:rPr>
        <w:t xml:space="preserve"> identifikovaný</w:t>
      </w:r>
      <w:r w:rsidR="00ED505F">
        <w:rPr>
          <w:rFonts w:eastAsiaTheme="minorHAnsi" w:cs="Calibri"/>
        </w:rPr>
        <w:t>m</w:t>
      </w:r>
      <w:r w:rsidR="00DE1D62">
        <w:rPr>
          <w:rFonts w:eastAsiaTheme="minorHAnsi" w:cs="Calibri"/>
        </w:rPr>
        <w:t xml:space="preserve"> nedostatků</w:t>
      </w:r>
      <w:r w:rsidR="00ED505F">
        <w:rPr>
          <w:rFonts w:eastAsiaTheme="minorHAnsi" w:cs="Calibri"/>
        </w:rPr>
        <w:t>m</w:t>
      </w:r>
      <w:r w:rsidRPr="00A21AC3">
        <w:rPr>
          <w:rFonts w:eastAsiaTheme="minorHAnsi" w:cs="Calibri"/>
        </w:rPr>
        <w:t xml:space="preserve"> přijalo</w:t>
      </w:r>
      <w:r w:rsidR="00672086" w:rsidRPr="00A21AC3">
        <w:rPr>
          <w:rFonts w:eastAsiaTheme="minorHAnsi" w:cs="Calibri"/>
        </w:rPr>
        <w:t xml:space="preserve"> </w:t>
      </w:r>
      <w:proofErr w:type="spellStart"/>
      <w:r w:rsidR="00672086" w:rsidRPr="00A21AC3">
        <w:rPr>
          <w:rFonts w:eastAsiaTheme="minorHAnsi" w:cs="Calibri"/>
        </w:rPr>
        <w:t>MZ</w:t>
      </w:r>
      <w:r w:rsidR="00500C91" w:rsidRPr="00A21AC3">
        <w:rPr>
          <w:rFonts w:eastAsiaTheme="minorHAnsi" w:cs="Calibri"/>
        </w:rPr>
        <w:t>d</w:t>
      </w:r>
      <w:proofErr w:type="spellEnd"/>
      <w:r w:rsidR="00423348">
        <w:rPr>
          <w:rFonts w:eastAsiaTheme="minorHAnsi" w:cs="Calibri"/>
        </w:rPr>
        <w:t xml:space="preserve"> </w:t>
      </w:r>
      <w:r w:rsidR="00ED505F">
        <w:rPr>
          <w:rFonts w:eastAsiaTheme="minorHAnsi" w:cs="Calibri"/>
        </w:rPr>
        <w:t xml:space="preserve">nápravná </w:t>
      </w:r>
      <w:r w:rsidRPr="00A21AC3">
        <w:rPr>
          <w:rFonts w:eastAsiaTheme="minorHAnsi" w:cs="Calibri"/>
        </w:rPr>
        <w:t>opatření za účelem</w:t>
      </w:r>
      <w:r w:rsidR="00FC3AF4">
        <w:rPr>
          <w:rFonts w:eastAsiaTheme="minorHAnsi" w:cs="Calibri"/>
        </w:rPr>
        <w:t xml:space="preserve"> odstranění </w:t>
      </w:r>
      <w:r w:rsidR="00ED505F">
        <w:rPr>
          <w:rFonts w:eastAsiaTheme="minorHAnsi" w:cs="Calibri"/>
        </w:rPr>
        <w:t xml:space="preserve">nedostatků </w:t>
      </w:r>
      <w:r w:rsidR="00FC3AF4">
        <w:rPr>
          <w:rFonts w:eastAsiaTheme="minorHAnsi" w:cs="Calibri"/>
        </w:rPr>
        <w:t>v roce 2021</w:t>
      </w:r>
      <w:r w:rsidR="00FD1DC1">
        <w:rPr>
          <w:rFonts w:eastAsiaTheme="minorHAnsi" w:cs="Calibri"/>
        </w:rPr>
        <w:t xml:space="preserve">. V případě systémového nedostatku přijalo </w:t>
      </w:r>
      <w:proofErr w:type="spellStart"/>
      <w:r w:rsidR="00FD1DC1">
        <w:rPr>
          <w:rFonts w:eastAsiaTheme="minorHAnsi" w:cs="Calibri"/>
        </w:rPr>
        <w:t>MZd</w:t>
      </w:r>
      <w:proofErr w:type="spellEnd"/>
      <w:r w:rsidR="00DE1D62">
        <w:rPr>
          <w:rFonts w:eastAsiaTheme="minorHAnsi" w:cs="Calibri"/>
        </w:rPr>
        <w:t xml:space="preserve"> </w:t>
      </w:r>
      <w:r w:rsidR="00FD1DC1">
        <w:rPr>
          <w:rFonts w:eastAsiaTheme="minorHAnsi" w:cs="Calibri"/>
        </w:rPr>
        <w:t>opatření</w:t>
      </w:r>
      <w:r w:rsidR="00FC3AF4">
        <w:rPr>
          <w:rFonts w:eastAsiaTheme="minorHAnsi" w:cs="Calibri"/>
        </w:rPr>
        <w:t xml:space="preserve"> </w:t>
      </w:r>
      <w:r w:rsidR="00FD1DC1">
        <w:rPr>
          <w:rFonts w:eastAsiaTheme="minorHAnsi" w:cs="Calibri"/>
        </w:rPr>
        <w:t>k jeho</w:t>
      </w:r>
      <w:r w:rsidR="00057126">
        <w:rPr>
          <w:rFonts w:eastAsiaTheme="minorHAnsi" w:cs="Calibri"/>
        </w:rPr>
        <w:t xml:space="preserve"> </w:t>
      </w:r>
      <w:r w:rsidRPr="00A21AC3">
        <w:rPr>
          <w:rFonts w:eastAsiaTheme="minorHAnsi" w:cs="Calibri"/>
        </w:rPr>
        <w:t>eliminac</w:t>
      </w:r>
      <w:r w:rsidR="00FC3AF4">
        <w:rPr>
          <w:rFonts w:eastAsiaTheme="minorHAnsi" w:cs="Calibri"/>
        </w:rPr>
        <w:t>i</w:t>
      </w:r>
      <w:r w:rsidRPr="00A21AC3">
        <w:rPr>
          <w:rFonts w:eastAsiaTheme="minorHAnsi" w:cs="Calibri"/>
        </w:rPr>
        <w:t xml:space="preserve"> </w:t>
      </w:r>
      <w:r w:rsidR="00ED505F">
        <w:rPr>
          <w:rFonts w:eastAsiaTheme="minorHAnsi" w:cs="Calibri"/>
        </w:rPr>
        <w:t xml:space="preserve">i </w:t>
      </w:r>
      <w:r w:rsidR="00FC3AF4">
        <w:rPr>
          <w:rFonts w:eastAsiaTheme="minorHAnsi" w:cs="Calibri"/>
        </w:rPr>
        <w:t xml:space="preserve">v </w:t>
      </w:r>
      <w:r w:rsidR="002F1A91">
        <w:rPr>
          <w:rFonts w:eastAsiaTheme="minorHAnsi" w:cs="Calibri"/>
        </w:rPr>
        <w:t>další</w:t>
      </w:r>
      <w:r w:rsidR="00ED505F">
        <w:rPr>
          <w:rFonts w:eastAsiaTheme="minorHAnsi" w:cs="Calibri"/>
        </w:rPr>
        <w:t>ch</w:t>
      </w:r>
      <w:r w:rsidR="002F1A91">
        <w:rPr>
          <w:rFonts w:eastAsiaTheme="minorHAnsi" w:cs="Calibri"/>
        </w:rPr>
        <w:t xml:space="preserve"> </w:t>
      </w:r>
      <w:r w:rsidR="00057126">
        <w:rPr>
          <w:rFonts w:eastAsiaTheme="minorHAnsi" w:cs="Calibri"/>
        </w:rPr>
        <w:t>období</w:t>
      </w:r>
      <w:r w:rsidR="00ED505F">
        <w:rPr>
          <w:rFonts w:eastAsiaTheme="minorHAnsi" w:cs="Calibri"/>
        </w:rPr>
        <w:t>ch</w:t>
      </w:r>
      <w:r w:rsidRPr="00A21AC3">
        <w:rPr>
          <w:rFonts w:eastAsiaTheme="minorHAnsi" w:cs="Calibri"/>
        </w:rPr>
        <w:t xml:space="preserve"> (viz část IV.</w:t>
      </w:r>
      <w:r w:rsidR="00672086" w:rsidRPr="00A21AC3">
        <w:rPr>
          <w:rFonts w:eastAsiaTheme="minorHAnsi" w:cs="Calibri"/>
        </w:rPr>
        <w:t>3</w:t>
      </w:r>
      <w:r w:rsidRPr="00A21AC3">
        <w:rPr>
          <w:rFonts w:eastAsiaTheme="minorHAnsi" w:cs="Calibri"/>
        </w:rPr>
        <w:t xml:space="preserve"> tohoto kontrolního závěru).</w:t>
      </w:r>
    </w:p>
    <w:p w14:paraId="0A53A00F" w14:textId="77777777" w:rsidR="00506C08" w:rsidRDefault="00506C08" w:rsidP="00BD15B5">
      <w:pPr>
        <w:spacing w:after="0"/>
        <w:jc w:val="both"/>
        <w:rPr>
          <w:rFonts w:eastAsia="Calibri"/>
          <w:b/>
          <w:szCs w:val="22"/>
          <w:highlight w:val="yellow"/>
        </w:rPr>
      </w:pPr>
    </w:p>
    <w:p w14:paraId="45300A29" w14:textId="77777777" w:rsidR="008329A2" w:rsidRPr="00EA577C" w:rsidRDefault="00FC0815" w:rsidP="00FC0815">
      <w:pPr>
        <w:keepNext/>
        <w:jc w:val="both"/>
        <w:rPr>
          <w:rFonts w:eastAsiaTheme="minorHAnsi" w:cs="Calibri"/>
          <w:b/>
        </w:rPr>
      </w:pPr>
      <w:r w:rsidRPr="00EA577C">
        <w:rPr>
          <w:rFonts w:eastAsiaTheme="minorHAnsi" w:cs="Calibri"/>
          <w:b/>
        </w:rPr>
        <w:t xml:space="preserve">4. </w:t>
      </w:r>
      <w:r w:rsidR="008329A2" w:rsidRPr="00EA577C">
        <w:rPr>
          <w:rFonts w:eastAsiaTheme="minorHAnsi" w:cs="Calibri"/>
          <w:b/>
        </w:rPr>
        <w:t xml:space="preserve">Závěrečný účet kapitoly státního rozpočtu </w:t>
      </w:r>
      <w:r w:rsidR="00EA577C">
        <w:rPr>
          <w:rFonts w:eastAsiaTheme="minorHAnsi" w:cs="Calibri"/>
          <w:b/>
        </w:rPr>
        <w:t>335</w:t>
      </w:r>
      <w:r w:rsidR="00BF395C" w:rsidRPr="00EA577C">
        <w:rPr>
          <w:rFonts w:eastAsiaTheme="minorHAnsi" w:cs="Calibri"/>
          <w:b/>
        </w:rPr>
        <w:t xml:space="preserve"> –</w:t>
      </w:r>
      <w:r w:rsidR="008329A2" w:rsidRPr="00EA577C">
        <w:rPr>
          <w:rFonts w:eastAsiaTheme="minorHAnsi" w:cs="Calibri"/>
          <w:b/>
        </w:rPr>
        <w:t xml:space="preserve"> </w:t>
      </w:r>
      <w:r w:rsidR="008329A2" w:rsidRPr="00EA577C">
        <w:rPr>
          <w:rFonts w:eastAsiaTheme="minorHAnsi" w:cs="Calibri"/>
          <w:b/>
          <w:i/>
        </w:rPr>
        <w:t xml:space="preserve">Ministerstvo </w:t>
      </w:r>
      <w:r w:rsidR="00EA577C">
        <w:rPr>
          <w:rFonts w:eastAsiaTheme="minorHAnsi" w:cs="Calibri"/>
          <w:b/>
          <w:i/>
        </w:rPr>
        <w:t>zdravotnictví</w:t>
      </w:r>
      <w:r w:rsidR="0037310D" w:rsidRPr="00EA577C">
        <w:rPr>
          <w:rFonts w:eastAsiaTheme="minorHAnsi" w:cs="Calibri"/>
          <w:b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7D6050" w:rsidRPr="00D71C60" w14:paraId="0030FCC1" w14:textId="77777777" w:rsidTr="005E63AE">
        <w:tc>
          <w:tcPr>
            <w:tcW w:w="9060" w:type="dxa"/>
            <w:shd w:val="clear" w:color="auto" w:fill="E5F1FF"/>
          </w:tcPr>
          <w:p w14:paraId="5F028EE6" w14:textId="77777777" w:rsidR="007D6050" w:rsidRPr="00D71C60" w:rsidRDefault="007D6050" w:rsidP="005E63AE">
            <w:pPr>
              <w:jc w:val="both"/>
              <w:rPr>
                <w:rFonts w:eastAsiaTheme="minorHAnsi" w:cs="Calibri"/>
                <w:b/>
                <w:highlight w:val="yellow"/>
              </w:rPr>
            </w:pPr>
            <w:r w:rsidRPr="00485A80">
              <w:rPr>
                <w:rFonts w:eastAsiaTheme="minorHAnsi" w:cs="Calibri"/>
                <w:b/>
              </w:rPr>
              <w:t xml:space="preserve">V závěrečném účtu kapitoly státního rozpočtu </w:t>
            </w:r>
            <w:r w:rsidR="00485A80" w:rsidRPr="00485A80">
              <w:rPr>
                <w:rFonts w:eastAsiaTheme="minorHAnsi" w:cs="Calibri"/>
                <w:b/>
              </w:rPr>
              <w:t>335</w:t>
            </w:r>
            <w:r w:rsidR="00BF395C" w:rsidRPr="00485A80">
              <w:rPr>
                <w:rFonts w:eastAsiaTheme="minorHAnsi" w:cs="Calibri"/>
                <w:b/>
              </w:rPr>
              <w:t xml:space="preserve"> –</w:t>
            </w:r>
            <w:r w:rsidRPr="00485A80">
              <w:rPr>
                <w:rFonts w:eastAsiaTheme="minorHAnsi" w:cs="Calibri"/>
                <w:b/>
              </w:rPr>
              <w:t xml:space="preserve"> </w:t>
            </w:r>
            <w:r w:rsidRPr="00485A80">
              <w:rPr>
                <w:rFonts w:eastAsiaTheme="minorHAnsi" w:cs="Calibri"/>
                <w:b/>
                <w:i/>
              </w:rPr>
              <w:t xml:space="preserve">Ministerstvo </w:t>
            </w:r>
            <w:r w:rsidR="00485A80" w:rsidRPr="00485A80">
              <w:rPr>
                <w:rFonts w:eastAsiaTheme="minorHAnsi" w:cs="Calibri"/>
                <w:b/>
                <w:i/>
              </w:rPr>
              <w:t>zdravotnictví</w:t>
            </w:r>
            <w:r w:rsidRPr="00485A80">
              <w:rPr>
                <w:rFonts w:eastAsiaTheme="minorHAnsi" w:cs="Calibri"/>
                <w:b/>
              </w:rPr>
              <w:t xml:space="preserve"> za rok 202</w:t>
            </w:r>
            <w:r w:rsidR="00485A80" w:rsidRPr="00485A80">
              <w:rPr>
                <w:rFonts w:eastAsiaTheme="minorHAnsi" w:cs="Calibri"/>
                <w:b/>
              </w:rPr>
              <w:t>1</w:t>
            </w:r>
            <w:r w:rsidRPr="00485A80">
              <w:rPr>
                <w:rFonts w:eastAsiaTheme="minorHAnsi" w:cs="Calibri"/>
                <w:b/>
              </w:rPr>
              <w:t xml:space="preserve"> (dále také „ZÚ 202</w:t>
            </w:r>
            <w:r w:rsidR="00485A80" w:rsidRPr="00485A80">
              <w:rPr>
                <w:rFonts w:eastAsiaTheme="minorHAnsi" w:cs="Calibri"/>
                <w:b/>
              </w:rPr>
              <w:t>1</w:t>
            </w:r>
            <w:r w:rsidRPr="00485A80">
              <w:rPr>
                <w:rFonts w:eastAsiaTheme="minorHAnsi" w:cs="Calibri"/>
                <w:b/>
              </w:rPr>
              <w:t>“) nebyly zjištěny významné nesprávnosti s dopadem na jeho celkovou vypovídací schopnost, a to při prověření na soulad s </w:t>
            </w:r>
            <w:r w:rsidR="0018011D">
              <w:rPr>
                <w:rFonts w:eastAsiaTheme="minorHAnsi" w:cs="Calibri"/>
                <w:b/>
              </w:rPr>
              <w:t>údaji v rozpočtovém systému, s finančními výkazy</w:t>
            </w:r>
            <w:r w:rsidR="002F1A91">
              <w:rPr>
                <w:rFonts w:eastAsiaTheme="minorHAnsi" w:cs="Calibri"/>
                <w:b/>
              </w:rPr>
              <w:t>,</w:t>
            </w:r>
            <w:r w:rsidR="00423348">
              <w:rPr>
                <w:rFonts w:eastAsiaTheme="minorHAnsi" w:cs="Calibri"/>
                <w:b/>
              </w:rPr>
              <w:t xml:space="preserve"> </w:t>
            </w:r>
            <w:r w:rsidR="002F1A91">
              <w:rPr>
                <w:rFonts w:eastAsiaTheme="minorHAnsi" w:cs="Calibri"/>
                <w:b/>
              </w:rPr>
              <w:t>s</w:t>
            </w:r>
            <w:r w:rsidR="00423348">
              <w:rPr>
                <w:rFonts w:eastAsiaTheme="minorHAnsi" w:cs="Calibri"/>
                <w:b/>
              </w:rPr>
              <w:t xml:space="preserve"> </w:t>
            </w:r>
            <w:r w:rsidR="0018011D">
              <w:rPr>
                <w:rFonts w:eastAsiaTheme="minorHAnsi" w:cs="Calibri"/>
                <w:b/>
              </w:rPr>
              <w:t>údaji analytických evidencí</w:t>
            </w:r>
            <w:r w:rsidR="0018011D" w:rsidRPr="00485A80">
              <w:rPr>
                <w:rFonts w:eastAsiaTheme="minorHAnsi" w:cs="Calibri"/>
                <w:b/>
              </w:rPr>
              <w:t xml:space="preserve"> </w:t>
            </w:r>
            <w:r w:rsidR="0018011D">
              <w:rPr>
                <w:rFonts w:eastAsiaTheme="minorHAnsi" w:cs="Calibri"/>
                <w:b/>
              </w:rPr>
              <w:t xml:space="preserve">a s </w:t>
            </w:r>
            <w:r w:rsidRPr="00485A80">
              <w:rPr>
                <w:rFonts w:eastAsiaTheme="minorHAnsi" w:cs="Calibri"/>
                <w:b/>
              </w:rPr>
              <w:t>právními předpisy</w:t>
            </w:r>
            <w:r w:rsidR="00057126">
              <w:rPr>
                <w:rFonts w:eastAsiaTheme="minorHAnsi" w:cs="Calibri"/>
                <w:b/>
              </w:rPr>
              <w:t xml:space="preserve"> pro sestavování závěrečných účtů kapitol státního rozpočtu.</w:t>
            </w:r>
          </w:p>
        </w:tc>
      </w:tr>
    </w:tbl>
    <w:p w14:paraId="725D1A81" w14:textId="77777777" w:rsidR="008B175D" w:rsidRPr="00D71C60" w:rsidRDefault="008B175D" w:rsidP="001B7E65">
      <w:pPr>
        <w:spacing w:after="0"/>
        <w:jc w:val="both"/>
        <w:rPr>
          <w:rFonts w:eastAsiaTheme="minorHAnsi" w:cs="Calibri"/>
          <w:b/>
          <w:highlight w:val="yellow"/>
        </w:rPr>
      </w:pPr>
    </w:p>
    <w:p w14:paraId="78CEAF03" w14:textId="77777777" w:rsidR="00E05FAE" w:rsidRDefault="00E05FAE">
      <w:pPr>
        <w:spacing w:after="160" w:line="259" w:lineRule="auto"/>
        <w:rPr>
          <w:rFonts w:eastAsiaTheme="minorHAnsi" w:cs="Calibri"/>
          <w:b/>
        </w:rPr>
      </w:pPr>
      <w:r>
        <w:rPr>
          <w:rFonts w:eastAsiaTheme="minorHAnsi" w:cs="Calibri"/>
          <w:b/>
        </w:rPr>
        <w:br w:type="page"/>
      </w:r>
    </w:p>
    <w:p w14:paraId="2C1D00C0" w14:textId="244C873F" w:rsidR="00DB203F" w:rsidRPr="00A21AC3" w:rsidRDefault="00863F1A" w:rsidP="00DB203F">
      <w:pPr>
        <w:spacing w:after="0"/>
        <w:jc w:val="both"/>
        <w:rPr>
          <w:rFonts w:eastAsiaTheme="minorHAnsi" w:cs="Calibri"/>
        </w:rPr>
      </w:pPr>
      <w:r w:rsidRPr="000A560C">
        <w:rPr>
          <w:rFonts w:eastAsiaTheme="minorHAnsi" w:cs="Calibri"/>
          <w:b/>
        </w:rPr>
        <w:lastRenderedPageBreak/>
        <w:t>Dlouhodob</w:t>
      </w:r>
      <w:r w:rsidR="006B581B" w:rsidRPr="000A560C">
        <w:rPr>
          <w:rFonts w:eastAsiaTheme="minorHAnsi" w:cs="Calibri"/>
          <w:b/>
        </w:rPr>
        <w:t>ým</w:t>
      </w:r>
      <w:r w:rsidRPr="000A560C">
        <w:rPr>
          <w:rFonts w:eastAsiaTheme="minorHAnsi" w:cs="Calibri"/>
          <w:b/>
        </w:rPr>
        <w:t xml:space="preserve"> nedostatkem těchto právních předpisů</w:t>
      </w:r>
      <w:r w:rsidR="00DB203F" w:rsidRPr="000A560C">
        <w:rPr>
          <w:rFonts w:eastAsiaTheme="minorHAnsi" w:cs="Calibri"/>
          <w:b/>
        </w:rPr>
        <w:t>, které jsou v gesci Ministerstva financí</w:t>
      </w:r>
      <w:r w:rsidR="0018011D" w:rsidRPr="000A560C">
        <w:rPr>
          <w:rFonts w:eastAsiaTheme="minorHAnsi" w:cs="Calibri"/>
          <w:b/>
        </w:rPr>
        <w:t xml:space="preserve"> (dále </w:t>
      </w:r>
      <w:r w:rsidR="00E05FAE">
        <w:rPr>
          <w:rFonts w:eastAsiaTheme="minorHAnsi" w:cs="Calibri"/>
          <w:b/>
        </w:rPr>
        <w:t xml:space="preserve">také </w:t>
      </w:r>
      <w:r w:rsidR="0018011D" w:rsidRPr="000A560C">
        <w:rPr>
          <w:rFonts w:eastAsiaTheme="minorHAnsi" w:cs="Calibri"/>
          <w:b/>
        </w:rPr>
        <w:t>„MF“)</w:t>
      </w:r>
      <w:r w:rsidR="00DB203F" w:rsidRPr="00755C1B">
        <w:rPr>
          <w:rFonts w:eastAsiaTheme="minorHAnsi" w:cs="Calibri"/>
          <w:b/>
        </w:rPr>
        <w:t>,</w:t>
      </w:r>
      <w:r w:rsidRPr="00755C1B">
        <w:rPr>
          <w:rFonts w:eastAsiaTheme="minorHAnsi" w:cs="Calibri"/>
          <w:b/>
        </w:rPr>
        <w:t xml:space="preserve"> je dle NKÚ nezveřejňování informací o hospodaření s</w:t>
      </w:r>
      <w:r w:rsidR="00D11F46">
        <w:rPr>
          <w:rFonts w:eastAsiaTheme="minorHAnsi" w:cs="Calibri"/>
          <w:b/>
        </w:rPr>
        <w:t xml:space="preserve"> </w:t>
      </w:r>
      <w:r w:rsidRPr="00755C1B">
        <w:rPr>
          <w:rFonts w:eastAsiaTheme="minorHAnsi" w:cs="Calibri"/>
          <w:b/>
        </w:rPr>
        <w:t xml:space="preserve">majetkem </w:t>
      </w:r>
      <w:r w:rsidR="00517CE0">
        <w:rPr>
          <w:rFonts w:eastAsiaTheme="minorHAnsi" w:cs="Calibri"/>
          <w:b/>
        </w:rPr>
        <w:br/>
      </w:r>
      <w:r w:rsidRPr="00755C1B">
        <w:rPr>
          <w:rFonts w:eastAsiaTheme="minorHAnsi" w:cs="Calibri"/>
          <w:b/>
        </w:rPr>
        <w:t>a</w:t>
      </w:r>
      <w:r w:rsidR="00517CE0">
        <w:rPr>
          <w:rFonts w:eastAsiaTheme="minorHAnsi" w:cs="Calibri"/>
          <w:b/>
        </w:rPr>
        <w:t xml:space="preserve"> </w:t>
      </w:r>
      <w:r w:rsidRPr="00755C1B">
        <w:rPr>
          <w:rFonts w:eastAsiaTheme="minorHAnsi" w:cs="Calibri"/>
          <w:b/>
        </w:rPr>
        <w:t>peněžními prostředky správců kapitol</w:t>
      </w:r>
      <w:r w:rsidR="00F60FDE" w:rsidRPr="00251B9E">
        <w:rPr>
          <w:rFonts w:eastAsiaTheme="minorHAnsi" w:cs="Calibri"/>
          <w:b/>
        </w:rPr>
        <w:t xml:space="preserve"> státního rozpočtu</w:t>
      </w:r>
      <w:r w:rsidRPr="00251B9E">
        <w:rPr>
          <w:rFonts w:eastAsiaTheme="minorHAnsi" w:cs="Calibri"/>
          <w:b/>
        </w:rPr>
        <w:t>, které v daném roce nejsou spojeny s</w:t>
      </w:r>
      <w:r w:rsidR="00517CE0">
        <w:rPr>
          <w:rFonts w:eastAsiaTheme="minorHAnsi" w:cs="Calibri"/>
          <w:b/>
        </w:rPr>
        <w:t xml:space="preserve"> </w:t>
      </w:r>
      <w:r w:rsidRPr="00251B9E">
        <w:rPr>
          <w:rFonts w:eastAsiaTheme="minorHAnsi" w:cs="Calibri"/>
          <w:b/>
        </w:rPr>
        <w:t>peněžním tokem</w:t>
      </w:r>
      <w:r w:rsidR="00BF395C" w:rsidRPr="004E2D6E">
        <w:rPr>
          <w:rFonts w:eastAsiaTheme="minorHAnsi" w:cs="Calibri"/>
          <w:b/>
        </w:rPr>
        <w:t>,</w:t>
      </w:r>
      <w:r w:rsidR="006B581B" w:rsidRPr="00A21AC3">
        <w:rPr>
          <w:rFonts w:eastAsiaTheme="minorHAnsi" w:cs="Calibri"/>
        </w:rPr>
        <w:t xml:space="preserve"> tzn. </w:t>
      </w:r>
      <w:r w:rsidR="00486073" w:rsidRPr="00A21AC3">
        <w:rPr>
          <w:rFonts w:eastAsiaTheme="minorHAnsi" w:cs="Calibri"/>
        </w:rPr>
        <w:t xml:space="preserve">nezveřejňování </w:t>
      </w:r>
      <w:r w:rsidR="006B581B" w:rsidRPr="00A21AC3">
        <w:rPr>
          <w:rFonts w:eastAsiaTheme="minorHAnsi" w:cs="Calibri"/>
        </w:rPr>
        <w:t>údaj</w:t>
      </w:r>
      <w:r w:rsidR="00486073" w:rsidRPr="00A21AC3">
        <w:rPr>
          <w:rFonts w:eastAsiaTheme="minorHAnsi" w:cs="Calibri"/>
        </w:rPr>
        <w:t>ů</w:t>
      </w:r>
      <w:r w:rsidR="006B581B" w:rsidRPr="00A21AC3">
        <w:rPr>
          <w:rFonts w:eastAsiaTheme="minorHAnsi" w:cs="Calibri"/>
        </w:rPr>
        <w:t xml:space="preserve"> z účetnictví</w:t>
      </w:r>
      <w:r w:rsidRPr="00A21AC3">
        <w:rPr>
          <w:rFonts w:eastAsiaTheme="minorHAnsi" w:cs="Calibri"/>
        </w:rPr>
        <w:t>.</w:t>
      </w:r>
      <w:r w:rsidR="00DB203F" w:rsidRPr="00A21AC3">
        <w:rPr>
          <w:rFonts w:eastAsiaTheme="minorHAnsi" w:cs="Calibri"/>
        </w:rPr>
        <w:t xml:space="preserve"> Na tuto skutečnost NKÚ dlouhodobě upozorňuje ve svých kontrolních závěrech</w:t>
      </w:r>
      <w:r w:rsidR="00DB203F" w:rsidRPr="00A21AC3">
        <w:rPr>
          <w:rStyle w:val="Znakapoznpodarou"/>
          <w:rFonts w:eastAsiaTheme="minorHAnsi" w:cs="Calibri"/>
        </w:rPr>
        <w:footnoteReference w:id="13"/>
      </w:r>
      <w:r w:rsidR="00DB203F" w:rsidRPr="00A21AC3">
        <w:rPr>
          <w:rFonts w:eastAsiaTheme="minorHAnsi" w:cs="Calibri"/>
        </w:rPr>
        <w:t>.</w:t>
      </w:r>
      <w:r w:rsidR="002A4079">
        <w:rPr>
          <w:rFonts w:eastAsiaTheme="minorHAnsi" w:cs="Calibri"/>
        </w:rPr>
        <w:t xml:space="preserve"> </w:t>
      </w:r>
      <w:r w:rsidR="000A560C">
        <w:rPr>
          <w:rFonts w:eastAsiaTheme="minorHAnsi" w:cs="Calibri"/>
          <w:b/>
        </w:rPr>
        <w:t>Přitom z</w:t>
      </w:r>
      <w:r w:rsidR="00527A11" w:rsidRPr="00A21AC3">
        <w:rPr>
          <w:rFonts w:eastAsiaTheme="minorHAnsi" w:cs="Calibri"/>
          <w:b/>
        </w:rPr>
        <w:t>ávěrečný účet kapitoly státního rozpočtu je v</w:t>
      </w:r>
      <w:r w:rsidR="00517CE0">
        <w:rPr>
          <w:rFonts w:eastAsiaTheme="minorHAnsi" w:cs="Calibri"/>
          <w:b/>
        </w:rPr>
        <w:t xml:space="preserve"> </w:t>
      </w:r>
      <w:r w:rsidR="00527A11" w:rsidRPr="002A4079">
        <w:rPr>
          <w:rFonts w:eastAsiaTheme="minorHAnsi" w:cs="Calibri"/>
          <w:b/>
        </w:rPr>
        <w:t>souladu s</w:t>
      </w:r>
      <w:r w:rsidR="00517CE0">
        <w:rPr>
          <w:rFonts w:eastAsiaTheme="minorHAnsi" w:cs="Calibri"/>
          <w:b/>
        </w:rPr>
        <w:t xml:space="preserve"> </w:t>
      </w:r>
      <w:r w:rsidR="00527A11" w:rsidRPr="002A4079">
        <w:rPr>
          <w:rFonts w:eastAsiaTheme="minorHAnsi" w:cs="Calibri"/>
          <w:b/>
        </w:rPr>
        <w:t>ustanovení</w:t>
      </w:r>
      <w:r w:rsidR="00B020BB">
        <w:rPr>
          <w:rFonts w:eastAsiaTheme="minorHAnsi" w:cs="Calibri"/>
          <w:b/>
        </w:rPr>
        <w:t>m</w:t>
      </w:r>
      <w:r w:rsidR="00527A11" w:rsidRPr="002A4079">
        <w:rPr>
          <w:rFonts w:eastAsiaTheme="minorHAnsi" w:cs="Calibri"/>
          <w:b/>
        </w:rPr>
        <w:t xml:space="preserve"> §</w:t>
      </w:r>
      <w:r w:rsidR="002A4079">
        <w:rPr>
          <w:rFonts w:eastAsiaTheme="minorHAnsi" w:cs="Calibri"/>
          <w:b/>
        </w:rPr>
        <w:t xml:space="preserve"> </w:t>
      </w:r>
      <w:r w:rsidR="00527A11" w:rsidRPr="002A4079">
        <w:rPr>
          <w:rFonts w:eastAsiaTheme="minorHAnsi" w:cs="Calibri"/>
          <w:b/>
        </w:rPr>
        <w:t>29 odst. 2 zákona č. 218/2000 Sb.</w:t>
      </w:r>
      <w:r w:rsidR="00013F0F">
        <w:rPr>
          <w:rStyle w:val="Znakapoznpodarou"/>
          <w:rFonts w:eastAsiaTheme="minorHAnsi" w:cs="Calibri"/>
          <w:b/>
        </w:rPr>
        <w:footnoteReference w:id="14"/>
      </w:r>
      <w:r w:rsidR="00527A11" w:rsidRPr="002A4079">
        <w:rPr>
          <w:rFonts w:eastAsiaTheme="minorHAnsi" w:cs="Calibri"/>
          <w:b/>
        </w:rPr>
        <w:t xml:space="preserve"> předkládán</w:t>
      </w:r>
      <w:r w:rsidR="0066549A">
        <w:rPr>
          <w:rFonts w:eastAsiaTheme="minorHAnsi" w:cs="Calibri"/>
          <w:b/>
        </w:rPr>
        <w:t xml:space="preserve"> </w:t>
      </w:r>
      <w:r w:rsidR="00527A11" w:rsidRPr="002A4079">
        <w:rPr>
          <w:rFonts w:eastAsiaTheme="minorHAnsi" w:cs="Calibri"/>
          <w:b/>
        </w:rPr>
        <w:t xml:space="preserve">Poslanecké sněmovně </w:t>
      </w:r>
      <w:r w:rsidR="002A4079" w:rsidRPr="00B33CB9">
        <w:rPr>
          <w:rFonts w:eastAsiaTheme="minorHAnsi" w:cs="Calibri"/>
          <w:b/>
        </w:rPr>
        <w:t>v </w:t>
      </w:r>
      <w:r w:rsidR="002A4079" w:rsidRPr="009B5B10">
        <w:rPr>
          <w:rFonts w:eastAsiaTheme="minorHAnsi" w:cs="Calibri"/>
          <w:b/>
        </w:rPr>
        <w:t xml:space="preserve">souvislosti s </w:t>
      </w:r>
      <w:r w:rsidR="00527A11" w:rsidRPr="009B5B10">
        <w:rPr>
          <w:rFonts w:eastAsiaTheme="minorHAnsi" w:cs="Calibri"/>
          <w:b/>
        </w:rPr>
        <w:t>projednávání</w:t>
      </w:r>
      <w:r w:rsidR="002A4079" w:rsidRPr="009B5B10">
        <w:rPr>
          <w:rFonts w:eastAsiaTheme="minorHAnsi" w:cs="Calibri"/>
          <w:b/>
        </w:rPr>
        <w:t>m</w:t>
      </w:r>
      <w:r w:rsidR="00527A11" w:rsidRPr="009B5B10">
        <w:rPr>
          <w:rFonts w:eastAsiaTheme="minorHAnsi" w:cs="Calibri"/>
          <w:b/>
        </w:rPr>
        <w:t xml:space="preserve"> státního závěrečného účtu.</w:t>
      </w:r>
    </w:p>
    <w:p w14:paraId="6FB2868F" w14:textId="77777777" w:rsidR="00DB203F" w:rsidRPr="00D71C60" w:rsidRDefault="00DB203F" w:rsidP="00E05FAE">
      <w:pPr>
        <w:spacing w:after="0"/>
        <w:jc w:val="both"/>
        <w:rPr>
          <w:rFonts w:eastAsiaTheme="minorHAnsi" w:cs="Calibri"/>
          <w:b/>
          <w:highlight w:val="yellow"/>
        </w:rPr>
      </w:pPr>
    </w:p>
    <w:p w14:paraId="2EE120B9" w14:textId="1AC2E946" w:rsidR="00995770" w:rsidRPr="001217F1" w:rsidRDefault="00BA0967" w:rsidP="001B7E65">
      <w:pPr>
        <w:spacing w:after="0"/>
        <w:jc w:val="both"/>
        <w:rPr>
          <w:rFonts w:eastAsiaTheme="minorHAnsi" w:cs="Calibri"/>
        </w:rPr>
      </w:pPr>
      <w:r w:rsidRPr="00EA577C">
        <w:rPr>
          <w:rFonts w:eastAsiaTheme="minorHAnsi" w:cs="Calibri"/>
          <w:b/>
        </w:rPr>
        <w:t xml:space="preserve">V případě závěrečného účtu </w:t>
      </w:r>
      <w:proofErr w:type="spellStart"/>
      <w:r w:rsidR="00EA577C" w:rsidRPr="00EA577C">
        <w:rPr>
          <w:rFonts w:eastAsiaTheme="minorHAnsi" w:cs="Calibri"/>
          <w:b/>
        </w:rPr>
        <w:t>MZ</w:t>
      </w:r>
      <w:r w:rsidR="00500C91">
        <w:rPr>
          <w:rFonts w:eastAsiaTheme="minorHAnsi" w:cs="Calibri"/>
          <w:b/>
        </w:rPr>
        <w:t>d</w:t>
      </w:r>
      <w:proofErr w:type="spellEnd"/>
      <w:r w:rsidRPr="00EA577C">
        <w:rPr>
          <w:rFonts w:eastAsiaTheme="minorHAnsi" w:cs="Calibri"/>
          <w:b/>
        </w:rPr>
        <w:t xml:space="preserve"> za rok 202</w:t>
      </w:r>
      <w:r w:rsidR="00EA577C" w:rsidRPr="00EA577C">
        <w:rPr>
          <w:rFonts w:eastAsiaTheme="minorHAnsi" w:cs="Calibri"/>
          <w:b/>
        </w:rPr>
        <w:t>1</w:t>
      </w:r>
      <w:r w:rsidRPr="00EA577C">
        <w:rPr>
          <w:rFonts w:eastAsiaTheme="minorHAnsi" w:cs="Calibri"/>
          <w:b/>
        </w:rPr>
        <w:t xml:space="preserve"> tak není povinně zveřejněna např. informace </w:t>
      </w:r>
      <w:r w:rsidR="00C14E26">
        <w:rPr>
          <w:rFonts w:eastAsiaTheme="minorHAnsi" w:cs="Calibri"/>
          <w:b/>
        </w:rPr>
        <w:t xml:space="preserve">o výši </w:t>
      </w:r>
      <w:r w:rsidR="00582D23">
        <w:rPr>
          <w:rFonts w:eastAsiaTheme="minorHAnsi" w:cs="Calibri"/>
          <w:b/>
        </w:rPr>
        <w:t>p</w:t>
      </w:r>
      <w:r w:rsidR="00C14E26">
        <w:rPr>
          <w:rFonts w:eastAsiaTheme="minorHAnsi" w:cs="Calibri"/>
          <w:b/>
        </w:rPr>
        <w:t>odmíněných závazků</w:t>
      </w:r>
      <w:r w:rsidR="00D3776A">
        <w:rPr>
          <w:rFonts w:eastAsiaTheme="minorHAnsi" w:cs="Calibri"/>
          <w:b/>
        </w:rPr>
        <w:t xml:space="preserve"> </w:t>
      </w:r>
      <w:proofErr w:type="spellStart"/>
      <w:r w:rsidR="00D3776A">
        <w:rPr>
          <w:rFonts w:eastAsiaTheme="minorHAnsi" w:cs="Calibri"/>
          <w:b/>
        </w:rPr>
        <w:t>M</w:t>
      </w:r>
      <w:r w:rsidR="00582D23">
        <w:rPr>
          <w:rFonts w:eastAsiaTheme="minorHAnsi" w:cs="Calibri"/>
          <w:b/>
        </w:rPr>
        <w:t>Z</w:t>
      </w:r>
      <w:r w:rsidR="00D3776A">
        <w:rPr>
          <w:rFonts w:eastAsiaTheme="minorHAnsi" w:cs="Calibri"/>
          <w:b/>
        </w:rPr>
        <w:t>d</w:t>
      </w:r>
      <w:proofErr w:type="spellEnd"/>
      <w:r w:rsidR="00C00C80">
        <w:rPr>
          <w:rFonts w:eastAsiaTheme="minorHAnsi" w:cs="Calibri"/>
          <w:b/>
        </w:rPr>
        <w:t>, které byly</w:t>
      </w:r>
      <w:r w:rsidR="00D3776A">
        <w:rPr>
          <w:rFonts w:eastAsiaTheme="minorHAnsi" w:cs="Calibri"/>
          <w:b/>
        </w:rPr>
        <w:t xml:space="preserve"> vykázány</w:t>
      </w:r>
      <w:r w:rsidR="00582D23">
        <w:rPr>
          <w:rFonts w:eastAsiaTheme="minorHAnsi" w:cs="Calibri"/>
          <w:b/>
        </w:rPr>
        <w:t xml:space="preserve"> k datu ÚZ</w:t>
      </w:r>
      <w:r w:rsidR="00D3776A">
        <w:rPr>
          <w:rFonts w:eastAsiaTheme="minorHAnsi" w:cs="Calibri"/>
          <w:b/>
        </w:rPr>
        <w:t xml:space="preserve"> v celkové </w:t>
      </w:r>
      <w:r w:rsidR="00C00C80">
        <w:rPr>
          <w:rFonts w:eastAsiaTheme="minorHAnsi" w:cs="Calibri"/>
          <w:b/>
        </w:rPr>
        <w:t>výši 4</w:t>
      </w:r>
      <w:r w:rsidR="00D3776A">
        <w:rPr>
          <w:rFonts w:eastAsiaTheme="minorHAnsi" w:cs="Calibri"/>
          <w:b/>
        </w:rPr>
        <w:t>7</w:t>
      </w:r>
      <w:r w:rsidR="00C00C80">
        <w:rPr>
          <w:rFonts w:eastAsiaTheme="minorHAnsi" w:cs="Calibri"/>
          <w:b/>
        </w:rPr>
        <w:t>,</w:t>
      </w:r>
      <w:r w:rsidR="00D3776A">
        <w:rPr>
          <w:rFonts w:eastAsiaTheme="minorHAnsi" w:cs="Calibri"/>
          <w:b/>
        </w:rPr>
        <w:t>7</w:t>
      </w:r>
      <w:r w:rsidR="00C00C80">
        <w:rPr>
          <w:rFonts w:eastAsiaTheme="minorHAnsi" w:cs="Calibri"/>
          <w:b/>
        </w:rPr>
        <w:t xml:space="preserve"> mld. Kč</w:t>
      </w:r>
      <w:r w:rsidR="00C14E26">
        <w:rPr>
          <w:rFonts w:eastAsiaTheme="minorHAnsi" w:cs="Calibri"/>
          <w:b/>
        </w:rPr>
        <w:t xml:space="preserve">. </w:t>
      </w:r>
      <w:r w:rsidR="00582D23" w:rsidRPr="001217F1">
        <w:rPr>
          <w:rFonts w:eastAsiaTheme="minorHAnsi" w:cs="Calibri"/>
        </w:rPr>
        <w:t>V</w:t>
      </w:r>
      <w:r w:rsidR="00D3776A" w:rsidRPr="001217F1">
        <w:rPr>
          <w:rFonts w:eastAsiaTheme="minorHAnsi" w:cs="Calibri"/>
        </w:rPr>
        <w:t> závěrečném účtu kapitoly</w:t>
      </w:r>
      <w:r w:rsidR="00582D23" w:rsidRPr="001217F1">
        <w:rPr>
          <w:rFonts w:eastAsiaTheme="minorHAnsi" w:cs="Calibri"/>
        </w:rPr>
        <w:t xml:space="preserve"> státního rozpočtu</w:t>
      </w:r>
      <w:r w:rsidR="00D3776A" w:rsidRPr="001217F1">
        <w:rPr>
          <w:rFonts w:eastAsiaTheme="minorHAnsi" w:cs="Calibri"/>
        </w:rPr>
        <w:t xml:space="preserve"> </w:t>
      </w:r>
      <w:r w:rsidR="00582D23" w:rsidRPr="001217F1">
        <w:rPr>
          <w:rFonts w:eastAsiaTheme="minorHAnsi" w:cs="Calibri"/>
        </w:rPr>
        <w:t>t</w:t>
      </w:r>
      <w:r w:rsidR="00E05FAE">
        <w:rPr>
          <w:rFonts w:eastAsiaTheme="minorHAnsi" w:cs="Calibri"/>
        </w:rPr>
        <w:t>edy</w:t>
      </w:r>
      <w:r w:rsidR="00582D23" w:rsidRPr="001217F1">
        <w:rPr>
          <w:rFonts w:eastAsiaTheme="minorHAnsi" w:cs="Calibri"/>
        </w:rPr>
        <w:t xml:space="preserve"> není </w:t>
      </w:r>
      <w:r w:rsidR="00D3776A" w:rsidRPr="001217F1">
        <w:rPr>
          <w:rFonts w:eastAsiaTheme="minorHAnsi" w:cs="Calibri"/>
        </w:rPr>
        <w:t xml:space="preserve">uvedena </w:t>
      </w:r>
      <w:r w:rsidR="00C14E26" w:rsidRPr="001217F1">
        <w:rPr>
          <w:rFonts w:eastAsiaTheme="minorHAnsi" w:cs="Calibri"/>
        </w:rPr>
        <w:t xml:space="preserve">informace </w:t>
      </w:r>
      <w:r w:rsidRPr="001217F1">
        <w:rPr>
          <w:rFonts w:eastAsiaTheme="minorHAnsi" w:cs="Calibri"/>
        </w:rPr>
        <w:t xml:space="preserve">o </w:t>
      </w:r>
      <w:r w:rsidR="000A560C" w:rsidRPr="001217F1">
        <w:rPr>
          <w:rFonts w:eastAsiaTheme="minorHAnsi" w:cs="Calibri"/>
        </w:rPr>
        <w:t xml:space="preserve">jejich výši </w:t>
      </w:r>
      <w:r w:rsidR="00517CE0">
        <w:rPr>
          <w:rFonts w:eastAsiaTheme="minorHAnsi" w:cs="Calibri"/>
        </w:rPr>
        <w:br/>
      </w:r>
      <w:r w:rsidR="00E05FAE">
        <w:rPr>
          <w:rFonts w:eastAsiaTheme="minorHAnsi" w:cs="Calibri"/>
        </w:rPr>
        <w:t>a</w:t>
      </w:r>
      <w:r w:rsidR="00517CE0">
        <w:rPr>
          <w:rFonts w:eastAsiaTheme="minorHAnsi" w:cs="Calibri"/>
        </w:rPr>
        <w:t xml:space="preserve"> </w:t>
      </w:r>
      <w:r w:rsidR="000A560C" w:rsidRPr="001217F1">
        <w:rPr>
          <w:rFonts w:eastAsiaTheme="minorHAnsi" w:cs="Calibri"/>
        </w:rPr>
        <w:t xml:space="preserve">struktuře. Tyto podmíněné závazky </w:t>
      </w:r>
      <w:r w:rsidR="00E05FAE">
        <w:rPr>
          <w:rFonts w:eastAsiaTheme="minorHAnsi" w:cs="Calibri"/>
        </w:rPr>
        <w:t>vykázalo</w:t>
      </w:r>
      <w:r w:rsidR="002F1A91" w:rsidRPr="001217F1">
        <w:rPr>
          <w:rFonts w:eastAsiaTheme="minorHAnsi" w:cs="Calibri"/>
        </w:rPr>
        <w:t xml:space="preserve"> </w:t>
      </w:r>
      <w:proofErr w:type="spellStart"/>
      <w:r w:rsidR="002F1A91" w:rsidRPr="001217F1">
        <w:rPr>
          <w:rFonts w:eastAsiaTheme="minorHAnsi" w:cs="Calibri"/>
        </w:rPr>
        <w:t>MZd</w:t>
      </w:r>
      <w:proofErr w:type="spellEnd"/>
      <w:r w:rsidR="002F1A91" w:rsidRPr="001217F1">
        <w:rPr>
          <w:rFonts w:eastAsiaTheme="minorHAnsi" w:cs="Calibri"/>
        </w:rPr>
        <w:t xml:space="preserve"> k datu ÚZ </w:t>
      </w:r>
      <w:r w:rsidR="000A560C" w:rsidRPr="001217F1">
        <w:rPr>
          <w:rFonts w:eastAsiaTheme="minorHAnsi" w:cs="Calibri"/>
        </w:rPr>
        <w:t>jednak</w:t>
      </w:r>
      <w:r w:rsidR="00582D23" w:rsidRPr="001217F1">
        <w:rPr>
          <w:rFonts w:eastAsiaTheme="minorHAnsi" w:cs="Calibri"/>
        </w:rPr>
        <w:t xml:space="preserve"> </w:t>
      </w:r>
      <w:r w:rsidR="00D3776A" w:rsidRPr="001217F1">
        <w:rPr>
          <w:rFonts w:eastAsiaTheme="minorHAnsi" w:cs="Calibri"/>
        </w:rPr>
        <w:t xml:space="preserve">z důvodu existence již vydaných rozhodnutí o poskytnutí dotace </w:t>
      </w:r>
      <w:r w:rsidR="00E05FAE">
        <w:rPr>
          <w:rFonts w:eastAsiaTheme="minorHAnsi" w:cs="Calibri"/>
        </w:rPr>
        <w:t>(dotace</w:t>
      </w:r>
      <w:r w:rsidR="00D3776A" w:rsidRPr="001217F1">
        <w:rPr>
          <w:rFonts w:eastAsiaTheme="minorHAnsi" w:cs="Calibri"/>
        </w:rPr>
        <w:t xml:space="preserve"> sice zatím nebyly poskytnuty, ale právní závazek již vznikl</w:t>
      </w:r>
      <w:r w:rsidR="00E05FAE">
        <w:rPr>
          <w:rFonts w:eastAsiaTheme="minorHAnsi" w:cs="Calibri"/>
        </w:rPr>
        <w:t>)</w:t>
      </w:r>
      <w:r w:rsidR="000A560C" w:rsidRPr="001217F1">
        <w:rPr>
          <w:rFonts w:eastAsiaTheme="minorHAnsi" w:cs="Calibri"/>
        </w:rPr>
        <w:t>, jednak</w:t>
      </w:r>
      <w:r w:rsidR="00D3776A" w:rsidRPr="001217F1">
        <w:rPr>
          <w:rFonts w:eastAsiaTheme="minorHAnsi" w:cs="Calibri"/>
        </w:rPr>
        <w:t xml:space="preserve"> z titulu závazků ze smluv na nákup vakcín</w:t>
      </w:r>
      <w:r w:rsidR="000A560C" w:rsidRPr="001217F1">
        <w:rPr>
          <w:rFonts w:eastAsiaTheme="minorHAnsi" w:cs="Calibri"/>
        </w:rPr>
        <w:t xml:space="preserve"> a</w:t>
      </w:r>
      <w:r w:rsidR="008E6864" w:rsidRPr="001217F1">
        <w:rPr>
          <w:rFonts w:eastAsiaTheme="minorHAnsi" w:cs="Calibri"/>
        </w:rPr>
        <w:t xml:space="preserve"> dále pak ze</w:t>
      </w:r>
      <w:r w:rsidR="000A560C" w:rsidRPr="001217F1">
        <w:rPr>
          <w:rFonts w:eastAsiaTheme="minorHAnsi" w:cs="Calibri"/>
        </w:rPr>
        <w:t xml:space="preserve"> </w:t>
      </w:r>
      <w:r w:rsidR="008E6864" w:rsidRPr="001217F1">
        <w:rPr>
          <w:rFonts w:eastAsiaTheme="minorHAnsi" w:cs="Calibri"/>
        </w:rPr>
        <w:t>závazků</w:t>
      </w:r>
      <w:r w:rsidR="00D3776A" w:rsidRPr="001217F1">
        <w:rPr>
          <w:rFonts w:eastAsiaTheme="minorHAnsi" w:cs="Calibri"/>
        </w:rPr>
        <w:t xml:space="preserve"> vyplývající</w:t>
      </w:r>
      <w:r w:rsidR="008E6864" w:rsidRPr="001217F1">
        <w:rPr>
          <w:rFonts w:eastAsiaTheme="minorHAnsi" w:cs="Calibri"/>
        </w:rPr>
        <w:t>ch</w:t>
      </w:r>
      <w:r w:rsidR="00D3776A" w:rsidRPr="001217F1">
        <w:rPr>
          <w:rFonts w:eastAsiaTheme="minorHAnsi" w:cs="Calibri"/>
        </w:rPr>
        <w:t xml:space="preserve"> ze soudních sporů, správních a jiných řízení. Všechny tyto podmíněné závazky představují nároky</w:t>
      </w:r>
      <w:r w:rsidR="00171B28" w:rsidRPr="001217F1">
        <w:rPr>
          <w:rFonts w:eastAsiaTheme="minorHAnsi" w:cs="Calibri"/>
        </w:rPr>
        <w:t xml:space="preserve"> na výdaje státního rozpočtu České republiky</w:t>
      </w:r>
      <w:r w:rsidR="00D3776A" w:rsidRPr="001217F1">
        <w:rPr>
          <w:rFonts w:eastAsiaTheme="minorHAnsi" w:cs="Calibri"/>
        </w:rPr>
        <w:t xml:space="preserve"> v dalších letech</w:t>
      </w:r>
      <w:r w:rsidR="00582D23" w:rsidRPr="001217F1">
        <w:rPr>
          <w:rFonts w:eastAsiaTheme="minorHAnsi" w:cs="Calibri"/>
        </w:rPr>
        <w:t xml:space="preserve"> (blíže viz část IV.</w:t>
      </w:r>
      <w:r w:rsidR="00AC25D0">
        <w:rPr>
          <w:rFonts w:eastAsiaTheme="minorHAnsi" w:cs="Calibri"/>
        </w:rPr>
        <w:t>4.</w:t>
      </w:r>
      <w:r w:rsidR="00582D23" w:rsidRPr="001217F1">
        <w:rPr>
          <w:rFonts w:eastAsiaTheme="minorHAnsi" w:cs="Calibri"/>
        </w:rPr>
        <w:t>2.3 tohoto kontrolního závěru).</w:t>
      </w:r>
    </w:p>
    <w:p w14:paraId="0DB12DF4" w14:textId="77777777" w:rsidR="00995770" w:rsidRPr="00D71C60" w:rsidRDefault="00995770" w:rsidP="00E05FAE">
      <w:pPr>
        <w:spacing w:after="0"/>
        <w:jc w:val="both"/>
        <w:rPr>
          <w:rFonts w:eastAsiaTheme="minorHAnsi" w:cs="Calibri"/>
          <w:b/>
          <w:highlight w:val="yellow"/>
        </w:rPr>
      </w:pPr>
    </w:p>
    <w:p w14:paraId="613CADD3" w14:textId="69628F36" w:rsidR="00155063" w:rsidRPr="00251B9E" w:rsidRDefault="00BA0967" w:rsidP="008B175D">
      <w:pPr>
        <w:spacing w:after="0"/>
        <w:jc w:val="both"/>
        <w:rPr>
          <w:rFonts w:eastAsiaTheme="minorHAnsi" w:cs="Calibri"/>
          <w:b/>
          <w:highlight w:val="yellow"/>
        </w:rPr>
      </w:pPr>
      <w:r w:rsidRPr="000A560C">
        <w:rPr>
          <w:rFonts w:eastAsiaTheme="minorHAnsi" w:cs="Calibri"/>
          <w:b/>
        </w:rPr>
        <w:t>Dle názoru NKÚ</w:t>
      </w:r>
      <w:r w:rsidR="00CB13DC" w:rsidRPr="000A560C">
        <w:rPr>
          <w:rFonts w:eastAsiaTheme="minorHAnsi" w:cs="Calibri"/>
          <w:b/>
        </w:rPr>
        <w:t xml:space="preserve"> </w:t>
      </w:r>
      <w:r w:rsidR="00DB203F" w:rsidRPr="000A560C">
        <w:rPr>
          <w:rFonts w:eastAsiaTheme="minorHAnsi" w:cs="Calibri"/>
          <w:b/>
        </w:rPr>
        <w:t>je nezveřejňování těchto informací v závěrečných účtech kapitol státního rozpočtu systémovým nedostatkem</w:t>
      </w:r>
      <w:r w:rsidR="00BF395C" w:rsidRPr="00755C1B">
        <w:rPr>
          <w:rFonts w:eastAsiaTheme="minorHAnsi" w:cs="Calibri"/>
          <w:b/>
        </w:rPr>
        <w:t>,</w:t>
      </w:r>
      <w:r w:rsidR="00B11D5E" w:rsidRPr="00755C1B">
        <w:rPr>
          <w:rFonts w:eastAsiaTheme="minorHAnsi" w:cs="Calibri"/>
          <w:b/>
        </w:rPr>
        <w:t xml:space="preserve"> </w:t>
      </w:r>
      <w:r w:rsidR="00E05FAE">
        <w:rPr>
          <w:rFonts w:eastAsiaTheme="minorHAnsi" w:cs="Calibri"/>
          <w:b/>
        </w:rPr>
        <w:t>který vznik</w:t>
      </w:r>
      <w:r w:rsidR="00F93573">
        <w:rPr>
          <w:rFonts w:eastAsiaTheme="minorHAnsi" w:cs="Calibri"/>
          <w:b/>
        </w:rPr>
        <w:t>á</w:t>
      </w:r>
      <w:r w:rsidR="00B11D5E" w:rsidRPr="00755C1B">
        <w:rPr>
          <w:rFonts w:eastAsiaTheme="minorHAnsi" w:cs="Calibri"/>
          <w:b/>
        </w:rPr>
        <w:t xml:space="preserve"> v důsledku nedostatečné právní úpravy v této oblasti. </w:t>
      </w:r>
    </w:p>
    <w:p w14:paraId="6FE55CBA" w14:textId="77777777" w:rsidR="00155063" w:rsidRPr="00A21AC3" w:rsidRDefault="00155063" w:rsidP="00E05FAE">
      <w:pPr>
        <w:spacing w:after="0"/>
        <w:jc w:val="both"/>
        <w:rPr>
          <w:rFonts w:eastAsiaTheme="minorHAnsi" w:cs="Calibri"/>
          <w:highlight w:val="yellow"/>
        </w:rPr>
      </w:pPr>
    </w:p>
    <w:p w14:paraId="4D234D0C" w14:textId="141E485A" w:rsidR="00155063" w:rsidRPr="00A21AC3" w:rsidRDefault="00BA0967" w:rsidP="008B175D">
      <w:pPr>
        <w:spacing w:after="0"/>
        <w:jc w:val="both"/>
        <w:rPr>
          <w:rFonts w:cs="Calibri"/>
        </w:rPr>
      </w:pPr>
      <w:r w:rsidRPr="000A560C">
        <w:rPr>
          <w:rFonts w:eastAsiaTheme="minorHAnsi" w:cs="Calibri"/>
          <w:b/>
        </w:rPr>
        <w:t>Jak vyplývá z</w:t>
      </w:r>
      <w:r w:rsidR="00517CE0">
        <w:rPr>
          <w:rFonts w:eastAsiaTheme="minorHAnsi" w:cs="Calibri"/>
          <w:b/>
        </w:rPr>
        <w:t xml:space="preserve"> </w:t>
      </w:r>
      <w:r w:rsidRPr="000A560C">
        <w:rPr>
          <w:rFonts w:eastAsiaTheme="minorHAnsi" w:cs="Calibri"/>
          <w:b/>
        </w:rPr>
        <w:t xml:space="preserve">důvodové </w:t>
      </w:r>
      <w:r w:rsidR="006B581B" w:rsidRPr="000A560C">
        <w:rPr>
          <w:rFonts w:eastAsiaTheme="minorHAnsi" w:cs="Calibri"/>
          <w:b/>
        </w:rPr>
        <w:t xml:space="preserve">zprávy k novele zákona </w:t>
      </w:r>
      <w:r w:rsidR="00BE7F32" w:rsidRPr="000A560C">
        <w:rPr>
          <w:rFonts w:eastAsiaTheme="minorHAnsi" w:cs="Calibri"/>
          <w:b/>
        </w:rPr>
        <w:t>č. 563/1991 Sb.</w:t>
      </w:r>
      <w:r w:rsidR="006B581B" w:rsidRPr="000A560C">
        <w:rPr>
          <w:rFonts w:eastAsiaTheme="minorHAnsi" w:cs="Calibri"/>
          <w:b/>
        </w:rPr>
        <w:t xml:space="preserve"> s</w:t>
      </w:r>
      <w:r w:rsidR="00517CE0">
        <w:rPr>
          <w:rFonts w:eastAsiaTheme="minorHAnsi" w:cs="Calibri"/>
          <w:b/>
        </w:rPr>
        <w:t xml:space="preserve"> </w:t>
      </w:r>
      <w:r w:rsidR="00BF30D9" w:rsidRPr="000A560C">
        <w:rPr>
          <w:rFonts w:eastAsiaTheme="minorHAnsi" w:cs="Calibri"/>
          <w:b/>
        </w:rPr>
        <w:t>účinnost</w:t>
      </w:r>
      <w:r w:rsidR="00DD59BB" w:rsidRPr="000A560C">
        <w:rPr>
          <w:rFonts w:eastAsiaTheme="minorHAnsi" w:cs="Calibri"/>
          <w:b/>
        </w:rPr>
        <w:t>í</w:t>
      </w:r>
      <w:r w:rsidR="00BF30D9" w:rsidRPr="000A560C">
        <w:rPr>
          <w:rFonts w:eastAsiaTheme="minorHAnsi" w:cs="Calibri"/>
          <w:b/>
        </w:rPr>
        <w:t xml:space="preserve"> </w:t>
      </w:r>
      <w:r w:rsidR="006B581B" w:rsidRPr="000A560C">
        <w:rPr>
          <w:rFonts w:eastAsiaTheme="minorHAnsi" w:cs="Calibri"/>
          <w:b/>
        </w:rPr>
        <w:t>od 1. ledna 2010</w:t>
      </w:r>
      <w:r w:rsidR="006B581B" w:rsidRPr="000A560C">
        <w:rPr>
          <w:rStyle w:val="Znakapoznpodarou"/>
          <w:rFonts w:eastAsiaTheme="minorHAnsi" w:cs="Calibri"/>
          <w:b/>
        </w:rPr>
        <w:footnoteReference w:id="15"/>
      </w:r>
      <w:r w:rsidR="006B581B" w:rsidRPr="000A560C">
        <w:rPr>
          <w:rFonts w:eastAsiaTheme="minorHAnsi" w:cs="Calibri"/>
          <w:b/>
        </w:rPr>
        <w:t>, právě z</w:t>
      </w:r>
      <w:r w:rsidR="00517CE0">
        <w:rPr>
          <w:rFonts w:eastAsiaTheme="minorHAnsi" w:cs="Calibri"/>
          <w:b/>
        </w:rPr>
        <w:t xml:space="preserve"> </w:t>
      </w:r>
      <w:r w:rsidR="006B581B" w:rsidRPr="000A560C">
        <w:rPr>
          <w:rFonts w:eastAsiaTheme="minorHAnsi" w:cs="Calibri"/>
          <w:b/>
        </w:rPr>
        <w:t>důvodu</w:t>
      </w:r>
      <w:r w:rsidR="00E77C0C" w:rsidRPr="000A560C">
        <w:rPr>
          <w:rFonts w:eastAsiaTheme="minorHAnsi" w:cs="Calibri"/>
          <w:b/>
        </w:rPr>
        <w:t xml:space="preserve"> nutné</w:t>
      </w:r>
      <w:r w:rsidR="006B581B" w:rsidRPr="000A560C">
        <w:rPr>
          <w:rFonts w:eastAsiaTheme="minorHAnsi" w:cs="Calibri"/>
          <w:b/>
        </w:rPr>
        <w:t xml:space="preserve"> </w:t>
      </w:r>
      <w:r w:rsidR="00E77C0C" w:rsidRPr="000A560C">
        <w:rPr>
          <w:rFonts w:eastAsiaTheme="minorHAnsi" w:cs="Calibri"/>
          <w:b/>
        </w:rPr>
        <w:t xml:space="preserve">větší komplexnosti a transparentnosti vykazování </w:t>
      </w:r>
      <w:r w:rsidR="006B581B" w:rsidRPr="000A560C">
        <w:rPr>
          <w:rFonts w:eastAsiaTheme="minorHAnsi" w:cs="Calibri"/>
          <w:b/>
        </w:rPr>
        <w:t>byla pro vybrané účetní jednotky stanovena povinnost účtovat o větším</w:t>
      </w:r>
      <w:r w:rsidR="00320174" w:rsidRPr="00755C1B">
        <w:rPr>
          <w:rFonts w:eastAsiaTheme="minorHAnsi" w:cs="Calibri"/>
          <w:b/>
        </w:rPr>
        <w:t xml:space="preserve"> </w:t>
      </w:r>
      <w:r w:rsidR="00851D0C" w:rsidRPr="00755C1B">
        <w:rPr>
          <w:rFonts w:eastAsiaTheme="minorHAnsi" w:cs="Calibri"/>
          <w:b/>
        </w:rPr>
        <w:t>rozsah</w:t>
      </w:r>
      <w:r w:rsidR="006B581B" w:rsidRPr="00755C1B">
        <w:rPr>
          <w:rFonts w:eastAsiaTheme="minorHAnsi" w:cs="Calibri"/>
          <w:b/>
        </w:rPr>
        <w:t>u</w:t>
      </w:r>
      <w:r w:rsidR="00851D0C" w:rsidRPr="00755C1B">
        <w:rPr>
          <w:rFonts w:eastAsiaTheme="minorHAnsi" w:cs="Calibri"/>
          <w:b/>
        </w:rPr>
        <w:t xml:space="preserve"> </w:t>
      </w:r>
      <w:r w:rsidR="006B581B" w:rsidRPr="00755C1B">
        <w:rPr>
          <w:rFonts w:eastAsiaTheme="minorHAnsi" w:cs="Calibri"/>
          <w:b/>
        </w:rPr>
        <w:t>skutečností než v</w:t>
      </w:r>
      <w:r w:rsidR="00636F50" w:rsidRPr="00755C1B">
        <w:rPr>
          <w:rFonts w:eastAsiaTheme="minorHAnsi" w:cs="Calibri"/>
          <w:b/>
        </w:rPr>
        <w:t> </w:t>
      </w:r>
      <w:r w:rsidR="006B581B" w:rsidRPr="00755C1B">
        <w:rPr>
          <w:rFonts w:eastAsiaTheme="minorHAnsi" w:cs="Calibri"/>
          <w:b/>
        </w:rPr>
        <w:t>předchozí</w:t>
      </w:r>
      <w:r w:rsidR="00636F50" w:rsidRPr="00755C1B">
        <w:rPr>
          <w:rFonts w:eastAsiaTheme="minorHAnsi" w:cs="Calibri"/>
          <w:b/>
        </w:rPr>
        <w:t xml:space="preserve">ch </w:t>
      </w:r>
      <w:r w:rsidR="006B581B" w:rsidRPr="00755C1B">
        <w:rPr>
          <w:rFonts w:eastAsiaTheme="minorHAnsi" w:cs="Calibri"/>
          <w:b/>
        </w:rPr>
        <w:t>období</w:t>
      </w:r>
      <w:r w:rsidR="00636F50" w:rsidRPr="00755C1B">
        <w:rPr>
          <w:rFonts w:eastAsiaTheme="minorHAnsi" w:cs="Calibri"/>
          <w:b/>
        </w:rPr>
        <w:t>ch</w:t>
      </w:r>
      <w:r w:rsidR="006B581B" w:rsidRPr="004E2D6E">
        <w:rPr>
          <w:rFonts w:eastAsiaTheme="minorHAnsi" w:cs="Calibri"/>
          <w:b/>
        </w:rPr>
        <w:t>.</w:t>
      </w:r>
      <w:r w:rsidR="006B581B" w:rsidRPr="00A21AC3">
        <w:rPr>
          <w:rFonts w:eastAsiaTheme="minorHAnsi" w:cs="Calibri"/>
        </w:rPr>
        <w:t xml:space="preserve"> Rozsah údajů</w:t>
      </w:r>
      <w:r w:rsidR="00851D0C" w:rsidRPr="00A21AC3">
        <w:rPr>
          <w:rFonts w:eastAsiaTheme="minorHAnsi" w:cs="Calibri"/>
        </w:rPr>
        <w:t xml:space="preserve"> povinně zasílaných vybranými účetními jednotkami do CSÚIS </w:t>
      </w:r>
      <w:r w:rsidR="00E05FAE" w:rsidRPr="00A21AC3">
        <w:rPr>
          <w:rFonts w:eastAsiaTheme="minorHAnsi" w:cs="Calibri"/>
        </w:rPr>
        <w:t xml:space="preserve">tak </w:t>
      </w:r>
      <w:r w:rsidR="00486073" w:rsidRPr="00A21AC3">
        <w:rPr>
          <w:rFonts w:eastAsiaTheme="minorHAnsi" w:cs="Calibri"/>
        </w:rPr>
        <w:t>o</w:t>
      </w:r>
      <w:r w:rsidR="00851D0C" w:rsidRPr="00A21AC3">
        <w:rPr>
          <w:rFonts w:eastAsiaTheme="minorHAnsi" w:cs="Calibri"/>
        </w:rPr>
        <w:t>d roku 2010</w:t>
      </w:r>
      <w:r w:rsidR="00EE6359" w:rsidRPr="00A21AC3">
        <w:rPr>
          <w:rFonts w:eastAsiaTheme="minorHAnsi" w:cs="Calibri"/>
        </w:rPr>
        <w:t xml:space="preserve"> </w:t>
      </w:r>
      <w:r w:rsidR="00320174" w:rsidRPr="00A21AC3">
        <w:rPr>
          <w:rFonts w:eastAsiaTheme="minorHAnsi" w:cs="Calibri"/>
        </w:rPr>
        <w:t>v</w:t>
      </w:r>
      <w:r w:rsidR="00851D0C" w:rsidRPr="00A21AC3">
        <w:rPr>
          <w:rFonts w:eastAsiaTheme="minorHAnsi" w:cs="Calibri"/>
        </w:rPr>
        <w:t>ýrazně vzrostl</w:t>
      </w:r>
      <w:r w:rsidRPr="00A21AC3">
        <w:rPr>
          <w:rStyle w:val="Znakapoznpodarou"/>
          <w:rFonts w:eastAsiaTheme="minorHAnsi" w:cs="Calibri"/>
        </w:rPr>
        <w:footnoteReference w:id="16"/>
      </w:r>
      <w:r w:rsidR="0062539E" w:rsidRPr="00A21AC3">
        <w:rPr>
          <w:rFonts w:eastAsiaTheme="minorHAnsi" w:cs="Calibri"/>
        </w:rPr>
        <w:t>, a</w:t>
      </w:r>
      <w:r w:rsidR="00EE6359" w:rsidRPr="00A21AC3">
        <w:rPr>
          <w:rFonts w:eastAsiaTheme="minorHAnsi" w:cs="Calibri"/>
        </w:rPr>
        <w:t>v</w:t>
      </w:r>
      <w:r w:rsidR="00FB5758" w:rsidRPr="00A21AC3">
        <w:rPr>
          <w:rFonts w:eastAsiaTheme="minorHAnsi" w:cs="Calibri"/>
        </w:rPr>
        <w:t xml:space="preserve">šak </w:t>
      </w:r>
      <w:r w:rsidR="00486073" w:rsidRPr="00A21AC3">
        <w:rPr>
          <w:rFonts w:eastAsiaTheme="minorHAnsi" w:cs="Calibri"/>
        </w:rPr>
        <w:t>bez vlivu na</w:t>
      </w:r>
      <w:r w:rsidR="00FB5758" w:rsidRPr="00A21AC3">
        <w:rPr>
          <w:rFonts w:eastAsiaTheme="minorHAnsi" w:cs="Calibri"/>
        </w:rPr>
        <w:t xml:space="preserve"> komplexnější</w:t>
      </w:r>
      <w:r w:rsidR="00486073" w:rsidRPr="00A21AC3">
        <w:rPr>
          <w:rFonts w:eastAsiaTheme="minorHAnsi" w:cs="Calibri"/>
        </w:rPr>
        <w:t xml:space="preserve"> </w:t>
      </w:r>
      <w:r w:rsidR="00FB5758" w:rsidRPr="00A21AC3">
        <w:rPr>
          <w:rFonts w:eastAsiaTheme="minorHAnsi" w:cs="Calibri"/>
        </w:rPr>
        <w:t>vypovídací schopnost</w:t>
      </w:r>
      <w:r w:rsidR="00486073" w:rsidRPr="00A21AC3">
        <w:rPr>
          <w:rFonts w:eastAsiaTheme="minorHAnsi" w:cs="Calibri"/>
        </w:rPr>
        <w:t xml:space="preserve"> informací zveřejňovaných a komentovaných v závěrečných účtech kapitol státního rozpočtu. </w:t>
      </w:r>
      <w:r w:rsidR="00AF653E" w:rsidRPr="00A21AC3">
        <w:rPr>
          <w:rFonts w:eastAsiaTheme="minorHAnsi" w:cs="Calibri"/>
        </w:rPr>
        <w:t>Přitom např. p</w:t>
      </w:r>
      <w:r w:rsidR="00AF653E" w:rsidRPr="00A21AC3">
        <w:rPr>
          <w:rFonts w:cs="Calibri"/>
        </w:rPr>
        <w:t>ovinné komentová</w:t>
      </w:r>
      <w:r w:rsidR="00DF7C62" w:rsidRPr="00A21AC3">
        <w:rPr>
          <w:rFonts w:cs="Calibri"/>
        </w:rPr>
        <w:t>ní rozdílů mezi rozpočtovým a</w:t>
      </w:r>
      <w:r w:rsidR="00E05FAE">
        <w:rPr>
          <w:rFonts w:cs="Calibri"/>
        </w:rPr>
        <w:t xml:space="preserve"> </w:t>
      </w:r>
      <w:r w:rsidR="00AF653E" w:rsidRPr="00A21AC3">
        <w:rPr>
          <w:rFonts w:cs="Calibri"/>
        </w:rPr>
        <w:t xml:space="preserve">finančním </w:t>
      </w:r>
      <w:r w:rsidR="00AF653E" w:rsidRPr="00A21AC3">
        <w:rPr>
          <w:rFonts w:cs="Calibri"/>
        </w:rPr>
        <w:lastRenderedPageBreak/>
        <w:t>účetnictvím</w:t>
      </w:r>
      <w:r w:rsidR="008B175D" w:rsidRPr="00A21AC3">
        <w:rPr>
          <w:rStyle w:val="Znakapoznpodarou"/>
          <w:rFonts w:cs="Calibri"/>
        </w:rPr>
        <w:footnoteReference w:id="17"/>
      </w:r>
      <w:r w:rsidR="00AF653E" w:rsidRPr="00A21AC3">
        <w:rPr>
          <w:rFonts w:cs="Calibri"/>
        </w:rPr>
        <w:t xml:space="preserve"> v</w:t>
      </w:r>
      <w:r w:rsidR="00517CE0">
        <w:rPr>
          <w:rFonts w:cs="Calibri"/>
        </w:rPr>
        <w:t xml:space="preserve"> </w:t>
      </w:r>
      <w:r w:rsidR="00AF653E" w:rsidRPr="00A21AC3">
        <w:rPr>
          <w:rFonts w:cs="Calibri"/>
        </w:rPr>
        <w:t>závěrečném účtu by přispělo k</w:t>
      </w:r>
      <w:r w:rsidR="00517CE0">
        <w:rPr>
          <w:rFonts w:cs="Calibri"/>
        </w:rPr>
        <w:t xml:space="preserve"> </w:t>
      </w:r>
      <w:r w:rsidR="00AF653E" w:rsidRPr="00A21AC3">
        <w:rPr>
          <w:rFonts w:cs="Calibri"/>
        </w:rPr>
        <w:t>identifikování vzájemných souvislostí a propojení obou těchto systémů pro sledování plnění rozpočtu a ve svém důsledku i</w:t>
      </w:r>
      <w:r w:rsidR="00E05FAE">
        <w:rPr>
          <w:rFonts w:cs="Calibri"/>
        </w:rPr>
        <w:t xml:space="preserve"> </w:t>
      </w:r>
      <w:r w:rsidR="00AF653E" w:rsidRPr="00A21AC3">
        <w:rPr>
          <w:rFonts w:cs="Calibri"/>
        </w:rPr>
        <w:t>k větší komplexnosti, transparentnosti a důvěryhodnosti skládání účtů z hospodaření s majetkem a</w:t>
      </w:r>
      <w:r w:rsidR="00E05FAE">
        <w:rPr>
          <w:rFonts w:cs="Calibri"/>
        </w:rPr>
        <w:t> </w:t>
      </w:r>
      <w:r w:rsidR="00AF653E" w:rsidRPr="00A21AC3">
        <w:rPr>
          <w:rFonts w:cs="Calibri"/>
        </w:rPr>
        <w:t>peněžními prostředky státního rozpočtu.</w:t>
      </w:r>
      <w:r w:rsidR="00923D69" w:rsidRPr="00A21AC3">
        <w:rPr>
          <w:rFonts w:cs="Calibri"/>
        </w:rPr>
        <w:t xml:space="preserve"> </w:t>
      </w:r>
    </w:p>
    <w:p w14:paraId="5E4F9A67" w14:textId="77777777" w:rsidR="00155063" w:rsidRPr="00A21AC3" w:rsidRDefault="00155063" w:rsidP="008B175D">
      <w:pPr>
        <w:spacing w:after="0"/>
        <w:jc w:val="both"/>
        <w:rPr>
          <w:rFonts w:cs="Calibri"/>
          <w:highlight w:val="yellow"/>
        </w:rPr>
      </w:pPr>
    </w:p>
    <w:p w14:paraId="2EE3417A" w14:textId="77777777" w:rsidR="00131ED0" w:rsidRPr="00A21AC3" w:rsidRDefault="008B175D" w:rsidP="006566F9">
      <w:pPr>
        <w:spacing w:after="0"/>
        <w:jc w:val="both"/>
        <w:rPr>
          <w:rFonts w:eastAsiaTheme="minorHAnsi" w:cs="Calibri"/>
        </w:rPr>
      </w:pPr>
      <w:r w:rsidRPr="00A21AC3">
        <w:rPr>
          <w:rFonts w:eastAsiaTheme="minorHAnsi" w:cs="Calibri"/>
        </w:rPr>
        <w:t xml:space="preserve">NKÚ doporučuje, aby </w:t>
      </w:r>
      <w:r w:rsidR="004F1277">
        <w:rPr>
          <w:rFonts w:eastAsiaTheme="minorHAnsi" w:cs="Calibri"/>
        </w:rPr>
        <w:t xml:space="preserve">MF (jako gestor této oblasti) právními předpisy upravilo, že </w:t>
      </w:r>
      <w:r w:rsidRPr="00A21AC3">
        <w:rPr>
          <w:rFonts w:eastAsiaTheme="minorHAnsi" w:cs="Calibri"/>
        </w:rPr>
        <w:t>vybrané údaje z účetnictví</w:t>
      </w:r>
      <w:r w:rsidRPr="00A21AC3">
        <w:rPr>
          <w:rStyle w:val="Znakapoznpodarou"/>
          <w:rFonts w:eastAsiaTheme="minorHAnsi" w:cs="Calibri"/>
        </w:rPr>
        <w:footnoteReference w:id="18"/>
      </w:r>
      <w:r w:rsidRPr="00A21AC3">
        <w:rPr>
          <w:rFonts w:eastAsiaTheme="minorHAnsi" w:cs="Calibri"/>
        </w:rPr>
        <w:t xml:space="preserve"> b</w:t>
      </w:r>
      <w:r w:rsidR="004F1277">
        <w:rPr>
          <w:rFonts w:eastAsiaTheme="minorHAnsi" w:cs="Calibri"/>
        </w:rPr>
        <w:t>udou</w:t>
      </w:r>
      <w:r w:rsidRPr="00A21AC3">
        <w:rPr>
          <w:rFonts w:eastAsiaTheme="minorHAnsi" w:cs="Calibri"/>
        </w:rPr>
        <w:t xml:space="preserve"> z CSÚIS automaticky generovány pro účely sestavení závěrečných účtů kapitol státního rozpočtu a </w:t>
      </w:r>
      <w:r w:rsidR="004F1277">
        <w:rPr>
          <w:rFonts w:eastAsiaTheme="minorHAnsi" w:cs="Calibri"/>
        </w:rPr>
        <w:t xml:space="preserve">že </w:t>
      </w:r>
      <w:r w:rsidRPr="00A21AC3">
        <w:rPr>
          <w:rFonts w:eastAsiaTheme="minorHAnsi" w:cs="Calibri"/>
        </w:rPr>
        <w:t xml:space="preserve">je </w:t>
      </w:r>
      <w:r w:rsidR="004F1277">
        <w:rPr>
          <w:rFonts w:eastAsiaTheme="minorHAnsi" w:cs="Calibri"/>
        </w:rPr>
        <w:t xml:space="preserve">budou </w:t>
      </w:r>
      <w:r w:rsidRPr="00A21AC3">
        <w:rPr>
          <w:rFonts w:eastAsiaTheme="minorHAnsi" w:cs="Calibri"/>
        </w:rPr>
        <w:t>správci kapitol v</w:t>
      </w:r>
      <w:r w:rsidR="00F67934" w:rsidRPr="00A21AC3">
        <w:rPr>
          <w:rFonts w:eastAsiaTheme="minorHAnsi" w:cs="Calibri"/>
        </w:rPr>
        <w:t> </w:t>
      </w:r>
      <w:r w:rsidRPr="00A21AC3">
        <w:rPr>
          <w:rFonts w:eastAsiaTheme="minorHAnsi" w:cs="Calibri"/>
        </w:rPr>
        <w:t>závěrečném účtu povinně komentova</w:t>
      </w:r>
      <w:r w:rsidR="004F1277">
        <w:rPr>
          <w:rFonts w:eastAsiaTheme="minorHAnsi" w:cs="Calibri"/>
        </w:rPr>
        <w:t>t</w:t>
      </w:r>
      <w:r w:rsidRPr="00A21AC3">
        <w:rPr>
          <w:rFonts w:eastAsiaTheme="minorHAnsi" w:cs="Calibri"/>
        </w:rPr>
        <w:t xml:space="preserve">. </w:t>
      </w:r>
    </w:p>
    <w:p w14:paraId="5F53B9EA" w14:textId="77777777" w:rsidR="006566F9" w:rsidRPr="00A21AC3" w:rsidRDefault="006566F9" w:rsidP="006566F9">
      <w:pPr>
        <w:spacing w:after="0"/>
        <w:jc w:val="both"/>
        <w:rPr>
          <w:rFonts w:eastAsiaTheme="minorHAnsi" w:cs="Calibri"/>
        </w:rPr>
      </w:pPr>
    </w:p>
    <w:p w14:paraId="2A10229F" w14:textId="77777777" w:rsidR="00307299" w:rsidRDefault="00FC0815" w:rsidP="00FC0815">
      <w:pPr>
        <w:keepNext/>
        <w:jc w:val="both"/>
        <w:rPr>
          <w:rFonts w:eastAsiaTheme="minorHAnsi" w:cs="Calibri"/>
          <w:b/>
        </w:rPr>
      </w:pPr>
      <w:r w:rsidRPr="00485A80">
        <w:rPr>
          <w:rFonts w:eastAsiaTheme="minorHAnsi" w:cs="Calibri"/>
          <w:b/>
        </w:rPr>
        <w:t xml:space="preserve">5. </w:t>
      </w:r>
      <w:r w:rsidR="00307299" w:rsidRPr="00485A80">
        <w:rPr>
          <w:rFonts w:eastAsiaTheme="minorHAnsi" w:cs="Calibri"/>
          <w:b/>
        </w:rPr>
        <w:t>Vnitřní kontrolní systém</w:t>
      </w:r>
      <w:r w:rsidR="009F786B">
        <w:rPr>
          <w:rFonts w:eastAsiaTheme="minorHAnsi" w:cs="Calibri"/>
          <w:b/>
        </w:rPr>
        <w:t xml:space="preserve"> </w:t>
      </w:r>
      <w:proofErr w:type="spellStart"/>
      <w:r w:rsidR="009F786B">
        <w:rPr>
          <w:rFonts w:eastAsiaTheme="minorHAnsi" w:cs="Calibri"/>
          <w:b/>
        </w:rPr>
        <w:t>MZd</w:t>
      </w:r>
      <w:proofErr w:type="spell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B328A2" w:rsidRPr="00D71C60" w14:paraId="34151135" w14:textId="77777777" w:rsidTr="00751C03">
        <w:tc>
          <w:tcPr>
            <w:tcW w:w="9060" w:type="dxa"/>
            <w:shd w:val="clear" w:color="auto" w:fill="E5F1FF"/>
          </w:tcPr>
          <w:p w14:paraId="480CF4B8" w14:textId="27D29112" w:rsidR="00426241" w:rsidRPr="00A21AC3" w:rsidRDefault="009036EA" w:rsidP="00751C03">
            <w:pPr>
              <w:jc w:val="both"/>
              <w:rPr>
                <w:rFonts w:eastAsiaTheme="minorHAnsi" w:cs="Calibri"/>
                <w:b/>
              </w:rPr>
            </w:pPr>
            <w:bookmarkStart w:id="4" w:name="_Hlk107231671"/>
            <w:r>
              <w:rPr>
                <w:rFonts w:eastAsiaTheme="minorHAnsi" w:cs="Calibri"/>
                <w:b/>
              </w:rPr>
              <w:t>V </w:t>
            </w:r>
            <w:r w:rsidRPr="00624BC9">
              <w:rPr>
                <w:rFonts w:eastAsiaTheme="minorHAnsi" w:cs="Calibri"/>
                <w:b/>
              </w:rPr>
              <w:t xml:space="preserve">oblasti </w:t>
            </w:r>
            <w:r w:rsidR="00996CD2" w:rsidRPr="00624BC9">
              <w:rPr>
                <w:rFonts w:eastAsiaTheme="minorHAnsi" w:cs="Calibri"/>
                <w:b/>
              </w:rPr>
              <w:t>hospodaření s majetkem</w:t>
            </w:r>
            <w:r w:rsidRPr="00624BC9">
              <w:rPr>
                <w:rFonts w:eastAsiaTheme="minorHAnsi" w:cs="Calibri"/>
                <w:b/>
              </w:rPr>
              <w:t xml:space="preserve"> </w:t>
            </w:r>
            <w:r w:rsidR="00624BC9" w:rsidRPr="00624BC9">
              <w:rPr>
                <w:rFonts w:eastAsiaTheme="minorHAnsi" w:cs="Calibri"/>
                <w:b/>
              </w:rPr>
              <w:t xml:space="preserve">státu a finančního hospodaření </w:t>
            </w:r>
            <w:r w:rsidRPr="00624BC9">
              <w:rPr>
                <w:rFonts w:eastAsiaTheme="minorHAnsi" w:cs="Calibri"/>
                <w:b/>
              </w:rPr>
              <w:t xml:space="preserve">byly </w:t>
            </w:r>
            <w:r w:rsidR="00A96949">
              <w:rPr>
                <w:rFonts w:eastAsiaTheme="minorHAnsi" w:cs="Calibri"/>
                <w:b/>
              </w:rPr>
              <w:t xml:space="preserve">kontrolou NKÚ </w:t>
            </w:r>
            <w:r w:rsidRPr="00624BC9">
              <w:rPr>
                <w:rFonts w:eastAsiaTheme="minorHAnsi" w:cs="Calibri"/>
                <w:b/>
              </w:rPr>
              <w:t>zjištěny v</w:t>
            </w:r>
            <w:r w:rsidR="00426241" w:rsidRPr="00624BC9">
              <w:rPr>
                <w:rFonts w:eastAsiaTheme="minorHAnsi" w:cs="Calibri"/>
                <w:b/>
              </w:rPr>
              <w:t>ýznamné nedostatky</w:t>
            </w:r>
            <w:r w:rsidR="00211A23" w:rsidRPr="00624BC9">
              <w:rPr>
                <w:rFonts w:eastAsiaTheme="minorHAnsi" w:cs="Calibri"/>
                <w:b/>
              </w:rPr>
              <w:t xml:space="preserve"> ve </w:t>
            </w:r>
            <w:r w:rsidR="009F786B">
              <w:rPr>
                <w:rFonts w:eastAsiaTheme="minorHAnsi" w:cs="Calibri"/>
                <w:b/>
              </w:rPr>
              <w:t xml:space="preserve">vnitřním kontrolním systému </w:t>
            </w:r>
            <w:proofErr w:type="spellStart"/>
            <w:r w:rsidR="009F786B">
              <w:rPr>
                <w:rFonts w:eastAsiaTheme="minorHAnsi" w:cs="Calibri"/>
                <w:b/>
              </w:rPr>
              <w:t>MZd</w:t>
            </w:r>
            <w:proofErr w:type="spellEnd"/>
            <w:r w:rsidR="00690D75">
              <w:rPr>
                <w:rFonts w:eastAsiaTheme="minorHAnsi" w:cs="Calibri"/>
                <w:b/>
              </w:rPr>
              <w:t>.</w:t>
            </w:r>
            <w:r w:rsidRPr="00624BC9">
              <w:rPr>
                <w:rFonts w:eastAsiaTheme="minorHAnsi" w:cs="Calibri"/>
                <w:b/>
              </w:rPr>
              <w:t xml:space="preserve"> </w:t>
            </w:r>
            <w:bookmarkEnd w:id="4"/>
            <w:r>
              <w:rPr>
                <w:rFonts w:eastAsiaTheme="minorHAnsi" w:cs="Calibri"/>
                <w:b/>
              </w:rPr>
              <w:t>Tyto nedostatky měly významný negativní dopad na účinnost VKS v</w:t>
            </w:r>
            <w:r w:rsidR="00BD137E">
              <w:rPr>
                <w:rFonts w:eastAsiaTheme="minorHAnsi" w:cs="Calibri"/>
                <w:b/>
              </w:rPr>
              <w:t xml:space="preserve"> </w:t>
            </w:r>
            <w:r w:rsidR="00996CD2">
              <w:rPr>
                <w:rFonts w:eastAsiaTheme="minorHAnsi" w:cs="Calibri"/>
                <w:b/>
              </w:rPr>
              <w:t xml:space="preserve">dané </w:t>
            </w:r>
            <w:r>
              <w:rPr>
                <w:rFonts w:eastAsiaTheme="minorHAnsi" w:cs="Calibri"/>
                <w:b/>
              </w:rPr>
              <w:t>oblasti. V</w:t>
            </w:r>
            <w:r w:rsidR="00BD137E">
              <w:rPr>
                <w:rFonts w:eastAsiaTheme="minorHAnsi" w:cs="Calibri"/>
                <w:b/>
              </w:rPr>
              <w:t xml:space="preserve"> </w:t>
            </w:r>
            <w:r>
              <w:rPr>
                <w:rFonts w:eastAsiaTheme="minorHAnsi" w:cs="Calibri"/>
                <w:b/>
              </w:rPr>
              <w:t xml:space="preserve">důsledku těchto nedostatků vznikla škoda na majetku státu, se kterým je příslušné hospodařit </w:t>
            </w:r>
            <w:proofErr w:type="spellStart"/>
            <w:r>
              <w:rPr>
                <w:rFonts w:eastAsiaTheme="minorHAnsi" w:cs="Calibri"/>
                <w:b/>
              </w:rPr>
              <w:t>MZd</w:t>
            </w:r>
            <w:proofErr w:type="spellEnd"/>
            <w:r>
              <w:rPr>
                <w:rFonts w:eastAsiaTheme="minorHAnsi" w:cs="Calibri"/>
                <w:b/>
              </w:rPr>
              <w:t>. Současně jde o skutečnosti nasvědčující porušení rozpočtové kázně.</w:t>
            </w:r>
          </w:p>
        </w:tc>
      </w:tr>
    </w:tbl>
    <w:p w14:paraId="2741FA58" w14:textId="77777777" w:rsidR="00B328A2" w:rsidRDefault="00B328A2" w:rsidP="0066297E">
      <w:pPr>
        <w:keepNext/>
        <w:spacing w:after="0"/>
        <w:jc w:val="both"/>
        <w:rPr>
          <w:rFonts w:eastAsiaTheme="minorHAnsi" w:cs="Calibri"/>
          <w:b/>
        </w:rPr>
      </w:pPr>
    </w:p>
    <w:p w14:paraId="292DBE83" w14:textId="77777777" w:rsidR="001E684C" w:rsidRPr="00A21AC3" w:rsidRDefault="00211A23" w:rsidP="00487E12">
      <w:pPr>
        <w:keepNext/>
        <w:jc w:val="both"/>
        <w:rPr>
          <w:rFonts w:eastAsiaTheme="minorHAnsi" w:cs="Calibri"/>
        </w:rPr>
      </w:pPr>
      <w:r>
        <w:rPr>
          <w:rFonts w:eastAsiaTheme="minorHAnsi" w:cs="Calibri"/>
        </w:rPr>
        <w:t>Jednalo se o</w:t>
      </w:r>
      <w:r w:rsidR="006C2EC8">
        <w:rPr>
          <w:rFonts w:eastAsiaTheme="minorHAnsi" w:cs="Calibri"/>
        </w:rPr>
        <w:t xml:space="preserve"> </w:t>
      </w:r>
      <w:r w:rsidR="00251B9E">
        <w:rPr>
          <w:rFonts w:eastAsiaTheme="minorHAnsi" w:cs="Calibri"/>
        </w:rPr>
        <w:t>nesoulad se zákony</w:t>
      </w:r>
      <w:r>
        <w:rPr>
          <w:rFonts w:eastAsiaTheme="minorHAnsi" w:cs="Calibri"/>
        </w:rPr>
        <w:t xml:space="preserve"> u některých realizovaných operací</w:t>
      </w:r>
      <w:r w:rsidR="00787916">
        <w:rPr>
          <w:rFonts w:eastAsiaTheme="minorHAnsi" w:cs="Calibri"/>
        </w:rPr>
        <w:t xml:space="preserve">, zejména </w:t>
      </w:r>
      <w:r w:rsidR="001E73D7">
        <w:rPr>
          <w:rFonts w:eastAsiaTheme="minorHAnsi" w:cs="Calibri"/>
        </w:rPr>
        <w:t xml:space="preserve">se </w:t>
      </w:r>
      <w:r w:rsidR="00787916">
        <w:rPr>
          <w:rFonts w:eastAsiaTheme="minorHAnsi" w:cs="Calibri"/>
        </w:rPr>
        <w:t>zákonem</w:t>
      </w:r>
      <w:r w:rsidR="00251B9E">
        <w:rPr>
          <w:rFonts w:eastAsiaTheme="minorHAnsi" w:cs="Calibri"/>
        </w:rPr>
        <w:t xml:space="preserve"> č.</w:t>
      </w:r>
      <w:r w:rsidR="00690D75">
        <w:rPr>
          <w:rFonts w:eastAsiaTheme="minorHAnsi" w:cs="Calibri"/>
        </w:rPr>
        <w:t> </w:t>
      </w:r>
      <w:r w:rsidR="001E684C" w:rsidRPr="00A21AC3">
        <w:rPr>
          <w:rFonts w:eastAsiaTheme="minorHAnsi" w:cs="Calibri"/>
        </w:rPr>
        <w:t>219/2000 Sb.</w:t>
      </w:r>
      <w:r w:rsidR="009247F7" w:rsidRPr="00A21AC3">
        <w:rPr>
          <w:rStyle w:val="Znakapoznpodarou"/>
          <w:rFonts w:eastAsiaTheme="minorHAnsi" w:cs="Calibri"/>
        </w:rPr>
        <w:footnoteReference w:id="19"/>
      </w:r>
      <w:r w:rsidR="001E684C" w:rsidRPr="00A21AC3">
        <w:rPr>
          <w:rFonts w:eastAsiaTheme="minorHAnsi" w:cs="Calibri"/>
        </w:rPr>
        <w:t xml:space="preserve"> a</w:t>
      </w:r>
      <w:r w:rsidR="001E73D7">
        <w:rPr>
          <w:rFonts w:eastAsiaTheme="minorHAnsi" w:cs="Calibri"/>
        </w:rPr>
        <w:t xml:space="preserve"> zákonem</w:t>
      </w:r>
      <w:r w:rsidR="001E684C" w:rsidRPr="00A21AC3">
        <w:rPr>
          <w:rFonts w:eastAsiaTheme="minorHAnsi" w:cs="Calibri"/>
        </w:rPr>
        <w:t xml:space="preserve"> č. 218/2000 Sb.</w:t>
      </w:r>
      <w:r w:rsidR="00251B9E">
        <w:rPr>
          <w:rFonts w:eastAsiaTheme="minorHAnsi" w:cs="Calibri"/>
        </w:rPr>
        <w:t>, kdy</w:t>
      </w:r>
      <w:r w:rsidR="001E684C" w:rsidRPr="00A21AC3">
        <w:rPr>
          <w:rFonts w:eastAsiaTheme="minorHAnsi" w:cs="Calibri"/>
        </w:rPr>
        <w:t xml:space="preserve"> </w:t>
      </w:r>
      <w:proofErr w:type="spellStart"/>
      <w:r w:rsidR="001E684C" w:rsidRPr="00A21AC3">
        <w:rPr>
          <w:rFonts w:eastAsiaTheme="minorHAnsi" w:cs="Calibri"/>
        </w:rPr>
        <w:t>MZ</w:t>
      </w:r>
      <w:r w:rsidR="00161572" w:rsidRPr="00A21AC3">
        <w:rPr>
          <w:rFonts w:eastAsiaTheme="minorHAnsi" w:cs="Calibri"/>
        </w:rPr>
        <w:t>d</w:t>
      </w:r>
      <w:proofErr w:type="spellEnd"/>
      <w:r w:rsidR="001E684C" w:rsidRPr="00A21AC3">
        <w:rPr>
          <w:rFonts w:eastAsiaTheme="minorHAnsi" w:cs="Calibri"/>
        </w:rPr>
        <w:t>:</w:t>
      </w:r>
    </w:p>
    <w:p w14:paraId="5AF27870" w14:textId="77777777" w:rsidR="001E684C" w:rsidRPr="001217F1" w:rsidRDefault="001E684C" w:rsidP="00487E12">
      <w:pPr>
        <w:keepNext/>
        <w:numPr>
          <w:ilvl w:val="0"/>
          <w:numId w:val="22"/>
        </w:numPr>
        <w:jc w:val="both"/>
        <w:rPr>
          <w:rFonts w:eastAsiaTheme="minorHAnsi" w:cs="Calibri"/>
        </w:rPr>
      </w:pPr>
      <w:r w:rsidRPr="001217F1">
        <w:rPr>
          <w:rFonts w:eastAsiaTheme="minorHAnsi" w:cs="Calibri"/>
        </w:rPr>
        <w:t xml:space="preserve">poskytlo peněžní dar </w:t>
      </w:r>
      <w:r w:rsidR="0018011D" w:rsidRPr="001217F1">
        <w:rPr>
          <w:rFonts w:eastAsiaTheme="minorHAnsi" w:cs="Calibri"/>
        </w:rPr>
        <w:t xml:space="preserve">Světové zdravotnické organizaci (dále </w:t>
      </w:r>
      <w:r w:rsidR="00B324FC" w:rsidRPr="001217F1">
        <w:rPr>
          <w:rFonts w:eastAsiaTheme="minorHAnsi" w:cs="Calibri"/>
        </w:rPr>
        <w:t xml:space="preserve">také </w:t>
      </w:r>
      <w:r w:rsidR="0018011D" w:rsidRPr="001217F1">
        <w:rPr>
          <w:rFonts w:eastAsiaTheme="minorHAnsi" w:cs="Calibri"/>
        </w:rPr>
        <w:t>„WHO“)</w:t>
      </w:r>
      <w:r w:rsidRPr="001217F1">
        <w:rPr>
          <w:rFonts w:eastAsiaTheme="minorHAnsi" w:cs="Calibri"/>
        </w:rPr>
        <w:t xml:space="preserve"> bez předchozího souhlasu vlády, </w:t>
      </w:r>
    </w:p>
    <w:p w14:paraId="23033A27" w14:textId="50E394AB" w:rsidR="001E684C" w:rsidRPr="001217F1" w:rsidRDefault="001E684C" w:rsidP="0066297E">
      <w:pPr>
        <w:keepNext/>
        <w:numPr>
          <w:ilvl w:val="0"/>
          <w:numId w:val="22"/>
        </w:numPr>
        <w:spacing w:after="0"/>
        <w:jc w:val="both"/>
        <w:rPr>
          <w:rFonts w:eastAsiaTheme="minorHAnsi" w:cs="Calibri"/>
        </w:rPr>
      </w:pPr>
      <w:r w:rsidRPr="001217F1">
        <w:rPr>
          <w:rFonts w:eastAsiaTheme="minorHAnsi" w:cs="Calibri"/>
        </w:rPr>
        <w:t xml:space="preserve">neplnilo </w:t>
      </w:r>
      <w:r w:rsidR="00161572" w:rsidRPr="001217F1">
        <w:rPr>
          <w:rFonts w:eastAsiaTheme="minorHAnsi" w:cs="Calibri"/>
        </w:rPr>
        <w:t xml:space="preserve">svoje povinnosti </w:t>
      </w:r>
      <w:r w:rsidR="00251B9E" w:rsidRPr="001217F1">
        <w:rPr>
          <w:rFonts w:eastAsiaTheme="minorHAnsi" w:cs="Calibri"/>
        </w:rPr>
        <w:t>dle zákona</w:t>
      </w:r>
      <w:r w:rsidRPr="001217F1">
        <w:rPr>
          <w:rFonts w:eastAsiaTheme="minorHAnsi" w:cs="Calibri"/>
        </w:rPr>
        <w:t xml:space="preserve"> č. 106/1999 Sb.</w:t>
      </w:r>
      <w:r w:rsidR="009247F7" w:rsidRPr="001217F1">
        <w:rPr>
          <w:rStyle w:val="Znakapoznpodarou"/>
          <w:rFonts w:eastAsiaTheme="minorHAnsi" w:cs="Calibri"/>
        </w:rPr>
        <w:footnoteReference w:id="20"/>
      </w:r>
      <w:r w:rsidRPr="001217F1">
        <w:rPr>
          <w:rFonts w:eastAsiaTheme="minorHAnsi" w:cs="Calibri"/>
        </w:rPr>
        <w:t xml:space="preserve"> a</w:t>
      </w:r>
      <w:r w:rsidR="00161572" w:rsidRPr="001217F1">
        <w:rPr>
          <w:rFonts w:eastAsiaTheme="minorHAnsi" w:cs="Calibri"/>
        </w:rPr>
        <w:t xml:space="preserve">ni povinnosti </w:t>
      </w:r>
      <w:r w:rsidR="00B328A2" w:rsidRPr="001217F1">
        <w:rPr>
          <w:rFonts w:eastAsiaTheme="minorHAnsi" w:cs="Calibri"/>
        </w:rPr>
        <w:t>uložené mu</w:t>
      </w:r>
      <w:r w:rsidRPr="001217F1">
        <w:rPr>
          <w:rFonts w:eastAsiaTheme="minorHAnsi" w:cs="Calibri"/>
        </w:rPr>
        <w:t xml:space="preserve"> </w:t>
      </w:r>
      <w:r w:rsidR="00841D93">
        <w:rPr>
          <w:rFonts w:eastAsiaTheme="minorHAnsi" w:cs="Calibri"/>
        </w:rPr>
        <w:t xml:space="preserve">pravomocným rozhodnutím </w:t>
      </w:r>
      <w:r w:rsidRPr="001217F1">
        <w:rPr>
          <w:rFonts w:eastAsiaTheme="minorHAnsi" w:cs="Calibri"/>
        </w:rPr>
        <w:t>soud</w:t>
      </w:r>
      <w:r w:rsidR="00841D93">
        <w:rPr>
          <w:rFonts w:eastAsiaTheme="minorHAnsi" w:cs="Calibri"/>
        </w:rPr>
        <w:t>u</w:t>
      </w:r>
      <w:r w:rsidRPr="001217F1">
        <w:rPr>
          <w:rFonts w:eastAsiaTheme="minorHAnsi" w:cs="Calibri"/>
        </w:rPr>
        <w:t xml:space="preserve"> </w:t>
      </w:r>
      <w:r w:rsidR="00161572" w:rsidRPr="001217F1">
        <w:rPr>
          <w:rFonts w:eastAsiaTheme="minorHAnsi" w:cs="Calibri"/>
        </w:rPr>
        <w:t>a v důsledku toho</w:t>
      </w:r>
      <w:r w:rsidRPr="001217F1">
        <w:rPr>
          <w:rFonts w:eastAsiaTheme="minorHAnsi" w:cs="Calibri"/>
        </w:rPr>
        <w:t xml:space="preserve"> nekonalo tak, aby neodůvodněně nesnižovalo rozsah a hodnotu majetku, s nímž je příslušné hospodařit</w:t>
      </w:r>
      <w:r w:rsidR="00B328A2" w:rsidRPr="001217F1">
        <w:rPr>
          <w:rFonts w:eastAsiaTheme="minorHAnsi" w:cs="Calibri"/>
        </w:rPr>
        <w:t>;</w:t>
      </w:r>
      <w:r w:rsidR="00161572" w:rsidRPr="001217F1">
        <w:rPr>
          <w:rFonts w:eastAsiaTheme="minorHAnsi" w:cs="Calibri"/>
        </w:rPr>
        <w:t xml:space="preserve"> </w:t>
      </w:r>
      <w:r w:rsidR="00841D93">
        <w:rPr>
          <w:rFonts w:eastAsiaTheme="minorHAnsi" w:cs="Calibri"/>
        </w:rPr>
        <w:t>nedbalo, aby plnilo určené úkoly nejhospodárnějším způsobem</w:t>
      </w:r>
      <w:r w:rsidR="009F786B">
        <w:rPr>
          <w:rFonts w:eastAsiaTheme="minorHAnsi" w:cs="Calibri"/>
        </w:rPr>
        <w:t>,</w:t>
      </w:r>
      <w:r w:rsidR="00841D93">
        <w:rPr>
          <w:rFonts w:eastAsiaTheme="minorHAnsi" w:cs="Calibri"/>
        </w:rPr>
        <w:t xml:space="preserve"> </w:t>
      </w:r>
      <w:r w:rsidR="00B328A2" w:rsidRPr="001217F1">
        <w:rPr>
          <w:rFonts w:eastAsiaTheme="minorHAnsi" w:cs="Calibri"/>
        </w:rPr>
        <w:t xml:space="preserve">a neřešilo </w:t>
      </w:r>
      <w:r w:rsidRPr="001217F1">
        <w:rPr>
          <w:rFonts w:eastAsiaTheme="minorHAnsi" w:cs="Calibri"/>
        </w:rPr>
        <w:t xml:space="preserve">uplatnění nároku na náhradu škody </w:t>
      </w:r>
      <w:r w:rsidR="00251B9E" w:rsidRPr="001217F1">
        <w:rPr>
          <w:rFonts w:eastAsiaTheme="minorHAnsi" w:cs="Calibri"/>
        </w:rPr>
        <w:t>vzniklé</w:t>
      </w:r>
      <w:r w:rsidRPr="001217F1">
        <w:rPr>
          <w:rFonts w:eastAsiaTheme="minorHAnsi" w:cs="Calibri"/>
        </w:rPr>
        <w:t xml:space="preserve"> na majetku</w:t>
      </w:r>
      <w:r w:rsidR="00B328A2" w:rsidRPr="001217F1">
        <w:rPr>
          <w:rFonts w:eastAsiaTheme="minorHAnsi" w:cs="Calibri"/>
        </w:rPr>
        <w:t>,</w:t>
      </w:r>
      <w:r w:rsidR="001E2CCE" w:rsidRPr="001217F1">
        <w:rPr>
          <w:rFonts w:eastAsiaTheme="minorHAnsi" w:cs="Calibri"/>
        </w:rPr>
        <w:t xml:space="preserve"> </w:t>
      </w:r>
      <w:r w:rsidRPr="001217F1">
        <w:rPr>
          <w:rFonts w:eastAsiaTheme="minorHAnsi" w:cs="Calibri"/>
        </w:rPr>
        <w:t xml:space="preserve">s nímž je </w:t>
      </w:r>
      <w:proofErr w:type="spellStart"/>
      <w:r w:rsidRPr="001217F1">
        <w:rPr>
          <w:rFonts w:eastAsiaTheme="minorHAnsi" w:cs="Calibri"/>
        </w:rPr>
        <w:t>MZ</w:t>
      </w:r>
      <w:r w:rsidR="00B328A2" w:rsidRPr="001217F1">
        <w:rPr>
          <w:rFonts w:eastAsiaTheme="minorHAnsi" w:cs="Calibri"/>
        </w:rPr>
        <w:t>d</w:t>
      </w:r>
      <w:proofErr w:type="spellEnd"/>
      <w:r w:rsidRPr="001217F1">
        <w:rPr>
          <w:rFonts w:eastAsiaTheme="minorHAnsi" w:cs="Calibri"/>
        </w:rPr>
        <w:t xml:space="preserve"> příslušné hospodařit</w:t>
      </w:r>
      <w:r w:rsidR="00B328A2" w:rsidRPr="001217F1">
        <w:rPr>
          <w:rFonts w:eastAsiaTheme="minorHAnsi" w:cs="Calibri"/>
        </w:rPr>
        <w:t>, vůči odpovědné osobě</w:t>
      </w:r>
      <w:r w:rsidRPr="001217F1">
        <w:rPr>
          <w:rFonts w:eastAsiaTheme="minorHAnsi" w:cs="Calibri"/>
        </w:rPr>
        <w:t>.</w:t>
      </w:r>
    </w:p>
    <w:p w14:paraId="4DDABF5C" w14:textId="51378E1F" w:rsidR="009036EA" w:rsidRPr="001217F1" w:rsidRDefault="009036EA" w:rsidP="001217F1">
      <w:pPr>
        <w:jc w:val="both"/>
        <w:rPr>
          <w:rFonts w:eastAsiaTheme="minorHAnsi" w:cs="Calibri"/>
          <w:b/>
        </w:rPr>
      </w:pPr>
      <w:r w:rsidRPr="00280ADF">
        <w:rPr>
          <w:rFonts w:eastAsiaTheme="minorHAnsi" w:cs="Calibri"/>
          <w:b/>
        </w:rPr>
        <w:t>V</w:t>
      </w:r>
      <w:r w:rsidRPr="001217F1">
        <w:rPr>
          <w:rFonts w:eastAsiaTheme="minorHAnsi" w:cs="Calibri"/>
          <w:b/>
        </w:rPr>
        <w:t> oblasti vedení účetnictví a v</w:t>
      </w:r>
      <w:r w:rsidR="00BD137E">
        <w:rPr>
          <w:rFonts w:eastAsiaTheme="minorHAnsi" w:cs="Calibri"/>
          <w:b/>
        </w:rPr>
        <w:t xml:space="preserve"> </w:t>
      </w:r>
      <w:r w:rsidRPr="001217F1">
        <w:rPr>
          <w:rFonts w:eastAsiaTheme="minorHAnsi" w:cs="Calibri"/>
          <w:b/>
        </w:rPr>
        <w:t xml:space="preserve">rozpočtovém systému </w:t>
      </w:r>
      <w:proofErr w:type="spellStart"/>
      <w:r w:rsidRPr="001217F1">
        <w:rPr>
          <w:rFonts w:eastAsiaTheme="minorHAnsi" w:cs="Calibri"/>
          <w:b/>
        </w:rPr>
        <w:t>MZd</w:t>
      </w:r>
      <w:proofErr w:type="spellEnd"/>
      <w:r w:rsidRPr="001217F1">
        <w:rPr>
          <w:rFonts w:eastAsiaTheme="minorHAnsi" w:cs="Calibri"/>
          <w:b/>
        </w:rPr>
        <w:t xml:space="preserve"> za rok 2021</w:t>
      </w:r>
      <w:r w:rsidRPr="00280ADF">
        <w:rPr>
          <w:rFonts w:eastAsiaTheme="minorHAnsi" w:cs="Calibri"/>
          <w:b/>
        </w:rPr>
        <w:t xml:space="preserve"> VKS neidentifikoval</w:t>
      </w:r>
      <w:r w:rsidRPr="001217F1">
        <w:rPr>
          <w:rFonts w:eastAsiaTheme="minorHAnsi" w:cs="Calibri"/>
          <w:b/>
        </w:rPr>
        <w:t xml:space="preserve"> nedostatky, které NKÚ zjistil v</w:t>
      </w:r>
      <w:r w:rsidR="00BD137E">
        <w:rPr>
          <w:rFonts w:eastAsiaTheme="minorHAnsi" w:cs="Calibri"/>
          <w:b/>
        </w:rPr>
        <w:t xml:space="preserve"> </w:t>
      </w:r>
      <w:r w:rsidRPr="001217F1">
        <w:rPr>
          <w:rFonts w:eastAsiaTheme="minorHAnsi" w:cs="Calibri"/>
          <w:b/>
        </w:rPr>
        <w:t>průběhu kontroly (blíže viz část</w:t>
      </w:r>
      <w:r w:rsidR="009F786B">
        <w:rPr>
          <w:rFonts w:eastAsiaTheme="minorHAnsi" w:cs="Calibri"/>
          <w:b/>
        </w:rPr>
        <w:t>i</w:t>
      </w:r>
      <w:r w:rsidRPr="001217F1">
        <w:rPr>
          <w:rFonts w:eastAsiaTheme="minorHAnsi" w:cs="Calibri"/>
          <w:b/>
        </w:rPr>
        <w:t xml:space="preserve"> IV.2 a IV.3 tohoto kontrolního závěru). </w:t>
      </w:r>
      <w:proofErr w:type="spellStart"/>
      <w:r w:rsidRPr="001217F1">
        <w:rPr>
          <w:rFonts w:eastAsiaTheme="minorHAnsi" w:cs="Calibri"/>
          <w:b/>
        </w:rPr>
        <w:t>MZd</w:t>
      </w:r>
      <w:proofErr w:type="spellEnd"/>
      <w:r w:rsidRPr="001217F1">
        <w:rPr>
          <w:rFonts w:eastAsiaTheme="minorHAnsi" w:cs="Calibri"/>
          <w:b/>
        </w:rPr>
        <w:t xml:space="preserve"> všechny tyto nedostatky řádně opravilo provedením opravných zápisů </w:t>
      </w:r>
      <w:r w:rsidR="00BD137E">
        <w:rPr>
          <w:rFonts w:eastAsiaTheme="minorHAnsi" w:cs="Calibri"/>
          <w:b/>
        </w:rPr>
        <w:br/>
      </w:r>
      <w:r w:rsidRPr="001217F1">
        <w:rPr>
          <w:rFonts w:eastAsiaTheme="minorHAnsi" w:cs="Calibri"/>
          <w:b/>
        </w:rPr>
        <w:t>a</w:t>
      </w:r>
      <w:r w:rsidR="009F786B">
        <w:rPr>
          <w:rFonts w:eastAsiaTheme="minorHAnsi" w:cs="Calibri"/>
          <w:b/>
        </w:rPr>
        <w:t xml:space="preserve"> </w:t>
      </w:r>
      <w:r w:rsidRPr="001217F1">
        <w:rPr>
          <w:rFonts w:eastAsiaTheme="minorHAnsi" w:cs="Calibri"/>
          <w:b/>
        </w:rPr>
        <w:t>přijetím opatření k</w:t>
      </w:r>
      <w:r w:rsidR="009F786B">
        <w:rPr>
          <w:rFonts w:eastAsiaTheme="minorHAnsi" w:cs="Calibri"/>
          <w:b/>
        </w:rPr>
        <w:t xml:space="preserve"> </w:t>
      </w:r>
      <w:r w:rsidRPr="001217F1">
        <w:rPr>
          <w:rFonts w:eastAsiaTheme="minorHAnsi" w:cs="Calibri"/>
          <w:b/>
        </w:rPr>
        <w:t>nápravě systémových nedostatků. Po realizaci všech těchto opatření k</w:t>
      </w:r>
      <w:r w:rsidR="00690D75">
        <w:rPr>
          <w:rFonts w:eastAsiaTheme="minorHAnsi" w:cs="Calibri"/>
          <w:b/>
        </w:rPr>
        <w:t> </w:t>
      </w:r>
      <w:r w:rsidRPr="001217F1">
        <w:rPr>
          <w:rFonts w:eastAsiaTheme="minorHAnsi" w:cs="Calibri"/>
          <w:b/>
        </w:rPr>
        <w:t>nápravě lze konstatovat, že v oblasti účetnictví, plnění rozpočtu a závěrečného účtu nezjistil NKÚ výsledně žádné skutečnosti svědčící o tom, že VKS není účinný.</w:t>
      </w:r>
    </w:p>
    <w:p w14:paraId="5BEC1A6A" w14:textId="77777777" w:rsidR="00487E12" w:rsidRDefault="00487E12" w:rsidP="0066297E">
      <w:pPr>
        <w:keepNext/>
        <w:spacing w:after="0"/>
        <w:jc w:val="both"/>
        <w:rPr>
          <w:b/>
        </w:rPr>
      </w:pPr>
    </w:p>
    <w:p w14:paraId="0BBE473A" w14:textId="44913B65" w:rsidR="00736EBE" w:rsidRPr="00EF43E6" w:rsidRDefault="00FC0815" w:rsidP="0066297E">
      <w:pPr>
        <w:keepNext/>
        <w:spacing w:after="0"/>
        <w:jc w:val="both"/>
        <w:rPr>
          <w:b/>
        </w:rPr>
      </w:pPr>
      <w:r w:rsidRPr="00EF43E6">
        <w:rPr>
          <w:b/>
        </w:rPr>
        <w:t xml:space="preserve">6. </w:t>
      </w:r>
      <w:r w:rsidR="00307299" w:rsidRPr="00EF43E6">
        <w:rPr>
          <w:b/>
        </w:rPr>
        <w:t xml:space="preserve">Kontrola opatření k nápravě </w:t>
      </w:r>
      <w:r w:rsidR="00900A34">
        <w:rPr>
          <w:b/>
        </w:rPr>
        <w:t xml:space="preserve">nedostatků zjištěných </w:t>
      </w:r>
      <w:r w:rsidR="00307299" w:rsidRPr="00EF43E6">
        <w:rPr>
          <w:b/>
        </w:rPr>
        <w:t>kontrolní akc</w:t>
      </w:r>
      <w:r w:rsidR="00900A34">
        <w:rPr>
          <w:b/>
        </w:rPr>
        <w:t>í</w:t>
      </w:r>
      <w:r w:rsidR="00B7738C" w:rsidRPr="00EF43E6">
        <w:rPr>
          <w:b/>
        </w:rPr>
        <w:t xml:space="preserve"> </w:t>
      </w:r>
      <w:r w:rsidR="00900A34">
        <w:rPr>
          <w:b/>
        </w:rPr>
        <w:t xml:space="preserve">NKÚ </w:t>
      </w:r>
      <w:r w:rsidR="00B7738C" w:rsidRPr="00EF43E6">
        <w:rPr>
          <w:b/>
        </w:rPr>
        <w:t>č. 1</w:t>
      </w:r>
      <w:r w:rsidR="00EF43E6" w:rsidRPr="00EF43E6">
        <w:rPr>
          <w:b/>
        </w:rPr>
        <w:t>8</w:t>
      </w:r>
      <w:r w:rsidR="00B7738C" w:rsidRPr="00EF43E6">
        <w:rPr>
          <w:b/>
        </w:rPr>
        <w:t>/</w:t>
      </w:r>
      <w:r w:rsidR="00EF43E6" w:rsidRPr="00EF43E6">
        <w:rPr>
          <w:b/>
        </w:rPr>
        <w:t>13</w:t>
      </w:r>
    </w:p>
    <w:p w14:paraId="1DBF3312" w14:textId="77777777" w:rsidR="00741607" w:rsidRPr="00D71C60" w:rsidRDefault="00741607" w:rsidP="0066297E">
      <w:pPr>
        <w:spacing w:after="0"/>
        <w:jc w:val="both"/>
        <w:rPr>
          <w:rFonts w:eastAsiaTheme="minorHAnsi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73FC6" w:rsidRPr="00EF43E6" w14:paraId="4B6CAEA8" w14:textId="77777777" w:rsidTr="005E63AE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E5F1FF"/>
          </w:tcPr>
          <w:p w14:paraId="4B16F974" w14:textId="77777777" w:rsidR="00873FC6" w:rsidRPr="009247F7" w:rsidRDefault="00750A43" w:rsidP="009C2182">
            <w:pPr>
              <w:rPr>
                <w:rFonts w:eastAsiaTheme="minorHAnsi"/>
                <w:b/>
              </w:rPr>
            </w:pPr>
            <w:proofErr w:type="spellStart"/>
            <w:r w:rsidRPr="009247F7">
              <w:rPr>
                <w:rFonts w:eastAsiaTheme="minorHAnsi"/>
                <w:b/>
              </w:rPr>
              <w:t>MZ</w:t>
            </w:r>
            <w:r>
              <w:rPr>
                <w:rFonts w:eastAsiaTheme="minorHAnsi"/>
                <w:b/>
              </w:rPr>
              <w:t>d</w:t>
            </w:r>
            <w:proofErr w:type="spellEnd"/>
            <w:r>
              <w:rPr>
                <w:rFonts w:eastAsiaTheme="minorHAnsi"/>
                <w:b/>
              </w:rPr>
              <w:t xml:space="preserve"> </w:t>
            </w:r>
            <w:r w:rsidR="00873FC6" w:rsidRPr="009247F7">
              <w:rPr>
                <w:rFonts w:eastAsiaTheme="minorHAnsi"/>
                <w:b/>
              </w:rPr>
              <w:t>realizovalo opatření k nápravě z</w:t>
            </w:r>
            <w:r w:rsidR="00485A80" w:rsidRPr="009247F7">
              <w:rPr>
                <w:rFonts w:eastAsiaTheme="minorHAnsi"/>
                <w:b/>
              </w:rPr>
              <w:t>e</w:t>
            </w:r>
            <w:r w:rsidR="00873FC6" w:rsidRPr="009247F7">
              <w:rPr>
                <w:rFonts w:eastAsiaTheme="minorHAnsi"/>
                <w:b/>
              </w:rPr>
              <w:t> </w:t>
            </w:r>
            <w:r w:rsidR="00485A80" w:rsidRPr="009247F7">
              <w:rPr>
                <w:rFonts w:eastAsiaTheme="minorHAnsi"/>
                <w:b/>
              </w:rPr>
              <w:t>100</w:t>
            </w:r>
            <w:r w:rsidR="00873FC6" w:rsidRPr="009247F7">
              <w:rPr>
                <w:rFonts w:eastAsiaTheme="minorHAnsi"/>
                <w:b/>
              </w:rPr>
              <w:t xml:space="preserve"> %</w:t>
            </w:r>
            <w:r w:rsidR="00267A30" w:rsidRPr="009247F7">
              <w:rPr>
                <w:rFonts w:eastAsiaTheme="minorHAnsi"/>
                <w:b/>
              </w:rPr>
              <w:t>.</w:t>
            </w:r>
          </w:p>
        </w:tc>
      </w:tr>
    </w:tbl>
    <w:p w14:paraId="237542DE" w14:textId="5900A171" w:rsidR="00B328A2" w:rsidRPr="00D71C60" w:rsidRDefault="00B328A2" w:rsidP="00B328A2">
      <w:pPr>
        <w:jc w:val="both"/>
        <w:rPr>
          <w:rFonts w:eastAsiaTheme="minorHAnsi"/>
          <w:highlight w:val="yellow"/>
        </w:rPr>
      </w:pPr>
      <w:r w:rsidRPr="00EF43E6">
        <w:rPr>
          <w:rFonts w:eastAsiaTheme="minorHAnsi"/>
        </w:rPr>
        <w:t xml:space="preserve">NKÚ v průběhu kontroly hodnotil také opatření </w:t>
      </w:r>
      <w:proofErr w:type="spellStart"/>
      <w:r w:rsidRPr="00EF43E6">
        <w:rPr>
          <w:rFonts w:eastAsiaTheme="minorHAnsi"/>
        </w:rPr>
        <w:t>MZ</w:t>
      </w:r>
      <w:r w:rsidR="00750A43">
        <w:rPr>
          <w:rFonts w:eastAsiaTheme="minorHAnsi"/>
        </w:rPr>
        <w:t>d</w:t>
      </w:r>
      <w:proofErr w:type="spellEnd"/>
      <w:r w:rsidRPr="00EF43E6">
        <w:rPr>
          <w:rFonts w:eastAsiaTheme="minorHAnsi"/>
        </w:rPr>
        <w:t xml:space="preserve"> přijatá</w:t>
      </w:r>
      <w:r w:rsidRPr="009F786B">
        <w:rPr>
          <w:rStyle w:val="Znakapoznpodarou"/>
          <w:rFonts w:eastAsiaTheme="minorHAnsi" w:cs="Calibri"/>
          <w:bCs/>
        </w:rPr>
        <w:footnoteReference w:id="21"/>
      </w:r>
      <w:r w:rsidRPr="00EF43E6">
        <w:rPr>
          <w:rFonts w:eastAsiaTheme="minorHAnsi"/>
        </w:rPr>
        <w:t xml:space="preserve"> k nápravě nedostatků zjištěných </w:t>
      </w:r>
      <w:r w:rsidR="00900A34">
        <w:rPr>
          <w:rFonts w:eastAsiaTheme="minorHAnsi"/>
        </w:rPr>
        <w:t>kontrolní akcí NKÚ</w:t>
      </w:r>
      <w:r w:rsidR="00900A34" w:rsidRPr="00EF43E6">
        <w:rPr>
          <w:rFonts w:eastAsiaTheme="minorHAnsi"/>
        </w:rPr>
        <w:t xml:space="preserve"> </w:t>
      </w:r>
      <w:r w:rsidRPr="00EF43E6">
        <w:rPr>
          <w:rFonts w:eastAsiaTheme="minorHAnsi"/>
        </w:rPr>
        <w:t xml:space="preserve">č. 18/13. </w:t>
      </w:r>
      <w:proofErr w:type="spellStart"/>
      <w:r>
        <w:rPr>
          <w:rFonts w:eastAsiaTheme="minorHAnsi"/>
        </w:rPr>
        <w:t>MZ</w:t>
      </w:r>
      <w:r w:rsidR="00750A43">
        <w:rPr>
          <w:rFonts w:eastAsiaTheme="minorHAnsi"/>
        </w:rPr>
        <w:t>d</w:t>
      </w:r>
      <w:proofErr w:type="spellEnd"/>
      <w:r>
        <w:rPr>
          <w:rFonts w:eastAsiaTheme="minorHAnsi"/>
        </w:rPr>
        <w:t xml:space="preserve"> realizovalo úplně a správně všech </w:t>
      </w:r>
      <w:r w:rsidRPr="00EF43E6">
        <w:rPr>
          <w:rFonts w:eastAsiaTheme="minorHAnsi"/>
        </w:rPr>
        <w:t xml:space="preserve">21 opatření </w:t>
      </w:r>
      <w:r w:rsidR="00900A34">
        <w:rPr>
          <w:rFonts w:eastAsiaTheme="minorHAnsi"/>
        </w:rPr>
        <w:t>stanovených</w:t>
      </w:r>
      <w:r w:rsidR="00900A34" w:rsidRPr="00EF43E6">
        <w:rPr>
          <w:rFonts w:eastAsiaTheme="minorHAnsi"/>
        </w:rPr>
        <w:t xml:space="preserve"> </w:t>
      </w:r>
      <w:r w:rsidRPr="00EF43E6">
        <w:rPr>
          <w:rFonts w:eastAsiaTheme="minorHAnsi"/>
        </w:rPr>
        <w:t>k nápravě nedostatků.</w:t>
      </w:r>
    </w:p>
    <w:p w14:paraId="6492FE56" w14:textId="77777777" w:rsidR="009C2182" w:rsidRPr="00D71C60" w:rsidRDefault="009C2182">
      <w:pPr>
        <w:spacing w:after="160" w:line="259" w:lineRule="auto"/>
        <w:rPr>
          <w:rFonts w:eastAsiaTheme="minorHAnsi"/>
          <w:highlight w:val="yellow"/>
        </w:rPr>
      </w:pPr>
    </w:p>
    <w:p w14:paraId="76341237" w14:textId="77777777" w:rsidR="00E91FF5" w:rsidRPr="00EF43E6" w:rsidRDefault="00A640AE" w:rsidP="00C159BE">
      <w:pPr>
        <w:pStyle w:val="Nadpis1"/>
        <w:keepNext/>
        <w:spacing w:after="0" w:line="240" w:lineRule="auto"/>
        <w:rPr>
          <w:rFonts w:ascii="Calibri" w:hAnsi="Calibri" w:cs="Calibri"/>
          <w:szCs w:val="24"/>
        </w:rPr>
      </w:pPr>
      <w:r w:rsidRPr="00EF43E6">
        <w:rPr>
          <w:rFonts w:ascii="Calibri" w:hAnsi="Calibri" w:cs="Calibri"/>
          <w:szCs w:val="24"/>
        </w:rPr>
        <w:t>II. Informace o kontrolované oblasti</w:t>
      </w:r>
    </w:p>
    <w:p w14:paraId="46ABB42D" w14:textId="77777777" w:rsidR="00C159BE" w:rsidRPr="00D71C60" w:rsidRDefault="00C159BE" w:rsidP="001A79A3">
      <w:pPr>
        <w:keepNext/>
        <w:spacing w:after="0"/>
        <w:jc w:val="both"/>
        <w:rPr>
          <w:rFonts w:cs="Calibri"/>
          <w:highlight w:val="yellow"/>
        </w:rPr>
      </w:pPr>
    </w:p>
    <w:p w14:paraId="442C0747" w14:textId="5B730650" w:rsidR="009F20AA" w:rsidRPr="00D71C60" w:rsidRDefault="00EF43E6" w:rsidP="0066297E">
      <w:pPr>
        <w:jc w:val="both"/>
        <w:rPr>
          <w:rFonts w:asciiTheme="minorHAnsi" w:hAnsiTheme="minorHAnsi" w:cstheme="minorHAnsi"/>
          <w:highlight w:val="yellow"/>
        </w:rPr>
      </w:pPr>
      <w:proofErr w:type="spellStart"/>
      <w:r w:rsidRPr="00EF43E6">
        <w:rPr>
          <w:rFonts w:asciiTheme="minorHAnsi" w:hAnsiTheme="minorHAnsi" w:cstheme="minorHAnsi"/>
        </w:rPr>
        <w:t>MZ</w:t>
      </w:r>
      <w:r w:rsidR="00E05522">
        <w:rPr>
          <w:rFonts w:asciiTheme="minorHAnsi" w:hAnsiTheme="minorHAnsi" w:cstheme="minorHAnsi"/>
        </w:rPr>
        <w:t>d</w:t>
      </w:r>
      <w:proofErr w:type="spellEnd"/>
      <w:r w:rsidR="00187AEF" w:rsidRPr="00EF43E6">
        <w:rPr>
          <w:rFonts w:asciiTheme="minorHAnsi" w:hAnsiTheme="minorHAnsi" w:cstheme="minorHAnsi"/>
        </w:rPr>
        <w:t xml:space="preserve"> bylo zřízeno zákonem</w:t>
      </w:r>
      <w:r w:rsidR="00841D93">
        <w:rPr>
          <w:rFonts w:asciiTheme="minorHAnsi" w:hAnsiTheme="minorHAnsi" w:cstheme="minorHAnsi"/>
        </w:rPr>
        <w:t xml:space="preserve"> České národní rady</w:t>
      </w:r>
      <w:r w:rsidR="00187AEF" w:rsidRPr="00EF43E6">
        <w:rPr>
          <w:rFonts w:asciiTheme="minorHAnsi" w:hAnsiTheme="minorHAnsi" w:cstheme="minorHAnsi"/>
        </w:rPr>
        <w:t xml:space="preserve"> č. 2/1969 Sb.</w:t>
      </w:r>
      <w:r w:rsidR="00F64846" w:rsidRPr="00EF43E6">
        <w:rPr>
          <w:rStyle w:val="Znakapoznpodarou"/>
          <w:rFonts w:asciiTheme="minorHAnsi" w:hAnsiTheme="minorHAnsi" w:cstheme="minorHAnsi"/>
        </w:rPr>
        <w:footnoteReference w:id="22"/>
      </w:r>
      <w:r w:rsidR="00187AEF" w:rsidRPr="00EF43E6">
        <w:rPr>
          <w:rFonts w:asciiTheme="minorHAnsi" w:hAnsiTheme="minorHAnsi" w:cstheme="minorHAnsi"/>
        </w:rPr>
        <w:t xml:space="preserve"> </w:t>
      </w:r>
      <w:r w:rsidR="00187AEF" w:rsidRPr="00016D88">
        <w:rPr>
          <w:rFonts w:asciiTheme="minorHAnsi" w:hAnsiTheme="minorHAnsi" w:cstheme="minorHAnsi"/>
        </w:rPr>
        <w:t xml:space="preserve">Podle ustanovení </w:t>
      </w:r>
      <w:r w:rsidR="00187AEF" w:rsidRPr="00FB26D0">
        <w:rPr>
          <w:rFonts w:asciiTheme="minorHAnsi" w:hAnsiTheme="minorHAnsi" w:cstheme="minorHAnsi"/>
        </w:rPr>
        <w:t>§ 1</w:t>
      </w:r>
      <w:r w:rsidR="00FB26D0" w:rsidRPr="00FB26D0">
        <w:rPr>
          <w:rFonts w:asciiTheme="minorHAnsi" w:hAnsiTheme="minorHAnsi" w:cstheme="minorHAnsi"/>
        </w:rPr>
        <w:t>0</w:t>
      </w:r>
      <w:r w:rsidR="00187AEF" w:rsidRPr="00FB26D0">
        <w:rPr>
          <w:rFonts w:asciiTheme="minorHAnsi" w:hAnsiTheme="minorHAnsi" w:cstheme="minorHAnsi"/>
        </w:rPr>
        <w:t xml:space="preserve"> tohoto</w:t>
      </w:r>
      <w:r w:rsidR="00187AEF" w:rsidRPr="00016D88">
        <w:rPr>
          <w:rFonts w:asciiTheme="minorHAnsi" w:hAnsiTheme="minorHAnsi" w:cstheme="minorHAnsi"/>
        </w:rPr>
        <w:t xml:space="preserve"> zákona je </w:t>
      </w:r>
      <w:proofErr w:type="spellStart"/>
      <w:r w:rsidR="00DC68F7" w:rsidRPr="00016D88">
        <w:rPr>
          <w:rFonts w:asciiTheme="minorHAnsi" w:hAnsiTheme="minorHAnsi" w:cstheme="minorHAnsi"/>
        </w:rPr>
        <w:t>M</w:t>
      </w:r>
      <w:r w:rsidR="00016D88" w:rsidRPr="00016D88">
        <w:rPr>
          <w:rFonts w:asciiTheme="minorHAnsi" w:hAnsiTheme="minorHAnsi" w:cstheme="minorHAnsi"/>
        </w:rPr>
        <w:t>Z</w:t>
      </w:r>
      <w:r w:rsidR="00E05522">
        <w:rPr>
          <w:rFonts w:asciiTheme="minorHAnsi" w:hAnsiTheme="minorHAnsi" w:cstheme="minorHAnsi"/>
        </w:rPr>
        <w:t>d</w:t>
      </w:r>
      <w:proofErr w:type="spellEnd"/>
      <w:r w:rsidR="00DC68F7" w:rsidRPr="00016D88">
        <w:rPr>
          <w:rFonts w:asciiTheme="minorHAnsi" w:hAnsiTheme="minorHAnsi" w:cstheme="minorHAnsi"/>
        </w:rPr>
        <w:t xml:space="preserve"> </w:t>
      </w:r>
      <w:r w:rsidR="00016D88" w:rsidRPr="00016D88">
        <w:rPr>
          <w:rFonts w:asciiTheme="minorHAnsi" w:hAnsiTheme="minorHAnsi" w:cstheme="minorHAnsi"/>
        </w:rPr>
        <w:t>ústředním orgánem státní správy pro zdravotní služby, ochranu veřejného zdraví, zdravotnickou vědeckovýzkumnou činnost, poskytovatele zdravotních služeb v přímé říd</w:t>
      </w:r>
      <w:r w:rsidR="00900A34">
        <w:rPr>
          <w:rFonts w:asciiTheme="minorHAnsi" w:hAnsiTheme="minorHAnsi" w:cstheme="minorHAnsi"/>
        </w:rPr>
        <w:t>i</w:t>
      </w:r>
      <w:r w:rsidR="00016D88" w:rsidRPr="00016D88">
        <w:rPr>
          <w:rFonts w:asciiTheme="minorHAnsi" w:hAnsiTheme="minorHAnsi" w:cstheme="minorHAnsi"/>
        </w:rPr>
        <w:t>cí působnosti, zacházení s návykovými látkami, přípravky, prekursory a pomocnými látkami, vyhledávání, ochranu a využívání přírodních léčivých zdrojů, přírodních léčebných lázní a</w:t>
      </w:r>
      <w:r w:rsidR="00900A34">
        <w:rPr>
          <w:rFonts w:asciiTheme="minorHAnsi" w:hAnsiTheme="minorHAnsi" w:cstheme="minorHAnsi"/>
        </w:rPr>
        <w:t xml:space="preserve"> </w:t>
      </w:r>
      <w:r w:rsidR="00016D88" w:rsidRPr="00016D88">
        <w:rPr>
          <w:rFonts w:asciiTheme="minorHAnsi" w:hAnsiTheme="minorHAnsi" w:cstheme="minorHAnsi"/>
        </w:rPr>
        <w:t>zdrojů přírodních minerálních vod, léčiva a prostředky zdravotnické techniky pro prevenci, diagnostiku a léčení lidí, zdravotní pojištění a zdravotnický informační systém, pro používání biocidních přípravků a uvádění biocidních přípravků a účinných látek na trh.</w:t>
      </w:r>
    </w:p>
    <w:p w14:paraId="681FFBF8" w14:textId="77777777" w:rsidR="009F20AA" w:rsidRPr="00D71C60" w:rsidRDefault="00016D88" w:rsidP="0066297E">
      <w:pPr>
        <w:jc w:val="both"/>
        <w:rPr>
          <w:rFonts w:asciiTheme="minorHAnsi" w:hAnsiTheme="minorHAnsi" w:cstheme="minorHAnsi"/>
          <w:highlight w:val="yellow"/>
        </w:rPr>
      </w:pPr>
      <w:proofErr w:type="spellStart"/>
      <w:r w:rsidRPr="00016D88">
        <w:rPr>
          <w:rFonts w:asciiTheme="minorHAnsi" w:hAnsiTheme="minorHAnsi" w:cstheme="minorHAnsi"/>
        </w:rPr>
        <w:t>MZ</w:t>
      </w:r>
      <w:r w:rsidR="00E05522">
        <w:rPr>
          <w:rFonts w:asciiTheme="minorHAnsi" w:hAnsiTheme="minorHAnsi" w:cstheme="minorHAnsi"/>
        </w:rPr>
        <w:t>d</w:t>
      </w:r>
      <w:proofErr w:type="spellEnd"/>
      <w:r w:rsidR="00DA08FB" w:rsidRPr="00016D88">
        <w:rPr>
          <w:rFonts w:asciiTheme="minorHAnsi" w:hAnsiTheme="minorHAnsi" w:cstheme="minorHAnsi"/>
        </w:rPr>
        <w:t xml:space="preserve"> je d</w:t>
      </w:r>
      <w:r w:rsidR="005A6A6F" w:rsidRPr="00016D88">
        <w:rPr>
          <w:rFonts w:asciiTheme="minorHAnsi" w:hAnsiTheme="minorHAnsi" w:cstheme="minorHAnsi"/>
        </w:rPr>
        <w:t>le zákona</w:t>
      </w:r>
      <w:r w:rsidR="00534338" w:rsidRPr="00016D88">
        <w:rPr>
          <w:rFonts w:asciiTheme="minorHAnsi" w:hAnsiTheme="minorHAnsi" w:cstheme="minorHAnsi"/>
        </w:rPr>
        <w:t xml:space="preserve"> </w:t>
      </w:r>
      <w:r w:rsidR="005B4A83" w:rsidRPr="00016D88">
        <w:rPr>
          <w:rFonts w:asciiTheme="minorHAnsi" w:hAnsiTheme="minorHAnsi" w:cstheme="minorHAnsi"/>
        </w:rPr>
        <w:t>č. 219/2000 Sb.</w:t>
      </w:r>
      <w:r w:rsidR="00534338" w:rsidRPr="00016D88">
        <w:rPr>
          <w:rFonts w:asciiTheme="minorHAnsi" w:hAnsiTheme="minorHAnsi" w:cstheme="minorHAnsi"/>
        </w:rPr>
        <w:t xml:space="preserve"> </w:t>
      </w:r>
      <w:r w:rsidR="00C266C0">
        <w:rPr>
          <w:rFonts w:asciiTheme="minorHAnsi" w:hAnsiTheme="minorHAnsi" w:cstheme="minorHAnsi"/>
        </w:rPr>
        <w:t xml:space="preserve">organizační složkou státu (dále </w:t>
      </w:r>
      <w:r w:rsidR="00900A34">
        <w:rPr>
          <w:rFonts w:asciiTheme="minorHAnsi" w:hAnsiTheme="minorHAnsi" w:cstheme="minorHAnsi"/>
        </w:rPr>
        <w:t xml:space="preserve">také </w:t>
      </w:r>
      <w:r w:rsidR="00C266C0">
        <w:rPr>
          <w:rFonts w:asciiTheme="minorHAnsi" w:hAnsiTheme="minorHAnsi" w:cstheme="minorHAnsi"/>
        </w:rPr>
        <w:t>„</w:t>
      </w:r>
      <w:r w:rsidR="00927ABA" w:rsidRPr="00016D88">
        <w:rPr>
          <w:rFonts w:asciiTheme="minorHAnsi" w:hAnsiTheme="minorHAnsi" w:cstheme="minorHAnsi"/>
        </w:rPr>
        <w:t>OSS</w:t>
      </w:r>
      <w:r w:rsidR="00C266C0">
        <w:rPr>
          <w:rFonts w:asciiTheme="minorHAnsi" w:hAnsiTheme="minorHAnsi" w:cstheme="minorHAnsi"/>
        </w:rPr>
        <w:t>“)</w:t>
      </w:r>
      <w:r w:rsidR="00FF714A" w:rsidRPr="00016D88">
        <w:rPr>
          <w:rFonts w:asciiTheme="minorHAnsi" w:hAnsiTheme="minorHAnsi" w:cstheme="minorHAnsi"/>
        </w:rPr>
        <w:t xml:space="preserve"> </w:t>
      </w:r>
      <w:r w:rsidR="00A640AE" w:rsidRPr="00016D88">
        <w:rPr>
          <w:rFonts w:asciiTheme="minorHAnsi" w:hAnsiTheme="minorHAnsi" w:cstheme="minorHAnsi"/>
        </w:rPr>
        <w:t xml:space="preserve">a dle </w:t>
      </w:r>
      <w:r w:rsidR="009F786B">
        <w:rPr>
          <w:rFonts w:asciiTheme="minorHAnsi" w:hAnsiTheme="minorHAnsi" w:cstheme="minorHAnsi"/>
        </w:rPr>
        <w:br/>
      </w:r>
      <w:r w:rsidR="00BE7F32" w:rsidRPr="00016D88">
        <w:rPr>
          <w:rFonts w:asciiTheme="minorHAnsi" w:hAnsiTheme="minorHAnsi" w:cstheme="minorHAnsi"/>
        </w:rPr>
        <w:t>zákona č.</w:t>
      </w:r>
      <w:r w:rsidR="009F786B">
        <w:rPr>
          <w:rFonts w:asciiTheme="minorHAnsi" w:hAnsiTheme="minorHAnsi" w:cstheme="minorHAnsi"/>
        </w:rPr>
        <w:t xml:space="preserve"> </w:t>
      </w:r>
      <w:r w:rsidR="00BE7F32" w:rsidRPr="00016D88">
        <w:rPr>
          <w:rFonts w:asciiTheme="minorHAnsi" w:hAnsiTheme="minorHAnsi" w:cstheme="minorHAnsi"/>
        </w:rPr>
        <w:t>563/1991 Sb.</w:t>
      </w:r>
      <w:r w:rsidR="00F0213D" w:rsidRPr="00016D88">
        <w:rPr>
          <w:rFonts w:asciiTheme="minorHAnsi" w:hAnsiTheme="minorHAnsi" w:cstheme="minorHAnsi"/>
        </w:rPr>
        <w:t xml:space="preserve"> </w:t>
      </w:r>
      <w:r w:rsidR="00A640AE" w:rsidRPr="00016D88">
        <w:rPr>
          <w:rFonts w:asciiTheme="minorHAnsi" w:hAnsiTheme="minorHAnsi" w:cstheme="minorHAnsi"/>
        </w:rPr>
        <w:t>vybranou účetní jednotkou. Dle ustanovení § 10 odst.</w:t>
      </w:r>
      <w:r w:rsidR="00B85D2E" w:rsidRPr="00016D88">
        <w:rPr>
          <w:rFonts w:asciiTheme="minorHAnsi" w:hAnsiTheme="minorHAnsi" w:cstheme="minorHAnsi"/>
        </w:rPr>
        <w:t xml:space="preserve"> </w:t>
      </w:r>
      <w:r w:rsidR="00A640AE" w:rsidRPr="00016D88">
        <w:rPr>
          <w:rFonts w:asciiTheme="minorHAnsi" w:hAnsiTheme="minorHAnsi" w:cstheme="minorHAnsi"/>
        </w:rPr>
        <w:t>1</w:t>
      </w:r>
      <w:r w:rsidR="004A4FD6" w:rsidRPr="00016D88">
        <w:rPr>
          <w:rFonts w:asciiTheme="minorHAnsi" w:hAnsiTheme="minorHAnsi" w:cstheme="minorHAnsi"/>
        </w:rPr>
        <w:t xml:space="preserve"> </w:t>
      </w:r>
      <w:r w:rsidR="00F75A4B" w:rsidRPr="00016D88">
        <w:rPr>
          <w:rFonts w:asciiTheme="minorHAnsi" w:hAnsiTheme="minorHAnsi" w:cstheme="minorHAnsi"/>
        </w:rPr>
        <w:t>zákona č.</w:t>
      </w:r>
      <w:r w:rsidR="009F786B">
        <w:rPr>
          <w:rFonts w:asciiTheme="minorHAnsi" w:hAnsiTheme="minorHAnsi" w:cstheme="minorHAnsi"/>
        </w:rPr>
        <w:t> </w:t>
      </w:r>
      <w:r w:rsidR="00F75A4B" w:rsidRPr="00016D88">
        <w:rPr>
          <w:rFonts w:asciiTheme="minorHAnsi" w:hAnsiTheme="minorHAnsi" w:cstheme="minorHAnsi"/>
        </w:rPr>
        <w:t>218/2000 Sb.</w:t>
      </w:r>
      <w:r w:rsidR="004A4FD6" w:rsidRPr="00016D88">
        <w:rPr>
          <w:rFonts w:asciiTheme="minorHAnsi" w:hAnsiTheme="minorHAnsi" w:cstheme="minorHAnsi"/>
        </w:rPr>
        <w:t xml:space="preserve"> </w:t>
      </w:r>
      <w:r w:rsidR="00A640AE" w:rsidRPr="00016D88">
        <w:rPr>
          <w:rFonts w:asciiTheme="minorHAnsi" w:hAnsiTheme="minorHAnsi" w:cstheme="minorHAnsi"/>
        </w:rPr>
        <w:t>je</w:t>
      </w:r>
      <w:r w:rsidR="004A4FD6" w:rsidRPr="00016D88">
        <w:rPr>
          <w:rFonts w:asciiTheme="minorHAnsi" w:hAnsiTheme="minorHAnsi" w:cstheme="minorHAnsi"/>
        </w:rPr>
        <w:t xml:space="preserve"> </w:t>
      </w:r>
      <w:r w:rsidR="00A640AE" w:rsidRPr="00016D88">
        <w:rPr>
          <w:rFonts w:asciiTheme="minorHAnsi" w:hAnsiTheme="minorHAnsi" w:cstheme="minorHAnsi"/>
        </w:rPr>
        <w:t>správcem</w:t>
      </w:r>
      <w:r w:rsidR="004A4FD6" w:rsidRPr="00016D88">
        <w:rPr>
          <w:rFonts w:asciiTheme="minorHAnsi" w:hAnsiTheme="minorHAnsi" w:cstheme="minorHAnsi"/>
        </w:rPr>
        <w:t xml:space="preserve"> </w:t>
      </w:r>
      <w:r w:rsidR="00A640AE" w:rsidRPr="00016D88">
        <w:rPr>
          <w:rFonts w:asciiTheme="minorHAnsi" w:hAnsiTheme="minorHAnsi" w:cstheme="minorHAnsi"/>
        </w:rPr>
        <w:t>kapitoly</w:t>
      </w:r>
      <w:r w:rsidR="00B85D2E" w:rsidRPr="00016D88">
        <w:rPr>
          <w:rFonts w:asciiTheme="minorHAnsi" w:hAnsiTheme="minorHAnsi" w:cstheme="minorHAnsi"/>
        </w:rPr>
        <w:t xml:space="preserve"> </w:t>
      </w:r>
      <w:r w:rsidR="009F786B">
        <w:rPr>
          <w:rFonts w:asciiTheme="minorHAnsi" w:hAnsiTheme="minorHAnsi" w:cstheme="minorHAnsi"/>
        </w:rPr>
        <w:t xml:space="preserve">státního rozpočtu </w:t>
      </w:r>
      <w:r w:rsidRPr="00016D88">
        <w:rPr>
          <w:rFonts w:asciiTheme="minorHAnsi" w:hAnsiTheme="minorHAnsi" w:cstheme="minorHAnsi"/>
        </w:rPr>
        <w:t>335</w:t>
      </w:r>
      <w:r w:rsidR="005D4659" w:rsidRPr="00016D88">
        <w:rPr>
          <w:rFonts w:asciiTheme="minorHAnsi" w:hAnsiTheme="minorHAnsi" w:cstheme="minorHAnsi"/>
        </w:rPr>
        <w:t xml:space="preserve"> –</w:t>
      </w:r>
      <w:r w:rsidR="00A640AE" w:rsidRPr="00016D88">
        <w:rPr>
          <w:rFonts w:asciiTheme="minorHAnsi" w:hAnsiTheme="minorHAnsi" w:cstheme="minorHAnsi"/>
        </w:rPr>
        <w:t xml:space="preserve"> </w:t>
      </w:r>
      <w:r w:rsidR="00A640AE" w:rsidRPr="00016D88">
        <w:rPr>
          <w:rFonts w:asciiTheme="minorHAnsi" w:hAnsiTheme="minorHAnsi" w:cstheme="minorHAnsi"/>
          <w:i/>
        </w:rPr>
        <w:t xml:space="preserve">Ministerstvo </w:t>
      </w:r>
      <w:r w:rsidRPr="00016D88">
        <w:rPr>
          <w:rFonts w:asciiTheme="minorHAnsi" w:hAnsiTheme="minorHAnsi" w:cstheme="minorHAnsi"/>
          <w:i/>
        </w:rPr>
        <w:t>zdravotnictví</w:t>
      </w:r>
      <w:r w:rsidR="00A640AE" w:rsidRPr="00016D88">
        <w:rPr>
          <w:rFonts w:asciiTheme="minorHAnsi" w:hAnsiTheme="minorHAnsi" w:cstheme="minorHAnsi"/>
        </w:rPr>
        <w:t>.</w:t>
      </w:r>
      <w:r w:rsidR="00563F09" w:rsidRPr="00016D88">
        <w:rPr>
          <w:rFonts w:asciiTheme="minorHAnsi" w:hAnsiTheme="minorHAnsi" w:cstheme="minorHAnsi"/>
        </w:rPr>
        <w:t xml:space="preserve"> </w:t>
      </w:r>
      <w:proofErr w:type="spellStart"/>
      <w:r w:rsidR="00FB26D0" w:rsidRPr="00FB26D0">
        <w:rPr>
          <w:rFonts w:asciiTheme="minorHAnsi" w:hAnsiTheme="minorHAnsi" w:cstheme="minorHAnsi"/>
        </w:rPr>
        <w:t>MZ</w:t>
      </w:r>
      <w:r w:rsidR="00E05522">
        <w:rPr>
          <w:rFonts w:asciiTheme="minorHAnsi" w:hAnsiTheme="minorHAnsi" w:cstheme="minorHAnsi"/>
        </w:rPr>
        <w:t>d</w:t>
      </w:r>
      <w:proofErr w:type="spellEnd"/>
      <w:r w:rsidR="00563F09" w:rsidRPr="00FB26D0">
        <w:rPr>
          <w:rFonts w:asciiTheme="minorHAnsi" w:hAnsiTheme="minorHAnsi" w:cstheme="minorHAnsi"/>
        </w:rPr>
        <w:t xml:space="preserve"> rovněž plní povinnosti zakladatele státních podniků. </w:t>
      </w:r>
      <w:r w:rsidR="00911046" w:rsidRPr="00FB26D0">
        <w:rPr>
          <w:rFonts w:asciiTheme="minorHAnsi" w:hAnsiTheme="minorHAnsi" w:cstheme="minorHAnsi"/>
        </w:rPr>
        <w:t xml:space="preserve">V zakladatelské působnosti </w:t>
      </w:r>
      <w:proofErr w:type="spellStart"/>
      <w:r w:rsidR="00911046" w:rsidRPr="00FB26D0">
        <w:rPr>
          <w:rFonts w:asciiTheme="minorHAnsi" w:hAnsiTheme="minorHAnsi" w:cstheme="minorHAnsi"/>
        </w:rPr>
        <w:t>M</w:t>
      </w:r>
      <w:r w:rsidR="00FB26D0" w:rsidRPr="00FB26D0">
        <w:rPr>
          <w:rFonts w:asciiTheme="minorHAnsi" w:hAnsiTheme="minorHAnsi" w:cstheme="minorHAnsi"/>
        </w:rPr>
        <w:t>Z</w:t>
      </w:r>
      <w:r w:rsidR="00E05522">
        <w:rPr>
          <w:rFonts w:asciiTheme="minorHAnsi" w:hAnsiTheme="minorHAnsi" w:cstheme="minorHAnsi"/>
        </w:rPr>
        <w:t>d</w:t>
      </w:r>
      <w:proofErr w:type="spellEnd"/>
      <w:r w:rsidR="006F5FBC" w:rsidRPr="00FB26D0">
        <w:rPr>
          <w:rFonts w:asciiTheme="minorHAnsi" w:hAnsiTheme="minorHAnsi" w:cstheme="minorHAnsi"/>
        </w:rPr>
        <w:t xml:space="preserve"> byl</w:t>
      </w:r>
      <w:r w:rsidR="00FB26D0" w:rsidRPr="00FB26D0">
        <w:rPr>
          <w:rFonts w:asciiTheme="minorHAnsi" w:hAnsiTheme="minorHAnsi" w:cstheme="minorHAnsi"/>
        </w:rPr>
        <w:t>y</w:t>
      </w:r>
      <w:r w:rsidR="00911046" w:rsidRPr="00FB26D0">
        <w:rPr>
          <w:rFonts w:asciiTheme="minorHAnsi" w:hAnsiTheme="minorHAnsi" w:cstheme="minorHAnsi"/>
        </w:rPr>
        <w:t xml:space="preserve"> k 31.</w:t>
      </w:r>
      <w:r w:rsidR="009F786B">
        <w:rPr>
          <w:rFonts w:asciiTheme="minorHAnsi" w:hAnsiTheme="minorHAnsi" w:cstheme="minorHAnsi"/>
        </w:rPr>
        <w:t> </w:t>
      </w:r>
      <w:r w:rsidR="00911046" w:rsidRPr="00FB26D0">
        <w:rPr>
          <w:rFonts w:asciiTheme="minorHAnsi" w:hAnsiTheme="minorHAnsi" w:cstheme="minorHAnsi"/>
        </w:rPr>
        <w:t>prosinci 202</w:t>
      </w:r>
      <w:r w:rsidR="00FB26D0" w:rsidRPr="00FB26D0">
        <w:rPr>
          <w:rFonts w:asciiTheme="minorHAnsi" w:hAnsiTheme="minorHAnsi" w:cstheme="minorHAnsi"/>
        </w:rPr>
        <w:t>1</w:t>
      </w:r>
      <w:r w:rsidR="00911046" w:rsidRPr="00FB26D0">
        <w:rPr>
          <w:rFonts w:asciiTheme="minorHAnsi" w:hAnsiTheme="minorHAnsi" w:cstheme="minorHAnsi"/>
        </w:rPr>
        <w:t xml:space="preserve"> </w:t>
      </w:r>
      <w:r w:rsidR="00FB26D0" w:rsidRPr="00FB26D0">
        <w:rPr>
          <w:rFonts w:asciiTheme="minorHAnsi" w:hAnsiTheme="minorHAnsi" w:cstheme="minorHAnsi"/>
        </w:rPr>
        <w:t xml:space="preserve">čtyři </w:t>
      </w:r>
      <w:r w:rsidR="00911046" w:rsidRPr="00FB26D0">
        <w:rPr>
          <w:rFonts w:asciiTheme="minorHAnsi" w:hAnsiTheme="minorHAnsi" w:cstheme="minorHAnsi"/>
        </w:rPr>
        <w:t>státní podnik</w:t>
      </w:r>
      <w:r w:rsidR="00FB26D0" w:rsidRPr="00FB26D0">
        <w:rPr>
          <w:rFonts w:asciiTheme="minorHAnsi" w:hAnsiTheme="minorHAnsi" w:cstheme="minorHAnsi"/>
        </w:rPr>
        <w:t>y</w:t>
      </w:r>
      <w:r w:rsidR="00911046" w:rsidRPr="00FB26D0">
        <w:rPr>
          <w:rFonts w:asciiTheme="minorHAnsi" w:hAnsiTheme="minorHAnsi" w:cstheme="minorHAnsi"/>
        </w:rPr>
        <w:t>.</w:t>
      </w:r>
    </w:p>
    <w:p w14:paraId="2E123662" w14:textId="77777777" w:rsidR="009F20AA" w:rsidRPr="00FB26D0" w:rsidRDefault="00FF714A" w:rsidP="0066297E">
      <w:pPr>
        <w:jc w:val="both"/>
        <w:rPr>
          <w:rFonts w:asciiTheme="minorHAnsi" w:hAnsiTheme="minorHAnsi" w:cstheme="minorHAnsi"/>
        </w:rPr>
      </w:pPr>
      <w:r w:rsidRPr="00FB26D0">
        <w:rPr>
          <w:rFonts w:asciiTheme="minorHAnsi" w:hAnsiTheme="minorHAnsi" w:cstheme="minorHAnsi"/>
        </w:rPr>
        <w:t xml:space="preserve">V roce </w:t>
      </w:r>
      <w:r w:rsidR="00FB26D0" w:rsidRPr="00FB26D0">
        <w:rPr>
          <w:rFonts w:asciiTheme="minorHAnsi" w:hAnsiTheme="minorHAnsi" w:cstheme="minorHAnsi"/>
        </w:rPr>
        <w:t>2021</w:t>
      </w:r>
      <w:r w:rsidRPr="00FB26D0">
        <w:rPr>
          <w:rFonts w:asciiTheme="minorHAnsi" w:hAnsiTheme="minorHAnsi" w:cstheme="minorHAnsi"/>
        </w:rPr>
        <w:t xml:space="preserve"> bylo </w:t>
      </w:r>
      <w:proofErr w:type="spellStart"/>
      <w:r w:rsidR="00DC68F7" w:rsidRPr="00FB26D0">
        <w:rPr>
          <w:rFonts w:asciiTheme="minorHAnsi" w:hAnsiTheme="minorHAnsi" w:cstheme="minorHAnsi"/>
        </w:rPr>
        <w:t>M</w:t>
      </w:r>
      <w:r w:rsidR="00FB26D0" w:rsidRPr="00FB26D0">
        <w:rPr>
          <w:rFonts w:asciiTheme="minorHAnsi" w:hAnsiTheme="minorHAnsi" w:cstheme="minorHAnsi"/>
        </w:rPr>
        <w:t>Z</w:t>
      </w:r>
      <w:r w:rsidR="00E05522">
        <w:rPr>
          <w:rFonts w:asciiTheme="minorHAnsi" w:hAnsiTheme="minorHAnsi" w:cstheme="minorHAnsi"/>
        </w:rPr>
        <w:t>d</w:t>
      </w:r>
      <w:proofErr w:type="spellEnd"/>
      <w:r w:rsidRPr="00FB26D0">
        <w:rPr>
          <w:rFonts w:asciiTheme="minorHAnsi" w:hAnsiTheme="minorHAnsi" w:cstheme="minorHAnsi"/>
        </w:rPr>
        <w:t xml:space="preserve"> zřizovatelem </w:t>
      </w:r>
      <w:r w:rsidR="00FB26D0" w:rsidRPr="00FB26D0">
        <w:rPr>
          <w:rFonts w:asciiTheme="minorHAnsi" w:hAnsiTheme="minorHAnsi" w:cstheme="minorHAnsi"/>
        </w:rPr>
        <w:t>19</w:t>
      </w:r>
      <w:r w:rsidRPr="00FB26D0">
        <w:rPr>
          <w:rFonts w:asciiTheme="minorHAnsi" w:hAnsiTheme="minorHAnsi" w:cstheme="minorHAnsi"/>
        </w:rPr>
        <w:t xml:space="preserve"> </w:t>
      </w:r>
      <w:r w:rsidR="00927ABA" w:rsidRPr="00FB26D0">
        <w:rPr>
          <w:rFonts w:asciiTheme="minorHAnsi" w:hAnsiTheme="minorHAnsi" w:cstheme="minorHAnsi"/>
        </w:rPr>
        <w:t>OSS</w:t>
      </w:r>
      <w:r w:rsidRPr="00FB26D0">
        <w:rPr>
          <w:rFonts w:asciiTheme="minorHAnsi" w:hAnsiTheme="minorHAnsi" w:cstheme="minorHAnsi"/>
        </w:rPr>
        <w:t xml:space="preserve"> a </w:t>
      </w:r>
      <w:r w:rsidR="00FB26D0" w:rsidRPr="00FB26D0">
        <w:rPr>
          <w:rFonts w:asciiTheme="minorHAnsi" w:hAnsiTheme="minorHAnsi" w:cstheme="minorHAnsi"/>
        </w:rPr>
        <w:t>45</w:t>
      </w:r>
      <w:r w:rsidRPr="00FB26D0">
        <w:rPr>
          <w:rFonts w:asciiTheme="minorHAnsi" w:hAnsiTheme="minorHAnsi" w:cstheme="minorHAnsi"/>
        </w:rPr>
        <w:t xml:space="preserve"> příspěvkových organizací</w:t>
      </w:r>
      <w:r w:rsidR="00050BF8" w:rsidRPr="00FB26D0">
        <w:rPr>
          <w:rFonts w:asciiTheme="minorHAnsi" w:hAnsiTheme="minorHAnsi" w:cstheme="minorHAnsi"/>
        </w:rPr>
        <w:t xml:space="preserve"> (dále</w:t>
      </w:r>
      <w:r w:rsidR="00900A34">
        <w:rPr>
          <w:rFonts w:asciiTheme="minorHAnsi" w:hAnsiTheme="minorHAnsi" w:cstheme="minorHAnsi"/>
        </w:rPr>
        <w:t xml:space="preserve"> také</w:t>
      </w:r>
      <w:r w:rsidR="00050BF8" w:rsidRPr="00FB26D0">
        <w:rPr>
          <w:rFonts w:asciiTheme="minorHAnsi" w:hAnsiTheme="minorHAnsi" w:cstheme="minorHAnsi"/>
        </w:rPr>
        <w:t xml:space="preserve"> „PO“)</w:t>
      </w:r>
      <w:r w:rsidRPr="00FB26D0">
        <w:rPr>
          <w:rFonts w:asciiTheme="minorHAnsi" w:hAnsiTheme="minorHAnsi" w:cstheme="minorHAnsi"/>
        </w:rPr>
        <w:t>.</w:t>
      </w:r>
    </w:p>
    <w:p w14:paraId="0BBD068D" w14:textId="583DA67E" w:rsidR="00E91FF5" w:rsidRPr="00D71C60" w:rsidRDefault="00A640AE" w:rsidP="009F20AA">
      <w:pPr>
        <w:spacing w:after="0"/>
        <w:jc w:val="both"/>
        <w:rPr>
          <w:rFonts w:cs="Calibri"/>
          <w:highlight w:val="yellow"/>
        </w:rPr>
      </w:pPr>
      <w:r w:rsidRPr="002E54E6">
        <w:rPr>
          <w:rFonts w:cs="Calibri"/>
        </w:rPr>
        <w:t>Přehled základních údajů z</w:t>
      </w:r>
      <w:r w:rsidR="00900A34">
        <w:rPr>
          <w:rFonts w:cs="Calibri"/>
        </w:rPr>
        <w:t xml:space="preserve"> </w:t>
      </w:r>
      <w:r w:rsidR="00D37A9B" w:rsidRPr="002E54E6">
        <w:rPr>
          <w:rFonts w:cs="Calibri"/>
        </w:rPr>
        <w:t xml:space="preserve">ÚZ </w:t>
      </w:r>
      <w:r w:rsidRPr="002E54E6">
        <w:rPr>
          <w:rFonts w:cs="Calibri"/>
        </w:rPr>
        <w:t>a z</w:t>
      </w:r>
      <w:r w:rsidR="00900A34">
        <w:rPr>
          <w:rFonts w:cs="Calibri"/>
        </w:rPr>
        <w:t xml:space="preserve"> </w:t>
      </w:r>
      <w:r w:rsidRPr="002E54E6">
        <w:rPr>
          <w:rFonts w:cs="Calibri"/>
        </w:rPr>
        <w:t>výkazu pro hodnocení plnění rozpočtu správců kapitol a</w:t>
      </w:r>
      <w:r w:rsidR="009E57D6" w:rsidRPr="002E54E6">
        <w:rPr>
          <w:rFonts w:cs="Calibri"/>
        </w:rPr>
        <w:t> </w:t>
      </w:r>
      <w:r w:rsidRPr="002E54E6">
        <w:rPr>
          <w:rFonts w:cs="Calibri"/>
        </w:rPr>
        <w:t>organizačních složek státu</w:t>
      </w:r>
      <w:r w:rsidR="00D16053" w:rsidRPr="002E54E6">
        <w:rPr>
          <w:rFonts w:cs="Calibri"/>
        </w:rPr>
        <w:t xml:space="preserve"> za rok </w:t>
      </w:r>
      <w:r w:rsidR="00903D51" w:rsidRPr="002E54E6">
        <w:rPr>
          <w:rFonts w:cs="Calibri"/>
        </w:rPr>
        <w:t>202</w:t>
      </w:r>
      <w:r w:rsidR="002E54E6" w:rsidRPr="002E54E6">
        <w:rPr>
          <w:rFonts w:cs="Calibri"/>
        </w:rPr>
        <w:t>1</w:t>
      </w:r>
      <w:r w:rsidRPr="002E54E6">
        <w:rPr>
          <w:rFonts w:cs="Calibri"/>
        </w:rPr>
        <w:t xml:space="preserve"> (dále také „výkaz FIN 1-12 OSS“) vygenerovaného z rozpočtového systému</w:t>
      </w:r>
      <w:r w:rsidRPr="002E54E6">
        <w:rPr>
          <w:rStyle w:val="Znakapoznpodarou"/>
          <w:rFonts w:eastAsiaTheme="minorHAnsi" w:cs="Calibri"/>
        </w:rPr>
        <w:footnoteReference w:id="23"/>
      </w:r>
      <w:r w:rsidRPr="002E54E6">
        <w:rPr>
          <w:rFonts w:cs="Calibri"/>
        </w:rPr>
        <w:t xml:space="preserve"> je uveden v následujících tabulkách.</w:t>
      </w:r>
    </w:p>
    <w:p w14:paraId="6DB1047F" w14:textId="77777777" w:rsidR="00BC6C74" w:rsidRPr="00D71C60" w:rsidRDefault="00BC6C74" w:rsidP="00BA0F46">
      <w:pPr>
        <w:spacing w:after="0"/>
        <w:ind w:left="1304" w:hanging="1304"/>
        <w:jc w:val="both"/>
        <w:rPr>
          <w:rFonts w:cs="Calibri"/>
          <w:highlight w:val="yellow"/>
        </w:rPr>
      </w:pPr>
    </w:p>
    <w:p w14:paraId="3B065B99" w14:textId="77777777" w:rsidR="00494B0F" w:rsidRPr="002E54E6" w:rsidRDefault="00A640AE" w:rsidP="00C159BE">
      <w:pPr>
        <w:keepNext/>
        <w:spacing w:after="40"/>
        <w:ind w:left="1304" w:hanging="1304"/>
        <w:jc w:val="both"/>
        <w:rPr>
          <w:rFonts w:cs="Calibri"/>
        </w:rPr>
      </w:pPr>
      <w:r w:rsidRPr="002E54E6">
        <w:rPr>
          <w:rFonts w:cs="Calibri"/>
          <w:b/>
        </w:rPr>
        <w:t xml:space="preserve">Tabulka č. </w:t>
      </w:r>
      <w:r w:rsidR="0037310D" w:rsidRPr="002E54E6">
        <w:rPr>
          <w:rFonts w:cs="Calibri"/>
          <w:b/>
        </w:rPr>
        <w:t>1</w:t>
      </w:r>
      <w:r w:rsidRPr="002E54E6">
        <w:rPr>
          <w:rFonts w:cs="Calibri"/>
          <w:b/>
        </w:rPr>
        <w:t xml:space="preserve">: </w:t>
      </w:r>
      <w:r w:rsidRPr="002E54E6">
        <w:rPr>
          <w:rFonts w:cs="Calibri"/>
          <w:b/>
        </w:rPr>
        <w:tab/>
        <w:t xml:space="preserve">Údaje </w:t>
      </w:r>
      <w:r w:rsidR="000B3825" w:rsidRPr="002E54E6">
        <w:rPr>
          <w:rFonts w:cs="Calibri"/>
          <w:b/>
        </w:rPr>
        <w:t>ÚZ</w:t>
      </w:r>
      <w:r w:rsidRPr="002E54E6">
        <w:rPr>
          <w:rFonts w:cs="Calibri"/>
          <w:b/>
        </w:rPr>
        <w:t xml:space="preserve"> – rozvaha a výkaz zisku a</w:t>
      </w:r>
      <w:r w:rsidR="001B1CD4" w:rsidRPr="002E54E6">
        <w:rPr>
          <w:rFonts w:cs="Calibri"/>
          <w:b/>
        </w:rPr>
        <w:t xml:space="preserve"> </w:t>
      </w:r>
      <w:r w:rsidRPr="002E54E6">
        <w:rPr>
          <w:rFonts w:cs="Calibri"/>
          <w:b/>
        </w:rPr>
        <w:t xml:space="preserve">ztráty </w:t>
      </w:r>
      <w:r w:rsidR="002F271F" w:rsidRPr="002E54E6">
        <w:rPr>
          <w:rFonts w:cs="Calibri"/>
          <w:b/>
        </w:rPr>
        <w:t>(</w:t>
      </w:r>
      <w:r w:rsidRPr="002E54E6">
        <w:rPr>
          <w:rFonts w:cs="Calibri"/>
          <w:b/>
        </w:rPr>
        <w:t>údaje za běžné účetní období</w:t>
      </w:r>
      <w:r w:rsidR="002F271F" w:rsidRPr="002E54E6">
        <w:rPr>
          <w:rFonts w:cs="Calibri"/>
          <w:b/>
        </w:rPr>
        <w:t>)</w:t>
      </w:r>
    </w:p>
    <w:tbl>
      <w:tblPr>
        <w:tblW w:w="907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0080C" w:rsidRPr="00D71C60" w14:paraId="596E8C9F" w14:textId="77777777" w:rsidTr="00021041">
        <w:trPr>
          <w:trHeight w:val="255"/>
        </w:trPr>
        <w:tc>
          <w:tcPr>
            <w:tcW w:w="4535" w:type="dxa"/>
            <w:shd w:val="clear" w:color="auto" w:fill="E5F1FF"/>
            <w:noWrap/>
            <w:vAlign w:val="center"/>
            <w:hideMark/>
          </w:tcPr>
          <w:p w14:paraId="7DF4BFF0" w14:textId="77777777" w:rsidR="00494B0F" w:rsidRPr="002E54E6" w:rsidRDefault="00A640AE" w:rsidP="000015DC">
            <w:pPr>
              <w:keepNext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E54E6">
              <w:rPr>
                <w:rFonts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4535" w:type="dxa"/>
            <w:shd w:val="clear" w:color="auto" w:fill="E5F1FF"/>
            <w:noWrap/>
            <w:vAlign w:val="center"/>
            <w:hideMark/>
          </w:tcPr>
          <w:p w14:paraId="317465B5" w14:textId="502902A5" w:rsidR="00494B0F" w:rsidRPr="002E54E6" w:rsidRDefault="00A640AE" w:rsidP="000015DC">
            <w:pPr>
              <w:keepNext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E54E6">
              <w:rPr>
                <w:rFonts w:cs="Arial"/>
                <w:b/>
                <w:bCs/>
                <w:sz w:val="20"/>
                <w:szCs w:val="20"/>
              </w:rPr>
              <w:t>Částka v</w:t>
            </w:r>
            <w:r w:rsidR="00820AFA"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2E54E6">
              <w:rPr>
                <w:rFonts w:cs="Arial"/>
                <w:b/>
                <w:bCs/>
                <w:sz w:val="20"/>
                <w:szCs w:val="20"/>
              </w:rPr>
              <w:t>Kč</w:t>
            </w:r>
          </w:p>
        </w:tc>
      </w:tr>
      <w:tr w:rsidR="00D37A9B" w:rsidRPr="00D71C60" w14:paraId="1EA7FF77" w14:textId="77777777" w:rsidTr="00021041">
        <w:trPr>
          <w:trHeight w:val="255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1158EA0" w14:textId="77777777" w:rsidR="00D37A9B" w:rsidRPr="002E54E6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E54E6">
              <w:rPr>
                <w:rFonts w:cs="Arial"/>
                <w:sz w:val="20"/>
                <w:szCs w:val="20"/>
              </w:rPr>
              <w:t>Aktiva netto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330D41F4" w14:textId="77777777" w:rsidR="00D37A9B" w:rsidRPr="00D71C60" w:rsidRDefault="002E54E6" w:rsidP="000015DC">
            <w:pPr>
              <w:keepNext/>
              <w:spacing w:after="0"/>
              <w:ind w:right="787"/>
              <w:jc w:val="right"/>
              <w:rPr>
                <w:rFonts w:cs="Arial"/>
                <w:sz w:val="20"/>
                <w:szCs w:val="20"/>
                <w:highlight w:val="yellow"/>
              </w:rPr>
            </w:pPr>
            <w:r w:rsidRPr="002E54E6">
              <w:rPr>
                <w:rFonts w:cstheme="minorHAnsi"/>
                <w:color w:val="000000"/>
                <w:sz w:val="20"/>
                <w:szCs w:val="20"/>
              </w:rPr>
              <w:t>20 653 706 071,32</w:t>
            </w:r>
          </w:p>
        </w:tc>
      </w:tr>
      <w:tr w:rsidR="00D37A9B" w:rsidRPr="00D71C60" w14:paraId="62017186" w14:textId="77777777" w:rsidTr="00021041">
        <w:trPr>
          <w:trHeight w:val="255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2E0044B2" w14:textId="77777777" w:rsidR="00D37A9B" w:rsidRPr="002E54E6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E54E6">
              <w:rPr>
                <w:rFonts w:cs="Arial"/>
                <w:sz w:val="20"/>
                <w:szCs w:val="20"/>
              </w:rPr>
              <w:t>Pasiva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5B58354B" w14:textId="77777777" w:rsidR="00D37A9B" w:rsidRPr="00D71C60" w:rsidRDefault="002E54E6" w:rsidP="000015DC">
            <w:pPr>
              <w:keepNext/>
              <w:spacing w:after="0"/>
              <w:ind w:right="787"/>
              <w:jc w:val="right"/>
              <w:rPr>
                <w:rFonts w:cs="Arial"/>
                <w:sz w:val="20"/>
                <w:szCs w:val="20"/>
                <w:highlight w:val="yellow"/>
              </w:rPr>
            </w:pPr>
            <w:r w:rsidRPr="002E54E6">
              <w:rPr>
                <w:rFonts w:cstheme="minorHAnsi"/>
                <w:color w:val="000000"/>
                <w:sz w:val="20"/>
                <w:szCs w:val="20"/>
              </w:rPr>
              <w:t>20 653 706 071,32</w:t>
            </w:r>
          </w:p>
        </w:tc>
      </w:tr>
      <w:tr w:rsidR="00D37A9B" w:rsidRPr="00D71C60" w14:paraId="45FEB5E4" w14:textId="77777777" w:rsidTr="00021041">
        <w:trPr>
          <w:trHeight w:val="255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C6CF9CB" w14:textId="77777777" w:rsidR="00D37A9B" w:rsidRPr="002E54E6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E54E6">
              <w:rPr>
                <w:rFonts w:cs="Arial"/>
                <w:sz w:val="20"/>
                <w:szCs w:val="20"/>
              </w:rPr>
              <w:t>Náklady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2BB7D1F7" w14:textId="77777777" w:rsidR="00D37A9B" w:rsidRPr="00D71C60" w:rsidRDefault="002E54E6" w:rsidP="000015DC">
            <w:pPr>
              <w:keepNext/>
              <w:spacing w:after="0"/>
              <w:ind w:right="787"/>
              <w:jc w:val="right"/>
              <w:rPr>
                <w:rFonts w:cs="Arial"/>
                <w:sz w:val="20"/>
                <w:szCs w:val="20"/>
                <w:highlight w:val="yellow"/>
              </w:rPr>
            </w:pPr>
            <w:r w:rsidRPr="002E54E6">
              <w:rPr>
                <w:rFonts w:cstheme="minorHAnsi"/>
                <w:color w:val="000000"/>
                <w:sz w:val="20"/>
                <w:szCs w:val="20"/>
              </w:rPr>
              <w:t>28 434 018 541,04</w:t>
            </w:r>
          </w:p>
        </w:tc>
      </w:tr>
      <w:tr w:rsidR="00D37A9B" w:rsidRPr="00D71C60" w14:paraId="0278C87E" w14:textId="77777777" w:rsidTr="00021041">
        <w:trPr>
          <w:trHeight w:val="255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5794B867" w14:textId="77777777" w:rsidR="00D37A9B" w:rsidRPr="002E54E6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E54E6">
              <w:rPr>
                <w:rFonts w:cs="Arial"/>
                <w:sz w:val="20"/>
                <w:szCs w:val="20"/>
              </w:rPr>
              <w:t>Výnosy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7F7339AE" w14:textId="77777777" w:rsidR="00D37A9B" w:rsidRPr="00D71C60" w:rsidRDefault="002E54E6" w:rsidP="000015DC">
            <w:pPr>
              <w:keepNext/>
              <w:spacing w:after="0"/>
              <w:ind w:right="787"/>
              <w:jc w:val="right"/>
              <w:rPr>
                <w:rFonts w:cs="Arial"/>
                <w:sz w:val="20"/>
                <w:szCs w:val="20"/>
                <w:highlight w:val="yellow"/>
              </w:rPr>
            </w:pPr>
            <w:r w:rsidRPr="002E54E6">
              <w:rPr>
                <w:rFonts w:cstheme="minorHAnsi"/>
                <w:color w:val="000000"/>
                <w:sz w:val="20"/>
                <w:szCs w:val="20"/>
              </w:rPr>
              <w:t>8 303 927 937,94</w:t>
            </w:r>
          </w:p>
        </w:tc>
      </w:tr>
      <w:tr w:rsidR="00D37A9B" w:rsidRPr="00D71C60" w14:paraId="69C65CF3" w14:textId="77777777" w:rsidTr="00021041">
        <w:trPr>
          <w:trHeight w:val="255"/>
        </w:trPr>
        <w:tc>
          <w:tcPr>
            <w:tcW w:w="4535" w:type="dxa"/>
            <w:shd w:val="clear" w:color="auto" w:fill="auto"/>
            <w:vAlign w:val="center"/>
            <w:hideMark/>
          </w:tcPr>
          <w:p w14:paraId="6EB03C0C" w14:textId="77777777" w:rsidR="00D37A9B" w:rsidRPr="002E54E6" w:rsidRDefault="00D37A9B" w:rsidP="000015DC">
            <w:pPr>
              <w:keepNext/>
              <w:spacing w:after="0"/>
              <w:rPr>
                <w:rFonts w:cs="Arial"/>
                <w:sz w:val="20"/>
                <w:szCs w:val="20"/>
              </w:rPr>
            </w:pPr>
            <w:r w:rsidRPr="002E54E6">
              <w:rPr>
                <w:rFonts w:cs="Arial"/>
                <w:sz w:val="20"/>
                <w:szCs w:val="20"/>
              </w:rPr>
              <w:t>Výsledek hospodaření běžného účetního období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79FC93FD" w14:textId="77777777" w:rsidR="00D37A9B" w:rsidRPr="00D71C60" w:rsidRDefault="009F786B" w:rsidP="00AF5440">
            <w:pPr>
              <w:keepNext/>
              <w:spacing w:after="0"/>
              <w:ind w:right="787"/>
              <w:jc w:val="right"/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9F786B">
              <w:rPr>
                <w:rFonts w:cs="Calibri"/>
                <w:sz w:val="20"/>
                <w:szCs w:val="20"/>
              </w:rPr>
              <w:t>−</w:t>
            </w:r>
            <w:r w:rsidR="002E54E6" w:rsidRPr="002E54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20 130 090 603,10</w:t>
            </w:r>
          </w:p>
        </w:tc>
      </w:tr>
    </w:tbl>
    <w:p w14:paraId="79E8C2D8" w14:textId="77777777" w:rsidR="00494B0F" w:rsidRPr="002E54E6" w:rsidRDefault="00A640AE" w:rsidP="005B584C">
      <w:pPr>
        <w:keepNext/>
        <w:spacing w:before="40" w:after="0"/>
        <w:rPr>
          <w:rFonts w:cs="Arial"/>
          <w:sz w:val="20"/>
          <w:szCs w:val="20"/>
        </w:rPr>
      </w:pPr>
      <w:r w:rsidRPr="002E54E6">
        <w:rPr>
          <w:rFonts w:cs="Arial"/>
          <w:b/>
          <w:sz w:val="20"/>
          <w:szCs w:val="20"/>
        </w:rPr>
        <w:t>Zdroj:</w:t>
      </w:r>
      <w:r w:rsidRPr="002E54E6">
        <w:rPr>
          <w:rFonts w:cs="Arial"/>
          <w:sz w:val="20"/>
          <w:szCs w:val="20"/>
        </w:rPr>
        <w:t xml:space="preserve"> </w:t>
      </w:r>
      <w:r w:rsidR="000B3825" w:rsidRPr="002E54E6">
        <w:rPr>
          <w:rFonts w:cs="Arial"/>
          <w:sz w:val="20"/>
          <w:szCs w:val="20"/>
        </w:rPr>
        <w:t>ÚZ</w:t>
      </w:r>
      <w:r w:rsidRPr="002E54E6">
        <w:rPr>
          <w:rFonts w:cs="Arial"/>
          <w:sz w:val="20"/>
          <w:szCs w:val="20"/>
        </w:rPr>
        <w:t>.</w:t>
      </w:r>
    </w:p>
    <w:p w14:paraId="7187E03C" w14:textId="77777777" w:rsidR="00494B0F" w:rsidRDefault="00A640AE" w:rsidP="007012B8">
      <w:pPr>
        <w:spacing w:after="0"/>
        <w:ind w:left="567" w:hanging="567"/>
        <w:jc w:val="both"/>
        <w:rPr>
          <w:rFonts w:cs="Arial"/>
          <w:sz w:val="20"/>
          <w:szCs w:val="20"/>
        </w:rPr>
      </w:pPr>
      <w:r w:rsidRPr="002E54E6">
        <w:rPr>
          <w:rFonts w:cs="Arial"/>
          <w:b/>
          <w:sz w:val="20"/>
          <w:szCs w:val="20"/>
        </w:rPr>
        <w:t>Pozn.:</w:t>
      </w:r>
      <w:r w:rsidR="000E0B18" w:rsidRPr="002E54E6">
        <w:rPr>
          <w:rFonts w:cs="Arial"/>
          <w:sz w:val="20"/>
          <w:szCs w:val="20"/>
        </w:rPr>
        <w:t xml:space="preserve"> </w:t>
      </w:r>
      <w:r w:rsidR="000E0B18" w:rsidRPr="002E54E6">
        <w:rPr>
          <w:rFonts w:cs="Arial"/>
          <w:sz w:val="20"/>
          <w:szCs w:val="20"/>
        </w:rPr>
        <w:tab/>
      </w:r>
      <w:proofErr w:type="spellStart"/>
      <w:r w:rsidR="00AF5440" w:rsidRPr="002E54E6">
        <w:rPr>
          <w:rFonts w:cs="Arial"/>
          <w:sz w:val="20"/>
          <w:szCs w:val="20"/>
        </w:rPr>
        <w:t>M</w:t>
      </w:r>
      <w:r w:rsidR="002E54E6" w:rsidRPr="002E54E6">
        <w:rPr>
          <w:rFonts w:cs="Arial"/>
          <w:sz w:val="20"/>
          <w:szCs w:val="20"/>
        </w:rPr>
        <w:t>Z</w:t>
      </w:r>
      <w:r w:rsidR="00E05522">
        <w:rPr>
          <w:rFonts w:cs="Arial"/>
          <w:sz w:val="20"/>
          <w:szCs w:val="20"/>
        </w:rPr>
        <w:t>d</w:t>
      </w:r>
      <w:proofErr w:type="spellEnd"/>
      <w:r w:rsidRPr="002E54E6">
        <w:rPr>
          <w:rFonts w:cs="Arial"/>
          <w:sz w:val="20"/>
          <w:szCs w:val="20"/>
        </w:rPr>
        <w:t xml:space="preserve"> v ÚZ vykázalo aktiva v hodnotě brutto ve výši</w:t>
      </w:r>
      <w:r w:rsidR="00B92BDD" w:rsidRPr="002E54E6">
        <w:rPr>
          <w:rFonts w:cs="Arial"/>
          <w:sz w:val="20"/>
          <w:szCs w:val="20"/>
        </w:rPr>
        <w:t xml:space="preserve"> </w:t>
      </w:r>
      <w:r w:rsidR="002E54E6" w:rsidRPr="002E54E6">
        <w:rPr>
          <w:rFonts w:cs="Arial"/>
          <w:sz w:val="20"/>
          <w:szCs w:val="20"/>
        </w:rPr>
        <w:t>21 150 932 135,12</w:t>
      </w:r>
      <w:r w:rsidR="00D37A9B" w:rsidRPr="002E54E6">
        <w:rPr>
          <w:rFonts w:cs="Arial"/>
          <w:sz w:val="20"/>
          <w:szCs w:val="20"/>
        </w:rPr>
        <w:t xml:space="preserve"> Kč</w:t>
      </w:r>
      <w:r w:rsidRPr="002E54E6">
        <w:rPr>
          <w:rFonts w:cs="Arial"/>
          <w:sz w:val="20"/>
          <w:szCs w:val="20"/>
        </w:rPr>
        <w:t xml:space="preserve"> upravené o korekce ve výši</w:t>
      </w:r>
      <w:r w:rsidR="00B92BDD" w:rsidRPr="002E54E6">
        <w:rPr>
          <w:rFonts w:cs="Arial"/>
          <w:sz w:val="20"/>
          <w:szCs w:val="20"/>
        </w:rPr>
        <w:t xml:space="preserve"> </w:t>
      </w:r>
      <w:r w:rsidR="0096760B">
        <w:rPr>
          <w:rFonts w:cs="Arial"/>
          <w:sz w:val="20"/>
          <w:szCs w:val="20"/>
        </w:rPr>
        <w:t>497 226 063,</w:t>
      </w:r>
      <w:r w:rsidR="0096760B" w:rsidRPr="0096760B">
        <w:rPr>
          <w:rFonts w:cs="Arial"/>
          <w:sz w:val="20"/>
          <w:szCs w:val="20"/>
        </w:rPr>
        <w:t>80</w:t>
      </w:r>
      <w:r w:rsidRPr="0096760B">
        <w:rPr>
          <w:rFonts w:cs="Arial"/>
          <w:sz w:val="20"/>
          <w:szCs w:val="20"/>
        </w:rPr>
        <w:t xml:space="preserve"> Kč.</w:t>
      </w:r>
    </w:p>
    <w:p w14:paraId="04B26319" w14:textId="77777777" w:rsidR="001D11EF" w:rsidRPr="00D71C60" w:rsidRDefault="001D11EF" w:rsidP="007012B8">
      <w:pPr>
        <w:spacing w:after="0"/>
        <w:ind w:left="567" w:hanging="567"/>
        <w:jc w:val="both"/>
        <w:rPr>
          <w:rFonts w:cs="Arial"/>
          <w:sz w:val="20"/>
          <w:szCs w:val="20"/>
          <w:highlight w:val="yellow"/>
        </w:rPr>
      </w:pPr>
    </w:p>
    <w:p w14:paraId="4A906EF4" w14:textId="77777777" w:rsidR="00494B0F" w:rsidRPr="0096760B" w:rsidRDefault="00A640AE" w:rsidP="009C2182">
      <w:pPr>
        <w:keepNext/>
        <w:spacing w:after="40"/>
        <w:ind w:left="1304" w:hanging="1304"/>
        <w:jc w:val="both"/>
        <w:rPr>
          <w:rFonts w:cs="Arial"/>
          <w:b/>
          <w:spacing w:val="-4"/>
        </w:rPr>
      </w:pPr>
      <w:r w:rsidRPr="0096760B">
        <w:rPr>
          <w:rFonts w:cs="Arial"/>
          <w:b/>
          <w:spacing w:val="-4"/>
        </w:rPr>
        <w:lastRenderedPageBreak/>
        <w:t xml:space="preserve">Tabulka č. </w:t>
      </w:r>
      <w:r w:rsidR="0037310D" w:rsidRPr="0096760B">
        <w:rPr>
          <w:rFonts w:cs="Arial"/>
          <w:b/>
          <w:spacing w:val="-4"/>
        </w:rPr>
        <w:t>2</w:t>
      </w:r>
      <w:r w:rsidRPr="0096760B">
        <w:rPr>
          <w:rFonts w:cs="Arial"/>
          <w:b/>
          <w:spacing w:val="-4"/>
        </w:rPr>
        <w:t xml:space="preserve">: </w:t>
      </w:r>
      <w:r w:rsidRPr="0096760B">
        <w:rPr>
          <w:rFonts w:cs="Arial"/>
          <w:b/>
          <w:spacing w:val="-4"/>
        </w:rPr>
        <w:tab/>
        <w:t xml:space="preserve">Údaje </w:t>
      </w:r>
      <w:r w:rsidR="000B3825" w:rsidRPr="0096760B">
        <w:rPr>
          <w:rFonts w:cs="Arial"/>
          <w:b/>
          <w:spacing w:val="-4"/>
        </w:rPr>
        <w:t>ÚZ</w:t>
      </w:r>
      <w:r w:rsidRPr="0096760B">
        <w:rPr>
          <w:rFonts w:cs="Arial"/>
          <w:b/>
          <w:spacing w:val="-4"/>
        </w:rPr>
        <w:t xml:space="preserve"> – informace o stavu účtů v knize podrozvahových účtů </w:t>
      </w:r>
      <w:r w:rsidR="002F271F" w:rsidRPr="0096760B">
        <w:rPr>
          <w:rFonts w:cs="Arial"/>
          <w:b/>
          <w:spacing w:val="-4"/>
        </w:rPr>
        <w:t>(</w:t>
      </w:r>
      <w:r w:rsidRPr="0096760B">
        <w:rPr>
          <w:rFonts w:cs="Arial"/>
          <w:b/>
          <w:spacing w:val="-4"/>
        </w:rPr>
        <w:t>údaje za běžné účetní období</w:t>
      </w:r>
      <w:r w:rsidR="002F271F" w:rsidRPr="0096760B">
        <w:rPr>
          <w:rFonts w:cs="Arial"/>
          <w:b/>
          <w:spacing w:val="-4"/>
        </w:rPr>
        <w:t>)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5851"/>
        <w:gridCol w:w="567"/>
        <w:gridCol w:w="1842"/>
      </w:tblGrid>
      <w:tr w:rsidR="00427755" w:rsidRPr="00D71C60" w14:paraId="594F9803" w14:textId="77777777" w:rsidTr="0066297E">
        <w:trPr>
          <w:trHeight w:val="255"/>
          <w:tblHeader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1FD5B50" w14:textId="77777777" w:rsidR="00427755" w:rsidRPr="0096760B" w:rsidRDefault="00427755" w:rsidP="009C2182">
            <w:pPr>
              <w:keepNext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6760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</w:tcPr>
          <w:p w14:paraId="0FA4C948" w14:textId="77777777" w:rsidR="00427755" w:rsidRDefault="00427755" w:rsidP="00503962">
            <w:pPr>
              <w:keepNext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Účet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</w:tcPr>
          <w:p w14:paraId="3FCA91FE" w14:textId="505749BC" w:rsidR="00427755" w:rsidRDefault="00427755" w:rsidP="009C2182">
            <w:pPr>
              <w:keepNext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Částka v</w:t>
            </w:r>
            <w:r w:rsidR="00820AF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427755" w:rsidRPr="00D71C60" w14:paraId="768549BA" w14:textId="77777777" w:rsidTr="0066297E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83A7" w14:textId="77777777" w:rsidR="00427755" w:rsidRPr="00D71C60" w:rsidRDefault="00427755" w:rsidP="009C2182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470B51">
              <w:rPr>
                <w:rFonts w:eastAsiaTheme="minorHAnsi" w:cstheme="minorHAnsi"/>
                <w:sz w:val="20"/>
                <w:szCs w:val="20"/>
              </w:rPr>
              <w:t>P.I.1.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9255" w14:textId="77777777" w:rsidR="00427755" w:rsidRPr="00D71C60" w:rsidRDefault="00427755" w:rsidP="009C2182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470B51">
              <w:rPr>
                <w:rFonts w:eastAsiaTheme="minorHAnsi" w:cstheme="minorHAnsi"/>
                <w:sz w:val="20"/>
                <w:szCs w:val="20"/>
              </w:rPr>
              <w:t>Jiný drobný dlouhodobý nehmotný majetek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9999" w14:textId="77777777" w:rsidR="00427755" w:rsidRPr="00470B51" w:rsidRDefault="00427755" w:rsidP="0066297E">
            <w:pPr>
              <w:keepNext/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70CE" w14:textId="77777777" w:rsidR="00427755" w:rsidRPr="00470B51" w:rsidRDefault="00427755" w:rsidP="00503962">
            <w:pPr>
              <w:keepNext/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0B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2 993 660,25</w:t>
            </w:r>
          </w:p>
        </w:tc>
      </w:tr>
      <w:tr w:rsidR="00427755" w:rsidRPr="00D71C60" w14:paraId="46EE92D8" w14:textId="77777777" w:rsidTr="0066297E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5BEE" w14:textId="77777777" w:rsidR="00427755" w:rsidRPr="00D71C60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470B51">
              <w:rPr>
                <w:rFonts w:eastAsiaTheme="minorHAnsi" w:cstheme="minorHAnsi"/>
                <w:sz w:val="20"/>
                <w:szCs w:val="20"/>
              </w:rPr>
              <w:t>P.I.2.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A0EF" w14:textId="77777777" w:rsidR="00427755" w:rsidRPr="00D71C60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470B51">
              <w:rPr>
                <w:rFonts w:eastAsiaTheme="minorHAnsi" w:cstheme="minorHAnsi"/>
                <w:sz w:val="20"/>
                <w:szCs w:val="20"/>
              </w:rPr>
              <w:t>Jiný drobný dlouhodobý hmotný majetek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EB2E" w14:textId="77777777" w:rsidR="00427755" w:rsidRPr="00470B51" w:rsidRDefault="00427755" w:rsidP="0066297E">
            <w:pPr>
              <w:keepNext/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560" w14:textId="77777777" w:rsidR="00427755" w:rsidRPr="00470B51" w:rsidRDefault="00427755" w:rsidP="00503962">
            <w:pPr>
              <w:keepNext/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0B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9 082 008,15</w:t>
            </w:r>
          </w:p>
        </w:tc>
      </w:tr>
      <w:tr w:rsidR="00427755" w:rsidRPr="00D71C60" w14:paraId="5D242647" w14:textId="77777777" w:rsidTr="0066297E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42C2" w14:textId="77777777" w:rsidR="00427755" w:rsidRPr="00470B51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470B51">
              <w:rPr>
                <w:rFonts w:eastAsiaTheme="minorHAnsi" w:cstheme="minorHAnsi"/>
                <w:sz w:val="20"/>
                <w:szCs w:val="20"/>
              </w:rPr>
              <w:t>P.I.3.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E198" w14:textId="77777777" w:rsidR="00427755" w:rsidRPr="00470B51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470B51">
              <w:rPr>
                <w:rFonts w:eastAsiaTheme="minorHAnsi" w:cstheme="minorHAnsi"/>
                <w:sz w:val="20"/>
                <w:szCs w:val="20"/>
              </w:rPr>
              <w:t>Vyřazené pohledávky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6B3F" w14:textId="77777777" w:rsidR="00427755" w:rsidRPr="00470B51" w:rsidRDefault="00427755" w:rsidP="0066297E">
            <w:pPr>
              <w:keepNext/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2070" w14:textId="77777777" w:rsidR="00427755" w:rsidRPr="00470B51" w:rsidRDefault="00427755" w:rsidP="00503962">
            <w:pPr>
              <w:keepNext/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70B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40 623,00</w:t>
            </w:r>
          </w:p>
        </w:tc>
      </w:tr>
      <w:tr w:rsidR="00427755" w:rsidRPr="00D71C60" w14:paraId="18F22842" w14:textId="77777777" w:rsidTr="0066297E">
        <w:trPr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5778" w14:textId="77777777" w:rsidR="00427755" w:rsidRPr="00470B51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470B51">
              <w:rPr>
                <w:rFonts w:eastAsiaTheme="minorHAnsi" w:cstheme="minorHAnsi"/>
                <w:sz w:val="20"/>
                <w:szCs w:val="20"/>
              </w:rPr>
              <w:t>P.II.1.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8318" w14:textId="77777777" w:rsidR="00427755" w:rsidRPr="00470B51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470B51">
              <w:rPr>
                <w:rFonts w:eastAsiaTheme="minorHAnsi" w:cstheme="minorHAnsi"/>
                <w:sz w:val="20"/>
                <w:szCs w:val="20"/>
              </w:rPr>
              <w:t>Krátkodobé podmíněné pohledávky z předfinancování transferů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E3CB" w14:textId="77777777" w:rsidR="00427755" w:rsidRDefault="00427755" w:rsidP="00DF667C">
            <w:pPr>
              <w:keepNext/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C5CD" w14:textId="77777777" w:rsidR="00427755" w:rsidRDefault="00427755" w:rsidP="0066297E">
            <w:pPr>
              <w:keepNext/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43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1 851 928 233,88</w:t>
            </w:r>
          </w:p>
        </w:tc>
      </w:tr>
      <w:tr w:rsidR="00427755" w:rsidRPr="00D71C60" w14:paraId="4232A5E4" w14:textId="77777777" w:rsidTr="0066297E">
        <w:trPr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3D34" w14:textId="77777777" w:rsidR="00427755" w:rsidRPr="00D71C60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0443A1">
              <w:rPr>
                <w:rFonts w:eastAsiaTheme="minorHAnsi" w:cstheme="minorHAnsi"/>
                <w:sz w:val="20"/>
                <w:szCs w:val="20"/>
              </w:rPr>
              <w:t>P.II.3.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BA379" w14:textId="77777777" w:rsidR="00427755" w:rsidRPr="00D71C60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0443A1">
              <w:rPr>
                <w:rFonts w:eastAsiaTheme="minorHAnsi" w:cstheme="minorHAnsi"/>
                <w:sz w:val="20"/>
                <w:szCs w:val="20"/>
              </w:rPr>
              <w:t>Krátkodobé podmíněné pohledávky ze zahraničních transferů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98C" w14:textId="77777777" w:rsidR="00427755" w:rsidRPr="000443A1" w:rsidRDefault="00427755" w:rsidP="0066297E">
            <w:pPr>
              <w:keepNext/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95D" w14:textId="77777777" w:rsidR="00427755" w:rsidRPr="000443A1" w:rsidRDefault="00427755" w:rsidP="00503962">
            <w:pPr>
              <w:keepNext/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43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3 443 497,82</w:t>
            </w:r>
          </w:p>
        </w:tc>
      </w:tr>
      <w:tr w:rsidR="00427755" w:rsidRPr="00D71C60" w14:paraId="323888ED" w14:textId="77777777" w:rsidTr="0066297E">
        <w:trPr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0541" w14:textId="77777777" w:rsidR="00427755" w:rsidRPr="00D71C60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0443A1">
              <w:rPr>
                <w:rFonts w:eastAsiaTheme="minorHAnsi" w:cstheme="minorHAnsi"/>
                <w:sz w:val="20"/>
                <w:szCs w:val="20"/>
              </w:rPr>
              <w:t>P.II.6.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57E4" w14:textId="77777777" w:rsidR="00427755" w:rsidRPr="00D71C60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0443A1">
              <w:rPr>
                <w:rFonts w:eastAsiaTheme="minorHAnsi" w:cstheme="minorHAnsi"/>
                <w:sz w:val="20"/>
                <w:szCs w:val="20"/>
              </w:rPr>
              <w:t>Ostatní krátkodobé podmíněné závazky z</w:t>
            </w:r>
            <w:r>
              <w:rPr>
                <w:rFonts w:eastAsiaTheme="minorHAnsi" w:cstheme="minorHAnsi"/>
                <w:sz w:val="20"/>
                <w:szCs w:val="20"/>
              </w:rPr>
              <w:t> </w:t>
            </w:r>
            <w:r w:rsidRPr="000443A1">
              <w:rPr>
                <w:rFonts w:eastAsiaTheme="minorHAnsi" w:cstheme="minorHAnsi"/>
                <w:sz w:val="20"/>
                <w:szCs w:val="20"/>
              </w:rPr>
              <w:t>transferů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1B865" w14:textId="77777777" w:rsidR="00427755" w:rsidRDefault="00427755" w:rsidP="00DF667C">
            <w:pPr>
              <w:keepNext/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CA31" w14:textId="77777777" w:rsidR="00427755" w:rsidRDefault="00427755" w:rsidP="0066297E">
            <w:pPr>
              <w:keepNext/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43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3 585 527 068,56</w:t>
            </w:r>
          </w:p>
        </w:tc>
      </w:tr>
      <w:tr w:rsidR="00427755" w:rsidRPr="00D71C60" w14:paraId="7481B435" w14:textId="77777777" w:rsidTr="0066297E">
        <w:trPr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BEBE" w14:textId="77777777" w:rsidR="00427755" w:rsidRPr="000443A1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P.IV.3.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76646" w14:textId="77777777" w:rsidR="00427755" w:rsidRPr="000443A1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470B51">
              <w:rPr>
                <w:rFonts w:eastAsiaTheme="minorHAnsi" w:cstheme="minorHAnsi"/>
                <w:sz w:val="20"/>
                <w:szCs w:val="20"/>
              </w:rPr>
              <w:t>Krátkodobé podmíněné pohledávky z</w:t>
            </w:r>
            <w:r>
              <w:rPr>
                <w:rFonts w:eastAsiaTheme="minorHAnsi" w:cstheme="minorHAnsi"/>
                <w:sz w:val="20"/>
                <w:szCs w:val="20"/>
              </w:rPr>
              <w:t> jiných smluv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70D0" w14:textId="77777777" w:rsidR="00427755" w:rsidRDefault="00427755" w:rsidP="0066297E">
            <w:pPr>
              <w:keepNext/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85D2" w14:textId="77777777" w:rsidR="00427755" w:rsidRDefault="00427755" w:rsidP="00503962">
            <w:pPr>
              <w:keepNext/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15 966 612,00</w:t>
            </w:r>
          </w:p>
        </w:tc>
      </w:tr>
      <w:tr w:rsidR="00427755" w:rsidRPr="00D71C60" w14:paraId="30466DA1" w14:textId="77777777" w:rsidTr="0066297E">
        <w:trPr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B5D2D" w14:textId="77777777" w:rsidR="00427755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P.IV.4.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24E02" w14:textId="77777777" w:rsidR="00427755" w:rsidRPr="00470B51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Dlouhodobé</w:t>
            </w:r>
            <w:r w:rsidRPr="00470B51">
              <w:rPr>
                <w:rFonts w:eastAsiaTheme="minorHAnsi" w:cstheme="minorHAnsi"/>
                <w:sz w:val="20"/>
                <w:szCs w:val="20"/>
              </w:rPr>
              <w:t xml:space="preserve"> podmíněné pohledávky z</w:t>
            </w:r>
            <w:r>
              <w:rPr>
                <w:rFonts w:eastAsiaTheme="minorHAnsi" w:cstheme="minorHAnsi"/>
                <w:sz w:val="20"/>
                <w:szCs w:val="20"/>
              </w:rPr>
              <w:t> jiných smluv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6137" w14:textId="77777777" w:rsidR="00427755" w:rsidRDefault="00427755" w:rsidP="0066297E">
            <w:pPr>
              <w:keepNext/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678D" w14:textId="77777777" w:rsidR="00427755" w:rsidRDefault="00427755" w:rsidP="00503962">
            <w:pPr>
              <w:keepNext/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389 664,00</w:t>
            </w:r>
          </w:p>
        </w:tc>
      </w:tr>
      <w:tr w:rsidR="00427755" w:rsidRPr="00D71C60" w14:paraId="40B4975E" w14:textId="77777777" w:rsidTr="0066297E">
        <w:trPr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986D" w14:textId="77777777" w:rsidR="00427755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P.V.1.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4665" w14:textId="77777777" w:rsidR="00427755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Dlouhodobé</w:t>
            </w:r>
            <w:r w:rsidRPr="00470B51">
              <w:rPr>
                <w:rFonts w:eastAsiaTheme="minorHAnsi" w:cstheme="minorHAnsi"/>
                <w:sz w:val="20"/>
                <w:szCs w:val="20"/>
              </w:rPr>
              <w:t xml:space="preserve"> podmíněné pohledávky z</w:t>
            </w:r>
            <w:r>
              <w:rPr>
                <w:rFonts w:eastAsiaTheme="minorHAnsi" w:cstheme="minorHAnsi"/>
                <w:sz w:val="20"/>
                <w:szCs w:val="20"/>
              </w:rPr>
              <w:t> předfinancování transferů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55E64" w14:textId="77777777" w:rsidR="00427755" w:rsidRDefault="00427755" w:rsidP="00DF667C">
            <w:pPr>
              <w:keepNext/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A07" w14:textId="77777777" w:rsidR="00427755" w:rsidRDefault="00427755" w:rsidP="0066297E">
            <w:pPr>
              <w:keepNext/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647 502 241,30</w:t>
            </w:r>
          </w:p>
        </w:tc>
      </w:tr>
      <w:tr w:rsidR="00427755" w:rsidRPr="00D71C60" w14:paraId="6B6CDEE8" w14:textId="77777777" w:rsidTr="0066297E">
        <w:trPr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CF68" w14:textId="77777777" w:rsidR="00427755" w:rsidRPr="000443A1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0443A1">
              <w:rPr>
                <w:rFonts w:eastAsiaTheme="minorHAnsi" w:cstheme="minorHAnsi"/>
                <w:sz w:val="20"/>
                <w:szCs w:val="20"/>
              </w:rPr>
              <w:t>P.V.6.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B5F4" w14:textId="77777777" w:rsidR="00427755" w:rsidRPr="000443A1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0443A1">
              <w:rPr>
                <w:rFonts w:eastAsiaTheme="minorHAnsi" w:cstheme="minorHAnsi"/>
                <w:sz w:val="20"/>
                <w:szCs w:val="20"/>
              </w:rPr>
              <w:t>Ostatní dlouhodobé podmíněné závazky z</w:t>
            </w:r>
            <w:r>
              <w:rPr>
                <w:rFonts w:eastAsiaTheme="minorHAnsi" w:cstheme="minorHAnsi"/>
                <w:sz w:val="20"/>
                <w:szCs w:val="20"/>
              </w:rPr>
              <w:t> </w:t>
            </w:r>
            <w:r w:rsidRPr="000443A1">
              <w:rPr>
                <w:rFonts w:eastAsiaTheme="minorHAnsi" w:cstheme="minorHAnsi"/>
                <w:sz w:val="20"/>
                <w:szCs w:val="20"/>
              </w:rPr>
              <w:t>transferů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1E25" w14:textId="77777777" w:rsidR="00427755" w:rsidRDefault="00427755" w:rsidP="00DF667C">
            <w:pPr>
              <w:keepNext/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3660" w14:textId="77777777" w:rsidR="00427755" w:rsidRDefault="00427755" w:rsidP="0066297E">
            <w:pPr>
              <w:keepNext/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43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18 587 824 959,87</w:t>
            </w:r>
          </w:p>
        </w:tc>
      </w:tr>
      <w:tr w:rsidR="00427755" w:rsidRPr="00D71C60" w14:paraId="3E1FD755" w14:textId="77777777" w:rsidTr="0066297E">
        <w:trPr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68E9" w14:textId="77777777" w:rsidR="00427755" w:rsidRPr="000443A1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0443A1">
              <w:rPr>
                <w:rFonts w:eastAsiaTheme="minorHAnsi" w:cstheme="minorHAnsi"/>
                <w:sz w:val="20"/>
                <w:szCs w:val="20"/>
              </w:rPr>
              <w:t>P.VII.3.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8B95" w14:textId="77777777" w:rsidR="00427755" w:rsidRPr="000443A1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0443A1">
              <w:rPr>
                <w:rFonts w:eastAsiaTheme="minorHAnsi" w:cstheme="minorHAnsi"/>
                <w:sz w:val="20"/>
                <w:szCs w:val="20"/>
              </w:rPr>
              <w:t>Krátkodobé podmíněné závazky z jiných smluv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C446" w14:textId="77777777" w:rsidR="00427755" w:rsidRDefault="00427755" w:rsidP="00DF667C">
            <w:pPr>
              <w:keepNext/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6FB2" w14:textId="77777777" w:rsidR="00427755" w:rsidRDefault="00427755" w:rsidP="0066297E">
            <w:pPr>
              <w:keepNext/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43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1 395 827 156,29</w:t>
            </w:r>
          </w:p>
        </w:tc>
      </w:tr>
      <w:tr w:rsidR="00427755" w:rsidRPr="00D71C60" w14:paraId="27AE5904" w14:textId="77777777" w:rsidTr="0066297E">
        <w:trPr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9F49" w14:textId="77777777" w:rsidR="00427755" w:rsidRPr="000443A1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0443A1">
              <w:rPr>
                <w:rFonts w:eastAsiaTheme="minorHAnsi" w:cstheme="minorHAnsi"/>
                <w:sz w:val="20"/>
                <w:szCs w:val="20"/>
              </w:rPr>
              <w:t>P.VII.4.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F9154" w14:textId="77777777" w:rsidR="00427755" w:rsidRPr="000443A1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0443A1">
              <w:rPr>
                <w:rFonts w:eastAsiaTheme="minorHAnsi" w:cstheme="minorHAnsi"/>
                <w:sz w:val="20"/>
                <w:szCs w:val="20"/>
              </w:rPr>
              <w:t>Dlouhodobé podmíněné závazky z jiných smluv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72D3D" w14:textId="77777777" w:rsidR="00427755" w:rsidRDefault="00427755" w:rsidP="00DF667C">
            <w:pPr>
              <w:keepNext/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6263" w14:textId="77777777" w:rsidR="00427755" w:rsidRDefault="00427755" w:rsidP="0066297E">
            <w:pPr>
              <w:keepNext/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43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12 100 758 312,39</w:t>
            </w:r>
          </w:p>
        </w:tc>
      </w:tr>
      <w:tr w:rsidR="00427755" w:rsidRPr="00D71C60" w14:paraId="06464D77" w14:textId="77777777" w:rsidTr="0066297E">
        <w:trPr>
          <w:trHeight w:val="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BB67" w14:textId="77777777" w:rsidR="00427755" w:rsidRPr="00D71C60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0443A1">
              <w:rPr>
                <w:rFonts w:eastAsiaTheme="minorHAnsi" w:cstheme="minorHAnsi"/>
                <w:sz w:val="20"/>
                <w:szCs w:val="20"/>
              </w:rPr>
              <w:t>P.VII.</w:t>
            </w:r>
            <w:r>
              <w:rPr>
                <w:rFonts w:eastAsiaTheme="minorHAnsi" w:cstheme="minorHAnsi"/>
                <w:sz w:val="20"/>
                <w:szCs w:val="20"/>
              </w:rPr>
              <w:t>1</w:t>
            </w:r>
            <w:r w:rsidRPr="000443A1">
              <w:rPr>
                <w:rFonts w:eastAsiaTheme="minorHAnsi" w:cstheme="minorHAnsi"/>
                <w:sz w:val="20"/>
                <w:szCs w:val="20"/>
              </w:rPr>
              <w:t>4.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4D2A" w14:textId="3FB48A50" w:rsidR="00427755" w:rsidRPr="00D71C60" w:rsidRDefault="00427755" w:rsidP="00470B51">
            <w:pPr>
              <w:keepNext/>
              <w:autoSpaceDE w:val="0"/>
              <w:autoSpaceDN w:val="0"/>
              <w:adjustRightInd w:val="0"/>
              <w:spacing w:after="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0443A1">
              <w:rPr>
                <w:rFonts w:eastAsiaTheme="minorHAnsi" w:cstheme="minorHAnsi"/>
                <w:sz w:val="20"/>
                <w:szCs w:val="20"/>
              </w:rPr>
              <w:t>Dlouhodobé podmíněné závazky z</w:t>
            </w:r>
            <w:r>
              <w:rPr>
                <w:rFonts w:eastAsiaTheme="minorHAnsi" w:cstheme="minorHAnsi"/>
                <w:sz w:val="20"/>
                <w:szCs w:val="20"/>
              </w:rPr>
              <w:t>e soudních sporů, správních řízení a</w:t>
            </w:r>
            <w:r w:rsidR="00900A34">
              <w:rPr>
                <w:rFonts w:eastAsiaTheme="minorHAnsi" w:cstheme="minorHAnsi"/>
                <w:sz w:val="20"/>
                <w:szCs w:val="20"/>
              </w:rPr>
              <w:t> </w:t>
            </w:r>
            <w:r>
              <w:rPr>
                <w:rFonts w:eastAsiaTheme="minorHAnsi" w:cstheme="minorHAnsi"/>
                <w:sz w:val="20"/>
                <w:szCs w:val="20"/>
              </w:rPr>
              <w:t>jiných řízení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0991" w14:textId="77777777" w:rsidR="00427755" w:rsidRDefault="00427755" w:rsidP="00DF667C">
            <w:pPr>
              <w:keepNext/>
              <w:spacing w:after="0"/>
              <w:ind w:right="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A30" w14:textId="77777777" w:rsidR="00427755" w:rsidRDefault="00427755" w:rsidP="0066297E">
            <w:pPr>
              <w:keepNext/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43A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12 007 835 559,00</w:t>
            </w:r>
          </w:p>
        </w:tc>
      </w:tr>
    </w:tbl>
    <w:p w14:paraId="52168288" w14:textId="77777777" w:rsidR="00494B0F" w:rsidRPr="000443A1" w:rsidRDefault="00A640AE" w:rsidP="008D6D79">
      <w:pPr>
        <w:spacing w:before="40" w:after="0"/>
        <w:rPr>
          <w:sz w:val="20"/>
        </w:rPr>
      </w:pPr>
      <w:r w:rsidRPr="000443A1">
        <w:rPr>
          <w:b/>
          <w:sz w:val="20"/>
        </w:rPr>
        <w:t>Zdroj:</w:t>
      </w:r>
      <w:r w:rsidRPr="000443A1">
        <w:rPr>
          <w:sz w:val="20"/>
        </w:rPr>
        <w:t xml:space="preserve"> </w:t>
      </w:r>
      <w:r w:rsidR="000B3825" w:rsidRPr="000443A1">
        <w:rPr>
          <w:sz w:val="20"/>
        </w:rPr>
        <w:t>ÚZ</w:t>
      </w:r>
      <w:r w:rsidRPr="000443A1">
        <w:rPr>
          <w:sz w:val="20"/>
        </w:rPr>
        <w:t>.</w:t>
      </w:r>
    </w:p>
    <w:p w14:paraId="449A6D01" w14:textId="77777777" w:rsidR="00494B0F" w:rsidRPr="00D71C60" w:rsidRDefault="00494B0F" w:rsidP="007C7C81">
      <w:pPr>
        <w:spacing w:after="0"/>
        <w:rPr>
          <w:highlight w:val="yellow"/>
        </w:rPr>
      </w:pPr>
    </w:p>
    <w:p w14:paraId="735491C8" w14:textId="77777777" w:rsidR="00494B0F" w:rsidRPr="0096760B" w:rsidRDefault="00A640AE" w:rsidP="00B41D61">
      <w:pPr>
        <w:keepNext/>
        <w:spacing w:after="40"/>
        <w:rPr>
          <w:rFonts w:cs="Arial"/>
          <w:b/>
        </w:rPr>
      </w:pPr>
      <w:r w:rsidRPr="0096760B">
        <w:rPr>
          <w:rFonts w:cs="Arial"/>
          <w:b/>
        </w:rPr>
        <w:t xml:space="preserve">Tabulka č. </w:t>
      </w:r>
      <w:r w:rsidR="0037310D" w:rsidRPr="0096760B">
        <w:rPr>
          <w:rFonts w:cs="Arial"/>
          <w:b/>
        </w:rPr>
        <w:t>3</w:t>
      </w:r>
      <w:r w:rsidRPr="0096760B">
        <w:rPr>
          <w:rFonts w:cs="Arial"/>
          <w:b/>
        </w:rPr>
        <w:t>:</w:t>
      </w:r>
      <w:r w:rsidRPr="0096760B">
        <w:rPr>
          <w:rFonts w:cs="Arial"/>
        </w:rPr>
        <w:t xml:space="preserve"> </w:t>
      </w:r>
      <w:r w:rsidRPr="0096760B">
        <w:rPr>
          <w:rFonts w:cs="Arial"/>
          <w:b/>
        </w:rPr>
        <w:t xml:space="preserve">Údaje z výkazu </w:t>
      </w:r>
      <w:r w:rsidR="00D16053" w:rsidRPr="0096760B">
        <w:rPr>
          <w:rFonts w:cs="Arial"/>
          <w:b/>
        </w:rPr>
        <w:t>FIN 1-12 OSS</w:t>
      </w:r>
    </w:p>
    <w:tbl>
      <w:tblPr>
        <w:tblW w:w="907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0080C" w:rsidRPr="00D71C60" w14:paraId="1DE0B56A" w14:textId="77777777" w:rsidTr="00021041">
        <w:trPr>
          <w:trHeight w:val="255"/>
        </w:trPr>
        <w:tc>
          <w:tcPr>
            <w:tcW w:w="4535" w:type="dxa"/>
            <w:shd w:val="clear" w:color="auto" w:fill="E5F1FF"/>
            <w:noWrap/>
            <w:vAlign w:val="center"/>
            <w:hideMark/>
          </w:tcPr>
          <w:p w14:paraId="0E699E5E" w14:textId="77777777" w:rsidR="00494B0F" w:rsidRPr="0096760B" w:rsidRDefault="00A640AE" w:rsidP="00B41D61">
            <w:pPr>
              <w:keepNext/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96760B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4535" w:type="dxa"/>
            <w:shd w:val="clear" w:color="auto" w:fill="E5F1FF"/>
            <w:noWrap/>
            <w:vAlign w:val="center"/>
            <w:hideMark/>
          </w:tcPr>
          <w:p w14:paraId="04ED479B" w14:textId="0C2AF0D0" w:rsidR="00494B0F" w:rsidRPr="0096760B" w:rsidRDefault="00A640AE" w:rsidP="00B41D61">
            <w:pPr>
              <w:keepNext/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96760B">
              <w:rPr>
                <w:rFonts w:cs="Arial"/>
                <w:b/>
                <w:bCs/>
                <w:sz w:val="20"/>
              </w:rPr>
              <w:t>Částka v</w:t>
            </w:r>
            <w:r w:rsidR="00820AFA">
              <w:rPr>
                <w:rFonts w:cs="Arial"/>
                <w:b/>
                <w:bCs/>
                <w:sz w:val="20"/>
              </w:rPr>
              <w:t> </w:t>
            </w:r>
            <w:r w:rsidRPr="0096760B">
              <w:rPr>
                <w:rFonts w:cs="Arial"/>
                <w:b/>
                <w:bCs/>
                <w:sz w:val="20"/>
              </w:rPr>
              <w:t>Kč</w:t>
            </w:r>
          </w:p>
        </w:tc>
      </w:tr>
      <w:tr w:rsidR="00D16053" w:rsidRPr="00D71C60" w14:paraId="212EC667" w14:textId="77777777" w:rsidTr="00021041">
        <w:trPr>
          <w:trHeight w:val="255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509C6E83" w14:textId="77777777" w:rsidR="00D16053" w:rsidRPr="0096760B" w:rsidRDefault="00D16053" w:rsidP="00B41D61">
            <w:pPr>
              <w:keepNext/>
              <w:spacing w:after="0"/>
              <w:rPr>
                <w:rFonts w:cs="Arial"/>
                <w:sz w:val="20"/>
              </w:rPr>
            </w:pPr>
            <w:r w:rsidRPr="0096760B">
              <w:rPr>
                <w:rFonts w:cs="Arial"/>
                <w:sz w:val="20"/>
              </w:rPr>
              <w:t>Příjmy (skutečnost celkem)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1C486A9D" w14:textId="77777777" w:rsidR="00D16053" w:rsidRPr="00D71C60" w:rsidRDefault="0096760B" w:rsidP="00B41D61">
            <w:pPr>
              <w:keepNext/>
              <w:spacing w:after="0"/>
              <w:ind w:right="57"/>
              <w:jc w:val="right"/>
              <w:rPr>
                <w:rFonts w:cs="Arial"/>
                <w:sz w:val="20"/>
                <w:highlight w:val="yellow"/>
              </w:rPr>
            </w:pPr>
            <w:r w:rsidRPr="0096760B">
              <w:rPr>
                <w:rFonts w:cs="Arial"/>
                <w:color w:val="000000"/>
                <w:sz w:val="20"/>
              </w:rPr>
              <w:t>6 536 292 006,29</w:t>
            </w:r>
          </w:p>
        </w:tc>
      </w:tr>
      <w:tr w:rsidR="00D16053" w:rsidRPr="00D71C60" w14:paraId="36AF9CED" w14:textId="77777777" w:rsidTr="00021041">
        <w:trPr>
          <w:trHeight w:val="255"/>
        </w:trPr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1A7E2E31" w14:textId="77777777" w:rsidR="00D16053" w:rsidRPr="0096760B" w:rsidRDefault="00D16053" w:rsidP="00B41D61">
            <w:pPr>
              <w:keepNext/>
              <w:spacing w:after="0"/>
              <w:rPr>
                <w:rFonts w:cs="Arial"/>
                <w:sz w:val="20"/>
              </w:rPr>
            </w:pPr>
            <w:r w:rsidRPr="0096760B">
              <w:rPr>
                <w:rFonts w:cs="Arial"/>
                <w:sz w:val="20"/>
              </w:rPr>
              <w:t>Výdaje (skutečnost celkem)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75BEE04B" w14:textId="77777777" w:rsidR="00D16053" w:rsidRPr="00D71C60" w:rsidRDefault="0096760B" w:rsidP="00B41D61">
            <w:pPr>
              <w:keepNext/>
              <w:spacing w:after="0"/>
              <w:ind w:right="57"/>
              <w:jc w:val="right"/>
              <w:rPr>
                <w:rFonts w:cs="Arial"/>
                <w:sz w:val="20"/>
                <w:highlight w:val="yellow"/>
              </w:rPr>
            </w:pPr>
            <w:r w:rsidRPr="0096760B">
              <w:rPr>
                <w:rFonts w:cs="Arial"/>
                <w:color w:val="000000"/>
                <w:sz w:val="20"/>
              </w:rPr>
              <w:t>28 608 731 150,24</w:t>
            </w:r>
          </w:p>
        </w:tc>
      </w:tr>
    </w:tbl>
    <w:p w14:paraId="0A23F75C" w14:textId="77777777" w:rsidR="00077ACA" w:rsidRPr="0096760B" w:rsidRDefault="00A640AE" w:rsidP="008D6D79">
      <w:pPr>
        <w:spacing w:before="40" w:after="0"/>
        <w:rPr>
          <w:sz w:val="20"/>
        </w:rPr>
      </w:pPr>
      <w:r w:rsidRPr="0096760B">
        <w:rPr>
          <w:b/>
          <w:sz w:val="20"/>
        </w:rPr>
        <w:t>Zdroj:</w:t>
      </w:r>
      <w:r w:rsidR="00D16053" w:rsidRPr="0096760B">
        <w:rPr>
          <w:sz w:val="20"/>
        </w:rPr>
        <w:t xml:space="preserve"> výkaz FIN 1-12 OSS</w:t>
      </w:r>
      <w:r w:rsidRPr="0096760B">
        <w:rPr>
          <w:sz w:val="20"/>
        </w:rPr>
        <w:t>.</w:t>
      </w:r>
    </w:p>
    <w:p w14:paraId="20D52DEF" w14:textId="77777777" w:rsidR="00B922BC" w:rsidRPr="00D71C60" w:rsidRDefault="00B922BC" w:rsidP="00911643">
      <w:pPr>
        <w:spacing w:before="40" w:after="0"/>
        <w:rPr>
          <w:rFonts w:asciiTheme="minorHAnsi" w:hAnsiTheme="minorHAnsi" w:cs="Calibri"/>
          <w:highlight w:val="yellow"/>
        </w:rPr>
      </w:pPr>
    </w:p>
    <w:p w14:paraId="2D4FF56E" w14:textId="77777777" w:rsidR="008D6D79" w:rsidRPr="00D71C60" w:rsidRDefault="008D6D79" w:rsidP="008D6D79">
      <w:pPr>
        <w:spacing w:after="0"/>
        <w:rPr>
          <w:highlight w:val="yellow"/>
        </w:rPr>
      </w:pPr>
    </w:p>
    <w:p w14:paraId="6F873B00" w14:textId="77777777" w:rsidR="001D11EF" w:rsidRDefault="001D11EF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>
        <w:br w:type="page"/>
      </w:r>
    </w:p>
    <w:p w14:paraId="31EF5820" w14:textId="77777777" w:rsidR="0033466E" w:rsidRPr="0096760B" w:rsidRDefault="00A640AE" w:rsidP="00B41D61">
      <w:pPr>
        <w:pStyle w:val="Nadpis1"/>
        <w:keepNext/>
        <w:spacing w:after="120" w:line="240" w:lineRule="auto"/>
      </w:pPr>
      <w:r w:rsidRPr="0096760B">
        <w:lastRenderedPageBreak/>
        <w:t>I</w:t>
      </w:r>
      <w:r w:rsidR="00E91FF5" w:rsidRPr="0096760B">
        <w:t>I</w:t>
      </w:r>
      <w:r w:rsidRPr="0096760B">
        <w:t>I. Rozsah kontroly</w:t>
      </w:r>
    </w:p>
    <w:p w14:paraId="46149778" w14:textId="3BABBA37" w:rsidR="00BF0C81" w:rsidRPr="00D71C60" w:rsidRDefault="000377B3" w:rsidP="00B41D61">
      <w:pPr>
        <w:jc w:val="both"/>
        <w:rPr>
          <w:rFonts w:eastAsiaTheme="minorHAnsi" w:cs="Calibri"/>
          <w:highlight w:val="yellow"/>
        </w:rPr>
      </w:pPr>
      <w:r w:rsidRPr="000443A1">
        <w:rPr>
          <w:rFonts w:cs="Calibri"/>
        </w:rPr>
        <w:t>KA</w:t>
      </w:r>
      <w:r w:rsidR="00A640AE" w:rsidRPr="000443A1">
        <w:rPr>
          <w:rFonts w:cs="Calibri"/>
        </w:rPr>
        <w:t xml:space="preserve"> byla kontrolou typu finanční audit a jejím cílem bylo </w:t>
      </w:r>
      <w:r w:rsidR="00BF0C81" w:rsidRPr="000443A1">
        <w:rPr>
          <w:rFonts w:eastAsiaTheme="minorHAnsi" w:cs="Calibri"/>
        </w:rPr>
        <w:t xml:space="preserve">prověřit, zda </w:t>
      </w:r>
      <w:proofErr w:type="spellStart"/>
      <w:r w:rsidR="000443A1" w:rsidRPr="000443A1">
        <w:rPr>
          <w:rFonts w:eastAsiaTheme="minorHAnsi" w:cs="Calibri"/>
        </w:rPr>
        <w:t>MZ</w:t>
      </w:r>
      <w:r w:rsidR="00E05522">
        <w:rPr>
          <w:rFonts w:eastAsiaTheme="minorHAnsi" w:cs="Calibri"/>
        </w:rPr>
        <w:t>d</w:t>
      </w:r>
      <w:proofErr w:type="spellEnd"/>
      <w:r w:rsidR="004A4FD6" w:rsidRPr="000443A1">
        <w:rPr>
          <w:rFonts w:eastAsiaTheme="minorHAnsi" w:cs="Calibri"/>
        </w:rPr>
        <w:t xml:space="preserve"> při</w:t>
      </w:r>
      <w:r w:rsidR="009A0289" w:rsidRPr="000443A1">
        <w:rPr>
          <w:rFonts w:eastAsiaTheme="minorHAnsi" w:cs="Calibri"/>
        </w:rPr>
        <w:t xml:space="preserve"> </w:t>
      </w:r>
      <w:r w:rsidR="00BF0C81" w:rsidRPr="000443A1">
        <w:rPr>
          <w:rFonts w:eastAsiaTheme="minorHAnsi" w:cs="Calibri"/>
        </w:rPr>
        <w:t xml:space="preserve">vedení účetnictví v roce </w:t>
      </w:r>
      <w:r w:rsidR="000443A1" w:rsidRPr="000443A1">
        <w:rPr>
          <w:rFonts w:eastAsiaTheme="minorHAnsi" w:cs="Calibri"/>
        </w:rPr>
        <w:t>2021</w:t>
      </w:r>
      <w:r w:rsidR="00BF0C81" w:rsidRPr="000443A1">
        <w:rPr>
          <w:rFonts w:eastAsiaTheme="minorHAnsi" w:cs="Calibri"/>
        </w:rPr>
        <w:t xml:space="preserve"> a</w:t>
      </w:r>
      <w:r w:rsidR="00900A34">
        <w:rPr>
          <w:rFonts w:eastAsiaTheme="minorHAnsi" w:cs="Calibri"/>
        </w:rPr>
        <w:t xml:space="preserve"> </w:t>
      </w:r>
      <w:r w:rsidR="00BF0C81" w:rsidRPr="000443A1">
        <w:rPr>
          <w:rFonts w:eastAsiaTheme="minorHAnsi" w:cs="Calibri"/>
        </w:rPr>
        <w:t>sestavení účetní z</w:t>
      </w:r>
      <w:r w:rsidR="004A4FD6" w:rsidRPr="000443A1">
        <w:rPr>
          <w:rFonts w:eastAsiaTheme="minorHAnsi" w:cs="Calibri"/>
        </w:rPr>
        <w:t>ávěrky k</w:t>
      </w:r>
      <w:r w:rsidR="00900A34">
        <w:rPr>
          <w:rFonts w:eastAsiaTheme="minorHAnsi" w:cs="Calibri"/>
        </w:rPr>
        <w:t xml:space="preserve"> </w:t>
      </w:r>
      <w:r w:rsidR="004A4FD6" w:rsidRPr="000443A1">
        <w:rPr>
          <w:rFonts w:eastAsiaTheme="minorHAnsi" w:cs="Calibri"/>
        </w:rPr>
        <w:t>31.</w:t>
      </w:r>
      <w:r w:rsidR="00900A34">
        <w:rPr>
          <w:rFonts w:eastAsiaTheme="minorHAnsi" w:cs="Calibri"/>
        </w:rPr>
        <w:t xml:space="preserve"> </w:t>
      </w:r>
      <w:r w:rsidR="004A4FD6" w:rsidRPr="000443A1">
        <w:rPr>
          <w:rFonts w:eastAsiaTheme="minorHAnsi" w:cs="Calibri"/>
        </w:rPr>
        <w:t>prosinci 20</w:t>
      </w:r>
      <w:r w:rsidR="005322AA" w:rsidRPr="000443A1">
        <w:rPr>
          <w:rFonts w:eastAsiaTheme="minorHAnsi" w:cs="Calibri"/>
        </w:rPr>
        <w:t>2</w:t>
      </w:r>
      <w:r w:rsidR="000443A1" w:rsidRPr="000443A1">
        <w:rPr>
          <w:rFonts w:eastAsiaTheme="minorHAnsi" w:cs="Calibri"/>
        </w:rPr>
        <w:t>1</w:t>
      </w:r>
      <w:r w:rsidR="004A4FD6" w:rsidRPr="000443A1">
        <w:rPr>
          <w:rFonts w:eastAsiaTheme="minorHAnsi" w:cs="Calibri"/>
        </w:rPr>
        <w:t>, při</w:t>
      </w:r>
      <w:r w:rsidR="00B03EA6" w:rsidRPr="000443A1">
        <w:rPr>
          <w:rFonts w:eastAsiaTheme="minorHAnsi" w:cs="Calibri"/>
        </w:rPr>
        <w:t xml:space="preserve"> </w:t>
      </w:r>
      <w:r w:rsidR="00BF0C81" w:rsidRPr="000443A1">
        <w:rPr>
          <w:rFonts w:eastAsiaTheme="minorHAnsi" w:cs="Calibri"/>
        </w:rPr>
        <w:t>předkládání údajů pro hodnocení plnění</w:t>
      </w:r>
      <w:r w:rsidR="006C3FC5" w:rsidRPr="000443A1">
        <w:rPr>
          <w:rFonts w:eastAsiaTheme="minorHAnsi" w:cs="Calibri"/>
        </w:rPr>
        <w:t xml:space="preserve"> státního</w:t>
      </w:r>
      <w:r w:rsidR="00BF0C81" w:rsidRPr="000443A1">
        <w:rPr>
          <w:rFonts w:eastAsiaTheme="minorHAnsi" w:cs="Calibri"/>
        </w:rPr>
        <w:t xml:space="preserve"> rozpočtu</w:t>
      </w:r>
      <w:r w:rsidR="00BF0C81" w:rsidRPr="000443A1">
        <w:rPr>
          <w:rFonts w:eastAsiaTheme="minorHAnsi" w:cs="Calibri"/>
          <w:vertAlign w:val="superscript"/>
        </w:rPr>
        <w:footnoteReference w:id="24"/>
      </w:r>
      <w:r w:rsidR="00BF0C81" w:rsidRPr="000443A1">
        <w:rPr>
          <w:rFonts w:eastAsiaTheme="minorHAnsi" w:cs="Calibri"/>
        </w:rPr>
        <w:t xml:space="preserve"> a při sestavení závěrečného účtu za rok </w:t>
      </w:r>
      <w:r w:rsidR="005322AA" w:rsidRPr="000443A1">
        <w:rPr>
          <w:rFonts w:eastAsiaTheme="minorHAnsi" w:cs="Calibri"/>
        </w:rPr>
        <w:t>202</w:t>
      </w:r>
      <w:r w:rsidR="000443A1" w:rsidRPr="000443A1">
        <w:rPr>
          <w:rFonts w:eastAsiaTheme="minorHAnsi" w:cs="Calibri"/>
        </w:rPr>
        <w:t>1</w:t>
      </w:r>
      <w:r w:rsidR="00BF0C81" w:rsidRPr="000443A1">
        <w:rPr>
          <w:rFonts w:eastAsiaTheme="minorHAnsi" w:cs="Calibri"/>
        </w:rPr>
        <w:t xml:space="preserve"> postupovalo v souladu s příslušnými právními předpisy.</w:t>
      </w:r>
    </w:p>
    <w:p w14:paraId="1F03BA40" w14:textId="46139870" w:rsidR="00720C07" w:rsidRPr="000443A1" w:rsidRDefault="00A640AE" w:rsidP="00B41D61">
      <w:pPr>
        <w:jc w:val="both"/>
        <w:rPr>
          <w:rFonts w:cs="Calibri"/>
        </w:rPr>
      </w:pPr>
      <w:r w:rsidRPr="000443A1">
        <w:rPr>
          <w:rFonts w:cs="Calibri"/>
        </w:rPr>
        <w:t xml:space="preserve">Kontrolovaný objem finančních prostředků a majetku představuje hodnotu aktiv, pasiv, nákladů, výnosů a podrozvahových účtů vykázaných v ÚZ a vyčíslených v tabulkách č. </w:t>
      </w:r>
      <w:r w:rsidR="0037310D" w:rsidRPr="000443A1">
        <w:rPr>
          <w:rFonts w:cs="Calibri"/>
        </w:rPr>
        <w:t>1</w:t>
      </w:r>
      <w:r w:rsidRPr="000443A1">
        <w:rPr>
          <w:rFonts w:cs="Calibri"/>
        </w:rPr>
        <w:t xml:space="preserve"> a </w:t>
      </w:r>
      <w:r w:rsidR="0037310D" w:rsidRPr="000443A1">
        <w:rPr>
          <w:rFonts w:cs="Calibri"/>
        </w:rPr>
        <w:t>2</w:t>
      </w:r>
      <w:r w:rsidRPr="000443A1">
        <w:rPr>
          <w:rFonts w:cs="Calibri"/>
        </w:rPr>
        <w:t xml:space="preserve">. </w:t>
      </w:r>
      <w:r w:rsidR="00535E10">
        <w:rPr>
          <w:rFonts w:cs="Calibri"/>
        </w:rPr>
        <w:t xml:space="preserve">Kontrolovaný objem finančních prostředků v rámci výkazu FIN 1-12 OSS představuje součet celkových příjmů a výdajů ve sloupci </w:t>
      </w:r>
      <w:r w:rsidR="00535E10" w:rsidRPr="0066297E">
        <w:rPr>
          <w:rFonts w:cs="Calibri"/>
          <w:i/>
        </w:rPr>
        <w:t>Skutečnost</w:t>
      </w:r>
      <w:r w:rsidR="00535E10">
        <w:rPr>
          <w:rFonts w:cs="Calibri"/>
        </w:rPr>
        <w:t xml:space="preserve"> a</w:t>
      </w:r>
      <w:r w:rsidR="00900A34">
        <w:rPr>
          <w:rFonts w:cs="Calibri"/>
        </w:rPr>
        <w:t xml:space="preserve"> je</w:t>
      </w:r>
      <w:r w:rsidR="00535E10">
        <w:rPr>
          <w:rFonts w:cs="Calibri"/>
        </w:rPr>
        <w:t xml:space="preserve"> vyčíslen v tabulce č. 3.</w:t>
      </w:r>
    </w:p>
    <w:p w14:paraId="6D0CF30D" w14:textId="4310BFBF" w:rsidR="0033466E" w:rsidRPr="00A6638A" w:rsidRDefault="00A640AE" w:rsidP="00B41D61">
      <w:pPr>
        <w:jc w:val="both"/>
        <w:rPr>
          <w:rFonts w:cs="Calibri"/>
          <w:bCs/>
        </w:rPr>
      </w:pPr>
      <w:r w:rsidRPr="00A6638A">
        <w:rPr>
          <w:rFonts w:cs="Calibri"/>
        </w:rPr>
        <w:t>Kontrola se zaměřila na činnosti a skutečnosti, které byly předmětem účetnictví</w:t>
      </w:r>
      <w:r w:rsidRPr="00A6638A">
        <w:rPr>
          <w:rStyle w:val="Znakapoznpodarou"/>
          <w:rFonts w:cs="Calibri"/>
        </w:rPr>
        <w:footnoteReference w:id="25"/>
      </w:r>
      <w:r w:rsidR="00291417" w:rsidRPr="00A6638A">
        <w:rPr>
          <w:rFonts w:cs="Calibri"/>
        </w:rPr>
        <w:t xml:space="preserve"> a měly vliv na</w:t>
      </w:r>
      <w:r w:rsidR="00B03EA6" w:rsidRPr="00A6638A">
        <w:rPr>
          <w:rFonts w:cs="Calibri"/>
        </w:rPr>
        <w:t xml:space="preserve"> </w:t>
      </w:r>
      <w:r w:rsidRPr="00A6638A">
        <w:rPr>
          <w:rFonts w:cs="Calibri"/>
        </w:rPr>
        <w:t>hodnotu kontrolovaných významných konečných zůstatků účtů v</w:t>
      </w:r>
      <w:r w:rsidR="004964DF" w:rsidRPr="00A6638A">
        <w:rPr>
          <w:rFonts w:cs="Calibri"/>
        </w:rPr>
        <w:t> </w:t>
      </w:r>
      <w:r w:rsidR="000B3825" w:rsidRPr="00A6638A">
        <w:rPr>
          <w:rFonts w:cs="Calibri"/>
        </w:rPr>
        <w:t>ÚZ</w:t>
      </w:r>
      <w:r w:rsidR="004964DF" w:rsidRPr="00A6638A">
        <w:rPr>
          <w:rFonts w:cs="Calibri"/>
        </w:rPr>
        <w:t xml:space="preserve"> a </w:t>
      </w:r>
      <w:r w:rsidR="00BA10E7" w:rsidRPr="00A6638A">
        <w:rPr>
          <w:rFonts w:cs="Calibri"/>
        </w:rPr>
        <w:t>na</w:t>
      </w:r>
      <w:r w:rsidR="00B03EA6" w:rsidRPr="00A6638A">
        <w:rPr>
          <w:rFonts w:cs="Calibri"/>
        </w:rPr>
        <w:t xml:space="preserve"> </w:t>
      </w:r>
      <w:r w:rsidRPr="00A6638A">
        <w:rPr>
          <w:rFonts w:cs="Calibri"/>
        </w:rPr>
        <w:t xml:space="preserve">hodnotu významných údajů předkládaných pro hodnocení </w:t>
      </w:r>
      <w:r w:rsidR="005E41D6" w:rsidRPr="00A6638A">
        <w:rPr>
          <w:rFonts w:cs="Calibri"/>
        </w:rPr>
        <w:t>plnění státního rozpočtu za</w:t>
      </w:r>
      <w:r w:rsidR="00BB5BEC" w:rsidRPr="00A6638A">
        <w:rPr>
          <w:rFonts w:cs="Calibri"/>
        </w:rPr>
        <w:t xml:space="preserve"> </w:t>
      </w:r>
      <w:r w:rsidR="001B0BE7" w:rsidRPr="00A6638A">
        <w:rPr>
          <w:rFonts w:cs="Calibri"/>
        </w:rPr>
        <w:t>rok</w:t>
      </w:r>
      <w:r w:rsidR="00BD137E">
        <w:rPr>
          <w:rFonts w:cs="Calibri"/>
        </w:rPr>
        <w:t xml:space="preserve"> </w:t>
      </w:r>
      <w:r w:rsidR="005322AA" w:rsidRPr="00A6638A">
        <w:rPr>
          <w:rFonts w:cs="Calibri"/>
        </w:rPr>
        <w:t>202</w:t>
      </w:r>
      <w:r w:rsidR="00A6638A" w:rsidRPr="00A6638A">
        <w:rPr>
          <w:rFonts w:cs="Calibri"/>
        </w:rPr>
        <w:t>1</w:t>
      </w:r>
      <w:r w:rsidRPr="00A6638A">
        <w:rPr>
          <w:rFonts w:cs="Calibri"/>
        </w:rPr>
        <w:t xml:space="preserve"> a na </w:t>
      </w:r>
      <w:r w:rsidR="000377B3" w:rsidRPr="00A6638A">
        <w:rPr>
          <w:rFonts w:cs="Calibri"/>
        </w:rPr>
        <w:t>ZÚ</w:t>
      </w:r>
      <w:r w:rsidRPr="00A6638A">
        <w:rPr>
          <w:rFonts w:cs="Calibri"/>
        </w:rPr>
        <w:t xml:space="preserve"> </w:t>
      </w:r>
      <w:r w:rsidR="005322AA" w:rsidRPr="00A6638A">
        <w:rPr>
          <w:rFonts w:cs="Calibri"/>
        </w:rPr>
        <w:t>202</w:t>
      </w:r>
      <w:r w:rsidR="00A6638A" w:rsidRPr="00A6638A">
        <w:rPr>
          <w:rFonts w:cs="Calibri"/>
        </w:rPr>
        <w:t>1</w:t>
      </w:r>
      <w:r w:rsidRPr="00A6638A">
        <w:rPr>
          <w:rFonts w:cs="Calibri"/>
          <w:bCs/>
        </w:rPr>
        <w:t>.</w:t>
      </w:r>
    </w:p>
    <w:p w14:paraId="24D536B4" w14:textId="77777777" w:rsidR="00F279C1" w:rsidRPr="00133BC2" w:rsidRDefault="00F279C1" w:rsidP="00B41D61">
      <w:pPr>
        <w:jc w:val="both"/>
        <w:rPr>
          <w:rFonts w:cs="Calibri"/>
        </w:rPr>
      </w:pPr>
      <w:r w:rsidRPr="00133BC2">
        <w:rPr>
          <w:rFonts w:cs="Calibri"/>
        </w:rPr>
        <w:t xml:space="preserve">V oblasti vedení účetnictví se kontrola zaměřila na jeho správnost, úplnost, průkaznost a srozumitelnost. Prověřila dodržování směrné účtové osnovy a správnost používání účetních metod. U vybraných účetních případů byla provedena kontrola s cílem prověřit systém účtování a vykazování informací o skutečnostech, které jsou předmětem účetnictví. </w:t>
      </w:r>
    </w:p>
    <w:p w14:paraId="22A07055" w14:textId="77777777" w:rsidR="008D562A" w:rsidRPr="003624E5" w:rsidRDefault="00A640AE" w:rsidP="00B41D61">
      <w:pPr>
        <w:jc w:val="both"/>
        <w:rPr>
          <w:rFonts w:eastAsiaTheme="minorHAnsi" w:cs="Calibri"/>
        </w:rPr>
      </w:pPr>
      <w:r w:rsidRPr="003624E5">
        <w:rPr>
          <w:rFonts w:eastAsiaTheme="minorHAnsi" w:cs="Calibri"/>
        </w:rPr>
        <w:t>V případě údajů předkládaných pro hodnocení plnění státního rozpočtu bylo prověřováno, zda byla dodržena správnost třídění příjmů a výdajů rozpočtovou skladbou v oblasti druhového a</w:t>
      </w:r>
      <w:r w:rsidR="009E57D6" w:rsidRPr="003624E5">
        <w:rPr>
          <w:rFonts w:eastAsiaTheme="minorHAnsi" w:cs="Calibri"/>
        </w:rPr>
        <w:t> </w:t>
      </w:r>
      <w:r w:rsidRPr="003624E5">
        <w:rPr>
          <w:rFonts w:eastAsiaTheme="minorHAnsi" w:cs="Calibri"/>
        </w:rPr>
        <w:t>odvětvového třídění dle vyhlášky č. 323/2002 Sb.</w:t>
      </w:r>
      <w:r w:rsidR="00C266C0">
        <w:rPr>
          <w:rStyle w:val="Znakapoznpodarou"/>
          <w:rFonts w:eastAsiaTheme="minorHAnsi" w:cs="Calibri"/>
        </w:rPr>
        <w:footnoteReference w:id="26"/>
      </w:r>
    </w:p>
    <w:p w14:paraId="000237A9" w14:textId="11352369" w:rsidR="008465AF" w:rsidRPr="003624E5" w:rsidRDefault="00A640AE" w:rsidP="00B41D61">
      <w:pPr>
        <w:jc w:val="both"/>
        <w:rPr>
          <w:rFonts w:cs="Calibri"/>
        </w:rPr>
      </w:pPr>
      <w:r w:rsidRPr="003624E5">
        <w:rPr>
          <w:rFonts w:cs="Calibri"/>
        </w:rPr>
        <w:t xml:space="preserve">Výběr položek účetní závěrky a údajů předkládaných </w:t>
      </w:r>
      <w:r w:rsidR="00900A34">
        <w:rPr>
          <w:rFonts w:cs="Calibri"/>
        </w:rPr>
        <w:t>Ministerstvem zdravotnictví</w:t>
      </w:r>
      <w:r w:rsidRPr="003624E5">
        <w:rPr>
          <w:rFonts w:cs="Calibri"/>
        </w:rPr>
        <w:t xml:space="preserve"> pro hodnocení plnění státního rozpočtu proved</w:t>
      </w:r>
      <w:r w:rsidR="00FB15C1" w:rsidRPr="003624E5">
        <w:rPr>
          <w:rFonts w:cs="Calibri"/>
        </w:rPr>
        <w:t>l NKÚ</w:t>
      </w:r>
      <w:r w:rsidRPr="003624E5">
        <w:rPr>
          <w:rFonts w:cs="Calibri"/>
        </w:rPr>
        <w:t xml:space="preserve"> </w:t>
      </w:r>
      <w:r w:rsidR="00900A34">
        <w:rPr>
          <w:rFonts w:cs="Calibri"/>
        </w:rPr>
        <w:t>s ohledem</w:t>
      </w:r>
      <w:r w:rsidRPr="003624E5">
        <w:rPr>
          <w:rFonts w:cs="Calibri"/>
        </w:rPr>
        <w:t xml:space="preserve"> na vyhodnocená rizika nesprávnosti vykázaných údajů.</w:t>
      </w:r>
    </w:p>
    <w:p w14:paraId="701E0C82" w14:textId="77777777" w:rsidR="001C649A" w:rsidRPr="003624E5" w:rsidRDefault="00A640AE" w:rsidP="00B41D61">
      <w:pPr>
        <w:jc w:val="both"/>
        <w:rPr>
          <w:rFonts w:eastAsiaTheme="minorHAnsi" w:cs="Calibri"/>
        </w:rPr>
      </w:pPr>
      <w:r w:rsidRPr="003624E5">
        <w:rPr>
          <w:rFonts w:eastAsiaTheme="minorHAnsi" w:cs="Calibri"/>
        </w:rPr>
        <w:t xml:space="preserve">U </w:t>
      </w:r>
      <w:r w:rsidR="007D0244" w:rsidRPr="003624E5">
        <w:rPr>
          <w:rFonts w:eastAsiaTheme="minorHAnsi" w:cs="Calibri"/>
        </w:rPr>
        <w:t xml:space="preserve">relevantních </w:t>
      </w:r>
      <w:r w:rsidRPr="003624E5">
        <w:rPr>
          <w:rFonts w:eastAsiaTheme="minorHAnsi" w:cs="Calibri"/>
        </w:rPr>
        <w:t xml:space="preserve">transakcí byl prověřován soulad </w:t>
      </w:r>
      <w:r w:rsidR="00243906" w:rsidRPr="003624E5">
        <w:rPr>
          <w:rFonts w:eastAsiaTheme="minorHAnsi" w:cs="Calibri"/>
        </w:rPr>
        <w:t>s</w:t>
      </w:r>
      <w:r w:rsidR="007D0244" w:rsidRPr="003624E5">
        <w:rPr>
          <w:rFonts w:eastAsiaTheme="minorHAnsi" w:cs="Calibri"/>
        </w:rPr>
        <w:t> vybranými ustanoveními</w:t>
      </w:r>
      <w:r w:rsidRPr="003624E5">
        <w:rPr>
          <w:rFonts w:eastAsiaTheme="minorHAnsi" w:cs="Calibri"/>
        </w:rPr>
        <w:t xml:space="preserve"> další</w:t>
      </w:r>
      <w:r w:rsidR="007D0244" w:rsidRPr="003624E5">
        <w:rPr>
          <w:rFonts w:eastAsiaTheme="minorHAnsi" w:cs="Calibri"/>
        </w:rPr>
        <w:t>ch</w:t>
      </w:r>
      <w:r w:rsidRPr="003624E5">
        <w:rPr>
          <w:rFonts w:eastAsiaTheme="minorHAnsi" w:cs="Calibri"/>
        </w:rPr>
        <w:t xml:space="preserve"> právní</w:t>
      </w:r>
      <w:r w:rsidR="007D0244" w:rsidRPr="003624E5">
        <w:rPr>
          <w:rFonts w:eastAsiaTheme="minorHAnsi" w:cs="Calibri"/>
        </w:rPr>
        <w:t>ch</w:t>
      </w:r>
      <w:r w:rsidRPr="003624E5">
        <w:rPr>
          <w:rFonts w:eastAsiaTheme="minorHAnsi" w:cs="Calibri"/>
        </w:rPr>
        <w:t xml:space="preserve"> předpis</w:t>
      </w:r>
      <w:r w:rsidR="007D0244" w:rsidRPr="003624E5">
        <w:rPr>
          <w:rFonts w:eastAsiaTheme="minorHAnsi" w:cs="Calibri"/>
        </w:rPr>
        <w:t>ů</w:t>
      </w:r>
      <w:r w:rsidR="001F1F57" w:rsidRPr="003624E5">
        <w:rPr>
          <w:rFonts w:eastAsiaTheme="minorHAnsi" w:cs="Calibri"/>
        </w:rPr>
        <w:t>,</w:t>
      </w:r>
      <w:r w:rsidRPr="003624E5">
        <w:rPr>
          <w:rFonts w:eastAsiaTheme="minorHAnsi" w:cs="Calibri"/>
        </w:rPr>
        <w:t xml:space="preserve"> a to zejména </w:t>
      </w:r>
      <w:r w:rsidR="00243906" w:rsidRPr="003624E5">
        <w:rPr>
          <w:rFonts w:eastAsiaTheme="minorHAnsi" w:cs="Calibri"/>
        </w:rPr>
        <w:t>s</w:t>
      </w:r>
      <w:r w:rsidR="001077EB" w:rsidRPr="003624E5">
        <w:rPr>
          <w:rFonts w:eastAsiaTheme="minorHAnsi" w:cs="Calibri"/>
        </w:rPr>
        <w:t xml:space="preserve"> ustanoveními </w:t>
      </w:r>
      <w:r w:rsidR="007D2567" w:rsidRPr="003624E5">
        <w:rPr>
          <w:rFonts w:eastAsiaTheme="minorHAnsi" w:cs="Calibri"/>
        </w:rPr>
        <w:t xml:space="preserve">zákona č. 218/2000 Sb. </w:t>
      </w:r>
      <w:r w:rsidR="001077EB" w:rsidRPr="003624E5">
        <w:rPr>
          <w:rFonts w:eastAsiaTheme="minorHAnsi" w:cs="Calibri"/>
        </w:rPr>
        <w:t xml:space="preserve">a zákona </w:t>
      </w:r>
      <w:r w:rsidR="005B4A83" w:rsidRPr="003624E5">
        <w:rPr>
          <w:rFonts w:eastAsiaTheme="minorHAnsi" w:cs="Calibri"/>
        </w:rPr>
        <w:t>č. 219/2000 Sb</w:t>
      </w:r>
      <w:r w:rsidR="001077EB" w:rsidRPr="003624E5">
        <w:rPr>
          <w:rFonts w:eastAsiaTheme="minorHAnsi" w:cs="Calibri"/>
        </w:rPr>
        <w:t>.</w:t>
      </w:r>
    </w:p>
    <w:p w14:paraId="4BD2C752" w14:textId="77777777" w:rsidR="008F46EE" w:rsidRPr="003624E5" w:rsidRDefault="00A640AE" w:rsidP="00B41D61">
      <w:pPr>
        <w:jc w:val="both"/>
        <w:rPr>
          <w:rFonts w:eastAsiaTheme="minorHAnsi" w:cs="Calibri"/>
        </w:rPr>
      </w:pPr>
      <w:r w:rsidRPr="003624E5">
        <w:rPr>
          <w:rFonts w:eastAsiaTheme="minorHAnsi" w:cs="Calibri"/>
        </w:rPr>
        <w:t>V</w:t>
      </w:r>
      <w:r w:rsidR="00E91FF5" w:rsidRPr="003624E5">
        <w:rPr>
          <w:rFonts w:eastAsiaTheme="minorHAnsi" w:cs="Calibri"/>
        </w:rPr>
        <w:t> </w:t>
      </w:r>
      <w:r w:rsidRPr="003624E5">
        <w:rPr>
          <w:rFonts w:eastAsiaTheme="minorHAnsi" w:cs="Calibri"/>
        </w:rPr>
        <w:t>případě</w:t>
      </w:r>
      <w:r w:rsidR="00E91FF5" w:rsidRPr="003624E5">
        <w:rPr>
          <w:rFonts w:eastAsiaTheme="minorHAnsi" w:cs="Calibri"/>
        </w:rPr>
        <w:t xml:space="preserve"> </w:t>
      </w:r>
      <w:r w:rsidR="00397C74">
        <w:rPr>
          <w:rFonts w:eastAsiaTheme="minorHAnsi" w:cs="Calibri"/>
        </w:rPr>
        <w:t>uzavírání</w:t>
      </w:r>
      <w:r w:rsidRPr="003624E5">
        <w:rPr>
          <w:rFonts w:eastAsiaTheme="minorHAnsi" w:cs="Calibri"/>
        </w:rPr>
        <w:t xml:space="preserve"> smluv </w:t>
      </w:r>
      <w:r w:rsidR="001077EB" w:rsidRPr="003624E5">
        <w:rPr>
          <w:rFonts w:eastAsiaTheme="minorHAnsi" w:cs="Calibri"/>
        </w:rPr>
        <w:t xml:space="preserve">a objednávek </w:t>
      </w:r>
      <w:r w:rsidRPr="003624E5">
        <w:rPr>
          <w:rFonts w:eastAsiaTheme="minorHAnsi" w:cs="Calibri"/>
        </w:rPr>
        <w:t xml:space="preserve">bylo </w:t>
      </w:r>
      <w:r w:rsidR="001077EB" w:rsidRPr="003624E5">
        <w:rPr>
          <w:rFonts w:eastAsiaTheme="minorHAnsi" w:cs="Calibri"/>
        </w:rPr>
        <w:t>prověřováno</w:t>
      </w:r>
      <w:r w:rsidRPr="003624E5">
        <w:rPr>
          <w:rFonts w:eastAsiaTheme="minorHAnsi" w:cs="Calibri"/>
        </w:rPr>
        <w:t xml:space="preserve"> </w:t>
      </w:r>
      <w:r w:rsidR="00E91FF5" w:rsidRPr="003624E5">
        <w:rPr>
          <w:rFonts w:eastAsiaTheme="minorHAnsi" w:cs="Calibri"/>
        </w:rPr>
        <w:t>jejich uveřejn</w:t>
      </w:r>
      <w:r w:rsidR="00CD2142" w:rsidRPr="003624E5">
        <w:rPr>
          <w:rFonts w:eastAsiaTheme="minorHAnsi" w:cs="Calibri"/>
        </w:rPr>
        <w:t>ění v registru smluv dle zák</w:t>
      </w:r>
      <w:r w:rsidR="00F14722" w:rsidRPr="003624E5">
        <w:rPr>
          <w:rFonts w:eastAsiaTheme="minorHAnsi" w:cs="Calibri"/>
        </w:rPr>
        <w:t>ona</w:t>
      </w:r>
      <w:r w:rsidR="00FB6581" w:rsidRPr="003624E5">
        <w:rPr>
          <w:rFonts w:eastAsiaTheme="minorHAnsi" w:cs="Calibri"/>
        </w:rPr>
        <w:t xml:space="preserve"> č. 340/2015 Sb.</w:t>
      </w:r>
      <w:r w:rsidR="005B4A83" w:rsidRPr="003624E5">
        <w:rPr>
          <w:rStyle w:val="Znakapoznpodarou"/>
          <w:rFonts w:eastAsiaTheme="minorHAnsi" w:cs="Calibri"/>
        </w:rPr>
        <w:footnoteReference w:id="27"/>
      </w:r>
      <w:r w:rsidR="008808A6" w:rsidRPr="003624E5">
        <w:rPr>
          <w:rFonts w:eastAsiaTheme="minorHAnsi" w:cs="Calibri"/>
        </w:rPr>
        <w:t>.</w:t>
      </w:r>
    </w:p>
    <w:p w14:paraId="7035725F" w14:textId="1DA55C3B" w:rsidR="0045029D" w:rsidRPr="00AC7068" w:rsidRDefault="0045029D" w:rsidP="00B41D61">
      <w:pPr>
        <w:jc w:val="both"/>
        <w:rPr>
          <w:rFonts w:eastAsiaTheme="minorHAnsi" w:cs="Calibri"/>
          <w:highlight w:val="yellow"/>
        </w:rPr>
      </w:pPr>
      <w:r>
        <w:rPr>
          <w:rFonts w:eastAsiaTheme="minorHAnsi" w:cs="Calibri"/>
        </w:rPr>
        <w:t>NKÚ</w:t>
      </w:r>
      <w:r w:rsidRPr="0045029D">
        <w:rPr>
          <w:rFonts w:eastAsiaTheme="minorHAnsi" w:cs="Calibri"/>
        </w:rPr>
        <w:t xml:space="preserve"> na základě prověřovaných skutečností vyhodnotil </w:t>
      </w:r>
      <w:r w:rsidRPr="001217F1">
        <w:rPr>
          <w:rFonts w:eastAsiaTheme="minorHAnsi" w:cs="Calibri"/>
          <w:u w:val="single"/>
        </w:rPr>
        <w:t xml:space="preserve">nastavení </w:t>
      </w:r>
      <w:r w:rsidR="001E684C" w:rsidRPr="001217F1">
        <w:rPr>
          <w:rFonts w:eastAsiaTheme="minorHAnsi" w:cs="Calibri"/>
          <w:u w:val="single"/>
        </w:rPr>
        <w:t>VKS</w:t>
      </w:r>
      <w:r w:rsidRPr="00AC7068">
        <w:rPr>
          <w:rFonts w:eastAsiaTheme="minorHAnsi" w:cs="Calibri"/>
        </w:rPr>
        <w:t xml:space="preserve"> v </w:t>
      </w:r>
      <w:r w:rsidRPr="001217F1">
        <w:rPr>
          <w:rFonts w:eastAsiaTheme="minorHAnsi" w:cs="Calibri"/>
          <w:b/>
        </w:rPr>
        <w:t>oblasti účetnictví, plnění rozpočtu a závěrečného účtu</w:t>
      </w:r>
      <w:r w:rsidRPr="00AC7068">
        <w:rPr>
          <w:rFonts w:eastAsiaTheme="minorHAnsi" w:cs="Calibri"/>
        </w:rPr>
        <w:t xml:space="preserve"> (vnitřní předpisy, interní audit</w:t>
      </w:r>
      <w:r w:rsidRPr="00E05522">
        <w:rPr>
          <w:rFonts w:eastAsiaTheme="minorHAnsi" w:cs="Calibri"/>
        </w:rPr>
        <w:t>, účetní doklady, účetní knihy, inventarizace majetku a závazků, účetní závěrka a schvalování účetní závěrky) dle zákonů č. 563/1991 Sb., č. 218/2000 Sb. a dalších</w:t>
      </w:r>
      <w:r w:rsidR="00D23D9E">
        <w:rPr>
          <w:rFonts w:eastAsiaTheme="minorHAnsi" w:cs="Calibri"/>
        </w:rPr>
        <w:t xml:space="preserve"> právních</w:t>
      </w:r>
      <w:r w:rsidRPr="00E05522">
        <w:rPr>
          <w:rFonts w:eastAsiaTheme="minorHAnsi" w:cs="Calibri"/>
        </w:rPr>
        <w:t xml:space="preserve"> předpisů a </w:t>
      </w:r>
      <w:r w:rsidRPr="00996CD2">
        <w:rPr>
          <w:rFonts w:eastAsiaTheme="minorHAnsi" w:cs="Calibri"/>
        </w:rPr>
        <w:t>v oblasti</w:t>
      </w:r>
      <w:r w:rsidRPr="001217F1">
        <w:rPr>
          <w:rFonts w:eastAsiaTheme="minorHAnsi" w:cs="Calibri"/>
          <w:b/>
        </w:rPr>
        <w:t xml:space="preserve"> </w:t>
      </w:r>
      <w:r w:rsidRPr="00996CD2">
        <w:rPr>
          <w:rFonts w:eastAsiaTheme="minorHAnsi" w:cs="Calibri"/>
        </w:rPr>
        <w:t>řídicí kontroly</w:t>
      </w:r>
      <w:r w:rsidRPr="00E05522">
        <w:rPr>
          <w:rFonts w:eastAsiaTheme="minorHAnsi" w:cs="Calibri"/>
        </w:rPr>
        <w:t xml:space="preserve"> </w:t>
      </w:r>
      <w:r w:rsidRPr="00E05522">
        <w:rPr>
          <w:rFonts w:eastAsiaTheme="minorHAnsi" w:cs="Calibri"/>
        </w:rPr>
        <w:lastRenderedPageBreak/>
        <w:t>dle zákona č. 320/2001 Sb. a vyhlášky č. 416/2004 Sb.</w:t>
      </w:r>
      <w:r w:rsidRPr="00AC7068">
        <w:rPr>
          <w:rStyle w:val="Znakapoznpodarou"/>
          <w:rFonts w:eastAsiaTheme="minorHAnsi" w:cs="Calibri"/>
        </w:rPr>
        <w:footnoteReference w:id="28"/>
      </w:r>
      <w:r w:rsidRPr="00AC7068">
        <w:rPr>
          <w:rFonts w:eastAsiaTheme="minorHAnsi" w:cs="Calibri"/>
        </w:rPr>
        <w:t xml:space="preserve"> </w:t>
      </w:r>
      <w:r w:rsidR="000837B5">
        <w:rPr>
          <w:rFonts w:eastAsiaTheme="minorHAnsi" w:cs="Calibri"/>
        </w:rPr>
        <w:t xml:space="preserve">NKÚ </w:t>
      </w:r>
      <w:r w:rsidRPr="00AC7068">
        <w:rPr>
          <w:rFonts w:eastAsiaTheme="minorHAnsi" w:cs="Calibri"/>
        </w:rPr>
        <w:t xml:space="preserve">dále u prověřovaných operací vyhodnotil </w:t>
      </w:r>
      <w:r w:rsidRPr="001217F1">
        <w:rPr>
          <w:rFonts w:eastAsiaTheme="minorHAnsi" w:cs="Calibri"/>
          <w:u w:val="single"/>
        </w:rPr>
        <w:t xml:space="preserve">funkčnost </w:t>
      </w:r>
      <w:r w:rsidR="001E684C" w:rsidRPr="001217F1">
        <w:rPr>
          <w:rFonts w:eastAsiaTheme="minorHAnsi" w:cs="Calibri"/>
          <w:u w:val="single"/>
        </w:rPr>
        <w:t>VKS</w:t>
      </w:r>
      <w:r w:rsidRPr="00AC7068">
        <w:rPr>
          <w:rFonts w:eastAsiaTheme="minorHAnsi" w:cs="Calibri"/>
        </w:rPr>
        <w:t xml:space="preserve"> v </w:t>
      </w:r>
      <w:r w:rsidRPr="001217F1">
        <w:rPr>
          <w:rFonts w:eastAsiaTheme="minorHAnsi" w:cs="Calibri"/>
          <w:b/>
        </w:rPr>
        <w:t>oblasti účetnictví, plnění rozpočtu a závěrečného účtu</w:t>
      </w:r>
      <w:r w:rsidRPr="00AC7068">
        <w:rPr>
          <w:rFonts w:eastAsiaTheme="minorHAnsi" w:cs="Calibri"/>
        </w:rPr>
        <w:t xml:space="preserve"> dle zákonů č. 563/1991 Sb., č. 218/2000 Sb. a dalších </w:t>
      </w:r>
      <w:r w:rsidR="00147FEF">
        <w:rPr>
          <w:rFonts w:eastAsiaTheme="minorHAnsi" w:cs="Calibri"/>
        </w:rPr>
        <w:t xml:space="preserve">právních </w:t>
      </w:r>
      <w:r w:rsidRPr="00AC7068">
        <w:rPr>
          <w:rFonts w:eastAsiaTheme="minorHAnsi" w:cs="Calibri"/>
        </w:rPr>
        <w:t xml:space="preserve">předpisů, </w:t>
      </w:r>
      <w:r w:rsidR="00292FE6" w:rsidRPr="00E05522">
        <w:rPr>
          <w:rFonts w:eastAsiaTheme="minorHAnsi" w:cs="Calibri"/>
        </w:rPr>
        <w:t xml:space="preserve">v </w:t>
      </w:r>
      <w:r w:rsidR="00292FE6" w:rsidRPr="001217F1">
        <w:rPr>
          <w:rFonts w:eastAsiaTheme="minorHAnsi" w:cs="Calibri"/>
          <w:b/>
        </w:rPr>
        <w:t xml:space="preserve">oblasti </w:t>
      </w:r>
      <w:r w:rsidR="00C465F9" w:rsidRPr="001217F1">
        <w:rPr>
          <w:rFonts w:eastAsiaTheme="minorHAnsi" w:cs="Calibri"/>
          <w:b/>
        </w:rPr>
        <w:t xml:space="preserve">hospodaření </w:t>
      </w:r>
      <w:r w:rsidR="00BD137E">
        <w:rPr>
          <w:rFonts w:eastAsiaTheme="minorHAnsi" w:cs="Calibri"/>
          <w:b/>
        </w:rPr>
        <w:br/>
      </w:r>
      <w:r w:rsidR="00C465F9" w:rsidRPr="001217F1">
        <w:rPr>
          <w:rFonts w:eastAsiaTheme="minorHAnsi" w:cs="Calibri"/>
          <w:b/>
        </w:rPr>
        <w:t>s</w:t>
      </w:r>
      <w:r w:rsidR="00BD137E">
        <w:rPr>
          <w:rFonts w:eastAsiaTheme="minorHAnsi" w:cs="Calibri"/>
          <w:b/>
        </w:rPr>
        <w:t xml:space="preserve"> </w:t>
      </w:r>
      <w:r w:rsidR="00C465F9" w:rsidRPr="001217F1">
        <w:rPr>
          <w:rFonts w:eastAsiaTheme="minorHAnsi" w:cs="Calibri"/>
          <w:b/>
        </w:rPr>
        <w:t xml:space="preserve">majetkem státu dle zákona č. </w:t>
      </w:r>
      <w:r w:rsidR="00292FE6" w:rsidRPr="001217F1">
        <w:rPr>
          <w:rFonts w:eastAsiaTheme="minorHAnsi" w:cs="Calibri"/>
          <w:b/>
        </w:rPr>
        <w:t>219/2000 Sb.</w:t>
      </w:r>
      <w:r w:rsidR="00D571AC" w:rsidRPr="001217F1">
        <w:rPr>
          <w:rFonts w:eastAsiaTheme="minorHAnsi" w:cs="Calibri"/>
          <w:b/>
        </w:rPr>
        <w:t>,</w:t>
      </w:r>
      <w:r w:rsidR="007326FC" w:rsidRPr="001217F1">
        <w:rPr>
          <w:rFonts w:eastAsiaTheme="minorHAnsi" w:cs="Calibri"/>
          <w:b/>
        </w:rPr>
        <w:t xml:space="preserve"> finančního hospodaření dle zákona </w:t>
      </w:r>
      <w:r w:rsidR="00292FE6" w:rsidRPr="001217F1">
        <w:rPr>
          <w:rFonts w:eastAsiaTheme="minorHAnsi" w:cs="Calibri"/>
          <w:b/>
        </w:rPr>
        <w:t>č.</w:t>
      </w:r>
      <w:r w:rsidR="00900A34">
        <w:rPr>
          <w:rFonts w:eastAsiaTheme="minorHAnsi" w:cs="Calibri"/>
          <w:b/>
        </w:rPr>
        <w:t> </w:t>
      </w:r>
      <w:r w:rsidR="00292FE6" w:rsidRPr="001217F1">
        <w:rPr>
          <w:rFonts w:eastAsiaTheme="minorHAnsi" w:cs="Calibri"/>
          <w:b/>
        </w:rPr>
        <w:t>218/2000 Sb.</w:t>
      </w:r>
      <w:r w:rsidR="00D571AC" w:rsidRPr="001217F1">
        <w:rPr>
          <w:rFonts w:eastAsiaTheme="minorHAnsi" w:cs="Calibri"/>
          <w:b/>
        </w:rPr>
        <w:t xml:space="preserve"> a</w:t>
      </w:r>
      <w:r w:rsidR="007326FC" w:rsidRPr="001217F1">
        <w:rPr>
          <w:rFonts w:eastAsiaTheme="minorHAnsi" w:cs="Calibri"/>
          <w:b/>
        </w:rPr>
        <w:t xml:space="preserve"> dalších právních předpisů (zejména dle zákona </w:t>
      </w:r>
      <w:r w:rsidR="00D571AC" w:rsidRPr="001217F1">
        <w:rPr>
          <w:rFonts w:eastAsiaTheme="minorHAnsi" w:cs="Calibri"/>
          <w:b/>
        </w:rPr>
        <w:t>č. 340/2015 Sb.</w:t>
      </w:r>
      <w:r w:rsidR="007326FC" w:rsidRPr="001217F1">
        <w:rPr>
          <w:rFonts w:eastAsiaTheme="minorHAnsi" w:cs="Calibri"/>
          <w:b/>
        </w:rPr>
        <w:t>)</w:t>
      </w:r>
      <w:r w:rsidR="00D571AC">
        <w:rPr>
          <w:rFonts w:eastAsiaTheme="minorHAnsi" w:cs="Calibri"/>
        </w:rPr>
        <w:t xml:space="preserve"> a </w:t>
      </w:r>
      <w:r w:rsidRPr="00996CD2">
        <w:rPr>
          <w:rFonts w:eastAsiaTheme="minorHAnsi" w:cs="Calibri"/>
        </w:rPr>
        <w:t>v oblasti řídicí kontroly</w:t>
      </w:r>
      <w:r w:rsidRPr="00AC7068">
        <w:rPr>
          <w:rFonts w:eastAsiaTheme="minorHAnsi" w:cs="Calibri"/>
        </w:rPr>
        <w:t xml:space="preserve"> dl</w:t>
      </w:r>
      <w:r w:rsidRPr="00E05522">
        <w:rPr>
          <w:rFonts w:eastAsiaTheme="minorHAnsi" w:cs="Calibri"/>
        </w:rPr>
        <w:t xml:space="preserve">e zákona č. 320/2001 Sb. a vyhlášky č. 416/2004 Sb., tj. </w:t>
      </w:r>
      <w:r w:rsidR="00900A34">
        <w:rPr>
          <w:rFonts w:eastAsiaTheme="minorHAnsi" w:cs="Calibri"/>
        </w:rPr>
        <w:t xml:space="preserve">ověřil, zda jsou </w:t>
      </w:r>
      <w:r w:rsidRPr="00E05522">
        <w:rPr>
          <w:rFonts w:eastAsiaTheme="minorHAnsi" w:cs="Calibri"/>
        </w:rPr>
        <w:t>prvk</w:t>
      </w:r>
      <w:r w:rsidR="00900A34">
        <w:rPr>
          <w:rFonts w:eastAsiaTheme="minorHAnsi" w:cs="Calibri"/>
        </w:rPr>
        <w:t>y</w:t>
      </w:r>
      <w:r w:rsidRPr="00E05522">
        <w:rPr>
          <w:rFonts w:eastAsiaTheme="minorHAnsi" w:cs="Calibri"/>
        </w:rPr>
        <w:t xml:space="preserve"> VKS </w:t>
      </w:r>
      <w:r w:rsidR="00900A34" w:rsidRPr="00E05522">
        <w:rPr>
          <w:rFonts w:eastAsiaTheme="minorHAnsi" w:cs="Calibri"/>
        </w:rPr>
        <w:t>implement</w:t>
      </w:r>
      <w:r w:rsidR="00900A34">
        <w:rPr>
          <w:rFonts w:eastAsiaTheme="minorHAnsi" w:cs="Calibri"/>
        </w:rPr>
        <w:t>ovány</w:t>
      </w:r>
      <w:r w:rsidR="00900A34" w:rsidRPr="00E05522">
        <w:rPr>
          <w:rFonts w:eastAsiaTheme="minorHAnsi" w:cs="Calibri"/>
        </w:rPr>
        <w:t xml:space="preserve"> </w:t>
      </w:r>
      <w:r w:rsidRPr="00E05522">
        <w:rPr>
          <w:rFonts w:eastAsiaTheme="minorHAnsi" w:cs="Calibri"/>
        </w:rPr>
        <w:t xml:space="preserve">tak, aby bylo zamezeno vzniku nesprávností. </w:t>
      </w:r>
      <w:r w:rsidRPr="00A21AC3">
        <w:rPr>
          <w:rFonts w:eastAsiaTheme="minorHAnsi" w:cs="Calibri"/>
        </w:rPr>
        <w:t xml:space="preserve">Kombinace zjištění </w:t>
      </w:r>
      <w:r w:rsidR="003235E8">
        <w:rPr>
          <w:rFonts w:eastAsiaTheme="minorHAnsi" w:cs="Calibri"/>
        </w:rPr>
        <w:t xml:space="preserve">týkajících se </w:t>
      </w:r>
      <w:r w:rsidRPr="00A21AC3">
        <w:rPr>
          <w:rFonts w:eastAsiaTheme="minorHAnsi" w:cs="Calibri"/>
        </w:rPr>
        <w:t xml:space="preserve">nastavení a funkčnosti </w:t>
      </w:r>
      <w:r w:rsidR="003235E8">
        <w:rPr>
          <w:rFonts w:eastAsiaTheme="minorHAnsi" w:cs="Calibri"/>
        </w:rPr>
        <w:t xml:space="preserve">VKS ve </w:t>
      </w:r>
      <w:r w:rsidRPr="00A21AC3">
        <w:rPr>
          <w:rFonts w:eastAsiaTheme="minorHAnsi" w:cs="Calibri"/>
        </w:rPr>
        <w:t>výše uvedených oblast</w:t>
      </w:r>
      <w:r w:rsidR="003235E8">
        <w:rPr>
          <w:rFonts w:eastAsiaTheme="minorHAnsi" w:cs="Calibri"/>
        </w:rPr>
        <w:t>ech</w:t>
      </w:r>
      <w:r w:rsidRPr="00A21AC3">
        <w:rPr>
          <w:rFonts w:eastAsiaTheme="minorHAnsi" w:cs="Calibri"/>
        </w:rPr>
        <w:t xml:space="preserve"> je pak podkladem </w:t>
      </w:r>
      <w:r w:rsidR="003235E8">
        <w:rPr>
          <w:rFonts w:eastAsiaTheme="minorHAnsi" w:cs="Calibri"/>
        </w:rPr>
        <w:t>pro</w:t>
      </w:r>
      <w:r w:rsidRPr="00A21AC3">
        <w:rPr>
          <w:rFonts w:eastAsiaTheme="minorHAnsi" w:cs="Calibri"/>
        </w:rPr>
        <w:t xml:space="preserve"> hodnocení účinnosti </w:t>
      </w:r>
      <w:r w:rsidR="003235E8">
        <w:rPr>
          <w:rFonts w:eastAsiaTheme="minorHAnsi" w:cs="Calibri"/>
        </w:rPr>
        <w:t xml:space="preserve">vnitřního kontrolního systému </w:t>
      </w:r>
      <w:proofErr w:type="spellStart"/>
      <w:r w:rsidR="003235E8">
        <w:rPr>
          <w:rFonts w:eastAsiaTheme="minorHAnsi" w:cs="Calibri"/>
        </w:rPr>
        <w:t>MZd</w:t>
      </w:r>
      <w:proofErr w:type="spellEnd"/>
      <w:r w:rsidRPr="00A21AC3">
        <w:rPr>
          <w:rFonts w:eastAsiaTheme="minorHAnsi" w:cs="Calibri"/>
        </w:rPr>
        <w:t>.</w:t>
      </w:r>
    </w:p>
    <w:p w14:paraId="4D71A1B1" w14:textId="4ACF613A" w:rsidR="00F05073" w:rsidRPr="003624E5" w:rsidRDefault="00A640AE" w:rsidP="00B41D61">
      <w:pPr>
        <w:jc w:val="both"/>
        <w:rPr>
          <w:rFonts w:eastAsiaTheme="minorHAnsi" w:cs="Calibri"/>
        </w:rPr>
      </w:pPr>
      <w:r w:rsidRPr="003624E5">
        <w:rPr>
          <w:rFonts w:eastAsiaTheme="minorHAnsi" w:cs="Calibri"/>
        </w:rPr>
        <w:t xml:space="preserve">V rámci kontroly byla vyhodnocena </w:t>
      </w:r>
      <w:r w:rsidR="003235E8" w:rsidRPr="003624E5">
        <w:rPr>
          <w:rFonts w:eastAsiaTheme="minorHAnsi" w:cs="Calibri"/>
        </w:rPr>
        <w:t xml:space="preserve">také </w:t>
      </w:r>
      <w:r w:rsidRPr="003624E5">
        <w:rPr>
          <w:rFonts w:eastAsiaTheme="minorHAnsi" w:cs="Calibri"/>
        </w:rPr>
        <w:t xml:space="preserve">opatření přijatá k nápravě nedostatků zjištěných </w:t>
      </w:r>
      <w:r w:rsidR="003235E8">
        <w:rPr>
          <w:rFonts w:eastAsiaTheme="minorHAnsi" w:cs="Calibri"/>
        </w:rPr>
        <w:t xml:space="preserve">kontrolní akcí NKÚ </w:t>
      </w:r>
      <w:r w:rsidR="007102F6" w:rsidRPr="003624E5">
        <w:rPr>
          <w:rFonts w:eastAsiaTheme="minorHAnsi" w:cs="Calibri"/>
        </w:rPr>
        <w:t>č.</w:t>
      </w:r>
      <w:r w:rsidR="00021041" w:rsidRPr="003624E5">
        <w:rPr>
          <w:rFonts w:eastAsiaTheme="minorHAnsi" w:cs="Calibri"/>
        </w:rPr>
        <w:t> </w:t>
      </w:r>
      <w:r w:rsidRPr="003624E5">
        <w:rPr>
          <w:rFonts w:eastAsiaTheme="minorHAnsi" w:cs="Calibri"/>
        </w:rPr>
        <w:t>1</w:t>
      </w:r>
      <w:r w:rsidR="003624E5" w:rsidRPr="003624E5">
        <w:rPr>
          <w:rFonts w:eastAsiaTheme="minorHAnsi" w:cs="Calibri"/>
        </w:rPr>
        <w:t>8</w:t>
      </w:r>
      <w:r w:rsidR="002F62E6" w:rsidRPr="003624E5">
        <w:rPr>
          <w:rFonts w:eastAsiaTheme="minorHAnsi" w:cs="Calibri"/>
        </w:rPr>
        <w:t>/</w:t>
      </w:r>
      <w:r w:rsidR="003624E5" w:rsidRPr="003624E5">
        <w:rPr>
          <w:rFonts w:eastAsiaTheme="minorHAnsi" w:cs="Calibri"/>
        </w:rPr>
        <w:t>13</w:t>
      </w:r>
      <w:r w:rsidR="008A0176" w:rsidRPr="003624E5">
        <w:rPr>
          <w:rFonts w:eastAsiaTheme="minorHAnsi" w:cs="Calibri"/>
        </w:rPr>
        <w:t>.</w:t>
      </w:r>
    </w:p>
    <w:p w14:paraId="1B54F4D2" w14:textId="3808645B" w:rsidR="00563F09" w:rsidRPr="003624E5" w:rsidRDefault="00A640AE" w:rsidP="00B41D61">
      <w:pPr>
        <w:jc w:val="both"/>
        <w:rPr>
          <w:lang w:eastAsia="cs-CZ"/>
        </w:rPr>
      </w:pPr>
      <w:r w:rsidRPr="003624E5">
        <w:rPr>
          <w:rFonts w:cs="Calibri"/>
          <w:lang w:eastAsia="cs-CZ"/>
        </w:rPr>
        <w:t xml:space="preserve">Při kontrole </w:t>
      </w:r>
      <w:r w:rsidR="007102F6" w:rsidRPr="003624E5">
        <w:rPr>
          <w:rFonts w:cs="Calibri"/>
          <w:lang w:eastAsia="cs-CZ"/>
        </w:rPr>
        <w:t>ZÚ</w:t>
      </w:r>
      <w:r w:rsidRPr="003624E5">
        <w:rPr>
          <w:rFonts w:cs="Calibri"/>
          <w:lang w:eastAsia="cs-CZ"/>
        </w:rPr>
        <w:t xml:space="preserve"> 20</w:t>
      </w:r>
      <w:r w:rsidR="006347BE" w:rsidRPr="003624E5">
        <w:rPr>
          <w:rFonts w:cs="Calibri"/>
          <w:lang w:eastAsia="cs-CZ"/>
        </w:rPr>
        <w:t>2</w:t>
      </w:r>
      <w:r w:rsidR="003624E5" w:rsidRPr="003624E5">
        <w:rPr>
          <w:rFonts w:cs="Calibri"/>
          <w:lang w:eastAsia="cs-CZ"/>
        </w:rPr>
        <w:t>1</w:t>
      </w:r>
      <w:r w:rsidR="0093276B" w:rsidRPr="003624E5">
        <w:rPr>
          <w:rFonts w:cs="Calibri"/>
          <w:lang w:eastAsia="cs-CZ"/>
        </w:rPr>
        <w:t xml:space="preserve"> bylo prověřováno, zda je závěrečný účet v souladu s požadavky vyhlášky č. 419/2001 Sb.</w:t>
      </w:r>
      <w:r w:rsidR="00BA10E7" w:rsidRPr="003624E5">
        <w:rPr>
          <w:rFonts w:cs="Calibri"/>
          <w:lang w:eastAsia="cs-CZ"/>
        </w:rPr>
        <w:t xml:space="preserve"> </w:t>
      </w:r>
      <w:r w:rsidR="000604FC" w:rsidRPr="003624E5">
        <w:rPr>
          <w:rFonts w:cs="Calibri"/>
          <w:lang w:eastAsia="cs-CZ"/>
        </w:rPr>
        <w:t xml:space="preserve">a </w:t>
      </w:r>
      <w:r w:rsidR="003235E8">
        <w:rPr>
          <w:rFonts w:cs="Calibri"/>
          <w:lang w:eastAsia="cs-CZ"/>
        </w:rPr>
        <w:t xml:space="preserve">zda je </w:t>
      </w:r>
      <w:r w:rsidR="000604FC" w:rsidRPr="003624E5">
        <w:rPr>
          <w:rFonts w:cs="Calibri"/>
          <w:lang w:eastAsia="cs-CZ"/>
        </w:rPr>
        <w:t xml:space="preserve">také </w:t>
      </w:r>
      <w:r w:rsidR="00BA10E7" w:rsidRPr="003624E5">
        <w:rPr>
          <w:rFonts w:cs="Calibri"/>
          <w:lang w:eastAsia="cs-CZ"/>
        </w:rPr>
        <w:t>v souladu se skutečností, t</w:t>
      </w:r>
      <w:r w:rsidR="000604FC" w:rsidRPr="003624E5">
        <w:rPr>
          <w:rFonts w:cs="Calibri"/>
          <w:lang w:eastAsia="cs-CZ"/>
        </w:rPr>
        <w:t xml:space="preserve">zn. </w:t>
      </w:r>
      <w:r w:rsidR="0093276B" w:rsidRPr="003624E5">
        <w:rPr>
          <w:rFonts w:cs="Calibri"/>
          <w:lang w:eastAsia="cs-CZ"/>
        </w:rPr>
        <w:t>zda vybrané údaje uváděné v závěrečném účtu jsou správné a úplné ve srovnání s finančními výkazy</w:t>
      </w:r>
      <w:r w:rsidR="000604FC" w:rsidRPr="003624E5">
        <w:rPr>
          <w:rFonts w:cs="Calibri"/>
          <w:lang w:eastAsia="cs-CZ"/>
        </w:rPr>
        <w:t xml:space="preserve"> obsahujícími údaje pro hodnocení plnění rozpočtu,</w:t>
      </w:r>
      <w:r w:rsidR="0093276B" w:rsidRPr="003624E5">
        <w:rPr>
          <w:rFonts w:cs="Calibri"/>
          <w:lang w:eastAsia="cs-CZ"/>
        </w:rPr>
        <w:t xml:space="preserve"> s</w:t>
      </w:r>
      <w:r w:rsidR="003235E8">
        <w:rPr>
          <w:rFonts w:cs="Calibri"/>
          <w:lang w:eastAsia="cs-CZ"/>
        </w:rPr>
        <w:t xml:space="preserve"> </w:t>
      </w:r>
      <w:r w:rsidR="0093276B" w:rsidRPr="003624E5">
        <w:rPr>
          <w:rFonts w:cs="Calibri"/>
          <w:lang w:eastAsia="cs-CZ"/>
        </w:rPr>
        <w:t>údaji v</w:t>
      </w:r>
      <w:r w:rsidR="003235E8">
        <w:rPr>
          <w:rFonts w:cs="Calibri"/>
          <w:lang w:eastAsia="cs-CZ"/>
        </w:rPr>
        <w:t xml:space="preserve"> </w:t>
      </w:r>
      <w:r w:rsidR="0093276B" w:rsidRPr="003624E5">
        <w:rPr>
          <w:rFonts w:cs="Calibri"/>
          <w:lang w:eastAsia="cs-CZ"/>
        </w:rPr>
        <w:t>účetnictví</w:t>
      </w:r>
      <w:r w:rsidRPr="003624E5">
        <w:rPr>
          <w:rFonts w:cs="Calibri"/>
          <w:lang w:eastAsia="cs-CZ"/>
        </w:rPr>
        <w:t>, s údaji z</w:t>
      </w:r>
      <w:r w:rsidR="003235E8">
        <w:rPr>
          <w:rFonts w:cs="Calibri"/>
          <w:lang w:eastAsia="cs-CZ"/>
        </w:rPr>
        <w:t xml:space="preserve"> </w:t>
      </w:r>
      <w:r w:rsidRPr="003624E5">
        <w:rPr>
          <w:rFonts w:cs="Calibri"/>
          <w:lang w:eastAsia="cs-CZ"/>
        </w:rPr>
        <w:t xml:space="preserve">účetních závěrek </w:t>
      </w:r>
      <w:proofErr w:type="spellStart"/>
      <w:r w:rsidR="006347BE" w:rsidRPr="003624E5">
        <w:rPr>
          <w:rFonts w:cs="Calibri"/>
          <w:lang w:eastAsia="cs-CZ"/>
        </w:rPr>
        <w:t>M</w:t>
      </w:r>
      <w:r w:rsidR="003624E5" w:rsidRPr="003624E5">
        <w:rPr>
          <w:rFonts w:cs="Calibri"/>
          <w:lang w:eastAsia="cs-CZ"/>
        </w:rPr>
        <w:t>Z</w:t>
      </w:r>
      <w:r w:rsidR="00E05522">
        <w:rPr>
          <w:rFonts w:cs="Calibri"/>
          <w:lang w:eastAsia="cs-CZ"/>
        </w:rPr>
        <w:t>d</w:t>
      </w:r>
      <w:proofErr w:type="spellEnd"/>
      <w:r w:rsidR="00E36631" w:rsidRPr="003624E5">
        <w:rPr>
          <w:rFonts w:cs="Calibri"/>
          <w:lang w:eastAsia="cs-CZ"/>
        </w:rPr>
        <w:t xml:space="preserve"> </w:t>
      </w:r>
      <w:r w:rsidR="00BD137E">
        <w:rPr>
          <w:rFonts w:cs="Calibri"/>
          <w:lang w:eastAsia="cs-CZ"/>
        </w:rPr>
        <w:br/>
      </w:r>
      <w:r w:rsidR="00E36631" w:rsidRPr="003624E5">
        <w:rPr>
          <w:rFonts w:cs="Calibri"/>
          <w:lang w:eastAsia="cs-CZ"/>
        </w:rPr>
        <w:t>a</w:t>
      </w:r>
      <w:r w:rsidR="00BD137E">
        <w:rPr>
          <w:rFonts w:cs="Calibri"/>
          <w:lang w:eastAsia="cs-CZ"/>
        </w:rPr>
        <w:t xml:space="preserve"> </w:t>
      </w:r>
      <w:r w:rsidRPr="003624E5">
        <w:rPr>
          <w:rFonts w:cs="Calibri"/>
          <w:lang w:eastAsia="cs-CZ"/>
        </w:rPr>
        <w:t xml:space="preserve">podřízených organizací v rámci kapitoly státního rozpočtu </w:t>
      </w:r>
      <w:r w:rsidR="006347BE" w:rsidRPr="003624E5">
        <w:rPr>
          <w:rFonts w:cs="Calibri"/>
          <w:lang w:eastAsia="cs-CZ"/>
        </w:rPr>
        <w:t>3</w:t>
      </w:r>
      <w:r w:rsidR="003624E5" w:rsidRPr="003624E5">
        <w:rPr>
          <w:rFonts w:cs="Calibri"/>
          <w:lang w:eastAsia="cs-CZ"/>
        </w:rPr>
        <w:t>35</w:t>
      </w:r>
      <w:r w:rsidRPr="003624E5">
        <w:rPr>
          <w:rFonts w:cs="Calibri"/>
          <w:lang w:eastAsia="cs-CZ"/>
        </w:rPr>
        <w:t>,</w:t>
      </w:r>
      <w:r w:rsidR="0093276B" w:rsidRPr="003624E5">
        <w:rPr>
          <w:rFonts w:cs="Calibri"/>
          <w:lang w:eastAsia="cs-CZ"/>
        </w:rPr>
        <w:t xml:space="preserve"> s</w:t>
      </w:r>
      <w:r w:rsidR="003235E8">
        <w:rPr>
          <w:rFonts w:cs="Calibri"/>
          <w:lang w:eastAsia="cs-CZ"/>
        </w:rPr>
        <w:t xml:space="preserve"> </w:t>
      </w:r>
      <w:r w:rsidR="0093276B" w:rsidRPr="003624E5">
        <w:rPr>
          <w:rFonts w:cs="Calibri"/>
          <w:lang w:eastAsia="cs-CZ"/>
        </w:rPr>
        <w:t>po</w:t>
      </w:r>
      <w:r w:rsidR="00420E03" w:rsidRPr="003624E5">
        <w:rPr>
          <w:rFonts w:cs="Calibri"/>
          <w:lang w:eastAsia="cs-CZ"/>
        </w:rPr>
        <w:t>d</w:t>
      </w:r>
      <w:r w:rsidR="0093276B" w:rsidRPr="003624E5">
        <w:rPr>
          <w:rFonts w:cs="Calibri"/>
          <w:lang w:eastAsia="cs-CZ"/>
        </w:rPr>
        <w:t>klady jednotlivýc</w:t>
      </w:r>
      <w:r w:rsidR="00014250" w:rsidRPr="003624E5">
        <w:rPr>
          <w:rFonts w:cs="Calibri"/>
          <w:lang w:eastAsia="cs-CZ"/>
        </w:rPr>
        <w:t xml:space="preserve">h věcně příslušných </w:t>
      </w:r>
      <w:r w:rsidR="002F62E6" w:rsidRPr="003624E5">
        <w:rPr>
          <w:rFonts w:cs="Calibri"/>
          <w:lang w:eastAsia="cs-CZ"/>
        </w:rPr>
        <w:t>útvarů</w:t>
      </w:r>
      <w:r w:rsidR="00014250" w:rsidRPr="003624E5">
        <w:rPr>
          <w:rFonts w:cs="Calibri"/>
          <w:lang w:eastAsia="cs-CZ"/>
        </w:rPr>
        <w:t xml:space="preserve"> </w:t>
      </w:r>
      <w:proofErr w:type="spellStart"/>
      <w:r w:rsidR="006347BE" w:rsidRPr="003624E5">
        <w:rPr>
          <w:rFonts w:cs="Calibri"/>
          <w:lang w:eastAsia="cs-CZ"/>
        </w:rPr>
        <w:t>M</w:t>
      </w:r>
      <w:r w:rsidR="003624E5" w:rsidRPr="003624E5">
        <w:rPr>
          <w:rFonts w:cs="Calibri"/>
          <w:lang w:eastAsia="cs-CZ"/>
        </w:rPr>
        <w:t>Z</w:t>
      </w:r>
      <w:r w:rsidR="00E05522">
        <w:rPr>
          <w:rFonts w:cs="Calibri"/>
          <w:lang w:eastAsia="cs-CZ"/>
        </w:rPr>
        <w:t>d</w:t>
      </w:r>
      <w:proofErr w:type="spellEnd"/>
      <w:r w:rsidR="00014250" w:rsidRPr="003624E5">
        <w:rPr>
          <w:rFonts w:cs="Calibri"/>
          <w:lang w:eastAsia="cs-CZ"/>
        </w:rPr>
        <w:t xml:space="preserve"> a </w:t>
      </w:r>
      <w:r w:rsidR="0093276B" w:rsidRPr="003624E5">
        <w:rPr>
          <w:rFonts w:cs="Calibri"/>
          <w:lang w:eastAsia="cs-CZ"/>
        </w:rPr>
        <w:t>podřízených organizací</w:t>
      </w:r>
      <w:r w:rsidRPr="003624E5">
        <w:rPr>
          <w:rFonts w:cs="Calibri"/>
          <w:lang w:eastAsia="cs-CZ"/>
        </w:rPr>
        <w:t xml:space="preserve"> a s </w:t>
      </w:r>
      <w:r w:rsidRPr="003624E5">
        <w:rPr>
          <w:lang w:eastAsia="cs-CZ"/>
        </w:rPr>
        <w:t>jinými veřejně dostupnými zdroji</w:t>
      </w:r>
      <w:r w:rsidR="001B06A1" w:rsidRPr="003624E5">
        <w:rPr>
          <w:lang w:eastAsia="cs-CZ"/>
        </w:rPr>
        <w:t>,</w:t>
      </w:r>
      <w:r w:rsidRPr="003624E5">
        <w:rPr>
          <w:lang w:eastAsia="cs-CZ"/>
        </w:rPr>
        <w:t xml:space="preserve"> např. usneseními vlády ČR, veřejně přístupnými rejstříky apod.</w:t>
      </w:r>
    </w:p>
    <w:p w14:paraId="2540D6E3" w14:textId="581DA10C" w:rsidR="00563F09" w:rsidRPr="003624E5" w:rsidRDefault="00563F09" w:rsidP="00B41D61">
      <w:pPr>
        <w:spacing w:after="0"/>
        <w:jc w:val="both"/>
        <w:rPr>
          <w:lang w:eastAsia="cs-CZ"/>
        </w:rPr>
      </w:pPr>
      <w:r w:rsidRPr="003624E5">
        <w:rPr>
          <w:lang w:eastAsia="cs-CZ"/>
        </w:rPr>
        <w:t xml:space="preserve">Kontrola se zaměřila </w:t>
      </w:r>
      <w:r w:rsidR="00CA6CBC" w:rsidRPr="003624E5">
        <w:rPr>
          <w:lang w:eastAsia="cs-CZ"/>
        </w:rPr>
        <w:t>také</w:t>
      </w:r>
      <w:r w:rsidRPr="003624E5">
        <w:rPr>
          <w:lang w:eastAsia="cs-CZ"/>
        </w:rPr>
        <w:t xml:space="preserve"> na to, zda </w:t>
      </w:r>
      <w:r w:rsidR="003E79F3" w:rsidRPr="003624E5">
        <w:rPr>
          <w:lang w:eastAsia="cs-CZ"/>
        </w:rPr>
        <w:t xml:space="preserve">a jak </w:t>
      </w:r>
      <w:proofErr w:type="spellStart"/>
      <w:r w:rsidRPr="003624E5">
        <w:rPr>
          <w:lang w:eastAsia="cs-CZ"/>
        </w:rPr>
        <w:t>M</w:t>
      </w:r>
      <w:r w:rsidR="00315977">
        <w:rPr>
          <w:lang w:eastAsia="cs-CZ"/>
        </w:rPr>
        <w:t>Z</w:t>
      </w:r>
      <w:r w:rsidR="00751C03">
        <w:rPr>
          <w:lang w:eastAsia="cs-CZ"/>
        </w:rPr>
        <w:t>d</w:t>
      </w:r>
      <w:proofErr w:type="spellEnd"/>
      <w:r w:rsidRPr="003624E5">
        <w:rPr>
          <w:lang w:eastAsia="cs-CZ"/>
        </w:rPr>
        <w:t xml:space="preserve"> využívá akruální účetní informace a </w:t>
      </w:r>
      <w:r w:rsidR="00275340" w:rsidRPr="003624E5">
        <w:rPr>
          <w:lang w:eastAsia="cs-CZ"/>
        </w:rPr>
        <w:t xml:space="preserve">jaký vliv měla pandemie </w:t>
      </w:r>
      <w:r w:rsidR="003235E8">
        <w:rPr>
          <w:lang w:eastAsia="cs-CZ"/>
        </w:rPr>
        <w:t>onemocnění covid-19</w:t>
      </w:r>
      <w:r w:rsidR="00275340" w:rsidRPr="003624E5">
        <w:rPr>
          <w:lang w:eastAsia="cs-CZ"/>
        </w:rPr>
        <w:t xml:space="preserve"> na vykazované údaje </w:t>
      </w:r>
      <w:proofErr w:type="spellStart"/>
      <w:r w:rsidR="00275340" w:rsidRPr="003624E5">
        <w:rPr>
          <w:lang w:eastAsia="cs-CZ"/>
        </w:rPr>
        <w:t>M</w:t>
      </w:r>
      <w:r w:rsidR="003624E5" w:rsidRPr="003624E5">
        <w:rPr>
          <w:lang w:eastAsia="cs-CZ"/>
        </w:rPr>
        <w:t>Z</w:t>
      </w:r>
      <w:r w:rsidR="00E05522">
        <w:rPr>
          <w:lang w:eastAsia="cs-CZ"/>
        </w:rPr>
        <w:t>d</w:t>
      </w:r>
      <w:proofErr w:type="spellEnd"/>
      <w:r w:rsidR="005478D8" w:rsidRPr="003624E5">
        <w:rPr>
          <w:lang w:eastAsia="cs-CZ"/>
        </w:rPr>
        <w:t>.</w:t>
      </w:r>
    </w:p>
    <w:p w14:paraId="43807797" w14:textId="77777777" w:rsidR="00563F09" w:rsidRPr="00D71C60" w:rsidRDefault="00563F09" w:rsidP="005E63AE">
      <w:pPr>
        <w:spacing w:after="0"/>
        <w:jc w:val="both"/>
        <w:rPr>
          <w:highlight w:val="yellow"/>
          <w:lang w:eastAsia="cs-CZ"/>
        </w:rPr>
      </w:pPr>
    </w:p>
    <w:p w14:paraId="3278AD61" w14:textId="77777777" w:rsidR="00006AE8" w:rsidRPr="00D71C60" w:rsidRDefault="00006AE8" w:rsidP="00B03EA6">
      <w:pPr>
        <w:spacing w:after="0"/>
        <w:jc w:val="both"/>
        <w:rPr>
          <w:highlight w:val="yellow"/>
          <w:lang w:eastAsia="cs-CZ"/>
        </w:rPr>
      </w:pPr>
    </w:p>
    <w:p w14:paraId="5AA02DB1" w14:textId="03B8394E" w:rsidR="00006AE8" w:rsidRPr="00133BC2" w:rsidRDefault="00006AE8" w:rsidP="00B03EA6">
      <w:pPr>
        <w:spacing w:after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bookmarkStart w:id="5" w:name="_Hlk107242049"/>
      <w:r w:rsidRPr="00133BC2">
        <w:rPr>
          <w:rFonts w:asciiTheme="minorHAnsi" w:hAnsiTheme="minorHAnsi" w:cs="Calibri"/>
          <w:b/>
          <w:sz w:val="20"/>
          <w:szCs w:val="20"/>
        </w:rPr>
        <w:t>Pozn.:</w:t>
      </w:r>
      <w:r w:rsidRPr="00133BC2">
        <w:rPr>
          <w:rFonts w:asciiTheme="minorHAnsi" w:hAnsiTheme="minorHAnsi" w:cs="Calibri"/>
          <w:sz w:val="20"/>
          <w:szCs w:val="20"/>
        </w:rPr>
        <w:t xml:space="preserve"> </w:t>
      </w:r>
      <w:r w:rsidRPr="00133BC2">
        <w:rPr>
          <w:rFonts w:asciiTheme="minorHAnsi" w:hAnsiTheme="minorHAnsi" w:cs="Calibri"/>
          <w:sz w:val="20"/>
          <w:szCs w:val="20"/>
        </w:rPr>
        <w:tab/>
        <w:t>Všechny právní předpisy uvedené v tomto kontrolním závěru jsou aplikovány ve znění účinném pro</w:t>
      </w:r>
      <w:r w:rsidR="003235E8">
        <w:rPr>
          <w:rFonts w:asciiTheme="minorHAnsi" w:hAnsiTheme="minorHAnsi" w:cs="Calibri"/>
          <w:sz w:val="20"/>
          <w:szCs w:val="20"/>
        </w:rPr>
        <w:t xml:space="preserve"> </w:t>
      </w:r>
      <w:r w:rsidRPr="00133BC2">
        <w:rPr>
          <w:rFonts w:asciiTheme="minorHAnsi" w:hAnsiTheme="minorHAnsi" w:cs="Calibri"/>
          <w:sz w:val="20"/>
          <w:szCs w:val="20"/>
        </w:rPr>
        <w:t>kontrolované období.</w:t>
      </w:r>
    </w:p>
    <w:bookmarkEnd w:id="5"/>
    <w:p w14:paraId="4E05B5C4" w14:textId="77777777" w:rsidR="00006589" w:rsidRPr="00D71C60" w:rsidRDefault="00DC40AD" w:rsidP="00DC40AD">
      <w:pPr>
        <w:spacing w:after="160" w:line="259" w:lineRule="auto"/>
        <w:rPr>
          <w:highlight w:val="yellow"/>
          <w:lang w:eastAsia="cs-CZ"/>
        </w:rPr>
      </w:pPr>
      <w:r w:rsidRPr="00D71C60">
        <w:rPr>
          <w:highlight w:val="yellow"/>
          <w:lang w:eastAsia="cs-CZ"/>
        </w:rPr>
        <w:br w:type="page"/>
      </w:r>
    </w:p>
    <w:p w14:paraId="4C1B1192" w14:textId="77777777" w:rsidR="0033466E" w:rsidRPr="00A6638A" w:rsidRDefault="00A640AE" w:rsidP="00B41D61">
      <w:pPr>
        <w:pStyle w:val="Nadpis1"/>
        <w:keepNext/>
        <w:spacing w:after="120" w:line="240" w:lineRule="auto"/>
        <w:rPr>
          <w:rFonts w:ascii="Calibri" w:hAnsi="Calibri" w:cs="Calibri"/>
          <w:sz w:val="24"/>
          <w:szCs w:val="24"/>
        </w:rPr>
      </w:pPr>
      <w:r w:rsidRPr="00A6638A">
        <w:rPr>
          <w:rFonts w:ascii="Calibri" w:hAnsi="Calibri" w:cs="Calibri"/>
          <w:szCs w:val="24"/>
        </w:rPr>
        <w:lastRenderedPageBreak/>
        <w:t>IV. Podrobné skutečnosti zjištěné kontrolou</w:t>
      </w:r>
    </w:p>
    <w:p w14:paraId="457DE10F" w14:textId="77777777" w:rsidR="008C51DA" w:rsidRPr="00E33808" w:rsidRDefault="006750E2" w:rsidP="00B41D61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 w:rsidRPr="00E33808">
        <w:rPr>
          <w:rFonts w:ascii="Calibri" w:hAnsi="Calibri" w:cs="Calibri"/>
          <w:lang w:eastAsia="cs-CZ"/>
        </w:rPr>
        <w:t xml:space="preserve">1. </w:t>
      </w:r>
      <w:r w:rsidR="008C51DA" w:rsidRPr="00E33808">
        <w:rPr>
          <w:rFonts w:ascii="Calibri" w:hAnsi="Calibri" w:cs="Calibri"/>
          <w:lang w:eastAsia="cs-CZ"/>
        </w:rPr>
        <w:t>Vedení účetnictví</w:t>
      </w:r>
    </w:p>
    <w:p w14:paraId="092FE02F" w14:textId="77777777" w:rsidR="00500B62" w:rsidRPr="0029355C" w:rsidRDefault="00500B62" w:rsidP="00500B62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 w:rsidRPr="0029355C">
        <w:rPr>
          <w:rFonts w:ascii="Calibri" w:hAnsi="Calibri" w:cs="Calibri"/>
          <w:lang w:eastAsia="cs-CZ"/>
        </w:rPr>
        <w:t>1.</w:t>
      </w:r>
      <w:r w:rsidR="00AD3A64" w:rsidRPr="0029355C">
        <w:rPr>
          <w:rFonts w:ascii="Calibri" w:hAnsi="Calibri" w:cs="Calibri"/>
          <w:lang w:eastAsia="cs-CZ"/>
        </w:rPr>
        <w:t>1</w:t>
      </w:r>
      <w:r w:rsidR="00A418CD" w:rsidRPr="0029355C">
        <w:rPr>
          <w:rFonts w:ascii="Calibri" w:hAnsi="Calibri" w:cs="Calibri"/>
          <w:lang w:eastAsia="cs-CZ"/>
        </w:rPr>
        <w:t xml:space="preserve"> Účtování </w:t>
      </w:r>
      <w:r w:rsidR="00FD7047" w:rsidRPr="008B4013">
        <w:rPr>
          <w:rFonts w:ascii="Calibri" w:hAnsi="Calibri" w:cs="Calibri"/>
          <w:lang w:eastAsia="cs-CZ"/>
        </w:rPr>
        <w:t xml:space="preserve">o </w:t>
      </w:r>
      <w:r w:rsidR="006566F9" w:rsidRPr="008B4013">
        <w:rPr>
          <w:rFonts w:ascii="Calibri" w:hAnsi="Calibri" w:cs="Calibri"/>
          <w:lang w:eastAsia="cs-CZ"/>
        </w:rPr>
        <w:t>vakcínách</w:t>
      </w:r>
    </w:p>
    <w:p w14:paraId="0CB8157D" w14:textId="77777777" w:rsidR="00C17DC7" w:rsidRDefault="0077673C" w:rsidP="00A21AC3">
      <w:pPr>
        <w:pStyle w:val="Nadpis2"/>
        <w:numPr>
          <w:ilvl w:val="0"/>
          <w:numId w:val="0"/>
        </w:numPr>
        <w:spacing w:after="120" w:line="240" w:lineRule="auto"/>
        <w:contextualSpacing w:val="0"/>
      </w:pPr>
      <w:r>
        <w:t xml:space="preserve">Výsledkem účtování </w:t>
      </w:r>
      <w:proofErr w:type="spellStart"/>
      <w:r>
        <w:t>MZd</w:t>
      </w:r>
      <w:proofErr w:type="spellEnd"/>
      <w:r>
        <w:t xml:space="preserve"> o nákupu a prodeji vakcín v roce 2021 byl významný vliv těchto transakcí na více jak desítku</w:t>
      </w:r>
      <w:r w:rsidR="000C6002">
        <w:t xml:space="preserve"> </w:t>
      </w:r>
      <w:r w:rsidR="0029355C" w:rsidRPr="0029355C">
        <w:t>syntetických a podrozvahových účtů v</w:t>
      </w:r>
      <w:r>
        <w:t> </w:t>
      </w:r>
      <w:r w:rsidR="0029355C" w:rsidRPr="0029355C">
        <w:t>ÚZ</w:t>
      </w:r>
      <w:r>
        <w:t>.</w:t>
      </w:r>
      <w:r w:rsidR="0029355C" w:rsidRPr="0029355C">
        <w:t xml:space="preserve"> </w:t>
      </w:r>
      <w:r>
        <w:t>Výše, rozsah a</w:t>
      </w:r>
      <w:r w:rsidR="00054593">
        <w:t> </w:t>
      </w:r>
      <w:r>
        <w:t>komentář tohoto vlivu na jednotlivé účty jsou uvedeny v tabulce č. 4.</w:t>
      </w:r>
    </w:p>
    <w:p w14:paraId="0D1D088C" w14:textId="77777777" w:rsidR="00672D55" w:rsidRPr="00672D55" w:rsidRDefault="00672D55" w:rsidP="004E2D6E">
      <w:pPr>
        <w:keepNext/>
        <w:tabs>
          <w:tab w:val="right" w:pos="9070"/>
        </w:tabs>
        <w:spacing w:after="40"/>
        <w:rPr>
          <w:rFonts w:cs="Arial"/>
          <w:b/>
        </w:rPr>
      </w:pPr>
      <w:r w:rsidRPr="0096760B">
        <w:rPr>
          <w:rFonts w:cs="Arial"/>
          <w:b/>
        </w:rPr>
        <w:t xml:space="preserve">Tabulka č. </w:t>
      </w:r>
      <w:r>
        <w:rPr>
          <w:rFonts w:cs="Arial"/>
          <w:b/>
        </w:rPr>
        <w:t>4</w:t>
      </w:r>
      <w:r w:rsidRPr="00672D55">
        <w:rPr>
          <w:rFonts w:cs="Arial"/>
          <w:b/>
        </w:rPr>
        <w:t>: Vliv</w:t>
      </w:r>
      <w:r w:rsidR="000C6002">
        <w:rPr>
          <w:rFonts w:cs="Arial"/>
          <w:b/>
        </w:rPr>
        <w:t xml:space="preserve"> </w:t>
      </w:r>
      <w:r w:rsidR="0077673C">
        <w:rPr>
          <w:rFonts w:cs="Arial"/>
          <w:b/>
        </w:rPr>
        <w:t>účtování o</w:t>
      </w:r>
      <w:r w:rsidRPr="00672D55">
        <w:rPr>
          <w:rFonts w:cs="Arial"/>
          <w:b/>
        </w:rPr>
        <w:t xml:space="preserve"> vakcín</w:t>
      </w:r>
      <w:r w:rsidR="0077673C">
        <w:rPr>
          <w:rFonts w:cs="Arial"/>
          <w:b/>
        </w:rPr>
        <w:t>ách</w:t>
      </w:r>
      <w:r w:rsidRPr="00672D55">
        <w:rPr>
          <w:rFonts w:cs="Arial"/>
          <w:b/>
        </w:rPr>
        <w:t xml:space="preserve"> na zůstatky účtů v ÚZ </w:t>
      </w:r>
      <w:r w:rsidR="00D42DAB">
        <w:rPr>
          <w:rFonts w:cs="Arial"/>
          <w:b/>
        </w:rPr>
        <w:tab/>
      </w:r>
      <w:r w:rsidRPr="00672D55">
        <w:rPr>
          <w:rFonts w:cs="Arial"/>
          <w:b/>
        </w:rPr>
        <w:t>(v Kč)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376"/>
        <w:gridCol w:w="1560"/>
        <w:gridCol w:w="1021"/>
        <w:gridCol w:w="4110"/>
      </w:tblGrid>
      <w:tr w:rsidR="00C17DC7" w:rsidRPr="00963104" w14:paraId="1112C154" w14:textId="77777777" w:rsidTr="00DA32F8">
        <w:trPr>
          <w:tblHeader/>
        </w:trPr>
        <w:tc>
          <w:tcPr>
            <w:tcW w:w="2376" w:type="dxa"/>
            <w:shd w:val="clear" w:color="auto" w:fill="E5F1FF"/>
            <w:vAlign w:val="center"/>
          </w:tcPr>
          <w:p w14:paraId="2DDD95D0" w14:textId="77777777" w:rsidR="00C17DC7" w:rsidRPr="00963104" w:rsidRDefault="00C17DC7" w:rsidP="00C17DC7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63104">
              <w:rPr>
                <w:rFonts w:asciiTheme="minorHAnsi" w:hAnsiTheme="minorHAnsi" w:cstheme="minorHAnsi"/>
                <w:b/>
                <w:sz w:val="16"/>
                <w:szCs w:val="16"/>
              </w:rPr>
              <w:t>Ú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čet</w:t>
            </w:r>
          </w:p>
        </w:tc>
        <w:tc>
          <w:tcPr>
            <w:tcW w:w="1560" w:type="dxa"/>
            <w:shd w:val="clear" w:color="auto" w:fill="E5F1FF"/>
            <w:vAlign w:val="center"/>
          </w:tcPr>
          <w:p w14:paraId="28C913D2" w14:textId="77777777" w:rsidR="00C17DC7" w:rsidRPr="00963104" w:rsidRDefault="00C17DC7" w:rsidP="00C17DC7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Částka zůstatku k 31. </w:t>
            </w:r>
            <w:r w:rsidR="00751C03">
              <w:rPr>
                <w:rFonts w:asciiTheme="minorHAnsi" w:hAnsiTheme="minorHAnsi" w:cstheme="minorHAnsi"/>
                <w:b/>
                <w:sz w:val="16"/>
                <w:szCs w:val="16"/>
              </w:rPr>
              <w:t>prosinci</w:t>
            </w:r>
            <w:r w:rsidR="00C0484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2021 týkající se vakcín</w:t>
            </w:r>
          </w:p>
        </w:tc>
        <w:tc>
          <w:tcPr>
            <w:tcW w:w="1021" w:type="dxa"/>
            <w:shd w:val="clear" w:color="auto" w:fill="E5F1FF"/>
            <w:vAlign w:val="center"/>
          </w:tcPr>
          <w:p w14:paraId="450A2F2A" w14:textId="116FA8D0" w:rsidR="00C17DC7" w:rsidRPr="00963104" w:rsidRDefault="00C17DC7" w:rsidP="00C17DC7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63104">
              <w:rPr>
                <w:rFonts w:asciiTheme="minorHAnsi" w:hAnsiTheme="minorHAnsi" w:cstheme="minorHAnsi"/>
                <w:b/>
                <w:sz w:val="16"/>
                <w:szCs w:val="16"/>
              </w:rPr>
              <w:t>Podíl vakcín na zůstatku</w:t>
            </w:r>
            <w:r w:rsidR="00DA32F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účtu </w:t>
            </w:r>
          </w:p>
        </w:tc>
        <w:tc>
          <w:tcPr>
            <w:tcW w:w="4110" w:type="dxa"/>
            <w:shd w:val="clear" w:color="auto" w:fill="E5F1FF"/>
            <w:vAlign w:val="center"/>
          </w:tcPr>
          <w:p w14:paraId="32C029DD" w14:textId="77777777" w:rsidR="00C17DC7" w:rsidRPr="00963104" w:rsidRDefault="00C17DC7" w:rsidP="00435138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Komentář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MZ</w:t>
            </w:r>
            <w:r w:rsidR="00751C03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uvedený v</w:t>
            </w:r>
            <w:r w:rsidR="00435138">
              <w:rPr>
                <w:rFonts w:asciiTheme="minorHAnsi" w:hAnsiTheme="minorHAnsi" w:cstheme="minorHAnsi"/>
                <w:b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="00435138">
              <w:rPr>
                <w:rFonts w:asciiTheme="minorHAnsi" w:hAnsiTheme="minorHAnsi" w:cstheme="minorHAnsi"/>
                <w:b/>
                <w:sz w:val="16"/>
                <w:szCs w:val="16"/>
              </w:rPr>
              <w:t>říloze ÚZ k příslušnému účtu</w:t>
            </w:r>
          </w:p>
        </w:tc>
      </w:tr>
      <w:tr w:rsidR="009C717C" w:rsidRPr="00963104" w14:paraId="75B9558F" w14:textId="77777777" w:rsidTr="00315977">
        <w:trPr>
          <w:tblHeader/>
        </w:trPr>
        <w:tc>
          <w:tcPr>
            <w:tcW w:w="9067" w:type="dxa"/>
            <w:gridSpan w:val="4"/>
            <w:shd w:val="clear" w:color="auto" w:fill="E5F1FF"/>
            <w:vAlign w:val="center"/>
          </w:tcPr>
          <w:p w14:paraId="178F7648" w14:textId="77777777" w:rsidR="009C717C" w:rsidRDefault="009C717C" w:rsidP="00435138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ROZVAHA</w:t>
            </w:r>
          </w:p>
        </w:tc>
      </w:tr>
      <w:tr w:rsidR="00C17DC7" w:rsidRPr="00963104" w14:paraId="7E4DE6C2" w14:textId="77777777" w:rsidTr="00DA32F8">
        <w:tc>
          <w:tcPr>
            <w:tcW w:w="2376" w:type="dxa"/>
            <w:vAlign w:val="center"/>
          </w:tcPr>
          <w:p w14:paraId="621451FF" w14:textId="77777777" w:rsidR="00C17DC7" w:rsidRPr="00963104" w:rsidRDefault="00C17DC7" w:rsidP="00435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 w:cstheme="minorHAnsi"/>
                <w:sz w:val="16"/>
                <w:szCs w:val="16"/>
              </w:rPr>
              <w:t>132 – Zboží na skladě</w:t>
            </w:r>
          </w:p>
        </w:tc>
        <w:tc>
          <w:tcPr>
            <w:tcW w:w="1560" w:type="dxa"/>
            <w:vAlign w:val="center"/>
          </w:tcPr>
          <w:p w14:paraId="409A9800" w14:textId="77777777" w:rsidR="00C17DC7" w:rsidRPr="00963104" w:rsidRDefault="00C17DC7" w:rsidP="00C17DC7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 w:cstheme="minorHAnsi"/>
                <w:sz w:val="16"/>
                <w:szCs w:val="16"/>
              </w:rPr>
              <w:t>887 627 272,72</w:t>
            </w:r>
          </w:p>
        </w:tc>
        <w:tc>
          <w:tcPr>
            <w:tcW w:w="1021" w:type="dxa"/>
            <w:vAlign w:val="center"/>
          </w:tcPr>
          <w:p w14:paraId="05C61537" w14:textId="77777777" w:rsidR="00C17DC7" w:rsidRPr="00963104" w:rsidRDefault="00C17DC7" w:rsidP="00C17DC7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63104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4110" w:type="dxa"/>
          </w:tcPr>
          <w:p w14:paraId="1B2890F6" w14:textId="77777777" w:rsidR="00C17DC7" w:rsidRPr="00435138" w:rsidRDefault="00435138" w:rsidP="00C17DC7">
            <w:pPr>
              <w:spacing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3513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Skladové zásoby očkovacích látek proti COVID-19. Obsahuje zásoby OL uskladněné u distributora </w:t>
            </w:r>
            <w:r w:rsidR="00D23D9E">
              <w:rPr>
                <w:rFonts w:asciiTheme="minorHAnsi" w:hAnsiTheme="minorHAnsi" w:cstheme="minorHAnsi"/>
                <w:i/>
                <w:sz w:val="16"/>
                <w:szCs w:val="16"/>
              </w:rPr>
              <w:t>...</w:t>
            </w:r>
            <w:r w:rsidRPr="0043513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 ve skladech nemocničních lékáren.</w:t>
            </w:r>
          </w:p>
        </w:tc>
      </w:tr>
      <w:tr w:rsidR="00C17DC7" w:rsidRPr="00963104" w14:paraId="023EBE4A" w14:textId="77777777" w:rsidTr="00DA32F8">
        <w:tc>
          <w:tcPr>
            <w:tcW w:w="2376" w:type="dxa"/>
            <w:vAlign w:val="center"/>
          </w:tcPr>
          <w:p w14:paraId="0D9AA5ED" w14:textId="77777777" w:rsidR="00C17DC7" w:rsidRPr="00963104" w:rsidRDefault="00C17DC7" w:rsidP="00435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 w:cstheme="minorHAnsi"/>
                <w:sz w:val="16"/>
                <w:szCs w:val="16"/>
              </w:rPr>
              <w:t xml:space="preserve">311 – Odběratelé </w:t>
            </w:r>
          </w:p>
        </w:tc>
        <w:tc>
          <w:tcPr>
            <w:tcW w:w="1560" w:type="dxa"/>
            <w:vAlign w:val="center"/>
          </w:tcPr>
          <w:p w14:paraId="00DC3BE9" w14:textId="77777777" w:rsidR="00C17DC7" w:rsidRPr="00963104" w:rsidRDefault="00C17DC7" w:rsidP="00C17DC7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 w:cstheme="minorHAnsi"/>
                <w:sz w:val="16"/>
                <w:szCs w:val="16"/>
              </w:rPr>
              <w:t>3 452 841,99</w:t>
            </w:r>
          </w:p>
        </w:tc>
        <w:tc>
          <w:tcPr>
            <w:tcW w:w="1021" w:type="dxa"/>
            <w:vAlign w:val="center"/>
          </w:tcPr>
          <w:p w14:paraId="1BF2FFB6" w14:textId="77777777" w:rsidR="00C17DC7" w:rsidRPr="00963104" w:rsidRDefault="00C17DC7" w:rsidP="00C17DC7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63104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4110" w:type="dxa"/>
          </w:tcPr>
          <w:p w14:paraId="5448A715" w14:textId="03ABF79A" w:rsidR="00C17DC7" w:rsidRPr="00435138" w:rsidRDefault="00435138" w:rsidP="00C17DC7">
            <w:pPr>
              <w:spacing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35138">
              <w:rPr>
                <w:rFonts w:asciiTheme="minorHAnsi" w:hAnsiTheme="minorHAnsi" w:cstheme="minorHAnsi"/>
                <w:i/>
                <w:sz w:val="16"/>
                <w:szCs w:val="16"/>
              </w:rPr>
              <w:t>Obsahuje ... pohledávky z prodeje vakcín proti COVID-19 samoplátcům ve výši 3 452 841,99 Kč...</w:t>
            </w:r>
          </w:p>
        </w:tc>
      </w:tr>
      <w:tr w:rsidR="00C17DC7" w:rsidRPr="00963104" w14:paraId="54E8979A" w14:textId="77777777" w:rsidTr="00DA32F8">
        <w:tc>
          <w:tcPr>
            <w:tcW w:w="2376" w:type="dxa"/>
            <w:vAlign w:val="center"/>
          </w:tcPr>
          <w:p w14:paraId="3C16DD06" w14:textId="77777777" w:rsidR="00C17DC7" w:rsidRPr="00963104" w:rsidRDefault="00C17DC7" w:rsidP="00435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 w:cstheme="minorHAnsi"/>
                <w:sz w:val="16"/>
                <w:szCs w:val="16"/>
              </w:rPr>
              <w:t>388 – Dohadné účty aktivní</w:t>
            </w:r>
          </w:p>
        </w:tc>
        <w:tc>
          <w:tcPr>
            <w:tcW w:w="1560" w:type="dxa"/>
            <w:vAlign w:val="center"/>
          </w:tcPr>
          <w:p w14:paraId="5429F53D" w14:textId="77777777" w:rsidR="00C17DC7" w:rsidRPr="002101E8" w:rsidRDefault="00C17DC7" w:rsidP="00C17DC7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2101E8">
              <w:rPr>
                <w:rFonts w:asciiTheme="minorHAnsi" w:hAnsiTheme="minorHAnsi" w:cstheme="minorHAnsi"/>
                <w:sz w:val="16"/>
                <w:szCs w:val="16"/>
              </w:rPr>
              <w:t>6 598 136 871,61</w:t>
            </w:r>
          </w:p>
        </w:tc>
        <w:tc>
          <w:tcPr>
            <w:tcW w:w="1021" w:type="dxa"/>
            <w:vAlign w:val="center"/>
          </w:tcPr>
          <w:p w14:paraId="68B20FA2" w14:textId="77777777" w:rsidR="00C17DC7" w:rsidRPr="003504F4" w:rsidRDefault="00C17DC7" w:rsidP="00C17DC7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101E8">
              <w:rPr>
                <w:rFonts w:asciiTheme="minorHAnsi" w:hAnsiTheme="minorHAnsi"/>
                <w:sz w:val="16"/>
                <w:szCs w:val="16"/>
              </w:rPr>
              <w:t>100 %</w:t>
            </w:r>
          </w:p>
        </w:tc>
        <w:tc>
          <w:tcPr>
            <w:tcW w:w="4110" w:type="dxa"/>
          </w:tcPr>
          <w:p w14:paraId="120E97F7" w14:textId="77467FB8" w:rsidR="00C17DC7" w:rsidRPr="00435138" w:rsidRDefault="00435138" w:rsidP="00C17DC7">
            <w:pPr>
              <w:spacing w:after="0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435138">
              <w:rPr>
                <w:rFonts w:asciiTheme="minorHAnsi" w:hAnsiTheme="minorHAnsi"/>
                <w:i/>
                <w:sz w:val="16"/>
                <w:szCs w:val="16"/>
              </w:rPr>
              <w:t>Obsahuje zejména vytvoření dohadné položky na výnos od zdravotních pojišťoven za očkovací látky proti COVID-19 ve výši 6 598 136 871,61 Kč...</w:t>
            </w:r>
          </w:p>
        </w:tc>
      </w:tr>
      <w:tr w:rsidR="00C17DC7" w:rsidRPr="00963104" w14:paraId="64197739" w14:textId="77777777" w:rsidTr="00DA32F8">
        <w:tc>
          <w:tcPr>
            <w:tcW w:w="2376" w:type="dxa"/>
            <w:vAlign w:val="center"/>
          </w:tcPr>
          <w:p w14:paraId="7A0CC39C" w14:textId="77777777" w:rsidR="00C17DC7" w:rsidRPr="00963104" w:rsidRDefault="00C17DC7" w:rsidP="00435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 w:cstheme="minorHAnsi"/>
                <w:sz w:val="16"/>
                <w:szCs w:val="16"/>
              </w:rPr>
              <w:t xml:space="preserve">222 – Příjmový účet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OSS</w:t>
            </w:r>
          </w:p>
        </w:tc>
        <w:tc>
          <w:tcPr>
            <w:tcW w:w="1560" w:type="dxa"/>
            <w:vAlign w:val="center"/>
          </w:tcPr>
          <w:p w14:paraId="56B9419D" w14:textId="77777777" w:rsidR="00C17DC7" w:rsidRPr="00963104" w:rsidRDefault="00C17DC7" w:rsidP="00C17DC7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/>
                <w:sz w:val="16"/>
                <w:szCs w:val="16"/>
              </w:rPr>
              <w:t>5 692 185 736,17</w:t>
            </w:r>
          </w:p>
        </w:tc>
        <w:tc>
          <w:tcPr>
            <w:tcW w:w="1021" w:type="dxa"/>
            <w:vAlign w:val="center"/>
          </w:tcPr>
          <w:p w14:paraId="1C170D50" w14:textId="77777777" w:rsidR="00C17DC7" w:rsidRPr="00963104" w:rsidRDefault="00C17DC7" w:rsidP="00C17DC7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/>
                <w:sz w:val="16"/>
                <w:szCs w:val="16"/>
              </w:rPr>
              <w:t>87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63104">
              <w:rPr>
                <w:rFonts w:asciiTheme="minorHAnsi" w:hAnsiTheme="minorHAnsi"/>
                <w:sz w:val="16"/>
                <w:szCs w:val="16"/>
              </w:rPr>
              <w:t>%</w:t>
            </w:r>
          </w:p>
        </w:tc>
        <w:tc>
          <w:tcPr>
            <w:tcW w:w="4110" w:type="dxa"/>
          </w:tcPr>
          <w:p w14:paraId="3B667168" w14:textId="669EBF8F" w:rsidR="00C17DC7" w:rsidRPr="00435138" w:rsidRDefault="00435138" w:rsidP="00C17DC7">
            <w:pPr>
              <w:spacing w:after="0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435138">
              <w:rPr>
                <w:rFonts w:asciiTheme="minorHAnsi" w:hAnsiTheme="minorHAnsi"/>
                <w:i/>
                <w:sz w:val="16"/>
                <w:szCs w:val="16"/>
              </w:rPr>
              <w:t xml:space="preserve">Výše zůstatku účtu je ovlivněna příjmy (přijaté zálohy) od zdravotních pojišťoven </w:t>
            </w:r>
            <w:r w:rsidR="00D11F46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Pr="00435138">
              <w:rPr>
                <w:rFonts w:asciiTheme="minorHAnsi" w:hAnsiTheme="minorHAnsi"/>
                <w:i/>
                <w:sz w:val="16"/>
                <w:szCs w:val="16"/>
              </w:rPr>
              <w:t xml:space="preserve"> zálohové platby za očkovací látky proti COVID-19 ve </w:t>
            </w:r>
            <w:r w:rsidRPr="00427755">
              <w:rPr>
                <w:rFonts w:asciiTheme="minorHAnsi" w:hAnsiTheme="minorHAnsi"/>
                <w:i/>
                <w:sz w:val="16"/>
                <w:szCs w:val="16"/>
              </w:rPr>
              <w:t xml:space="preserve">výši </w:t>
            </w:r>
            <w:r w:rsidRPr="0066297E">
              <w:rPr>
                <w:rFonts w:asciiTheme="minorHAnsi" w:hAnsiTheme="minorHAnsi"/>
                <w:i/>
                <w:sz w:val="16"/>
                <w:szCs w:val="16"/>
              </w:rPr>
              <w:t>5 676 928 075,55 Kč</w:t>
            </w:r>
            <w:r w:rsidRPr="00427755">
              <w:rPr>
                <w:rFonts w:asciiTheme="minorHAnsi" w:hAnsiTheme="minorHAnsi"/>
                <w:i/>
                <w:sz w:val="16"/>
                <w:szCs w:val="16"/>
              </w:rPr>
              <w:t>,</w:t>
            </w:r>
            <w:r w:rsidRPr="00435138">
              <w:rPr>
                <w:rFonts w:asciiTheme="minorHAnsi" w:hAnsiTheme="minorHAnsi"/>
                <w:i/>
                <w:sz w:val="16"/>
                <w:szCs w:val="16"/>
              </w:rPr>
              <w:t xml:space="preserve"> ... a příjmy za očkovací látky proti COVID-19 od samoplátců ve výši </w:t>
            </w:r>
            <w:r w:rsidR="00D42DAB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Pr="00435138">
              <w:rPr>
                <w:rFonts w:asciiTheme="minorHAnsi" w:hAnsiTheme="minorHAnsi"/>
                <w:i/>
                <w:sz w:val="16"/>
                <w:szCs w:val="16"/>
              </w:rPr>
              <w:t>15 257 660,62 Kč.</w:t>
            </w:r>
          </w:p>
        </w:tc>
      </w:tr>
      <w:tr w:rsidR="00C17DC7" w:rsidRPr="00963104" w14:paraId="76C84703" w14:textId="77777777" w:rsidTr="00DA32F8">
        <w:tc>
          <w:tcPr>
            <w:tcW w:w="2376" w:type="dxa"/>
            <w:vAlign w:val="center"/>
          </w:tcPr>
          <w:p w14:paraId="3FFFBABF" w14:textId="77777777" w:rsidR="00C17DC7" w:rsidRPr="00963104" w:rsidRDefault="00C17DC7" w:rsidP="00435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 w:cstheme="minorHAnsi"/>
                <w:sz w:val="16"/>
                <w:szCs w:val="16"/>
              </w:rPr>
              <w:t>223 – Zvláštní výdajový účet</w:t>
            </w:r>
          </w:p>
        </w:tc>
        <w:tc>
          <w:tcPr>
            <w:tcW w:w="1560" w:type="dxa"/>
            <w:vAlign w:val="center"/>
          </w:tcPr>
          <w:p w14:paraId="50AC0096" w14:textId="77777777" w:rsidR="00C17DC7" w:rsidRPr="00963104" w:rsidRDefault="00C17DC7" w:rsidP="00C17DC7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/>
                <w:sz w:val="16"/>
                <w:szCs w:val="16"/>
              </w:rPr>
              <w:t>6 497 189 320,93</w:t>
            </w:r>
          </w:p>
        </w:tc>
        <w:tc>
          <w:tcPr>
            <w:tcW w:w="1021" w:type="dxa"/>
            <w:vAlign w:val="center"/>
          </w:tcPr>
          <w:p w14:paraId="719F541B" w14:textId="77777777" w:rsidR="00C17DC7" w:rsidRPr="00963104" w:rsidRDefault="00C17DC7" w:rsidP="00C17DC7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/>
                <w:sz w:val="16"/>
                <w:szCs w:val="16"/>
              </w:rPr>
              <w:t>23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63104">
              <w:rPr>
                <w:rFonts w:asciiTheme="minorHAnsi" w:hAnsiTheme="minorHAnsi"/>
                <w:sz w:val="16"/>
                <w:szCs w:val="16"/>
              </w:rPr>
              <w:t>%</w:t>
            </w:r>
          </w:p>
        </w:tc>
        <w:tc>
          <w:tcPr>
            <w:tcW w:w="4110" w:type="dxa"/>
          </w:tcPr>
          <w:p w14:paraId="086A72F1" w14:textId="7327CBC1" w:rsidR="00C17DC7" w:rsidRPr="00435138" w:rsidRDefault="00435138" w:rsidP="00C17DC7">
            <w:pPr>
              <w:spacing w:after="0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435138">
              <w:rPr>
                <w:rFonts w:asciiTheme="minorHAnsi" w:hAnsiTheme="minorHAnsi"/>
                <w:i/>
                <w:sz w:val="16"/>
                <w:szCs w:val="16"/>
              </w:rPr>
              <w:t>... v roce 2021 je stav ovlivněn výdaji na nákup očkovacích látek proti COVID-19 ve výši 6 497 189 320,93 Kč...</w:t>
            </w:r>
          </w:p>
        </w:tc>
      </w:tr>
      <w:tr w:rsidR="00C17DC7" w:rsidRPr="00963104" w14:paraId="7A9E99CF" w14:textId="77777777" w:rsidTr="00DA32F8">
        <w:tc>
          <w:tcPr>
            <w:tcW w:w="2376" w:type="dxa"/>
            <w:vAlign w:val="center"/>
          </w:tcPr>
          <w:p w14:paraId="7C593885" w14:textId="77777777" w:rsidR="00C17DC7" w:rsidRPr="00963104" w:rsidRDefault="00C17DC7" w:rsidP="00435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 w:cstheme="minorHAnsi"/>
                <w:sz w:val="16"/>
                <w:szCs w:val="16"/>
              </w:rPr>
              <w:t>321 – Dodavatelé</w:t>
            </w:r>
          </w:p>
        </w:tc>
        <w:tc>
          <w:tcPr>
            <w:tcW w:w="1560" w:type="dxa"/>
            <w:vAlign w:val="center"/>
          </w:tcPr>
          <w:p w14:paraId="05DA3F08" w14:textId="77777777" w:rsidR="00C17DC7" w:rsidRPr="00FA470E" w:rsidRDefault="00C17DC7" w:rsidP="00C17DC7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A470E">
              <w:rPr>
                <w:rFonts w:asciiTheme="minorHAnsi" w:hAnsiTheme="minorHAnsi"/>
                <w:sz w:val="16"/>
                <w:szCs w:val="16"/>
              </w:rPr>
              <w:t>1 180 683 903,42</w:t>
            </w:r>
          </w:p>
        </w:tc>
        <w:tc>
          <w:tcPr>
            <w:tcW w:w="1021" w:type="dxa"/>
            <w:vAlign w:val="center"/>
          </w:tcPr>
          <w:p w14:paraId="20B0BAFF" w14:textId="77777777" w:rsidR="00C17DC7" w:rsidRPr="00FA470E" w:rsidRDefault="00C17DC7" w:rsidP="00C17DC7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A470E">
              <w:rPr>
                <w:rFonts w:asciiTheme="minorHAnsi" w:hAnsiTheme="minorHAnsi"/>
                <w:sz w:val="16"/>
                <w:szCs w:val="16"/>
              </w:rPr>
              <w:t>95 %</w:t>
            </w:r>
          </w:p>
        </w:tc>
        <w:tc>
          <w:tcPr>
            <w:tcW w:w="4110" w:type="dxa"/>
          </w:tcPr>
          <w:p w14:paraId="37029F1B" w14:textId="77777777" w:rsidR="00C17DC7" w:rsidRPr="00435138" w:rsidRDefault="00435138" w:rsidP="00C17DC7">
            <w:pPr>
              <w:spacing w:after="0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435138">
              <w:rPr>
                <w:rFonts w:asciiTheme="minorHAnsi" w:hAnsiTheme="minorHAnsi"/>
                <w:i/>
                <w:sz w:val="16"/>
                <w:szCs w:val="16"/>
              </w:rPr>
              <w:t>Obsahuje neuhrazené faktury dodavatelům očkovacích látek proti COVID-19 ve výši 1 180 683 903,42 Kč</w:t>
            </w:r>
            <w:r w:rsidR="00D42DAB"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</w:tr>
      <w:tr w:rsidR="00C17DC7" w:rsidRPr="00963104" w14:paraId="2DD43F49" w14:textId="77777777" w:rsidTr="00DA32F8">
        <w:tc>
          <w:tcPr>
            <w:tcW w:w="2376" w:type="dxa"/>
            <w:vAlign w:val="center"/>
          </w:tcPr>
          <w:p w14:paraId="317F9396" w14:textId="77777777" w:rsidR="00C17DC7" w:rsidRPr="00963104" w:rsidRDefault="00C17DC7" w:rsidP="0043513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 w:cstheme="minorHAnsi"/>
                <w:sz w:val="16"/>
                <w:szCs w:val="16"/>
              </w:rPr>
              <w:t>324 – Krátkodobé přijaté zálohy</w:t>
            </w:r>
          </w:p>
        </w:tc>
        <w:tc>
          <w:tcPr>
            <w:tcW w:w="1560" w:type="dxa"/>
            <w:vAlign w:val="center"/>
          </w:tcPr>
          <w:p w14:paraId="064D9EDD" w14:textId="77777777" w:rsidR="00C17DC7" w:rsidRPr="00963104" w:rsidRDefault="00C17DC7" w:rsidP="00C17DC7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/>
                <w:sz w:val="16"/>
                <w:szCs w:val="16"/>
              </w:rPr>
              <w:t>5 676 928 075,55</w:t>
            </w:r>
          </w:p>
        </w:tc>
        <w:tc>
          <w:tcPr>
            <w:tcW w:w="1021" w:type="dxa"/>
            <w:vAlign w:val="center"/>
          </w:tcPr>
          <w:p w14:paraId="6AD42EB1" w14:textId="77777777" w:rsidR="00C17DC7" w:rsidRPr="00963104" w:rsidRDefault="00C17DC7" w:rsidP="00C17DC7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3104">
              <w:rPr>
                <w:rFonts w:asciiTheme="minorHAnsi" w:hAnsiTheme="minorHAnsi"/>
                <w:sz w:val="16"/>
                <w:szCs w:val="16"/>
              </w:rPr>
              <w:t>100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63104">
              <w:rPr>
                <w:rFonts w:asciiTheme="minorHAnsi" w:hAnsiTheme="minorHAnsi"/>
                <w:sz w:val="16"/>
                <w:szCs w:val="16"/>
              </w:rPr>
              <w:t>%</w:t>
            </w:r>
          </w:p>
        </w:tc>
        <w:tc>
          <w:tcPr>
            <w:tcW w:w="4110" w:type="dxa"/>
          </w:tcPr>
          <w:p w14:paraId="69103528" w14:textId="77777777" w:rsidR="00C17DC7" w:rsidRPr="00435138" w:rsidRDefault="00435138" w:rsidP="00C17DC7">
            <w:pPr>
              <w:spacing w:after="0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435138">
              <w:rPr>
                <w:rFonts w:asciiTheme="minorHAnsi" w:hAnsiTheme="minorHAnsi"/>
                <w:i/>
                <w:sz w:val="16"/>
                <w:szCs w:val="16"/>
              </w:rPr>
              <w:t>Obsahuje přijaté zálohy od zdravotních pojišťoven za očkovací látky proti COVID-19.</w:t>
            </w:r>
          </w:p>
        </w:tc>
      </w:tr>
      <w:tr w:rsidR="009C717C" w:rsidRPr="00963104" w14:paraId="2825E824" w14:textId="77777777" w:rsidTr="009C717C">
        <w:tc>
          <w:tcPr>
            <w:tcW w:w="9067" w:type="dxa"/>
            <w:gridSpan w:val="4"/>
            <w:shd w:val="clear" w:color="auto" w:fill="E5F1FF"/>
            <w:vAlign w:val="center"/>
          </w:tcPr>
          <w:p w14:paraId="428CA1BF" w14:textId="77777777" w:rsidR="009C717C" w:rsidRPr="009C717C" w:rsidRDefault="009C717C" w:rsidP="00C17DC7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C717C">
              <w:rPr>
                <w:rFonts w:asciiTheme="minorHAnsi" w:hAnsiTheme="minorHAnsi"/>
                <w:b/>
                <w:sz w:val="16"/>
                <w:szCs w:val="16"/>
              </w:rPr>
              <w:t>VÝKAZ ZISKU A ZTRÁTY</w:t>
            </w:r>
          </w:p>
        </w:tc>
      </w:tr>
      <w:tr w:rsidR="00C17DC7" w:rsidRPr="00963104" w14:paraId="53A65E4A" w14:textId="77777777" w:rsidTr="00DA32F8">
        <w:tc>
          <w:tcPr>
            <w:tcW w:w="2376" w:type="dxa"/>
            <w:vAlign w:val="center"/>
          </w:tcPr>
          <w:p w14:paraId="5147790E" w14:textId="77777777" w:rsidR="00C17DC7" w:rsidRPr="00B8351F" w:rsidRDefault="00C17DC7" w:rsidP="00672D5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504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– Prodané zboží</w:t>
            </w:r>
          </w:p>
        </w:tc>
        <w:tc>
          <w:tcPr>
            <w:tcW w:w="1560" w:type="dxa"/>
            <w:vAlign w:val="center"/>
          </w:tcPr>
          <w:p w14:paraId="3DFBEEF8" w14:textId="77777777" w:rsidR="00C17DC7" w:rsidRPr="00B8351F" w:rsidRDefault="00C17DC7" w:rsidP="00672D5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6 994 294 736,53</w:t>
            </w:r>
          </w:p>
        </w:tc>
        <w:tc>
          <w:tcPr>
            <w:tcW w:w="1021" w:type="dxa"/>
            <w:vAlign w:val="center"/>
          </w:tcPr>
          <w:p w14:paraId="050B749E" w14:textId="77777777" w:rsidR="00C17DC7" w:rsidRPr="00B8351F" w:rsidRDefault="00C17DC7" w:rsidP="00672D55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95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8351F">
              <w:rPr>
                <w:rFonts w:asciiTheme="minorHAnsi" w:hAnsiTheme="minorHAnsi"/>
                <w:sz w:val="16"/>
                <w:szCs w:val="16"/>
              </w:rPr>
              <w:t>%</w:t>
            </w:r>
          </w:p>
        </w:tc>
        <w:tc>
          <w:tcPr>
            <w:tcW w:w="4110" w:type="dxa"/>
          </w:tcPr>
          <w:p w14:paraId="238580AE" w14:textId="77777777" w:rsidR="00C17DC7" w:rsidRPr="00672D55" w:rsidRDefault="00672D55" w:rsidP="004E2D6E">
            <w:pPr>
              <w:spacing w:after="0"/>
              <w:ind w:left="-107" w:right="-101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 xml:space="preserve">Náklady z prodeje ... očkovacích látek proti onemocnění </w:t>
            </w:r>
            <w:r w:rsidR="00D42DAB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>COVID-19 zdravotním pojišťovnám ve výši 6 598 136 871,61 Kč a samoplátcům ve výši 18 842 627,22 Kč a dále prodej očkovacích látek do zahraničí ve výši 377 315 237,70 Kč.</w:t>
            </w:r>
          </w:p>
        </w:tc>
      </w:tr>
      <w:tr w:rsidR="00C17DC7" w:rsidRPr="00963104" w14:paraId="3BA8F99F" w14:textId="77777777" w:rsidTr="00DA32F8">
        <w:tc>
          <w:tcPr>
            <w:tcW w:w="2376" w:type="dxa"/>
          </w:tcPr>
          <w:p w14:paraId="307C16DF" w14:textId="77777777" w:rsidR="00C17DC7" w:rsidRPr="00B8351F" w:rsidRDefault="00C17DC7" w:rsidP="004E2D6E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543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– Dary a jiná bezúplatná předání</w:t>
            </w:r>
          </w:p>
        </w:tc>
        <w:tc>
          <w:tcPr>
            <w:tcW w:w="1560" w:type="dxa"/>
            <w:vAlign w:val="center"/>
          </w:tcPr>
          <w:p w14:paraId="2386489F" w14:textId="77777777" w:rsidR="00C17DC7" w:rsidRPr="00B8351F" w:rsidRDefault="00C17DC7" w:rsidP="00C17DC7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FA470E">
              <w:rPr>
                <w:rFonts w:asciiTheme="minorHAnsi" w:hAnsiTheme="minorHAnsi"/>
                <w:sz w:val="16"/>
                <w:szCs w:val="16"/>
              </w:rPr>
              <w:t>151 395 036,75</w:t>
            </w:r>
          </w:p>
        </w:tc>
        <w:tc>
          <w:tcPr>
            <w:tcW w:w="1021" w:type="dxa"/>
            <w:vAlign w:val="center"/>
          </w:tcPr>
          <w:p w14:paraId="719CCCE8" w14:textId="77777777" w:rsidR="00C17DC7" w:rsidRPr="00B8351F" w:rsidRDefault="00C17DC7" w:rsidP="00C17DC7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A470E">
              <w:rPr>
                <w:rFonts w:asciiTheme="minorHAnsi" w:hAnsiTheme="minorHAnsi"/>
                <w:sz w:val="16"/>
                <w:szCs w:val="16"/>
              </w:rPr>
              <w:t>63 %</w:t>
            </w:r>
          </w:p>
        </w:tc>
        <w:tc>
          <w:tcPr>
            <w:tcW w:w="4110" w:type="dxa"/>
          </w:tcPr>
          <w:p w14:paraId="276DD59F" w14:textId="58C0A026" w:rsidR="00C17DC7" w:rsidRPr="00672D55" w:rsidRDefault="00672D55" w:rsidP="00C17DC7">
            <w:pPr>
              <w:spacing w:after="0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 xml:space="preserve">Dary očkovacích látek proti nemoci COVID-19 ve výši </w:t>
            </w:r>
            <w:r w:rsidR="00D42DAB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>151 395 036,75 Kč...</w:t>
            </w:r>
          </w:p>
        </w:tc>
      </w:tr>
      <w:tr w:rsidR="00C17DC7" w:rsidRPr="00963104" w14:paraId="166A63C6" w14:textId="77777777" w:rsidTr="00DA32F8">
        <w:tc>
          <w:tcPr>
            <w:tcW w:w="2376" w:type="dxa"/>
            <w:vAlign w:val="center"/>
          </w:tcPr>
          <w:p w14:paraId="5C7D1FD4" w14:textId="77777777" w:rsidR="00C17DC7" w:rsidRPr="00B8351F" w:rsidRDefault="00C17DC7" w:rsidP="00672D5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547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– Manka a škody</w:t>
            </w:r>
          </w:p>
        </w:tc>
        <w:tc>
          <w:tcPr>
            <w:tcW w:w="1560" w:type="dxa"/>
            <w:vAlign w:val="center"/>
          </w:tcPr>
          <w:p w14:paraId="473AE467" w14:textId="77777777" w:rsidR="00C17DC7" w:rsidRPr="00B8351F" w:rsidRDefault="00C17DC7" w:rsidP="00672D5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28 579 059,76</w:t>
            </w:r>
          </w:p>
        </w:tc>
        <w:tc>
          <w:tcPr>
            <w:tcW w:w="1021" w:type="dxa"/>
            <w:vAlign w:val="center"/>
          </w:tcPr>
          <w:p w14:paraId="39591BD6" w14:textId="77777777" w:rsidR="00C17DC7" w:rsidRPr="00B8351F" w:rsidRDefault="00C17DC7" w:rsidP="00672D55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97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8351F">
              <w:rPr>
                <w:rFonts w:asciiTheme="minorHAnsi" w:hAnsiTheme="minorHAnsi"/>
                <w:sz w:val="16"/>
                <w:szCs w:val="16"/>
              </w:rPr>
              <w:t>%</w:t>
            </w:r>
          </w:p>
        </w:tc>
        <w:tc>
          <w:tcPr>
            <w:tcW w:w="4110" w:type="dxa"/>
          </w:tcPr>
          <w:p w14:paraId="2A8DA11B" w14:textId="77777777" w:rsidR="00C17DC7" w:rsidRPr="00672D55" w:rsidRDefault="00672D55" w:rsidP="00C17DC7">
            <w:pPr>
              <w:spacing w:after="0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 xml:space="preserve">Ovlivněno odpisem očkovacích látek proti COVID-19 </w:t>
            </w:r>
            <w:r w:rsidR="00D42DAB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 xml:space="preserve">z důvodu škodní události či exspirace ve výši </w:t>
            </w:r>
            <w:r w:rsidR="00D42DAB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>28 579 059,76 Kč.</w:t>
            </w:r>
          </w:p>
        </w:tc>
      </w:tr>
      <w:tr w:rsidR="00C17DC7" w:rsidRPr="00963104" w14:paraId="2F1D1C48" w14:textId="77777777" w:rsidTr="00DA32F8">
        <w:tc>
          <w:tcPr>
            <w:tcW w:w="2376" w:type="dxa"/>
            <w:vAlign w:val="center"/>
          </w:tcPr>
          <w:p w14:paraId="0A826A0A" w14:textId="77777777" w:rsidR="00C17DC7" w:rsidRPr="00B8351F" w:rsidRDefault="00C17DC7" w:rsidP="00672D5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563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– Kurzové ztráty</w:t>
            </w:r>
          </w:p>
        </w:tc>
        <w:tc>
          <w:tcPr>
            <w:tcW w:w="1560" w:type="dxa"/>
            <w:vAlign w:val="center"/>
          </w:tcPr>
          <w:p w14:paraId="482AC392" w14:textId="77777777" w:rsidR="00C17DC7" w:rsidRPr="00B8351F" w:rsidRDefault="00C17DC7" w:rsidP="00672D5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3 003 667,54</w:t>
            </w:r>
          </w:p>
        </w:tc>
        <w:tc>
          <w:tcPr>
            <w:tcW w:w="1021" w:type="dxa"/>
            <w:vAlign w:val="center"/>
          </w:tcPr>
          <w:p w14:paraId="2B9D8BE3" w14:textId="77777777" w:rsidR="00C17DC7" w:rsidRPr="00B8351F" w:rsidRDefault="00C17DC7" w:rsidP="00672D55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69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8351F">
              <w:rPr>
                <w:rFonts w:asciiTheme="minorHAnsi" w:hAnsiTheme="minorHAnsi"/>
                <w:sz w:val="16"/>
                <w:szCs w:val="16"/>
              </w:rPr>
              <w:t>%</w:t>
            </w:r>
          </w:p>
        </w:tc>
        <w:tc>
          <w:tcPr>
            <w:tcW w:w="4110" w:type="dxa"/>
          </w:tcPr>
          <w:p w14:paraId="560C40C1" w14:textId="70CCC784" w:rsidR="00C17DC7" w:rsidRPr="00672D55" w:rsidRDefault="00672D55" w:rsidP="00C17DC7">
            <w:pPr>
              <w:spacing w:after="0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 xml:space="preserve">Ovlivněno nákupem očkovacích látek proti COVID-19 </w:t>
            </w:r>
            <w:r w:rsidR="00D42DAB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>v zahraniční měně...</w:t>
            </w:r>
          </w:p>
        </w:tc>
      </w:tr>
      <w:tr w:rsidR="00C17DC7" w:rsidRPr="00963104" w14:paraId="127B8A05" w14:textId="77777777" w:rsidTr="00DA32F8">
        <w:tc>
          <w:tcPr>
            <w:tcW w:w="2376" w:type="dxa"/>
            <w:vAlign w:val="center"/>
          </w:tcPr>
          <w:p w14:paraId="0AD2CCC7" w14:textId="77777777" w:rsidR="00C17DC7" w:rsidRPr="00B8351F" w:rsidRDefault="00C17DC7" w:rsidP="00672D5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604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– Výnosy z prodaného zboží</w:t>
            </w:r>
          </w:p>
        </w:tc>
        <w:tc>
          <w:tcPr>
            <w:tcW w:w="1560" w:type="dxa"/>
            <w:vAlign w:val="center"/>
          </w:tcPr>
          <w:p w14:paraId="5406A0DE" w14:textId="77777777" w:rsidR="00C17DC7" w:rsidRPr="003504F4" w:rsidRDefault="00C17DC7" w:rsidP="00672D5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 w:rsidRPr="001C47C0">
              <w:rPr>
                <w:rFonts w:asciiTheme="minorHAnsi" w:hAnsiTheme="minorHAnsi"/>
                <w:sz w:val="16"/>
                <w:szCs w:val="16"/>
              </w:rPr>
              <w:t>6 994 294 736,53</w:t>
            </w:r>
          </w:p>
        </w:tc>
        <w:tc>
          <w:tcPr>
            <w:tcW w:w="1021" w:type="dxa"/>
            <w:vAlign w:val="center"/>
          </w:tcPr>
          <w:p w14:paraId="1D5655CB" w14:textId="77777777" w:rsidR="00C17DC7" w:rsidRPr="003504F4" w:rsidRDefault="00C17DC7" w:rsidP="00672D55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 w:rsidRPr="001C47C0">
              <w:rPr>
                <w:rFonts w:asciiTheme="minorHAnsi" w:hAnsiTheme="minorHAnsi"/>
                <w:sz w:val="16"/>
                <w:szCs w:val="16"/>
              </w:rPr>
              <w:t>95 %</w:t>
            </w:r>
          </w:p>
        </w:tc>
        <w:tc>
          <w:tcPr>
            <w:tcW w:w="4110" w:type="dxa"/>
          </w:tcPr>
          <w:p w14:paraId="14260ADD" w14:textId="77777777" w:rsidR="00C17DC7" w:rsidRPr="00672D55" w:rsidRDefault="00672D55" w:rsidP="00C17DC7">
            <w:pPr>
              <w:spacing w:after="0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 xml:space="preserve">Výnosy z prodeje ... očkovacích látek proti onemocnění COVID-19 zdravotním pojišťovnám (formou záloh) ve </w:t>
            </w:r>
            <w:r w:rsidRPr="00427755">
              <w:rPr>
                <w:rFonts w:asciiTheme="minorHAnsi" w:hAnsiTheme="minorHAnsi"/>
                <w:i/>
                <w:sz w:val="16"/>
                <w:szCs w:val="16"/>
              </w:rPr>
              <w:t xml:space="preserve">výši </w:t>
            </w:r>
            <w:r w:rsidR="00D42DAB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Pr="0066297E">
              <w:rPr>
                <w:rFonts w:asciiTheme="minorHAnsi" w:hAnsiTheme="minorHAnsi"/>
                <w:i/>
                <w:sz w:val="16"/>
                <w:szCs w:val="16"/>
              </w:rPr>
              <w:t>6 598 136 871,61</w:t>
            </w:r>
            <w:r w:rsidRPr="00427755">
              <w:rPr>
                <w:rFonts w:asciiTheme="minorHAnsi" w:hAnsiTheme="minorHAnsi"/>
                <w:i/>
                <w:sz w:val="16"/>
                <w:szCs w:val="16"/>
              </w:rPr>
              <w:t xml:space="preserve"> Kč</w:t>
            </w: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 xml:space="preserve"> a samoplátcům ve výši </w:t>
            </w:r>
            <w:r w:rsidR="00D42DAB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 xml:space="preserve">18 842 627,22 Kč a dále prodej do zahraničí ve výši </w:t>
            </w:r>
            <w:r w:rsidR="00D42DAB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>377 315 237,70 Kč.</w:t>
            </w:r>
          </w:p>
        </w:tc>
      </w:tr>
      <w:tr w:rsidR="00C17DC7" w:rsidRPr="00963104" w14:paraId="52D6F3BE" w14:textId="77777777" w:rsidTr="00DA32F8">
        <w:tc>
          <w:tcPr>
            <w:tcW w:w="2376" w:type="dxa"/>
            <w:vAlign w:val="center"/>
          </w:tcPr>
          <w:p w14:paraId="286A8B1B" w14:textId="77777777" w:rsidR="00C17DC7" w:rsidRPr="00B8351F" w:rsidRDefault="00C17DC7" w:rsidP="00672D5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649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– Ostatní výnosy z činnosti</w:t>
            </w:r>
          </w:p>
        </w:tc>
        <w:tc>
          <w:tcPr>
            <w:tcW w:w="1560" w:type="dxa"/>
            <w:vAlign w:val="center"/>
          </w:tcPr>
          <w:p w14:paraId="1A674182" w14:textId="77777777" w:rsidR="00C17DC7" w:rsidRPr="00B8351F" w:rsidRDefault="00C17DC7" w:rsidP="00672D5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11 638 082,98</w:t>
            </w:r>
          </w:p>
        </w:tc>
        <w:tc>
          <w:tcPr>
            <w:tcW w:w="1021" w:type="dxa"/>
            <w:vAlign w:val="center"/>
          </w:tcPr>
          <w:p w14:paraId="0648E2A2" w14:textId="77777777" w:rsidR="00C17DC7" w:rsidRPr="00B8351F" w:rsidRDefault="00C17DC7" w:rsidP="00672D55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8351F">
              <w:rPr>
                <w:rFonts w:asciiTheme="minorHAnsi" w:hAnsiTheme="minorHAnsi"/>
                <w:sz w:val="16"/>
                <w:szCs w:val="16"/>
              </w:rPr>
              <w:t>%</w:t>
            </w:r>
          </w:p>
        </w:tc>
        <w:tc>
          <w:tcPr>
            <w:tcW w:w="4110" w:type="dxa"/>
          </w:tcPr>
          <w:p w14:paraId="352B227D" w14:textId="7B0EFA80" w:rsidR="00C17DC7" w:rsidRPr="00672D55" w:rsidRDefault="00672D55" w:rsidP="00C17DC7">
            <w:pPr>
              <w:spacing w:after="0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 xml:space="preserve">Obsahuje přijaté dary očkovacích látek proti nemoci </w:t>
            </w:r>
            <w:r w:rsidR="00D42DAB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>COVID-19 (Slovinsko, Slovensko, stát Izrael) v celkové hodnotě 11 638 082,98 Kč...</w:t>
            </w:r>
          </w:p>
        </w:tc>
      </w:tr>
      <w:tr w:rsidR="00C17DC7" w:rsidRPr="00963104" w14:paraId="3B8221A4" w14:textId="77777777" w:rsidTr="00DA32F8">
        <w:tc>
          <w:tcPr>
            <w:tcW w:w="2376" w:type="dxa"/>
            <w:vAlign w:val="center"/>
          </w:tcPr>
          <w:p w14:paraId="1B51B42A" w14:textId="77777777" w:rsidR="00C17DC7" w:rsidRPr="00B8351F" w:rsidRDefault="00C17DC7" w:rsidP="00672D5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663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– Kurzové zisky</w:t>
            </w:r>
          </w:p>
        </w:tc>
        <w:tc>
          <w:tcPr>
            <w:tcW w:w="1560" w:type="dxa"/>
            <w:vAlign w:val="center"/>
          </w:tcPr>
          <w:p w14:paraId="28797791" w14:textId="77777777" w:rsidR="00C17DC7" w:rsidRPr="00B8351F" w:rsidRDefault="00C17DC7" w:rsidP="00672D55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4 541 459,86</w:t>
            </w:r>
          </w:p>
        </w:tc>
        <w:tc>
          <w:tcPr>
            <w:tcW w:w="1021" w:type="dxa"/>
            <w:vAlign w:val="center"/>
          </w:tcPr>
          <w:p w14:paraId="56ECB404" w14:textId="77777777" w:rsidR="00C17DC7" w:rsidRPr="00B8351F" w:rsidRDefault="00C17DC7" w:rsidP="00672D55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8351F">
              <w:rPr>
                <w:rFonts w:asciiTheme="minorHAnsi" w:hAnsiTheme="minorHAnsi"/>
                <w:sz w:val="16"/>
                <w:szCs w:val="16"/>
              </w:rPr>
              <w:t>49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8351F">
              <w:rPr>
                <w:rFonts w:asciiTheme="minorHAnsi" w:hAnsiTheme="minorHAnsi"/>
                <w:sz w:val="16"/>
                <w:szCs w:val="16"/>
              </w:rPr>
              <w:t>%</w:t>
            </w:r>
          </w:p>
        </w:tc>
        <w:tc>
          <w:tcPr>
            <w:tcW w:w="4110" w:type="dxa"/>
          </w:tcPr>
          <w:p w14:paraId="51C2DC16" w14:textId="08AD01E8" w:rsidR="00C17DC7" w:rsidRPr="00672D55" w:rsidRDefault="00672D55" w:rsidP="00C17DC7">
            <w:pPr>
              <w:spacing w:after="0"/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 xml:space="preserve">Ovlivněno nákupem očkovacích látek proti COVID-19 </w:t>
            </w:r>
            <w:r w:rsidR="00D42DAB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Pr="00672D55">
              <w:rPr>
                <w:rFonts w:asciiTheme="minorHAnsi" w:hAnsiTheme="minorHAnsi"/>
                <w:i/>
                <w:sz w:val="16"/>
                <w:szCs w:val="16"/>
              </w:rPr>
              <w:t>v zahraniční měně...</w:t>
            </w:r>
          </w:p>
        </w:tc>
      </w:tr>
      <w:tr w:rsidR="009C717C" w:rsidRPr="00963104" w14:paraId="7113150A" w14:textId="77777777" w:rsidTr="009C717C">
        <w:tc>
          <w:tcPr>
            <w:tcW w:w="9067" w:type="dxa"/>
            <w:gridSpan w:val="4"/>
            <w:shd w:val="clear" w:color="auto" w:fill="E5F1FF"/>
            <w:vAlign w:val="center"/>
          </w:tcPr>
          <w:p w14:paraId="0A516EC4" w14:textId="702EC911" w:rsidR="009C717C" w:rsidRPr="009C717C" w:rsidRDefault="009C717C" w:rsidP="00C17DC7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C717C">
              <w:rPr>
                <w:rFonts w:asciiTheme="minorHAnsi" w:hAnsiTheme="minorHAnsi"/>
                <w:b/>
                <w:sz w:val="16"/>
                <w:szCs w:val="16"/>
              </w:rPr>
              <w:t>PŘÍLOHA ÚZ, část A.4.</w:t>
            </w:r>
          </w:p>
        </w:tc>
      </w:tr>
      <w:tr w:rsidR="00C17DC7" w:rsidRPr="00963104" w14:paraId="47D435DB" w14:textId="77777777" w:rsidTr="00DA32F8">
        <w:tc>
          <w:tcPr>
            <w:tcW w:w="2376" w:type="dxa"/>
          </w:tcPr>
          <w:p w14:paraId="041B178C" w14:textId="77777777" w:rsidR="00C17DC7" w:rsidRPr="00084CFB" w:rsidRDefault="00C17DC7" w:rsidP="004E2D6E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84CFB">
              <w:rPr>
                <w:rFonts w:asciiTheme="minorHAnsi" w:hAnsiTheme="minorHAnsi" w:cstheme="minorHAnsi"/>
                <w:sz w:val="16"/>
                <w:szCs w:val="16"/>
              </w:rPr>
              <w:t>973 – Kr</w:t>
            </w:r>
            <w:r w:rsidR="00F17CE3">
              <w:rPr>
                <w:rFonts w:asciiTheme="minorHAnsi" w:hAnsiTheme="minorHAnsi" w:cstheme="minorHAnsi"/>
                <w:sz w:val="16"/>
                <w:szCs w:val="16"/>
              </w:rPr>
              <w:t>átkodobé</w:t>
            </w:r>
            <w:r w:rsidRPr="00084CFB">
              <w:rPr>
                <w:rFonts w:asciiTheme="minorHAnsi" w:hAnsiTheme="minorHAnsi" w:cstheme="minorHAnsi"/>
                <w:sz w:val="16"/>
                <w:szCs w:val="16"/>
              </w:rPr>
              <w:t xml:space="preserve"> podmíněné závazky z jiných smluv</w:t>
            </w:r>
          </w:p>
        </w:tc>
        <w:tc>
          <w:tcPr>
            <w:tcW w:w="1560" w:type="dxa"/>
            <w:vAlign w:val="center"/>
          </w:tcPr>
          <w:p w14:paraId="1E631387" w14:textId="77777777" w:rsidR="00C17DC7" w:rsidRPr="00084CFB" w:rsidRDefault="00C17DC7" w:rsidP="00C17DC7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84CFB">
              <w:rPr>
                <w:rFonts w:asciiTheme="minorHAnsi" w:hAnsiTheme="minorHAnsi"/>
                <w:sz w:val="16"/>
                <w:szCs w:val="16"/>
              </w:rPr>
              <w:t>888 109 532,30</w:t>
            </w:r>
          </w:p>
        </w:tc>
        <w:tc>
          <w:tcPr>
            <w:tcW w:w="1021" w:type="dxa"/>
            <w:vAlign w:val="center"/>
          </w:tcPr>
          <w:p w14:paraId="59F0E853" w14:textId="77777777" w:rsidR="00C17DC7" w:rsidRPr="00084CFB" w:rsidRDefault="00C17DC7" w:rsidP="00C17DC7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84CFB">
              <w:rPr>
                <w:rFonts w:asciiTheme="minorHAnsi" w:hAnsiTheme="minorHAnsi"/>
                <w:sz w:val="16"/>
                <w:szCs w:val="16"/>
              </w:rPr>
              <w:t>64 %</w:t>
            </w:r>
          </w:p>
        </w:tc>
        <w:tc>
          <w:tcPr>
            <w:tcW w:w="4110" w:type="dxa"/>
            <w:vAlign w:val="center"/>
          </w:tcPr>
          <w:p w14:paraId="0A0DA088" w14:textId="77777777" w:rsidR="00C17DC7" w:rsidRPr="00084CFB" w:rsidRDefault="00935504" w:rsidP="00672D55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X</w:t>
            </w:r>
          </w:p>
        </w:tc>
      </w:tr>
      <w:tr w:rsidR="00C17DC7" w:rsidRPr="00963104" w14:paraId="34744804" w14:textId="77777777" w:rsidTr="00DA32F8">
        <w:tc>
          <w:tcPr>
            <w:tcW w:w="2376" w:type="dxa"/>
          </w:tcPr>
          <w:p w14:paraId="3322F218" w14:textId="77777777" w:rsidR="00C17DC7" w:rsidRPr="00084CFB" w:rsidRDefault="00C17DC7" w:rsidP="004E2D6E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084CFB">
              <w:rPr>
                <w:rFonts w:asciiTheme="minorHAnsi" w:hAnsiTheme="minorHAnsi" w:cstheme="minorHAnsi"/>
                <w:sz w:val="16"/>
                <w:szCs w:val="16"/>
              </w:rPr>
              <w:t>974 – Dl</w:t>
            </w:r>
            <w:r w:rsidR="00F17CE3">
              <w:rPr>
                <w:rFonts w:asciiTheme="minorHAnsi" w:hAnsiTheme="minorHAnsi" w:cstheme="minorHAnsi"/>
                <w:sz w:val="16"/>
                <w:szCs w:val="16"/>
              </w:rPr>
              <w:t>ouhodobé</w:t>
            </w:r>
            <w:r w:rsidRPr="00084CFB">
              <w:rPr>
                <w:rFonts w:asciiTheme="minorHAnsi" w:hAnsiTheme="minorHAnsi" w:cstheme="minorHAnsi"/>
                <w:sz w:val="16"/>
                <w:szCs w:val="16"/>
              </w:rPr>
              <w:t xml:space="preserve"> podmíněné závazky z jiných smluv</w:t>
            </w:r>
          </w:p>
        </w:tc>
        <w:tc>
          <w:tcPr>
            <w:tcW w:w="1560" w:type="dxa"/>
            <w:vAlign w:val="center"/>
          </w:tcPr>
          <w:p w14:paraId="5EAE4CE5" w14:textId="77777777" w:rsidR="00C17DC7" w:rsidRPr="00084CFB" w:rsidRDefault="00C17DC7" w:rsidP="00C17DC7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84CFB">
              <w:rPr>
                <w:rFonts w:asciiTheme="minorHAnsi" w:hAnsiTheme="minorHAnsi"/>
                <w:sz w:val="16"/>
                <w:szCs w:val="16"/>
              </w:rPr>
              <w:t>9</w:t>
            </w:r>
            <w:r>
              <w:rPr>
                <w:rFonts w:asciiTheme="minorHAnsi" w:hAnsiTheme="minorHAnsi"/>
                <w:sz w:val="16"/>
                <w:szCs w:val="16"/>
              </w:rPr>
              <w:t> 596 286 403,88</w:t>
            </w:r>
          </w:p>
        </w:tc>
        <w:tc>
          <w:tcPr>
            <w:tcW w:w="1021" w:type="dxa"/>
            <w:vAlign w:val="center"/>
          </w:tcPr>
          <w:p w14:paraId="5FC8E6A6" w14:textId="77777777" w:rsidR="00C17DC7" w:rsidRPr="00084CFB" w:rsidRDefault="00C17DC7" w:rsidP="00C17DC7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79</w:t>
            </w:r>
            <w:r w:rsidRPr="00084CFB">
              <w:rPr>
                <w:rFonts w:asciiTheme="minorHAnsi" w:hAnsiTheme="minorHAnsi"/>
                <w:sz w:val="16"/>
                <w:szCs w:val="16"/>
              </w:rPr>
              <w:t xml:space="preserve"> %</w:t>
            </w:r>
          </w:p>
        </w:tc>
        <w:tc>
          <w:tcPr>
            <w:tcW w:w="4110" w:type="dxa"/>
            <w:vAlign w:val="center"/>
          </w:tcPr>
          <w:p w14:paraId="39455901" w14:textId="77777777" w:rsidR="00C17DC7" w:rsidRDefault="00935504" w:rsidP="00672D55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X</w:t>
            </w:r>
          </w:p>
        </w:tc>
      </w:tr>
    </w:tbl>
    <w:p w14:paraId="6BFB9452" w14:textId="77777777" w:rsidR="00672D55" w:rsidRPr="000443A1" w:rsidRDefault="00672D55" w:rsidP="00672D55">
      <w:pPr>
        <w:spacing w:before="40" w:after="0"/>
        <w:rPr>
          <w:sz w:val="20"/>
        </w:rPr>
      </w:pPr>
      <w:r w:rsidRPr="000443A1">
        <w:rPr>
          <w:b/>
          <w:sz w:val="20"/>
        </w:rPr>
        <w:t>Zdroj:</w:t>
      </w:r>
      <w:r w:rsidRPr="000443A1">
        <w:rPr>
          <w:sz w:val="20"/>
        </w:rPr>
        <w:t xml:space="preserve"> </w:t>
      </w:r>
      <w:r>
        <w:rPr>
          <w:sz w:val="20"/>
        </w:rPr>
        <w:t xml:space="preserve">účetní systém </w:t>
      </w:r>
      <w:proofErr w:type="spellStart"/>
      <w:r>
        <w:rPr>
          <w:sz w:val="20"/>
        </w:rPr>
        <w:t>MZ</w:t>
      </w:r>
      <w:r w:rsidR="00751C03">
        <w:rPr>
          <w:sz w:val="20"/>
        </w:rPr>
        <w:t>d</w:t>
      </w:r>
      <w:proofErr w:type="spellEnd"/>
      <w:r>
        <w:rPr>
          <w:sz w:val="20"/>
        </w:rPr>
        <w:t xml:space="preserve">, </w:t>
      </w:r>
      <w:r w:rsidRPr="000443A1">
        <w:rPr>
          <w:sz w:val="20"/>
        </w:rPr>
        <w:t>ÚZ.</w:t>
      </w:r>
    </w:p>
    <w:p w14:paraId="2D7609F2" w14:textId="77777777" w:rsidR="00C17DC7" w:rsidRDefault="00C17DC7" w:rsidP="006767AD">
      <w:pPr>
        <w:spacing w:after="0"/>
      </w:pPr>
    </w:p>
    <w:p w14:paraId="24686201" w14:textId="543438F7" w:rsidR="006767AD" w:rsidRDefault="006767AD" w:rsidP="006767A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Oblast vakcín je upravena zejména zákonem č. 569/2020 Sb.</w:t>
      </w:r>
      <w:r w:rsidR="002054E8">
        <w:rPr>
          <w:rStyle w:val="Znakapoznpodarou"/>
          <w:rFonts w:asciiTheme="minorHAnsi" w:hAnsiTheme="minorHAnsi" w:cstheme="minorHAnsi"/>
        </w:rPr>
        <w:footnoteReference w:id="29"/>
      </w:r>
      <w:r>
        <w:rPr>
          <w:rFonts w:asciiTheme="minorHAnsi" w:hAnsiTheme="minorHAnsi" w:cstheme="minorHAnsi"/>
        </w:rPr>
        <w:t>, zákonem č. 378/2007 Sb.</w:t>
      </w:r>
      <w:r>
        <w:rPr>
          <w:rStyle w:val="Znakapoznpodarou"/>
          <w:rFonts w:asciiTheme="minorHAnsi" w:hAnsiTheme="minorHAnsi" w:cstheme="minorHAnsi"/>
        </w:rPr>
        <w:footnoteReference w:id="30"/>
      </w:r>
      <w:r>
        <w:rPr>
          <w:rFonts w:asciiTheme="minorHAnsi" w:hAnsiTheme="minorHAnsi" w:cstheme="minorHAnsi"/>
        </w:rPr>
        <w:t xml:space="preserve"> </w:t>
      </w:r>
      <w:r w:rsidR="00BD137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a</w:t>
      </w:r>
      <w:r w:rsidR="00BD13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zákonem č. 48/1997 Sb.</w:t>
      </w:r>
      <w:r>
        <w:rPr>
          <w:rStyle w:val="Znakapoznpodarou"/>
          <w:rFonts w:asciiTheme="minorHAnsi" w:hAnsiTheme="minorHAnsi" w:cstheme="minorHAnsi"/>
        </w:rPr>
        <w:footnoteReference w:id="31"/>
      </w:r>
      <w:r>
        <w:rPr>
          <w:rFonts w:asciiTheme="minorHAnsi" w:hAnsiTheme="minorHAnsi" w:cstheme="minorHAnsi"/>
        </w:rPr>
        <w:t xml:space="preserve"> </w:t>
      </w:r>
      <w:r w:rsidR="00047E28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zákona č. 48/1997 Sb. byl</w:t>
      </w:r>
      <w:r w:rsidR="00047E28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="00047E28">
        <w:rPr>
          <w:rFonts w:asciiTheme="minorHAnsi" w:hAnsiTheme="minorHAnsi" w:cstheme="minorHAnsi"/>
        </w:rPr>
        <w:t xml:space="preserve">novelou (konkrétně </w:t>
      </w:r>
      <w:r>
        <w:rPr>
          <w:rFonts w:asciiTheme="minorHAnsi" w:hAnsiTheme="minorHAnsi" w:cstheme="minorHAnsi"/>
        </w:rPr>
        <w:t>zákonem č.</w:t>
      </w:r>
      <w:r w:rsidR="0005459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569/2020 Sb.</w:t>
      </w:r>
      <w:r w:rsidR="00047E2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doplněno </w:t>
      </w:r>
      <w:r w:rsidR="00047E28">
        <w:rPr>
          <w:rFonts w:asciiTheme="minorHAnsi" w:hAnsiTheme="minorHAnsi" w:cstheme="minorHAnsi"/>
        </w:rPr>
        <w:t xml:space="preserve">mj. </w:t>
      </w:r>
      <w:r>
        <w:rPr>
          <w:rFonts w:asciiTheme="minorHAnsi" w:hAnsiTheme="minorHAnsi" w:cstheme="minorHAnsi"/>
        </w:rPr>
        <w:t xml:space="preserve">ustanovení upravující možnost úhrady vakcín zdravotními pojišťovnami státu </w:t>
      </w:r>
      <w:r w:rsidR="00047E2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možnost úhrady distribuce vakcín zdravotními pojišťovnami poskytovatelům zdravotních služeb</w:t>
      </w:r>
      <w:r w:rsidR="002054E8">
        <w:rPr>
          <w:rFonts w:asciiTheme="minorHAnsi" w:hAnsiTheme="minorHAnsi" w:cstheme="minorHAnsi"/>
        </w:rPr>
        <w:t xml:space="preserve"> (dále také „PZS“)</w:t>
      </w:r>
      <w:r>
        <w:rPr>
          <w:rFonts w:asciiTheme="minorHAnsi" w:hAnsiTheme="minorHAnsi" w:cstheme="minorHAnsi"/>
        </w:rPr>
        <w:t>.</w:t>
      </w:r>
    </w:p>
    <w:p w14:paraId="53849914" w14:textId="77777777" w:rsidR="006767AD" w:rsidRDefault="006767AD" w:rsidP="006767A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vakcíny se dále vztahují i další právní předpisy upravující obecně léčiva. Prováděcími právními předpisy jsou zejména vyhláška č. 229/2008 Sb.</w:t>
      </w:r>
      <w:r>
        <w:rPr>
          <w:rStyle w:val="Znakapoznpodarou"/>
          <w:rFonts w:asciiTheme="minorHAnsi" w:hAnsiTheme="minorHAnsi" w:cstheme="minorHAnsi"/>
        </w:rPr>
        <w:footnoteReference w:id="32"/>
      </w:r>
      <w:r>
        <w:rPr>
          <w:rFonts w:asciiTheme="minorHAnsi" w:hAnsiTheme="minorHAnsi" w:cstheme="minorHAnsi"/>
        </w:rPr>
        <w:t xml:space="preserve"> a vyhláška č. 84/2008 Sb.</w:t>
      </w:r>
      <w:r>
        <w:rPr>
          <w:rStyle w:val="Znakapoznpodarou"/>
          <w:rFonts w:asciiTheme="minorHAnsi" w:hAnsiTheme="minorHAnsi" w:cstheme="minorHAnsi"/>
        </w:rPr>
        <w:footnoteReference w:id="33"/>
      </w:r>
    </w:p>
    <w:p w14:paraId="20F17081" w14:textId="77777777" w:rsidR="00C17DC7" w:rsidRDefault="006767AD" w:rsidP="006767AD">
      <w:pPr>
        <w:spacing w:after="0"/>
        <w:jc w:val="both"/>
      </w:pPr>
      <w:r>
        <w:rPr>
          <w:rFonts w:asciiTheme="minorHAnsi" w:hAnsiTheme="minorHAnsi" w:cstheme="minorHAnsi"/>
        </w:rPr>
        <w:t>Vláda ČR dále přijala následující usnesení se vztahem k vakcínám. Tato usnesení vlády upravují nákup vakcín, očkování a distribuci nebo darování vakcín.</w:t>
      </w:r>
      <w:r>
        <w:rPr>
          <w:rStyle w:val="Znakapoznpodarou"/>
          <w:rFonts w:asciiTheme="minorHAnsi" w:hAnsiTheme="minorHAnsi" w:cstheme="minorHAnsi"/>
        </w:rPr>
        <w:footnoteReference w:id="34"/>
      </w:r>
    </w:p>
    <w:p w14:paraId="6975CF57" w14:textId="77777777" w:rsidR="00C17DC7" w:rsidRDefault="00C17DC7" w:rsidP="0066297E">
      <w:pPr>
        <w:spacing w:after="0"/>
      </w:pPr>
    </w:p>
    <w:p w14:paraId="67A02B92" w14:textId="0CEC4D35" w:rsidR="006767AD" w:rsidRPr="006767AD" w:rsidRDefault="006767AD" w:rsidP="004E2D6E">
      <w:pPr>
        <w:keepNext/>
        <w:spacing w:after="40"/>
        <w:ind w:left="1304" w:hanging="1304"/>
        <w:rPr>
          <w:rFonts w:cs="Arial"/>
          <w:b/>
        </w:rPr>
      </w:pPr>
      <w:r w:rsidRPr="006767AD">
        <w:rPr>
          <w:rFonts w:cs="Arial"/>
          <w:b/>
        </w:rPr>
        <w:t>Tabulka</w:t>
      </w:r>
      <w:r w:rsidR="00F245BB">
        <w:rPr>
          <w:rFonts w:cs="Arial"/>
          <w:b/>
        </w:rPr>
        <w:t xml:space="preserve"> č.</w:t>
      </w:r>
      <w:r w:rsidR="00F54D0E">
        <w:rPr>
          <w:rFonts w:cs="Arial"/>
          <w:b/>
        </w:rPr>
        <w:t xml:space="preserve"> 5</w:t>
      </w:r>
      <w:r w:rsidRPr="006767AD">
        <w:rPr>
          <w:rFonts w:cs="Arial"/>
          <w:b/>
        </w:rPr>
        <w:t xml:space="preserve">: </w:t>
      </w:r>
      <w:r w:rsidR="00047E28">
        <w:rPr>
          <w:rFonts w:cs="Arial"/>
          <w:b/>
        </w:rPr>
        <w:tab/>
      </w:r>
      <w:r w:rsidRPr="006767AD">
        <w:rPr>
          <w:rFonts w:cs="Arial"/>
          <w:b/>
        </w:rPr>
        <w:t>Přehled usnesení vlády k problematice vakcín</w:t>
      </w:r>
      <w:r w:rsidR="00251B9E">
        <w:rPr>
          <w:rFonts w:cs="Arial"/>
          <w:b/>
        </w:rPr>
        <w:t xml:space="preserve"> v</w:t>
      </w:r>
      <w:r w:rsidR="00047E28">
        <w:rPr>
          <w:rFonts w:cs="Arial"/>
          <w:b/>
        </w:rPr>
        <w:t> členění dle jednotlivých oblastí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4110"/>
        <w:gridCol w:w="1694"/>
      </w:tblGrid>
      <w:tr w:rsidR="006767AD" w:rsidRPr="002054E8" w14:paraId="277BBDD4" w14:textId="77777777" w:rsidTr="004E2D6E">
        <w:trPr>
          <w:trHeight w:val="397"/>
        </w:trPr>
        <w:tc>
          <w:tcPr>
            <w:tcW w:w="3256" w:type="dxa"/>
            <w:shd w:val="clear" w:color="auto" w:fill="E5F1FF"/>
            <w:vAlign w:val="center"/>
          </w:tcPr>
          <w:p w14:paraId="06B4809F" w14:textId="77777777" w:rsidR="006767AD" w:rsidRPr="004E2D6E" w:rsidRDefault="006767AD" w:rsidP="002054E8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D6E">
              <w:rPr>
                <w:rFonts w:asciiTheme="minorHAnsi" w:hAnsiTheme="minorHAnsi" w:cstheme="minorHAnsi"/>
                <w:b/>
                <w:sz w:val="18"/>
                <w:szCs w:val="18"/>
              </w:rPr>
              <w:t>Nákup vakcín</w:t>
            </w:r>
          </w:p>
        </w:tc>
        <w:tc>
          <w:tcPr>
            <w:tcW w:w="4110" w:type="dxa"/>
            <w:shd w:val="clear" w:color="auto" w:fill="E5F1FF"/>
            <w:vAlign w:val="center"/>
          </w:tcPr>
          <w:p w14:paraId="55B6FB8C" w14:textId="77777777" w:rsidR="006767AD" w:rsidRPr="004E2D6E" w:rsidRDefault="006767AD" w:rsidP="002054E8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D6E">
              <w:rPr>
                <w:rFonts w:asciiTheme="minorHAnsi" w:hAnsiTheme="minorHAnsi" w:cstheme="minorHAnsi"/>
                <w:b/>
                <w:sz w:val="18"/>
                <w:szCs w:val="18"/>
              </w:rPr>
              <w:t>Očkování a distribuce</w:t>
            </w:r>
          </w:p>
        </w:tc>
        <w:tc>
          <w:tcPr>
            <w:tcW w:w="1694" w:type="dxa"/>
            <w:shd w:val="clear" w:color="auto" w:fill="E5F1FF"/>
            <w:vAlign w:val="center"/>
          </w:tcPr>
          <w:p w14:paraId="67DD1501" w14:textId="77777777" w:rsidR="006767AD" w:rsidRPr="004E2D6E" w:rsidRDefault="006767AD" w:rsidP="002054E8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D6E">
              <w:rPr>
                <w:rFonts w:asciiTheme="minorHAnsi" w:hAnsiTheme="minorHAnsi" w:cstheme="minorHAnsi"/>
                <w:b/>
                <w:sz w:val="18"/>
                <w:szCs w:val="18"/>
              </w:rPr>
              <w:t>Darování vakcín</w:t>
            </w:r>
          </w:p>
        </w:tc>
      </w:tr>
      <w:tr w:rsidR="006767AD" w:rsidRPr="002054E8" w14:paraId="1EA03542" w14:textId="77777777" w:rsidTr="002054E8">
        <w:tc>
          <w:tcPr>
            <w:tcW w:w="3256" w:type="dxa"/>
          </w:tcPr>
          <w:p w14:paraId="512E2829" w14:textId="77777777" w:rsidR="006767AD" w:rsidRPr="002054E8" w:rsidRDefault="006767AD" w:rsidP="004E2D6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Usnesení vlády ze dne 17. srpna 2020 č. 846, </w:t>
            </w:r>
            <w:r w:rsidR="006811A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o zajištění vakcíny proti COVID-19 prostřednictvím iniciativy Evropské unie (</w:t>
            </w:r>
            <w:r w:rsidRPr="002054E8">
              <w:rPr>
                <w:rFonts w:asciiTheme="minorHAnsi" w:hAnsiTheme="minorHAnsi" w:cstheme="minorHAnsi"/>
                <w:b/>
                <w:sz w:val="16"/>
                <w:szCs w:val="16"/>
              </w:rPr>
              <w:t>dále „UV 846/2020“</w:t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110" w:type="dxa"/>
          </w:tcPr>
          <w:p w14:paraId="72C784EF" w14:textId="10EE8EC3" w:rsidR="006767AD" w:rsidRPr="002054E8" w:rsidRDefault="006767AD" w:rsidP="004E2D6E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Usnesení vlády ze dne 30. listopadu 2020 č. 1257</w:t>
            </w:r>
            <w:r w:rsidR="006811A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 k návrhu zákona o distribuci léčivých přípravků obsahujících očkovací látky pro očkování proti onemocnění COVID-19, o náhradě újmy způsobené očkovaným osobám a o změně zákona č.</w:t>
            </w:r>
            <w:r w:rsidR="006811A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48/1997 Sb., o veřejném zdravotním pojištění a o změně </w:t>
            </w:r>
            <w:r w:rsidR="00047E28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047E2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doplnění některých souvisejících zákonů, ve znění pozdějších předpisů </w:t>
            </w:r>
          </w:p>
        </w:tc>
        <w:tc>
          <w:tcPr>
            <w:tcW w:w="1694" w:type="dxa"/>
          </w:tcPr>
          <w:p w14:paraId="6B43AF12" w14:textId="77777777" w:rsidR="006767AD" w:rsidRPr="002054E8" w:rsidRDefault="006767AD" w:rsidP="004E2D6E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Usnesení vlády ze dne 26. července 2021 č.</w:t>
            </w:r>
            <w:r w:rsidR="00B6469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693, o možnosti darování a prodeje očkovacích látek proti covid-19 (</w:t>
            </w:r>
            <w:r w:rsidRPr="002054E8">
              <w:rPr>
                <w:rFonts w:asciiTheme="minorHAnsi" w:hAnsiTheme="minorHAnsi" w:cstheme="minorHAnsi"/>
                <w:b/>
                <w:sz w:val="16"/>
                <w:szCs w:val="16"/>
              </w:rPr>
              <w:t>dále „UV 693/2021“</w:t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6767AD" w:rsidRPr="002054E8" w14:paraId="551002D7" w14:textId="77777777" w:rsidTr="002054E8">
        <w:tc>
          <w:tcPr>
            <w:tcW w:w="3256" w:type="dxa"/>
          </w:tcPr>
          <w:p w14:paraId="0327F83A" w14:textId="77777777" w:rsidR="006767AD" w:rsidRPr="002054E8" w:rsidRDefault="006767AD" w:rsidP="004E2D6E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Usnesení vlády ze dne 14. září 2020 č. 929, </w:t>
            </w:r>
            <w:r w:rsidR="006811A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o navýšení rozpočtu Nástroje pro mimořádnou podporu s cílem rozšíření portfolia výrobců vakcíny proti COVID-19</w:t>
            </w:r>
          </w:p>
        </w:tc>
        <w:tc>
          <w:tcPr>
            <w:tcW w:w="4110" w:type="dxa"/>
          </w:tcPr>
          <w:p w14:paraId="2F6A74FB" w14:textId="77777777" w:rsidR="006767AD" w:rsidRPr="002054E8" w:rsidRDefault="006767AD" w:rsidP="004E2D6E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Usnesení vlády ze dne 7. prosince 2020 č. 1289, o Strategii očkování proti nemoci COVID-19</w:t>
            </w:r>
          </w:p>
        </w:tc>
        <w:tc>
          <w:tcPr>
            <w:tcW w:w="1694" w:type="dxa"/>
          </w:tcPr>
          <w:p w14:paraId="22168599" w14:textId="77777777" w:rsidR="006767AD" w:rsidRPr="002054E8" w:rsidRDefault="006767AD" w:rsidP="00315977">
            <w:pPr>
              <w:jc w:val="both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6767AD" w:rsidRPr="002054E8" w14:paraId="7AD96898" w14:textId="77777777" w:rsidTr="002054E8">
        <w:tc>
          <w:tcPr>
            <w:tcW w:w="3256" w:type="dxa"/>
          </w:tcPr>
          <w:p w14:paraId="6249DE26" w14:textId="77777777" w:rsidR="006767AD" w:rsidRPr="002054E8" w:rsidRDefault="006767AD" w:rsidP="004E2D6E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Usnesení vlády ze dne 5. října 2020 č. 992, </w:t>
            </w:r>
            <w:r w:rsidR="006811A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o přistoupení ke smlouvě s výrobcem kandidátní vakcíny proti COVID-19 </w:t>
            </w:r>
            <w:proofErr w:type="spellStart"/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AstraZeneca</w:t>
            </w:r>
            <w:proofErr w:type="spellEnd"/>
          </w:p>
        </w:tc>
        <w:tc>
          <w:tcPr>
            <w:tcW w:w="4110" w:type="dxa"/>
          </w:tcPr>
          <w:p w14:paraId="46DC5529" w14:textId="77777777" w:rsidR="006767AD" w:rsidRPr="002054E8" w:rsidRDefault="006767AD" w:rsidP="004E2D6E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Usnesení vlády ze dne 14. prosince 2020 č. 1327, o zajištění komplementárního zdravotnického materiálu nutného pro provedení vakcinace proti onemocnění COVID-19</w:t>
            </w:r>
          </w:p>
        </w:tc>
        <w:tc>
          <w:tcPr>
            <w:tcW w:w="1694" w:type="dxa"/>
          </w:tcPr>
          <w:p w14:paraId="0DBBDB51" w14:textId="77777777" w:rsidR="006767AD" w:rsidRPr="002054E8" w:rsidRDefault="006767AD" w:rsidP="00315977">
            <w:pPr>
              <w:jc w:val="both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6767AD" w:rsidRPr="002054E8" w14:paraId="075B99D2" w14:textId="77777777" w:rsidTr="002054E8">
        <w:tc>
          <w:tcPr>
            <w:tcW w:w="3256" w:type="dxa"/>
          </w:tcPr>
          <w:p w14:paraId="018E9BF0" w14:textId="77777777" w:rsidR="006767AD" w:rsidRPr="002054E8" w:rsidRDefault="006767AD" w:rsidP="004E2D6E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Usnesení vlády ze dne 23. listopadu 2020 </w:t>
            </w:r>
            <w:r w:rsidR="006811A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č. 1223, o informaci o krocích Ministerstva zdravotnictví s cílem zajištění vakcíny proti COVID-19</w:t>
            </w:r>
          </w:p>
        </w:tc>
        <w:tc>
          <w:tcPr>
            <w:tcW w:w="4110" w:type="dxa"/>
          </w:tcPr>
          <w:p w14:paraId="5700FE75" w14:textId="77777777" w:rsidR="006767AD" w:rsidRPr="002054E8" w:rsidRDefault="006767AD" w:rsidP="004E2D6E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Usnesení vlády ze dne 18. ledna 2021 č. 45, o navýšení zásob komplementárního zdravotnického materiálu nutného pro provedení očkování proti onemocnění </w:t>
            </w:r>
            <w:r w:rsidR="00047E28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COVID-19</w:t>
            </w:r>
          </w:p>
        </w:tc>
        <w:tc>
          <w:tcPr>
            <w:tcW w:w="1694" w:type="dxa"/>
          </w:tcPr>
          <w:p w14:paraId="5C2EB827" w14:textId="77777777" w:rsidR="006767AD" w:rsidRPr="002054E8" w:rsidRDefault="006767AD" w:rsidP="00315977">
            <w:pPr>
              <w:jc w:val="both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6767AD" w:rsidRPr="002054E8" w14:paraId="5E684B30" w14:textId="77777777" w:rsidTr="002054E8">
        <w:tc>
          <w:tcPr>
            <w:tcW w:w="3256" w:type="dxa"/>
          </w:tcPr>
          <w:p w14:paraId="6028C51C" w14:textId="6F596A49" w:rsidR="006767AD" w:rsidRPr="002054E8" w:rsidRDefault="006767AD" w:rsidP="004E2D6E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Usnesení vlády ze dne 30. listopadu </w:t>
            </w:r>
            <w:r w:rsidR="006811AC">
              <w:rPr>
                <w:rFonts w:asciiTheme="minorHAnsi" w:hAnsiTheme="minorHAnsi" w:cstheme="minorHAnsi"/>
                <w:sz w:val="16"/>
                <w:szCs w:val="16"/>
              </w:rPr>
              <w:t xml:space="preserve">2020 </w:t>
            </w:r>
            <w:r w:rsidR="006811A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č. 1256, o přistoupení ke smlouvám s výrobci kandidátních vakcín proti onemocnění </w:t>
            </w:r>
            <w:r w:rsidR="006811A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COVID-19 společnostmi </w:t>
            </w:r>
            <w:proofErr w:type="spellStart"/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Janssen</w:t>
            </w:r>
            <w:proofErr w:type="spellEnd"/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Pharmaceutica</w:t>
            </w:r>
            <w:proofErr w:type="spellEnd"/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 a</w:t>
            </w:r>
            <w:r w:rsidR="006811A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proofErr w:type="spellStart"/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Pfizer</w:t>
            </w:r>
            <w:proofErr w:type="spellEnd"/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BioNTech</w:t>
            </w:r>
            <w:proofErr w:type="spellEnd"/>
          </w:p>
        </w:tc>
        <w:tc>
          <w:tcPr>
            <w:tcW w:w="4110" w:type="dxa"/>
          </w:tcPr>
          <w:p w14:paraId="171EA960" w14:textId="77777777" w:rsidR="006767AD" w:rsidRPr="002054E8" w:rsidRDefault="006767AD" w:rsidP="004E2D6E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Usnesení vlády ze dne 3. května 2021 č. 432, k návrhu na zajištění očkování členů diplomatických misí, konzulárních úřadů a úřadoven mezinárodních organizací a členů jejich rodin, akreditovaných v České republice, proti onemocnění Covid-19 způsobenému virem SARS CoV-2</w:t>
            </w:r>
          </w:p>
        </w:tc>
        <w:tc>
          <w:tcPr>
            <w:tcW w:w="1694" w:type="dxa"/>
          </w:tcPr>
          <w:p w14:paraId="0E54986D" w14:textId="77777777" w:rsidR="006767AD" w:rsidRPr="002054E8" w:rsidRDefault="006767AD" w:rsidP="00315977">
            <w:pPr>
              <w:jc w:val="both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6767AD" w:rsidRPr="002054E8" w14:paraId="0F817B6E" w14:textId="77777777" w:rsidTr="002054E8">
        <w:tc>
          <w:tcPr>
            <w:tcW w:w="3256" w:type="dxa"/>
          </w:tcPr>
          <w:p w14:paraId="6219561D" w14:textId="77777777" w:rsidR="006767AD" w:rsidRPr="002054E8" w:rsidRDefault="006767AD" w:rsidP="004E2D6E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Usnesení vlády ze dne 1. března 2021 č. 235, k záměru dalšího vývoje vakcíny proti onemocnění COVID-19</w:t>
            </w:r>
          </w:p>
        </w:tc>
        <w:tc>
          <w:tcPr>
            <w:tcW w:w="4110" w:type="dxa"/>
          </w:tcPr>
          <w:p w14:paraId="64F4A458" w14:textId="042AF4D4" w:rsidR="006767AD" w:rsidRPr="002054E8" w:rsidRDefault="006767AD" w:rsidP="004E2D6E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Usnesení vlády ze dne 28. června 2021 č. 594</w:t>
            </w:r>
            <w:r w:rsidR="006811A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 k návrhu zákona, kterým se mění zákon č. 569/2020 Sb., o distribuci léčivých přípravků obsahujících očkovací látku pro očkování proti onemocnění COVID-19, o náhradě újmy způsobené očkovaným osobám těmito léčivými přípravky a o změně zákona č. 48/1997 Sb., o veřejném zdravotním pojištění </w:t>
            </w:r>
            <w:r w:rsidR="006811A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 xml:space="preserve">a o změně a doplnění některých souvisejících zákonů, ve </w:t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znění pozdějších předpisů, a zákon č. 48/1997 Sb., o</w:t>
            </w:r>
            <w:r w:rsidR="00047E2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2054E8">
              <w:rPr>
                <w:rFonts w:asciiTheme="minorHAnsi" w:hAnsiTheme="minorHAnsi" w:cstheme="minorHAnsi"/>
                <w:sz w:val="16"/>
                <w:szCs w:val="16"/>
              </w:rPr>
              <w:t>veřejném zdravotním pojištění a o změně a doplnění některých souvisejících zákonů, ve znění pozdějších předpisů</w:t>
            </w:r>
          </w:p>
        </w:tc>
        <w:tc>
          <w:tcPr>
            <w:tcW w:w="1694" w:type="dxa"/>
          </w:tcPr>
          <w:p w14:paraId="1851A707" w14:textId="77777777" w:rsidR="006767AD" w:rsidRPr="002054E8" w:rsidRDefault="006767AD" w:rsidP="00315977">
            <w:pPr>
              <w:jc w:val="both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</w:tbl>
    <w:p w14:paraId="7568F42A" w14:textId="77777777" w:rsidR="006767AD" w:rsidRPr="006767AD" w:rsidRDefault="006767AD" w:rsidP="006767AD">
      <w:pPr>
        <w:spacing w:before="40" w:after="0"/>
        <w:rPr>
          <w:b/>
          <w:sz w:val="20"/>
        </w:rPr>
      </w:pPr>
      <w:r w:rsidRPr="006767AD">
        <w:rPr>
          <w:b/>
          <w:sz w:val="20"/>
        </w:rPr>
        <w:t xml:space="preserve">Zdroj: </w:t>
      </w:r>
      <w:r w:rsidRPr="006767AD">
        <w:rPr>
          <w:sz w:val="20"/>
        </w:rPr>
        <w:t>https://www.vlada.cz/</w:t>
      </w:r>
      <w:r w:rsidR="00047E28">
        <w:rPr>
          <w:sz w:val="20"/>
        </w:rPr>
        <w:t>.</w:t>
      </w:r>
    </w:p>
    <w:p w14:paraId="566BDADB" w14:textId="77777777" w:rsidR="006767AD" w:rsidRDefault="006767AD" w:rsidP="006767AD">
      <w:pPr>
        <w:spacing w:after="0"/>
      </w:pPr>
    </w:p>
    <w:p w14:paraId="02B7D71C" w14:textId="77777777" w:rsidR="0077673C" w:rsidRDefault="006767AD" w:rsidP="006767A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Nákup vakcín je centralizován ze strany Evropské komise (dále také „Komise“), jak mj. vyplývá z UV 846/2020. </w:t>
      </w:r>
    </w:p>
    <w:p w14:paraId="61C3EE97" w14:textId="7A18D2C2" w:rsidR="0077673C" w:rsidRDefault="006767AD" w:rsidP="006767AD">
      <w:pPr>
        <w:jc w:val="both"/>
        <w:rPr>
          <w:rFonts w:asciiTheme="minorHAnsi" w:hAnsiTheme="minorHAnsi" w:cstheme="minorHAnsi"/>
        </w:rPr>
      </w:pPr>
      <w:r w:rsidRPr="00D66D0D">
        <w:rPr>
          <w:rFonts w:asciiTheme="minorHAnsi" w:hAnsiTheme="minorHAnsi" w:cstheme="minorHAnsi"/>
        </w:rPr>
        <w:t>Dne 18.</w:t>
      </w:r>
      <w:r>
        <w:rPr>
          <w:rFonts w:asciiTheme="minorHAnsi" w:hAnsiTheme="minorHAnsi" w:cstheme="minorHAnsi"/>
        </w:rPr>
        <w:t xml:space="preserve"> června </w:t>
      </w:r>
      <w:r w:rsidRPr="00D66D0D">
        <w:rPr>
          <w:rFonts w:asciiTheme="minorHAnsi" w:hAnsiTheme="minorHAnsi" w:cstheme="minorHAnsi"/>
        </w:rPr>
        <w:t>2020 bylo k tomuto účelu</w:t>
      </w:r>
      <w:r>
        <w:rPr>
          <w:rFonts w:asciiTheme="minorHAnsi" w:hAnsiTheme="minorHAnsi" w:cstheme="minorHAnsi"/>
        </w:rPr>
        <w:t xml:space="preserve"> přijato také</w:t>
      </w:r>
      <w:r w:rsidRPr="00D66D0D">
        <w:rPr>
          <w:rFonts w:asciiTheme="minorHAnsi" w:hAnsiTheme="minorHAnsi" w:cstheme="minorHAnsi"/>
        </w:rPr>
        <w:t xml:space="preserve"> rozhodnutí Komise </w:t>
      </w:r>
      <w:proofErr w:type="gramStart"/>
      <w:r w:rsidR="000F3849">
        <w:rPr>
          <w:rFonts w:asciiTheme="minorHAnsi" w:hAnsiTheme="minorHAnsi" w:cstheme="minorHAnsi"/>
        </w:rPr>
        <w:t>C(</w:t>
      </w:r>
      <w:proofErr w:type="gramEnd"/>
      <w:r w:rsidR="000F3849">
        <w:rPr>
          <w:rFonts w:asciiTheme="minorHAnsi" w:hAnsiTheme="minorHAnsi" w:cstheme="minorHAnsi"/>
        </w:rPr>
        <w:t>2020)</w:t>
      </w:r>
      <w:r w:rsidRPr="00D66D0D">
        <w:rPr>
          <w:rFonts w:asciiTheme="minorHAnsi" w:hAnsiTheme="minorHAnsi" w:cstheme="minorHAnsi"/>
        </w:rPr>
        <w:t xml:space="preserve"> 4192</w:t>
      </w:r>
      <w:r w:rsidRPr="00D66D0D">
        <w:rPr>
          <w:rFonts w:asciiTheme="minorHAnsi" w:hAnsiTheme="minorHAnsi" w:cstheme="minorHAnsi"/>
          <w:vertAlign w:val="superscript"/>
        </w:rPr>
        <w:footnoteReference w:id="35"/>
      </w:r>
      <w:r w:rsidRPr="00D66D0D">
        <w:rPr>
          <w:rFonts w:asciiTheme="minorHAnsi" w:hAnsiTheme="minorHAnsi" w:cstheme="minorHAnsi"/>
        </w:rPr>
        <w:t xml:space="preserve"> </w:t>
      </w:r>
      <w:r w:rsidR="00BD137E">
        <w:rPr>
          <w:rFonts w:asciiTheme="minorHAnsi" w:hAnsiTheme="minorHAnsi" w:cstheme="minorHAnsi"/>
        </w:rPr>
        <w:br/>
      </w:r>
      <w:r w:rsidRPr="004E2D6E">
        <w:rPr>
          <w:rFonts w:asciiTheme="minorHAnsi" w:hAnsiTheme="minorHAnsi" w:cstheme="minorHAnsi"/>
          <w:i/>
        </w:rPr>
        <w:t>o</w:t>
      </w:r>
      <w:r w:rsidR="00BD137E">
        <w:rPr>
          <w:rFonts w:asciiTheme="minorHAnsi" w:hAnsiTheme="minorHAnsi" w:cstheme="minorHAnsi"/>
          <w:i/>
        </w:rPr>
        <w:t xml:space="preserve"> </w:t>
      </w:r>
      <w:r w:rsidRPr="004E2D6E">
        <w:rPr>
          <w:rFonts w:asciiTheme="minorHAnsi" w:hAnsiTheme="minorHAnsi" w:cstheme="minorHAnsi"/>
          <w:i/>
        </w:rPr>
        <w:t>schválení dohody s</w:t>
      </w:r>
      <w:r w:rsidR="000F3849" w:rsidRPr="004E2D6E">
        <w:rPr>
          <w:rFonts w:asciiTheme="minorHAnsi" w:hAnsiTheme="minorHAnsi" w:cstheme="minorHAnsi"/>
          <w:i/>
        </w:rPr>
        <w:t xml:space="preserve"> </w:t>
      </w:r>
      <w:r w:rsidRPr="004E2D6E">
        <w:rPr>
          <w:rFonts w:asciiTheme="minorHAnsi" w:hAnsiTheme="minorHAnsi" w:cstheme="minorHAnsi"/>
          <w:i/>
        </w:rPr>
        <w:t>členskými státy o pořízení očkovacích látek proti COVID-19 jménem členských států a souvisejících postupech</w:t>
      </w:r>
      <w:r w:rsidRPr="00D66D0D">
        <w:rPr>
          <w:rFonts w:asciiTheme="minorHAnsi" w:hAnsiTheme="minorHAnsi" w:cstheme="minorHAnsi"/>
        </w:rPr>
        <w:t>, kterým se Komise a členské státy dohodly na zmocnění Komise k</w:t>
      </w:r>
      <w:r w:rsidR="00A57CB8">
        <w:rPr>
          <w:rFonts w:asciiTheme="minorHAnsi" w:hAnsiTheme="minorHAnsi" w:cstheme="minorHAnsi"/>
        </w:rPr>
        <w:t xml:space="preserve"> </w:t>
      </w:r>
      <w:r w:rsidRPr="00D66D0D">
        <w:rPr>
          <w:rFonts w:asciiTheme="minorHAnsi" w:hAnsiTheme="minorHAnsi" w:cstheme="minorHAnsi"/>
        </w:rPr>
        <w:t>uzavírání</w:t>
      </w:r>
      <w:r>
        <w:rPr>
          <w:rFonts w:asciiTheme="minorHAnsi" w:hAnsiTheme="minorHAnsi" w:cstheme="minorHAnsi"/>
        </w:rPr>
        <w:t xml:space="preserve"> tzv.</w:t>
      </w:r>
      <w:r w:rsidRPr="00D66D0D">
        <w:rPr>
          <w:rFonts w:asciiTheme="minorHAnsi" w:hAnsiTheme="minorHAnsi" w:cstheme="minorHAnsi"/>
        </w:rPr>
        <w:t xml:space="preserve"> </w:t>
      </w:r>
      <w:r w:rsidRPr="000E2B70">
        <w:rPr>
          <w:rFonts w:asciiTheme="minorHAnsi" w:hAnsiTheme="minorHAnsi" w:cstheme="minorHAnsi"/>
        </w:rPr>
        <w:t xml:space="preserve">„APA“ – </w:t>
      </w:r>
      <w:proofErr w:type="spellStart"/>
      <w:r w:rsidRPr="000E2B70">
        <w:rPr>
          <w:rFonts w:asciiTheme="minorHAnsi" w:hAnsiTheme="minorHAnsi" w:cstheme="minorHAnsi"/>
        </w:rPr>
        <w:t>Advance</w:t>
      </w:r>
      <w:r w:rsidR="00391821">
        <w:rPr>
          <w:rFonts w:asciiTheme="minorHAnsi" w:hAnsiTheme="minorHAnsi" w:cstheme="minorHAnsi"/>
        </w:rPr>
        <w:t>d</w:t>
      </w:r>
      <w:proofErr w:type="spellEnd"/>
      <w:r w:rsidRPr="000E2B70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</w:t>
      </w:r>
      <w:r w:rsidRPr="000E2B70">
        <w:rPr>
          <w:rFonts w:asciiTheme="minorHAnsi" w:hAnsiTheme="minorHAnsi" w:cstheme="minorHAnsi"/>
        </w:rPr>
        <w:t>urchase</w:t>
      </w:r>
      <w:proofErr w:type="spellEnd"/>
      <w:r w:rsidRPr="000E2B70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</w:t>
      </w:r>
      <w:r w:rsidRPr="000E2B70">
        <w:rPr>
          <w:rFonts w:asciiTheme="minorHAnsi" w:hAnsiTheme="minorHAnsi" w:cstheme="minorHAnsi"/>
        </w:rPr>
        <w:t>greement</w:t>
      </w:r>
      <w:r>
        <w:rPr>
          <w:rFonts w:asciiTheme="minorHAnsi" w:hAnsiTheme="minorHAnsi" w:cstheme="minorHAnsi"/>
        </w:rPr>
        <w:t>s</w:t>
      </w:r>
      <w:proofErr w:type="spellEnd"/>
      <w:r w:rsidRPr="00D66D0D">
        <w:rPr>
          <w:rFonts w:asciiTheme="minorHAnsi" w:hAnsiTheme="minorHAnsi" w:cstheme="minorHAnsi"/>
        </w:rPr>
        <w:t xml:space="preserve"> s výrobci očkovacích látek </w:t>
      </w:r>
      <w:r w:rsidRPr="00106007">
        <w:rPr>
          <w:rFonts w:asciiTheme="minorHAnsi" w:hAnsiTheme="minorHAnsi" w:cstheme="minorHAnsi"/>
        </w:rPr>
        <w:t>(dále také „předběžné dohody o nákupu“)</w:t>
      </w:r>
      <w:r>
        <w:rPr>
          <w:rStyle w:val="Znakapoznpodarou"/>
          <w:rFonts w:asciiTheme="minorHAnsi" w:hAnsiTheme="minorHAnsi" w:cstheme="minorHAnsi"/>
        </w:rPr>
        <w:footnoteReference w:id="36"/>
      </w:r>
      <w:r w:rsidRPr="00D66D0D">
        <w:rPr>
          <w:rFonts w:asciiTheme="minorHAnsi" w:hAnsiTheme="minorHAnsi" w:cstheme="minorHAnsi"/>
        </w:rPr>
        <w:t xml:space="preserve">. </w:t>
      </w:r>
    </w:p>
    <w:p w14:paraId="34A4F126" w14:textId="49390AA6" w:rsidR="0077673C" w:rsidRDefault="006767AD" w:rsidP="006767A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jednotlivými výrobci vakcín vyjednává jménem členských států Komise</w:t>
      </w:r>
      <w:r w:rsidRPr="00037903">
        <w:rPr>
          <w:rFonts w:asciiTheme="minorHAnsi" w:hAnsiTheme="minorHAnsi" w:cstheme="minorHAnsi"/>
        </w:rPr>
        <w:t xml:space="preserve">. Pokud </w:t>
      </w:r>
      <w:r w:rsidR="00A57CB8" w:rsidRPr="00037903">
        <w:rPr>
          <w:rFonts w:asciiTheme="minorHAnsi" w:hAnsiTheme="minorHAnsi" w:cstheme="minorHAnsi"/>
        </w:rPr>
        <w:t xml:space="preserve">má </w:t>
      </w:r>
      <w:r w:rsidRPr="00037903">
        <w:rPr>
          <w:rFonts w:asciiTheme="minorHAnsi" w:hAnsiTheme="minorHAnsi" w:cstheme="minorHAnsi"/>
        </w:rPr>
        <w:t>Komise v úmyslu uzavřít předběžnou dohodu o nákupu obsahující povinnost pořídit dávky vakcín, informuje o tom členské státy</w:t>
      </w:r>
      <w:r w:rsidR="00A57CB8">
        <w:rPr>
          <w:rFonts w:asciiTheme="minorHAnsi" w:hAnsiTheme="minorHAnsi" w:cstheme="minorHAnsi"/>
        </w:rPr>
        <w:t xml:space="preserve"> a ty</w:t>
      </w:r>
      <w:r w:rsidRPr="00037903">
        <w:rPr>
          <w:rFonts w:asciiTheme="minorHAnsi" w:hAnsiTheme="minorHAnsi" w:cstheme="minorHAnsi"/>
        </w:rPr>
        <w:t xml:space="preserve"> mají právo rozhodnout o své neúčasti (</w:t>
      </w:r>
      <w:r w:rsidR="00A57CB8">
        <w:rPr>
          <w:rFonts w:asciiTheme="minorHAnsi" w:hAnsiTheme="minorHAnsi" w:cstheme="minorHAnsi"/>
        </w:rPr>
        <w:t xml:space="preserve">v takovém případě </w:t>
      </w:r>
      <w:r w:rsidRPr="00037903">
        <w:rPr>
          <w:rFonts w:asciiTheme="minorHAnsi" w:hAnsiTheme="minorHAnsi" w:cstheme="minorHAnsi"/>
        </w:rPr>
        <w:lastRenderedPageBreak/>
        <w:t>oznámí do pěti pracovních dnů Komisi své rozhodnutí o neúčasti) nebo účasti (pokud nerozhodly do pěti pracovních dnů o své neúčasti)</w:t>
      </w:r>
      <w:r w:rsidRPr="00037903">
        <w:rPr>
          <w:rStyle w:val="Znakapoznpodarou"/>
          <w:rFonts w:asciiTheme="minorHAnsi" w:hAnsiTheme="minorHAnsi" w:cstheme="minorHAnsi"/>
        </w:rPr>
        <w:footnoteReference w:id="37"/>
      </w:r>
      <w:r w:rsidRPr="00037903">
        <w:rPr>
          <w:rFonts w:asciiTheme="minorHAnsi" w:hAnsiTheme="minorHAnsi" w:cstheme="minorHAnsi"/>
        </w:rPr>
        <w:t xml:space="preserve">. </w:t>
      </w:r>
    </w:p>
    <w:p w14:paraId="36C40490" w14:textId="77777777" w:rsidR="0077673C" w:rsidRDefault="006767AD" w:rsidP="006767AD">
      <w:pPr>
        <w:jc w:val="both"/>
        <w:rPr>
          <w:rFonts w:asciiTheme="minorHAnsi" w:hAnsiTheme="minorHAnsi" w:cstheme="minorHAnsi"/>
        </w:rPr>
      </w:pPr>
      <w:r w:rsidRPr="00037903">
        <w:rPr>
          <w:rFonts w:asciiTheme="minorHAnsi" w:hAnsiTheme="minorHAnsi" w:cstheme="minorHAnsi"/>
        </w:rPr>
        <w:t xml:space="preserve">Pro účastnické členské státy je uzavřená předběžná dohoda o nákupu závazná. O uzavření </w:t>
      </w:r>
      <w:r w:rsidR="002A31A3">
        <w:rPr>
          <w:rFonts w:asciiTheme="minorHAnsi" w:hAnsiTheme="minorHAnsi" w:cstheme="minorHAnsi"/>
        </w:rPr>
        <w:t xml:space="preserve">či neuzavření </w:t>
      </w:r>
      <w:r w:rsidRPr="00037903">
        <w:rPr>
          <w:rFonts w:asciiTheme="minorHAnsi" w:hAnsiTheme="minorHAnsi" w:cstheme="minorHAnsi"/>
        </w:rPr>
        <w:t xml:space="preserve">jednotlivých předběžných dohod o nákupu na národní úrovni (o účasti/neúčasti na předběžných dohodách o nákupu, které </w:t>
      </w:r>
      <w:r w:rsidR="00DC554E">
        <w:rPr>
          <w:rFonts w:asciiTheme="minorHAnsi" w:hAnsiTheme="minorHAnsi" w:cstheme="minorHAnsi"/>
        </w:rPr>
        <w:t>K</w:t>
      </w:r>
      <w:r w:rsidRPr="00037903">
        <w:rPr>
          <w:rFonts w:asciiTheme="minorHAnsi" w:hAnsiTheme="minorHAnsi" w:cstheme="minorHAnsi"/>
        </w:rPr>
        <w:t xml:space="preserve">omise dojedná s výrobci kandidátních vakcín) rozhoduje v ČR ministr zdravotnictví. </w:t>
      </w:r>
    </w:p>
    <w:p w14:paraId="18EFE646" w14:textId="77777777" w:rsidR="0077673C" w:rsidRDefault="006767AD" w:rsidP="006767AD">
      <w:pPr>
        <w:jc w:val="both"/>
        <w:rPr>
          <w:rFonts w:asciiTheme="minorHAnsi" w:hAnsiTheme="minorHAnsi" w:cstheme="minorHAnsi"/>
        </w:rPr>
      </w:pPr>
      <w:r w:rsidRPr="00F245BB">
        <w:rPr>
          <w:rFonts w:asciiTheme="minorHAnsi" w:hAnsiTheme="minorHAnsi" w:cstheme="minorHAnsi"/>
        </w:rPr>
        <w:t>Předběžné dohody o nákupu se řídí zákony Belgie</w:t>
      </w:r>
      <w:r w:rsidRPr="00F245BB">
        <w:rPr>
          <w:rStyle w:val="Znakapoznpodarou"/>
          <w:rFonts w:asciiTheme="minorHAnsi" w:hAnsiTheme="minorHAnsi" w:cstheme="minorHAnsi"/>
        </w:rPr>
        <w:footnoteReference w:id="38"/>
      </w:r>
      <w:r w:rsidRPr="00F245BB">
        <w:rPr>
          <w:rFonts w:asciiTheme="minorHAnsi" w:hAnsiTheme="minorHAnsi" w:cstheme="minorHAnsi"/>
        </w:rPr>
        <w:t>, belgické právo je</w:t>
      </w:r>
      <w:r w:rsidR="0029604E">
        <w:rPr>
          <w:rFonts w:asciiTheme="minorHAnsi" w:hAnsiTheme="minorHAnsi" w:cstheme="minorHAnsi"/>
        </w:rPr>
        <w:t xml:space="preserve"> </w:t>
      </w:r>
      <w:r w:rsidR="0077673C">
        <w:rPr>
          <w:rFonts w:asciiTheme="minorHAnsi" w:hAnsiTheme="minorHAnsi" w:cstheme="minorHAnsi"/>
        </w:rPr>
        <w:t>tak</w:t>
      </w:r>
      <w:r w:rsidRPr="00F245BB">
        <w:rPr>
          <w:rFonts w:asciiTheme="minorHAnsi" w:hAnsiTheme="minorHAnsi" w:cstheme="minorHAnsi"/>
        </w:rPr>
        <w:t xml:space="preserve"> rozhodným právem</w:t>
      </w:r>
      <w:r w:rsidR="0029604E">
        <w:rPr>
          <w:rFonts w:asciiTheme="minorHAnsi" w:hAnsiTheme="minorHAnsi" w:cstheme="minorHAnsi"/>
        </w:rPr>
        <w:t xml:space="preserve"> pro tyto nákupy</w:t>
      </w:r>
      <w:r w:rsidRPr="00F245BB">
        <w:rPr>
          <w:rFonts w:asciiTheme="minorHAnsi" w:hAnsiTheme="minorHAnsi" w:cstheme="minorHAnsi"/>
        </w:rPr>
        <w:t xml:space="preserve">. </w:t>
      </w:r>
    </w:p>
    <w:p w14:paraId="4661DCBA" w14:textId="1F1B254F" w:rsidR="0077673C" w:rsidRDefault="006767AD" w:rsidP="006767AD">
      <w:pPr>
        <w:jc w:val="both"/>
        <w:rPr>
          <w:rFonts w:asciiTheme="minorHAnsi" w:hAnsiTheme="minorHAnsi" w:cstheme="minorHAnsi"/>
        </w:rPr>
      </w:pPr>
      <w:r w:rsidRPr="00F245BB">
        <w:rPr>
          <w:rFonts w:asciiTheme="minorHAnsi" w:hAnsiTheme="minorHAnsi" w:cstheme="minorHAnsi"/>
        </w:rPr>
        <w:t>Komise je zodpovědná za postup zadávání veřejných zakázek na dodavatele vakcín</w:t>
      </w:r>
      <w:r w:rsidRPr="00F245BB">
        <w:rPr>
          <w:rFonts w:asciiTheme="minorHAnsi" w:hAnsiTheme="minorHAnsi" w:cstheme="minorHAnsi"/>
          <w:vertAlign w:val="superscript"/>
        </w:rPr>
        <w:footnoteReference w:id="39"/>
      </w:r>
      <w:r w:rsidRPr="00F245BB">
        <w:rPr>
          <w:rFonts w:asciiTheme="minorHAnsi" w:hAnsiTheme="minorHAnsi" w:cstheme="minorHAnsi"/>
        </w:rPr>
        <w:t xml:space="preserve"> a za uzavírání předběžných dohod o nákupu s</w:t>
      </w:r>
      <w:r w:rsidR="00EF65D1">
        <w:rPr>
          <w:rFonts w:asciiTheme="minorHAnsi" w:hAnsiTheme="minorHAnsi" w:cstheme="minorHAnsi"/>
        </w:rPr>
        <w:t> vybranými dodavateli</w:t>
      </w:r>
      <w:r w:rsidRPr="00F245BB">
        <w:rPr>
          <w:rFonts w:asciiTheme="minorHAnsi" w:hAnsiTheme="minorHAnsi" w:cstheme="minorHAnsi"/>
        </w:rPr>
        <w:t xml:space="preserve">. Účastnické členské státy se zavázaly nevyjednávat samostatně a nezahájit vlastní řízení o předběžném nákupu s týmiž výrobci. </w:t>
      </w:r>
    </w:p>
    <w:p w14:paraId="335DA87C" w14:textId="77777777" w:rsidR="006767AD" w:rsidRPr="00A21AC3" w:rsidRDefault="006767AD" w:rsidP="006767AD">
      <w:pPr>
        <w:jc w:val="both"/>
        <w:rPr>
          <w:rFonts w:asciiTheme="minorHAnsi" w:hAnsiTheme="minorHAnsi" w:cstheme="minorHAnsi"/>
          <w:u w:val="single"/>
        </w:rPr>
      </w:pPr>
      <w:r w:rsidRPr="00A21AC3">
        <w:rPr>
          <w:rFonts w:asciiTheme="minorHAnsi" w:hAnsiTheme="minorHAnsi" w:cstheme="minorHAnsi"/>
          <w:u w:val="single"/>
        </w:rPr>
        <w:t>Financování proběhlo:</w:t>
      </w:r>
    </w:p>
    <w:p w14:paraId="2B155984" w14:textId="2B70A41F" w:rsidR="006767AD" w:rsidRPr="00F245BB" w:rsidRDefault="006767AD" w:rsidP="006767AD">
      <w:pPr>
        <w:pStyle w:val="Odstavecseseznamem"/>
        <w:numPr>
          <w:ilvl w:val="0"/>
          <w:numId w:val="24"/>
        </w:numPr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245BB">
        <w:rPr>
          <w:rFonts w:asciiTheme="minorHAnsi" w:hAnsiTheme="minorHAnsi" w:cstheme="minorHAnsi"/>
          <w:u w:val="single"/>
        </w:rPr>
        <w:t xml:space="preserve">částečně na </w:t>
      </w:r>
      <w:r w:rsidR="00EF65D1">
        <w:rPr>
          <w:rFonts w:asciiTheme="minorHAnsi" w:hAnsiTheme="minorHAnsi" w:cstheme="minorHAnsi"/>
          <w:u w:val="single"/>
        </w:rPr>
        <w:t>unijní</w:t>
      </w:r>
      <w:r w:rsidRPr="00F245BB">
        <w:rPr>
          <w:rFonts w:asciiTheme="minorHAnsi" w:hAnsiTheme="minorHAnsi" w:cstheme="minorHAnsi"/>
          <w:u w:val="single"/>
        </w:rPr>
        <w:t xml:space="preserve"> úrovni</w:t>
      </w:r>
      <w:r w:rsidRPr="00F245BB">
        <w:rPr>
          <w:rFonts w:asciiTheme="minorHAnsi" w:hAnsiTheme="minorHAnsi" w:cstheme="minorHAnsi"/>
        </w:rPr>
        <w:t xml:space="preserve"> formou úhrady zálohy předem za přednostní přístup k vakcíně, zmírnění rizika</w:t>
      </w:r>
      <w:r w:rsidR="0029604E">
        <w:rPr>
          <w:rFonts w:asciiTheme="minorHAnsi" w:hAnsiTheme="minorHAnsi" w:cstheme="minorHAnsi"/>
        </w:rPr>
        <w:t xml:space="preserve"> a</w:t>
      </w:r>
      <w:r w:rsidRPr="00F245BB">
        <w:rPr>
          <w:rFonts w:asciiTheme="minorHAnsi" w:hAnsiTheme="minorHAnsi" w:cstheme="minorHAnsi"/>
        </w:rPr>
        <w:t xml:space="preserve"> na pokrytí operačních nákladů (</w:t>
      </w:r>
      <w:r w:rsidR="0029604E">
        <w:rPr>
          <w:rFonts w:asciiTheme="minorHAnsi" w:hAnsiTheme="minorHAnsi" w:cstheme="minorHAnsi"/>
        </w:rPr>
        <w:t>f</w:t>
      </w:r>
      <w:r w:rsidRPr="00F245BB">
        <w:rPr>
          <w:rFonts w:asciiTheme="minorHAnsi" w:hAnsiTheme="minorHAnsi" w:cstheme="minorHAnsi"/>
        </w:rPr>
        <w:t>inanční prostředky dle nařízení pro mimořádnou podporu</w:t>
      </w:r>
      <w:r w:rsidRPr="00F245BB">
        <w:rPr>
          <w:vertAlign w:val="superscript"/>
        </w:rPr>
        <w:footnoteReference w:id="40"/>
      </w:r>
      <w:r w:rsidRPr="00F245BB">
        <w:rPr>
          <w:rFonts w:asciiTheme="minorHAnsi" w:hAnsiTheme="minorHAnsi" w:cstheme="minorHAnsi"/>
        </w:rPr>
        <w:t>)</w:t>
      </w:r>
      <w:r w:rsidR="00EF65D1">
        <w:rPr>
          <w:rFonts w:asciiTheme="minorHAnsi" w:hAnsiTheme="minorHAnsi" w:cstheme="minorHAnsi"/>
        </w:rPr>
        <w:t>;</w:t>
      </w:r>
      <w:r w:rsidRPr="00F245BB">
        <w:rPr>
          <w:rFonts w:asciiTheme="minorHAnsi" w:hAnsiTheme="minorHAnsi" w:cstheme="minorHAnsi"/>
        </w:rPr>
        <w:t xml:space="preserve"> </w:t>
      </w:r>
    </w:p>
    <w:p w14:paraId="6D17E6D4" w14:textId="62A0EE81" w:rsidR="006767AD" w:rsidRPr="00F245BB" w:rsidRDefault="006767AD" w:rsidP="006767AD">
      <w:pPr>
        <w:pStyle w:val="Odstavecseseznamem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F245BB">
        <w:rPr>
          <w:rFonts w:asciiTheme="minorHAnsi" w:hAnsiTheme="minorHAnsi" w:cstheme="minorHAnsi"/>
          <w:u w:val="single"/>
        </w:rPr>
        <w:t>částečně na úrovni účastnických členských států</w:t>
      </w:r>
      <w:r w:rsidRPr="00F245BB">
        <w:rPr>
          <w:rFonts w:asciiTheme="minorHAnsi" w:hAnsiTheme="minorHAnsi" w:cstheme="minorHAnsi"/>
        </w:rPr>
        <w:t xml:space="preserve"> při nákupu vakcín dle </w:t>
      </w:r>
      <w:proofErr w:type="spellStart"/>
      <w:r w:rsidRPr="00F245BB">
        <w:rPr>
          <w:rFonts w:asciiTheme="minorHAnsi" w:hAnsiTheme="minorHAnsi" w:cstheme="minorHAnsi"/>
        </w:rPr>
        <w:t>vysoutěžené</w:t>
      </w:r>
      <w:proofErr w:type="spellEnd"/>
      <w:r w:rsidRPr="00F245BB">
        <w:rPr>
          <w:rFonts w:asciiTheme="minorHAnsi" w:hAnsiTheme="minorHAnsi" w:cstheme="minorHAnsi"/>
        </w:rPr>
        <w:t xml:space="preserve"> ceny za dávku s tím, že sjednána </w:t>
      </w:r>
      <w:r w:rsidR="00EF65D1">
        <w:rPr>
          <w:rFonts w:asciiTheme="minorHAnsi" w:hAnsiTheme="minorHAnsi" w:cstheme="minorHAnsi"/>
        </w:rPr>
        <w:t>mohla</w:t>
      </w:r>
      <w:r w:rsidR="00EF65D1" w:rsidRPr="00F245BB">
        <w:rPr>
          <w:rFonts w:asciiTheme="minorHAnsi" w:hAnsiTheme="minorHAnsi" w:cstheme="minorHAnsi"/>
        </w:rPr>
        <w:t xml:space="preserve"> </w:t>
      </w:r>
      <w:r w:rsidRPr="00F245BB">
        <w:rPr>
          <w:rFonts w:asciiTheme="minorHAnsi" w:hAnsiTheme="minorHAnsi" w:cstheme="minorHAnsi"/>
        </w:rPr>
        <w:t>být i platba členského státu zálohově předem</w:t>
      </w:r>
      <w:r w:rsidRPr="00F245BB">
        <w:rPr>
          <w:vertAlign w:val="superscript"/>
        </w:rPr>
        <w:footnoteReference w:id="41"/>
      </w:r>
      <w:r w:rsidRPr="00F245BB">
        <w:rPr>
          <w:rFonts w:asciiTheme="minorHAnsi" w:hAnsiTheme="minorHAnsi" w:cstheme="minorHAnsi"/>
        </w:rPr>
        <w:t xml:space="preserve"> (o zálohy se následně sníž</w:t>
      </w:r>
      <w:r w:rsidR="00EF65D1">
        <w:rPr>
          <w:rFonts w:asciiTheme="minorHAnsi" w:hAnsiTheme="minorHAnsi" w:cstheme="minorHAnsi"/>
        </w:rPr>
        <w:t>ila</w:t>
      </w:r>
      <w:r w:rsidRPr="00F245BB">
        <w:rPr>
          <w:rFonts w:asciiTheme="minorHAnsi" w:hAnsiTheme="minorHAnsi" w:cstheme="minorHAnsi"/>
        </w:rPr>
        <w:t xml:space="preserve"> částka, kterou členské státy plati</w:t>
      </w:r>
      <w:r w:rsidR="00EF65D1">
        <w:rPr>
          <w:rFonts w:asciiTheme="minorHAnsi" w:hAnsiTheme="minorHAnsi" w:cstheme="minorHAnsi"/>
        </w:rPr>
        <w:t>ly</w:t>
      </w:r>
      <w:r w:rsidRPr="00F245BB">
        <w:rPr>
          <w:rFonts w:asciiTheme="minorHAnsi" w:hAnsiTheme="minorHAnsi" w:cstheme="minorHAnsi"/>
        </w:rPr>
        <w:t xml:space="preserve"> při konečné koupi vakcín). Účastnické členské státy hrad</w:t>
      </w:r>
      <w:r w:rsidR="00EF65D1">
        <w:rPr>
          <w:rFonts w:asciiTheme="minorHAnsi" w:hAnsiTheme="minorHAnsi" w:cstheme="minorHAnsi"/>
        </w:rPr>
        <w:t>ily</w:t>
      </w:r>
      <w:r w:rsidRPr="00F245BB">
        <w:rPr>
          <w:rFonts w:asciiTheme="minorHAnsi" w:hAnsiTheme="minorHAnsi" w:cstheme="minorHAnsi"/>
        </w:rPr>
        <w:t xml:space="preserve"> platbu přímo na účet výrobce. </w:t>
      </w:r>
    </w:p>
    <w:p w14:paraId="48FF56F7" w14:textId="77777777" w:rsidR="006767AD" w:rsidRPr="00037903" w:rsidRDefault="006767AD" w:rsidP="00F245BB">
      <w:pPr>
        <w:spacing w:after="0"/>
        <w:jc w:val="both"/>
        <w:rPr>
          <w:rFonts w:asciiTheme="minorHAnsi" w:hAnsiTheme="minorHAnsi" w:cstheme="minorHAnsi"/>
          <w:highlight w:val="yellow"/>
        </w:rPr>
      </w:pPr>
    </w:p>
    <w:p w14:paraId="06B816A1" w14:textId="455E7728" w:rsidR="006767AD" w:rsidRPr="00F245BB" w:rsidRDefault="006767AD" w:rsidP="006767AD">
      <w:pPr>
        <w:jc w:val="both"/>
        <w:rPr>
          <w:rFonts w:asciiTheme="minorHAnsi" w:hAnsiTheme="minorHAnsi" w:cstheme="minorHAnsi"/>
        </w:rPr>
      </w:pPr>
      <w:r w:rsidRPr="00F245BB">
        <w:rPr>
          <w:rFonts w:asciiTheme="minorHAnsi" w:hAnsiTheme="minorHAnsi" w:cstheme="minorHAnsi"/>
        </w:rPr>
        <w:t>Mechanismus rozdělování vakcín byl nastaven tak, že pokud účastnický členský stát neoznámil požadované množství, bylo mu automaticky přiděleno pomě</w:t>
      </w:r>
      <w:r w:rsidR="00EF65D1">
        <w:rPr>
          <w:rFonts w:asciiTheme="minorHAnsi" w:hAnsiTheme="minorHAnsi" w:cstheme="minorHAnsi"/>
        </w:rPr>
        <w:t>rné</w:t>
      </w:r>
      <w:r w:rsidRPr="00F245BB">
        <w:rPr>
          <w:rFonts w:asciiTheme="minorHAnsi" w:hAnsiTheme="minorHAnsi" w:cstheme="minorHAnsi"/>
        </w:rPr>
        <w:t xml:space="preserve"> množství. V momentě, kdy zájem přesáhl nabízené </w:t>
      </w:r>
      <w:r w:rsidR="009F6226">
        <w:rPr>
          <w:rFonts w:asciiTheme="minorHAnsi" w:hAnsiTheme="minorHAnsi" w:cstheme="minorHAnsi"/>
        </w:rPr>
        <w:t>kapacity</w:t>
      </w:r>
      <w:r w:rsidRPr="00F245BB">
        <w:rPr>
          <w:rFonts w:asciiTheme="minorHAnsi" w:hAnsiTheme="minorHAnsi" w:cstheme="minorHAnsi"/>
        </w:rPr>
        <w:t xml:space="preserve">, bylo dodávané množství děleno mezi členské účastnické státy v poměru </w:t>
      </w:r>
      <w:r w:rsidR="00EF65D1">
        <w:rPr>
          <w:rFonts w:asciiTheme="minorHAnsi" w:hAnsiTheme="minorHAnsi" w:cstheme="minorHAnsi"/>
        </w:rPr>
        <w:t xml:space="preserve">dle </w:t>
      </w:r>
      <w:r w:rsidRPr="00F245BB">
        <w:rPr>
          <w:rFonts w:asciiTheme="minorHAnsi" w:hAnsiTheme="minorHAnsi" w:cstheme="minorHAnsi"/>
        </w:rPr>
        <w:t>počtu obyvatel</w:t>
      </w:r>
      <w:r w:rsidR="00EF65D1">
        <w:rPr>
          <w:rFonts w:asciiTheme="minorHAnsi" w:hAnsiTheme="minorHAnsi" w:cstheme="minorHAnsi"/>
        </w:rPr>
        <w:t xml:space="preserve"> na základě</w:t>
      </w:r>
      <w:r w:rsidR="00F245BB" w:rsidRPr="00F245BB">
        <w:rPr>
          <w:rFonts w:asciiTheme="minorHAnsi" w:hAnsiTheme="minorHAnsi" w:cstheme="minorHAnsi"/>
        </w:rPr>
        <w:t xml:space="preserve"> </w:t>
      </w:r>
      <w:r w:rsidRPr="00F245BB">
        <w:rPr>
          <w:rFonts w:asciiTheme="minorHAnsi" w:hAnsiTheme="minorHAnsi" w:cstheme="minorHAnsi"/>
        </w:rPr>
        <w:t>tzv. populační</w:t>
      </w:r>
      <w:r w:rsidR="00F245BB" w:rsidRPr="00F245BB">
        <w:rPr>
          <w:rFonts w:asciiTheme="minorHAnsi" w:hAnsiTheme="minorHAnsi" w:cstheme="minorHAnsi"/>
        </w:rPr>
        <w:t>ho</w:t>
      </w:r>
      <w:r w:rsidRPr="00F245BB">
        <w:rPr>
          <w:rFonts w:asciiTheme="minorHAnsi" w:hAnsiTheme="minorHAnsi" w:cstheme="minorHAnsi"/>
        </w:rPr>
        <w:t xml:space="preserve"> distribuční</w:t>
      </w:r>
      <w:r w:rsidR="00F245BB" w:rsidRPr="00F245BB">
        <w:rPr>
          <w:rFonts w:asciiTheme="minorHAnsi" w:hAnsiTheme="minorHAnsi" w:cstheme="minorHAnsi"/>
        </w:rPr>
        <w:t>ho</w:t>
      </w:r>
      <w:r w:rsidRPr="00F245BB">
        <w:rPr>
          <w:rFonts w:asciiTheme="minorHAnsi" w:hAnsiTheme="minorHAnsi" w:cstheme="minorHAnsi"/>
        </w:rPr>
        <w:t xml:space="preserve"> klíč</w:t>
      </w:r>
      <w:r w:rsidR="00F245BB" w:rsidRPr="00F245BB">
        <w:rPr>
          <w:rFonts w:asciiTheme="minorHAnsi" w:hAnsiTheme="minorHAnsi" w:cstheme="minorHAnsi"/>
        </w:rPr>
        <w:t>e</w:t>
      </w:r>
      <w:r w:rsidRPr="00F245BB">
        <w:rPr>
          <w:rFonts w:asciiTheme="minorHAnsi" w:hAnsiTheme="minorHAnsi" w:cstheme="minorHAnsi"/>
        </w:rPr>
        <w:t>.</w:t>
      </w:r>
    </w:p>
    <w:p w14:paraId="5F48CA3F" w14:textId="77777777" w:rsidR="006767AD" w:rsidRPr="00F245BB" w:rsidRDefault="006767AD" w:rsidP="006767AD">
      <w:pPr>
        <w:jc w:val="both"/>
        <w:rPr>
          <w:rFonts w:asciiTheme="minorHAnsi" w:hAnsiTheme="minorHAnsi" w:cstheme="minorHAnsi"/>
        </w:rPr>
      </w:pPr>
      <w:r w:rsidRPr="00F245BB">
        <w:rPr>
          <w:rFonts w:asciiTheme="minorHAnsi" w:hAnsiTheme="minorHAnsi" w:cstheme="minorHAnsi"/>
        </w:rPr>
        <w:t xml:space="preserve">Po vyčerpání dohodnutého počtu dávek dle předběžných dohod o nákupu uzavírala Komise s výrobci kupní smlouvy (PA – </w:t>
      </w:r>
      <w:proofErr w:type="spellStart"/>
      <w:r w:rsidRPr="00F245BB">
        <w:rPr>
          <w:rFonts w:asciiTheme="minorHAnsi" w:hAnsiTheme="minorHAnsi" w:cstheme="minorHAnsi"/>
        </w:rPr>
        <w:t>Purchase</w:t>
      </w:r>
      <w:proofErr w:type="spellEnd"/>
      <w:r w:rsidRPr="00F245BB">
        <w:rPr>
          <w:rFonts w:asciiTheme="minorHAnsi" w:hAnsiTheme="minorHAnsi" w:cstheme="minorHAnsi"/>
        </w:rPr>
        <w:t xml:space="preserve"> </w:t>
      </w:r>
      <w:proofErr w:type="spellStart"/>
      <w:r w:rsidRPr="00F245BB">
        <w:rPr>
          <w:rFonts w:asciiTheme="minorHAnsi" w:hAnsiTheme="minorHAnsi" w:cstheme="minorHAnsi"/>
        </w:rPr>
        <w:t>Agreement</w:t>
      </w:r>
      <w:proofErr w:type="spellEnd"/>
      <w:r w:rsidRPr="00F245BB">
        <w:rPr>
          <w:rFonts w:asciiTheme="minorHAnsi" w:hAnsiTheme="minorHAnsi" w:cstheme="minorHAnsi"/>
        </w:rPr>
        <w:t>), k nimž se členské státy připojovaly obdobným způsobem. PA se rovněž řídí belgickým právem.</w:t>
      </w:r>
    </w:p>
    <w:p w14:paraId="0683AFBA" w14:textId="77777777" w:rsidR="006767AD" w:rsidRPr="00F245BB" w:rsidRDefault="006767AD" w:rsidP="004E2D6E">
      <w:pPr>
        <w:keepNext/>
        <w:jc w:val="both"/>
        <w:rPr>
          <w:rFonts w:asciiTheme="minorHAnsi" w:hAnsiTheme="minorHAnsi" w:cstheme="minorHAnsi"/>
        </w:rPr>
      </w:pPr>
      <w:r w:rsidRPr="00F245BB">
        <w:rPr>
          <w:rFonts w:asciiTheme="minorHAnsi" w:hAnsiTheme="minorHAnsi" w:cstheme="minorHAnsi"/>
        </w:rPr>
        <w:lastRenderedPageBreak/>
        <w:t>Soupis smluv uzavřených mezi Komisí a výrobci uvádí následující tabulka:</w:t>
      </w:r>
    </w:p>
    <w:p w14:paraId="04F92813" w14:textId="77777777" w:rsidR="006767AD" w:rsidRPr="00F245BB" w:rsidRDefault="006767AD" w:rsidP="00F245BB">
      <w:pPr>
        <w:keepNext/>
        <w:spacing w:after="40"/>
        <w:rPr>
          <w:rFonts w:cs="Arial"/>
          <w:b/>
        </w:rPr>
      </w:pPr>
      <w:r w:rsidRPr="00F245BB">
        <w:rPr>
          <w:rFonts w:cs="Arial"/>
          <w:b/>
        </w:rPr>
        <w:t>Tabulka</w:t>
      </w:r>
      <w:r w:rsidR="00F245BB">
        <w:rPr>
          <w:rFonts w:cs="Arial"/>
          <w:b/>
        </w:rPr>
        <w:t xml:space="preserve"> č.</w:t>
      </w:r>
      <w:r w:rsidRPr="00F245BB">
        <w:rPr>
          <w:rFonts w:cs="Arial"/>
          <w:b/>
        </w:rPr>
        <w:t xml:space="preserve"> </w:t>
      </w:r>
      <w:r w:rsidR="00F54D0E">
        <w:rPr>
          <w:rFonts w:cs="Arial"/>
          <w:b/>
        </w:rPr>
        <w:t>6</w:t>
      </w:r>
      <w:r w:rsidRPr="00F245BB">
        <w:rPr>
          <w:rFonts w:cs="Arial"/>
          <w:b/>
        </w:rPr>
        <w:t>: Přehled smluv uzavřených mezi Komisí a výrobci vakcín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463"/>
        <w:gridCol w:w="3005"/>
      </w:tblGrid>
      <w:tr w:rsidR="006767AD" w:rsidRPr="00037903" w14:paraId="0881E989" w14:textId="77777777" w:rsidTr="004E2D6E">
        <w:trPr>
          <w:trHeight w:val="374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583088A" w14:textId="77777777" w:rsidR="006767AD" w:rsidRPr="00F245BB" w:rsidRDefault="006767AD" w:rsidP="00F245B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  <w:t>Výrobce vakcíny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EEB7357" w14:textId="77777777" w:rsidR="006767AD" w:rsidRPr="00F245BB" w:rsidRDefault="006767AD" w:rsidP="00F245B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  <w:t>Smlouva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9B4CF4F" w14:textId="77777777" w:rsidR="006767AD" w:rsidRPr="00F245BB" w:rsidRDefault="006767AD" w:rsidP="00F245B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  <w:t>Datum podpisu smlouvy</w:t>
            </w:r>
          </w:p>
        </w:tc>
      </w:tr>
      <w:tr w:rsidR="006767AD" w:rsidRPr="00037903" w14:paraId="0D71C5C1" w14:textId="77777777" w:rsidTr="004E2D6E">
        <w:trPr>
          <w:trHeight w:val="17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EC75" w14:textId="77777777" w:rsidR="006767AD" w:rsidRPr="00F245BB" w:rsidRDefault="00CF7198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Výrobce č. 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2D7A" w14:textId="540E03A2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APA 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contracted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doses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8D98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20.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9604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listopadu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2020</w:t>
            </w:r>
          </w:p>
        </w:tc>
      </w:tr>
      <w:tr w:rsidR="006767AD" w:rsidRPr="00037903" w14:paraId="161F60F3" w14:textId="77777777" w:rsidTr="004E2D6E">
        <w:trPr>
          <w:trHeight w:val="17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462B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BD48" w14:textId="38AE5058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APA 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additional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doses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4EF1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20.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9604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listopadu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2020</w:t>
            </w:r>
          </w:p>
        </w:tc>
      </w:tr>
      <w:tr w:rsidR="006767AD" w:rsidRPr="00037903" w14:paraId="48814CB9" w14:textId="77777777" w:rsidTr="004E2D6E">
        <w:trPr>
          <w:trHeight w:val="17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053F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19DA" w14:textId="124D086D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PA 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contracted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doses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A37B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17.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9604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února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2021</w:t>
            </w:r>
          </w:p>
        </w:tc>
      </w:tr>
      <w:tr w:rsidR="006767AD" w:rsidRPr="00037903" w14:paraId="2221F0EB" w14:textId="77777777" w:rsidTr="004E2D6E">
        <w:trPr>
          <w:trHeight w:val="17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2109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2938" w14:textId="304909E0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PA 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additional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doses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FFBF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17.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9604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února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2021</w:t>
            </w:r>
          </w:p>
        </w:tc>
      </w:tr>
      <w:tr w:rsidR="006767AD" w:rsidRPr="00037903" w14:paraId="54A26CC5" w14:textId="77777777" w:rsidTr="004E2D6E">
        <w:trPr>
          <w:trHeight w:val="17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397F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739D" w14:textId="6A4CC599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PA 2022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2023 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contracted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doses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0389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20.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9604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května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2021</w:t>
            </w:r>
          </w:p>
        </w:tc>
      </w:tr>
      <w:tr w:rsidR="006767AD" w:rsidRPr="00037903" w14:paraId="01BD7DA1" w14:textId="77777777" w:rsidTr="004E2D6E">
        <w:trPr>
          <w:trHeight w:val="17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9EC6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10A2" w14:textId="2D85763A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PA 2022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2023 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additional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doses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F6B0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20.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9604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května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2021</w:t>
            </w:r>
          </w:p>
        </w:tc>
      </w:tr>
      <w:tr w:rsidR="006767AD" w:rsidRPr="00037903" w14:paraId="52BB25D4" w14:textId="77777777" w:rsidTr="004E2D6E">
        <w:trPr>
          <w:trHeight w:val="1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4C19" w14:textId="77777777" w:rsidR="006767AD" w:rsidRPr="00F245BB" w:rsidRDefault="00CF7198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Výrobce č. 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4747" w14:textId="74156682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APA 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i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nitial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oses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6AB9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27.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9604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srpna 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2020</w:t>
            </w:r>
          </w:p>
        </w:tc>
      </w:tr>
      <w:tr w:rsidR="006767AD" w:rsidRPr="00037903" w14:paraId="0816D419" w14:textId="77777777" w:rsidTr="004E2D6E">
        <w:trPr>
          <w:trHeight w:val="1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2222" w14:textId="77777777" w:rsidR="006767AD" w:rsidRPr="00F245BB" w:rsidRDefault="00CF7198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Výrobce č. 3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76AD" w14:textId="740A8874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APA 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b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ase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value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commitment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9C4B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21.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9604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října 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2020</w:t>
            </w:r>
          </w:p>
        </w:tc>
      </w:tr>
      <w:tr w:rsidR="006767AD" w:rsidRPr="00037903" w14:paraId="41C6666C" w14:textId="77777777" w:rsidTr="004E2D6E">
        <w:trPr>
          <w:trHeight w:val="17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774E" w14:textId="77777777" w:rsidR="006767AD" w:rsidRPr="00F245BB" w:rsidRDefault="00CF7198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Výrobce č. 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DC54" w14:textId="5321B4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APA 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i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nitial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oses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5910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4.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A06D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prosince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2020</w:t>
            </w:r>
          </w:p>
        </w:tc>
      </w:tr>
      <w:tr w:rsidR="006767AD" w:rsidRPr="00037903" w14:paraId="4FFBC971" w14:textId="77777777" w:rsidTr="004E2D6E">
        <w:trPr>
          <w:trHeight w:val="17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0C22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5874" w14:textId="4F15097A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PA 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top up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4DC2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1.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A06D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března 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2021</w:t>
            </w:r>
          </w:p>
        </w:tc>
      </w:tr>
      <w:tr w:rsidR="006767AD" w:rsidRPr="00037903" w14:paraId="0F252790" w14:textId="77777777" w:rsidTr="004E2D6E">
        <w:trPr>
          <w:trHeight w:val="17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D636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8726" w14:textId="75197BC3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PA 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option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increase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72C1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1.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A06D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března 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2021</w:t>
            </w:r>
          </w:p>
        </w:tc>
      </w:tr>
      <w:tr w:rsidR="006767AD" w:rsidRPr="00037903" w14:paraId="111B4461" w14:textId="77777777" w:rsidTr="004E2D6E">
        <w:trPr>
          <w:trHeight w:val="17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C03B2" w14:textId="6DADDE00" w:rsidR="006767AD" w:rsidRPr="00F245BB" w:rsidRDefault="00CF7198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Výrobce č. 5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B4A8" w14:textId="422A9113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APA 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fixed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initial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doses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6792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4.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A06D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srpna 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2021</w:t>
            </w:r>
          </w:p>
        </w:tc>
      </w:tr>
      <w:tr w:rsidR="006767AD" w:rsidRPr="00037903" w14:paraId="52122992" w14:textId="77777777" w:rsidTr="004E2D6E">
        <w:trPr>
          <w:trHeight w:val="170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E5C6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C109" w14:textId="760C4F1B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APA </w:t>
            </w:r>
            <w:r w:rsidR="009F62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flexible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initial</w:t>
            </w:r>
            <w:proofErr w:type="spellEnd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doses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4385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4.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A06D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srpna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2021</w:t>
            </w:r>
          </w:p>
        </w:tc>
      </w:tr>
      <w:tr w:rsidR="006767AD" w:rsidRPr="00037903" w14:paraId="3DFDC6A5" w14:textId="77777777" w:rsidTr="004E2D6E">
        <w:trPr>
          <w:trHeight w:val="1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A13B" w14:textId="77777777" w:rsidR="006767AD" w:rsidRPr="00F245BB" w:rsidRDefault="00CF7198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Výrobce č. 6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0A16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APA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A390" w14:textId="77777777" w:rsidR="006767AD" w:rsidRPr="00F245BB" w:rsidRDefault="006767AD" w:rsidP="004E2D6E">
            <w:pPr>
              <w:spacing w:after="0"/>
              <w:ind w:lef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18.</w:t>
            </w:r>
            <w:r w:rsidR="007F6E2C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A06D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září </w:t>
            </w:r>
            <w:r w:rsidRPr="00F245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2020</w:t>
            </w:r>
          </w:p>
        </w:tc>
      </w:tr>
    </w:tbl>
    <w:p w14:paraId="4BBA812E" w14:textId="5143AA68" w:rsidR="006767AD" w:rsidRPr="00F245BB" w:rsidRDefault="006767AD" w:rsidP="004E2D6E">
      <w:pPr>
        <w:jc w:val="both"/>
        <w:rPr>
          <w:rFonts w:eastAsia="Calibri" w:cs="Calibri"/>
          <w:iCs/>
          <w:sz w:val="20"/>
          <w:szCs w:val="20"/>
        </w:rPr>
      </w:pPr>
      <w:r w:rsidRPr="00F245BB">
        <w:rPr>
          <w:rFonts w:eastAsia="Calibri" w:cs="Calibri"/>
          <w:b/>
          <w:iCs/>
          <w:sz w:val="20"/>
          <w:szCs w:val="20"/>
        </w:rPr>
        <w:t>Zdroj:</w:t>
      </w:r>
      <w:r w:rsidRPr="00F245BB">
        <w:rPr>
          <w:rFonts w:eastAsia="Calibri" w:cs="Calibri"/>
          <w:iCs/>
          <w:sz w:val="20"/>
          <w:szCs w:val="20"/>
        </w:rPr>
        <w:t xml:space="preserve"> informace </w:t>
      </w:r>
      <w:proofErr w:type="spellStart"/>
      <w:r w:rsidRPr="00F245BB">
        <w:rPr>
          <w:rFonts w:eastAsia="Calibri" w:cs="Calibri"/>
          <w:iCs/>
          <w:sz w:val="20"/>
          <w:szCs w:val="20"/>
        </w:rPr>
        <w:t>MZ</w:t>
      </w:r>
      <w:r w:rsidR="00644E76">
        <w:rPr>
          <w:rFonts w:eastAsia="Calibri" w:cs="Calibri"/>
          <w:iCs/>
          <w:sz w:val="20"/>
          <w:szCs w:val="20"/>
        </w:rPr>
        <w:t>d</w:t>
      </w:r>
      <w:proofErr w:type="spellEnd"/>
      <w:r w:rsidR="007F6E2C">
        <w:rPr>
          <w:rFonts w:eastAsia="Calibri" w:cs="Calibri"/>
          <w:iCs/>
          <w:sz w:val="20"/>
          <w:szCs w:val="20"/>
        </w:rPr>
        <w:t>, webové stránky Komise</w:t>
      </w:r>
      <w:r w:rsidR="009F6226">
        <w:rPr>
          <w:rFonts w:eastAsia="Calibri" w:cs="Calibri"/>
          <w:iCs/>
          <w:sz w:val="20"/>
          <w:szCs w:val="20"/>
        </w:rPr>
        <w:t>.</w:t>
      </w:r>
    </w:p>
    <w:p w14:paraId="4CFAA85D" w14:textId="623926E5" w:rsidR="007702CF" w:rsidRDefault="006767AD" w:rsidP="001217F1">
      <w:pPr>
        <w:jc w:val="both"/>
        <w:rPr>
          <w:rFonts w:eastAsia="Calibri" w:cs="Calibri"/>
          <w:szCs w:val="22"/>
        </w:rPr>
      </w:pPr>
      <w:r w:rsidRPr="007702CF">
        <w:rPr>
          <w:rFonts w:eastAsia="Calibri" w:cs="Calibri"/>
          <w:szCs w:val="22"/>
        </w:rPr>
        <w:t xml:space="preserve">Smlouvy jsou veřejně dostupné </w:t>
      </w:r>
      <w:r w:rsidR="00432A86">
        <w:rPr>
          <w:rFonts w:eastAsia="Calibri" w:cs="Calibri"/>
          <w:szCs w:val="22"/>
        </w:rPr>
        <w:t xml:space="preserve">s částečně znečitelněnými </w:t>
      </w:r>
      <w:r w:rsidR="000E6343">
        <w:rPr>
          <w:rFonts w:eastAsia="Calibri" w:cs="Calibri"/>
          <w:szCs w:val="22"/>
        </w:rPr>
        <w:t>údaji</w:t>
      </w:r>
      <w:r w:rsidRPr="007702CF">
        <w:rPr>
          <w:rFonts w:eastAsia="Calibri" w:cs="Calibri"/>
          <w:szCs w:val="22"/>
        </w:rPr>
        <w:t xml:space="preserve"> na web</w:t>
      </w:r>
      <w:r w:rsidR="001E792F">
        <w:rPr>
          <w:rFonts w:eastAsia="Calibri" w:cs="Calibri"/>
          <w:szCs w:val="22"/>
        </w:rPr>
        <w:t>ových</w:t>
      </w:r>
      <w:r w:rsidRPr="007702CF">
        <w:rPr>
          <w:rFonts w:eastAsia="Calibri" w:cs="Calibri"/>
          <w:szCs w:val="22"/>
        </w:rPr>
        <w:t xml:space="preserve"> stránkách Komise</w:t>
      </w:r>
      <w:r w:rsidRPr="007702CF">
        <w:rPr>
          <w:rStyle w:val="Znakapoznpodarou"/>
          <w:rFonts w:eastAsia="Calibri" w:cs="Calibri"/>
          <w:szCs w:val="22"/>
        </w:rPr>
        <w:footnoteReference w:id="42"/>
      </w:r>
      <w:r w:rsidR="00D554C8">
        <w:rPr>
          <w:rFonts w:eastAsia="Calibri" w:cs="Calibri"/>
          <w:szCs w:val="22"/>
        </w:rPr>
        <w:t>.</w:t>
      </w:r>
      <w:r w:rsidRPr="007702CF">
        <w:rPr>
          <w:rStyle w:val="Znakapoznpodarou"/>
          <w:rFonts w:eastAsia="Calibri" w:cs="Calibri"/>
          <w:szCs w:val="22"/>
        </w:rPr>
        <w:footnoteReference w:id="43"/>
      </w:r>
      <w:r w:rsidRPr="007702CF">
        <w:rPr>
          <w:rFonts w:eastAsia="Calibri" w:cs="Calibri"/>
          <w:szCs w:val="22"/>
        </w:rPr>
        <w:t xml:space="preserve"> K 31. </w:t>
      </w:r>
      <w:r w:rsidR="00C14E26">
        <w:rPr>
          <w:rFonts w:eastAsia="Calibri" w:cs="Calibri"/>
          <w:szCs w:val="22"/>
        </w:rPr>
        <w:t>prosinci</w:t>
      </w:r>
      <w:r w:rsidRPr="007702CF">
        <w:rPr>
          <w:rFonts w:eastAsia="Calibri" w:cs="Calibri"/>
          <w:szCs w:val="22"/>
        </w:rPr>
        <w:t xml:space="preserve"> 2021 </w:t>
      </w:r>
      <w:proofErr w:type="spellStart"/>
      <w:r w:rsidRPr="007702CF">
        <w:rPr>
          <w:rFonts w:eastAsia="Calibri" w:cs="Calibri"/>
          <w:szCs w:val="22"/>
        </w:rPr>
        <w:t>MZ</w:t>
      </w:r>
      <w:r w:rsidR="00A6549B">
        <w:rPr>
          <w:rFonts w:eastAsia="Calibri" w:cs="Calibri"/>
          <w:szCs w:val="22"/>
        </w:rPr>
        <w:t>d</w:t>
      </w:r>
      <w:proofErr w:type="spellEnd"/>
      <w:r w:rsidRPr="007702CF">
        <w:rPr>
          <w:rFonts w:eastAsia="Calibri" w:cs="Calibri"/>
          <w:szCs w:val="22"/>
        </w:rPr>
        <w:t xml:space="preserve"> vyk</w:t>
      </w:r>
      <w:r w:rsidR="00EC6D44">
        <w:rPr>
          <w:rFonts w:eastAsia="Calibri" w:cs="Calibri"/>
          <w:szCs w:val="22"/>
        </w:rPr>
        <w:t>ázalo</w:t>
      </w:r>
      <w:r w:rsidRPr="007702CF">
        <w:rPr>
          <w:rFonts w:eastAsia="Calibri" w:cs="Calibri"/>
          <w:szCs w:val="22"/>
        </w:rPr>
        <w:t xml:space="preserve"> na podrozvahových účtech podmíněné závazky vyplývající</w:t>
      </w:r>
      <w:r w:rsidR="0029604E">
        <w:rPr>
          <w:rFonts w:eastAsia="Calibri" w:cs="Calibri"/>
          <w:szCs w:val="22"/>
        </w:rPr>
        <w:t xml:space="preserve"> České republice z těchto</w:t>
      </w:r>
      <w:r w:rsidRPr="007702CF">
        <w:rPr>
          <w:rFonts w:eastAsia="Calibri" w:cs="Calibri"/>
          <w:szCs w:val="22"/>
        </w:rPr>
        <w:t xml:space="preserve"> předběžných dohod o nákupu a </w:t>
      </w:r>
      <w:r w:rsidR="0029604E">
        <w:rPr>
          <w:rFonts w:eastAsia="Calibri" w:cs="Calibri"/>
          <w:szCs w:val="22"/>
        </w:rPr>
        <w:t xml:space="preserve">kupních smluv </w:t>
      </w:r>
      <w:r w:rsidR="00F13F21">
        <w:rPr>
          <w:rFonts w:eastAsia="Calibri" w:cs="Calibri"/>
          <w:szCs w:val="22"/>
        </w:rPr>
        <w:t xml:space="preserve">v celkové výši </w:t>
      </w:r>
      <w:r w:rsidR="00F13F21" w:rsidRPr="00F13F21">
        <w:rPr>
          <w:rFonts w:eastAsia="Calibri" w:cs="Calibri"/>
          <w:szCs w:val="22"/>
        </w:rPr>
        <w:t>10 484 395 936,18</w:t>
      </w:r>
      <w:r w:rsidR="00F13F21">
        <w:rPr>
          <w:rFonts w:eastAsia="Calibri" w:cs="Calibri"/>
          <w:szCs w:val="22"/>
        </w:rPr>
        <w:t xml:space="preserve"> Kč (z toho částka </w:t>
      </w:r>
      <w:r w:rsidR="00F13F21" w:rsidRPr="00F13F21">
        <w:rPr>
          <w:rFonts w:eastAsia="Calibri" w:cs="Calibri"/>
          <w:szCs w:val="22"/>
        </w:rPr>
        <w:t>9 596 286 403,88</w:t>
      </w:r>
      <w:r w:rsidR="00F13F21">
        <w:rPr>
          <w:rFonts w:eastAsia="Calibri" w:cs="Calibri"/>
          <w:szCs w:val="22"/>
        </w:rPr>
        <w:t xml:space="preserve"> Kč je vykázána v rámci dlouhodobých podmíněných závazků)</w:t>
      </w:r>
      <w:r w:rsidR="0029604E">
        <w:rPr>
          <w:rFonts w:eastAsia="Calibri" w:cs="Calibri"/>
          <w:szCs w:val="22"/>
        </w:rPr>
        <w:t>.</w:t>
      </w:r>
      <w:r w:rsidR="00DF60CD">
        <w:rPr>
          <w:rFonts w:eastAsia="Calibri" w:cs="Calibri"/>
          <w:szCs w:val="22"/>
        </w:rPr>
        <w:t xml:space="preserve"> Tyto podmíněné závazky představují nároky na státní rozpočet do konce roku 2023.</w:t>
      </w:r>
    </w:p>
    <w:p w14:paraId="4719CBC8" w14:textId="77777777" w:rsidR="0077673C" w:rsidRDefault="00F52CB3" w:rsidP="007702C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distribuci a užití vakcín přebraly zodpovědnost účastnické členské státy. </w:t>
      </w:r>
    </w:p>
    <w:p w14:paraId="43AB82E2" w14:textId="45961AAC" w:rsidR="0077673C" w:rsidRDefault="007702CF" w:rsidP="007702CF">
      <w:pPr>
        <w:jc w:val="both"/>
        <w:rPr>
          <w:rFonts w:asciiTheme="minorHAnsi" w:hAnsiTheme="minorHAnsi" w:cstheme="minorHAnsi"/>
        </w:rPr>
      </w:pPr>
      <w:proofErr w:type="spellStart"/>
      <w:r w:rsidRPr="0014409E">
        <w:rPr>
          <w:rFonts w:asciiTheme="minorHAnsi" w:hAnsiTheme="minorHAnsi" w:cstheme="minorHAnsi"/>
        </w:rPr>
        <w:t>MZ</w:t>
      </w:r>
      <w:r w:rsidR="00C14E26">
        <w:rPr>
          <w:rFonts w:asciiTheme="minorHAnsi" w:hAnsiTheme="minorHAnsi" w:cstheme="minorHAnsi"/>
        </w:rPr>
        <w:t>d</w:t>
      </w:r>
      <w:proofErr w:type="spellEnd"/>
      <w:r w:rsidRPr="0014409E">
        <w:rPr>
          <w:rFonts w:asciiTheme="minorHAnsi" w:hAnsiTheme="minorHAnsi" w:cstheme="minorHAnsi"/>
        </w:rPr>
        <w:t xml:space="preserve"> bylo zákonem</w:t>
      </w:r>
      <w:r>
        <w:rPr>
          <w:rFonts w:asciiTheme="minorHAnsi" w:hAnsiTheme="minorHAnsi" w:cstheme="minorHAnsi"/>
        </w:rPr>
        <w:t xml:space="preserve"> č. 569/2020 Sb.</w:t>
      </w:r>
      <w:r w:rsidRPr="0014409E">
        <w:rPr>
          <w:rFonts w:asciiTheme="minorHAnsi" w:hAnsiTheme="minorHAnsi" w:cstheme="minorHAnsi"/>
        </w:rPr>
        <w:t xml:space="preserve"> pověřeno k zajištění distribuce </w:t>
      </w:r>
      <w:r>
        <w:rPr>
          <w:rFonts w:asciiTheme="minorHAnsi" w:hAnsiTheme="minorHAnsi" w:cstheme="minorHAnsi"/>
        </w:rPr>
        <w:t>vakcín</w:t>
      </w:r>
      <w:r w:rsidR="00F52CB3">
        <w:rPr>
          <w:rFonts w:asciiTheme="minorHAnsi" w:hAnsiTheme="minorHAnsi" w:cstheme="minorHAnsi"/>
        </w:rPr>
        <w:t>.</w:t>
      </w:r>
      <w:r w:rsidRPr="0014409E">
        <w:rPr>
          <w:rFonts w:asciiTheme="minorHAnsi" w:hAnsiTheme="minorHAnsi" w:cstheme="minorHAnsi"/>
        </w:rPr>
        <w:t xml:space="preserve"> </w:t>
      </w:r>
      <w:proofErr w:type="spellStart"/>
      <w:r w:rsidRPr="0014409E">
        <w:rPr>
          <w:rFonts w:asciiTheme="minorHAnsi" w:hAnsiTheme="minorHAnsi" w:cstheme="minorHAnsi"/>
        </w:rPr>
        <w:t>MZ</w:t>
      </w:r>
      <w:r w:rsidR="00C14E26">
        <w:rPr>
          <w:rFonts w:asciiTheme="minorHAnsi" w:hAnsiTheme="minorHAnsi" w:cstheme="minorHAnsi"/>
        </w:rPr>
        <w:t>d</w:t>
      </w:r>
      <w:proofErr w:type="spellEnd"/>
      <w:r w:rsidRPr="0014409E">
        <w:rPr>
          <w:rFonts w:asciiTheme="minorHAnsi" w:hAnsiTheme="minorHAnsi" w:cstheme="minorHAnsi"/>
        </w:rPr>
        <w:t xml:space="preserve"> na základě </w:t>
      </w:r>
      <w:r w:rsidR="00F52CB3">
        <w:rPr>
          <w:rFonts w:asciiTheme="minorHAnsi" w:hAnsiTheme="minorHAnsi" w:cstheme="minorHAnsi"/>
        </w:rPr>
        <w:t xml:space="preserve">ustanovení </w:t>
      </w:r>
      <w:r w:rsidRPr="0014409E">
        <w:rPr>
          <w:rFonts w:asciiTheme="minorHAnsi" w:hAnsiTheme="minorHAnsi" w:cstheme="minorHAnsi"/>
        </w:rPr>
        <w:t xml:space="preserve">§ 1 odst. 2 </w:t>
      </w:r>
      <w:r>
        <w:rPr>
          <w:rFonts w:asciiTheme="minorHAnsi" w:hAnsiTheme="minorHAnsi" w:cstheme="minorHAnsi"/>
        </w:rPr>
        <w:t>z</w:t>
      </w:r>
      <w:r w:rsidRPr="0014409E">
        <w:rPr>
          <w:rFonts w:asciiTheme="minorHAnsi" w:hAnsiTheme="minorHAnsi" w:cstheme="minorHAnsi"/>
        </w:rPr>
        <w:t>ákona</w:t>
      </w:r>
      <w:r>
        <w:rPr>
          <w:rFonts w:asciiTheme="minorHAnsi" w:hAnsiTheme="minorHAnsi" w:cstheme="minorHAnsi"/>
        </w:rPr>
        <w:t xml:space="preserve"> č. 569/2020 Sb.</w:t>
      </w:r>
      <w:r w:rsidRPr="0014409E">
        <w:rPr>
          <w:rFonts w:asciiTheme="minorHAnsi" w:hAnsiTheme="minorHAnsi" w:cstheme="minorHAnsi"/>
        </w:rPr>
        <w:t xml:space="preserve"> zvolilo k zajištění distribuce </w:t>
      </w:r>
      <w:r>
        <w:rPr>
          <w:rFonts w:asciiTheme="minorHAnsi" w:hAnsiTheme="minorHAnsi" w:cstheme="minorHAnsi"/>
        </w:rPr>
        <w:t>vakcín</w:t>
      </w:r>
      <w:r w:rsidRPr="0014409E">
        <w:rPr>
          <w:rFonts w:asciiTheme="minorHAnsi" w:hAnsiTheme="minorHAnsi" w:cstheme="minorHAnsi"/>
        </w:rPr>
        <w:t xml:space="preserve"> postup prostřednictvím distributora podle zákona </w:t>
      </w:r>
      <w:r w:rsidRPr="00225F35">
        <w:rPr>
          <w:rFonts w:asciiTheme="minorHAnsi" w:hAnsiTheme="minorHAnsi" w:cstheme="minorHAnsi"/>
        </w:rPr>
        <w:t xml:space="preserve">č. 378/2007 Sb. vybraného společně </w:t>
      </w:r>
      <w:r w:rsidR="00F52CB3">
        <w:rPr>
          <w:rFonts w:asciiTheme="minorHAnsi" w:hAnsiTheme="minorHAnsi" w:cstheme="minorHAnsi"/>
        </w:rPr>
        <w:t>zdravotními pojišťovnami</w:t>
      </w:r>
      <w:r w:rsidR="001E792F">
        <w:rPr>
          <w:rFonts w:asciiTheme="minorHAnsi" w:hAnsiTheme="minorHAnsi" w:cstheme="minorHAnsi"/>
        </w:rPr>
        <w:t xml:space="preserve"> (dále také „ZP“)</w:t>
      </w:r>
      <w:r w:rsidRPr="00225F35">
        <w:rPr>
          <w:rFonts w:asciiTheme="minorHAnsi" w:hAnsiTheme="minorHAnsi" w:cstheme="minorHAnsi"/>
        </w:rPr>
        <w:t xml:space="preserve">. </w:t>
      </w:r>
      <w:r w:rsidR="001E792F">
        <w:rPr>
          <w:rFonts w:asciiTheme="minorHAnsi" w:hAnsiTheme="minorHAnsi" w:cstheme="minorHAnsi"/>
        </w:rPr>
        <w:t>Zdravotní pojišťovny</w:t>
      </w:r>
      <w:r w:rsidRPr="00225F35">
        <w:rPr>
          <w:rFonts w:asciiTheme="minorHAnsi" w:hAnsiTheme="minorHAnsi" w:cstheme="minorHAnsi"/>
        </w:rPr>
        <w:t xml:space="preserve">, které </w:t>
      </w:r>
      <w:r w:rsidR="0097411D">
        <w:rPr>
          <w:rFonts w:asciiTheme="minorHAnsi" w:hAnsiTheme="minorHAnsi" w:cstheme="minorHAnsi"/>
        </w:rPr>
        <w:t xml:space="preserve">hradí služby poskytovatelům zdravotní péče z </w:t>
      </w:r>
      <w:r w:rsidRPr="00225F35">
        <w:rPr>
          <w:rFonts w:asciiTheme="minorHAnsi" w:hAnsiTheme="minorHAnsi" w:cstheme="minorHAnsi"/>
        </w:rPr>
        <w:t>veřejné</w:t>
      </w:r>
      <w:r w:rsidR="0097411D">
        <w:rPr>
          <w:rFonts w:asciiTheme="minorHAnsi" w:hAnsiTheme="minorHAnsi" w:cstheme="minorHAnsi"/>
        </w:rPr>
        <w:t>ho</w:t>
      </w:r>
      <w:r w:rsidRPr="00225F35">
        <w:rPr>
          <w:rFonts w:asciiTheme="minorHAnsi" w:hAnsiTheme="minorHAnsi" w:cstheme="minorHAnsi"/>
        </w:rPr>
        <w:t xml:space="preserve"> zdravotní</w:t>
      </w:r>
      <w:r w:rsidR="0097411D">
        <w:rPr>
          <w:rFonts w:asciiTheme="minorHAnsi" w:hAnsiTheme="minorHAnsi" w:cstheme="minorHAnsi"/>
        </w:rPr>
        <w:t>ho</w:t>
      </w:r>
      <w:r w:rsidRPr="00225F35">
        <w:rPr>
          <w:rFonts w:asciiTheme="minorHAnsi" w:hAnsiTheme="minorHAnsi" w:cstheme="minorHAnsi"/>
        </w:rPr>
        <w:t xml:space="preserve"> pojištění ve smyslu § 17 odst. 7 písm. d) </w:t>
      </w:r>
      <w:r w:rsidRPr="00444F02">
        <w:rPr>
          <w:rFonts w:asciiTheme="minorHAnsi" w:hAnsiTheme="minorHAnsi" w:cstheme="minorHAnsi"/>
        </w:rPr>
        <w:t>bod 2 zákona č. 48/1997 Sb.</w:t>
      </w:r>
      <w:r w:rsidR="002812CF">
        <w:rPr>
          <w:rFonts w:asciiTheme="minorHAnsi" w:hAnsiTheme="minorHAnsi" w:cstheme="minorHAnsi"/>
        </w:rPr>
        <w:t>,</w:t>
      </w:r>
      <w:r w:rsidRPr="00444F02">
        <w:rPr>
          <w:rFonts w:asciiTheme="minorHAnsi" w:hAnsiTheme="minorHAnsi" w:cstheme="minorHAnsi"/>
        </w:rPr>
        <w:t xml:space="preserve"> hradí</w:t>
      </w:r>
      <w:r w:rsidR="001E792F">
        <w:rPr>
          <w:rFonts w:asciiTheme="minorHAnsi" w:hAnsiTheme="minorHAnsi" w:cstheme="minorHAnsi"/>
        </w:rPr>
        <w:t xml:space="preserve"> tomuto</w:t>
      </w:r>
      <w:r w:rsidRPr="00444F02">
        <w:rPr>
          <w:rFonts w:asciiTheme="minorHAnsi" w:hAnsiTheme="minorHAnsi" w:cstheme="minorHAnsi"/>
        </w:rPr>
        <w:t xml:space="preserve"> distributorovi distribuci všech </w:t>
      </w:r>
      <w:r>
        <w:rPr>
          <w:rFonts w:asciiTheme="minorHAnsi" w:hAnsiTheme="minorHAnsi" w:cstheme="minorHAnsi"/>
        </w:rPr>
        <w:t>vakcín</w:t>
      </w:r>
      <w:r w:rsidRPr="00444F02">
        <w:rPr>
          <w:rFonts w:asciiTheme="minorHAnsi" w:hAnsiTheme="minorHAnsi" w:cstheme="minorHAnsi"/>
        </w:rPr>
        <w:t xml:space="preserve">, které mu byly ze strany </w:t>
      </w:r>
      <w:proofErr w:type="spellStart"/>
      <w:r w:rsidRPr="00444F02">
        <w:rPr>
          <w:rFonts w:asciiTheme="minorHAnsi" w:hAnsiTheme="minorHAnsi" w:cstheme="minorHAnsi"/>
        </w:rPr>
        <w:t>MZ</w:t>
      </w:r>
      <w:r w:rsidR="00644E76">
        <w:rPr>
          <w:rFonts w:asciiTheme="minorHAnsi" w:hAnsiTheme="minorHAnsi" w:cstheme="minorHAnsi"/>
        </w:rPr>
        <w:t>d</w:t>
      </w:r>
      <w:proofErr w:type="spellEnd"/>
      <w:r w:rsidRPr="00444F02">
        <w:rPr>
          <w:rFonts w:asciiTheme="minorHAnsi" w:hAnsiTheme="minorHAnsi" w:cstheme="minorHAnsi"/>
        </w:rPr>
        <w:t xml:space="preserve"> předány k distribuci podle zákona č. 569/2020 Sb. </w:t>
      </w:r>
      <w:r w:rsidR="002812CF">
        <w:rPr>
          <w:rFonts w:asciiTheme="minorHAnsi" w:hAnsiTheme="minorHAnsi" w:cstheme="minorHAnsi"/>
        </w:rPr>
        <w:t xml:space="preserve">a </w:t>
      </w:r>
      <w:r w:rsidRPr="00444F02">
        <w:rPr>
          <w:rFonts w:asciiTheme="minorHAnsi" w:hAnsiTheme="minorHAnsi" w:cstheme="minorHAnsi"/>
        </w:rPr>
        <w:t xml:space="preserve">které byly ze strany </w:t>
      </w:r>
      <w:r w:rsidRPr="00C0479E">
        <w:rPr>
          <w:rFonts w:asciiTheme="minorHAnsi" w:hAnsiTheme="minorHAnsi" w:cstheme="minorHAnsi"/>
        </w:rPr>
        <w:t>vybraných</w:t>
      </w:r>
      <w:r w:rsidR="001E792F">
        <w:rPr>
          <w:rFonts w:asciiTheme="minorHAnsi" w:hAnsiTheme="minorHAnsi" w:cstheme="minorHAnsi"/>
        </w:rPr>
        <w:t xml:space="preserve"> PZS </w:t>
      </w:r>
      <w:r w:rsidR="002812CF">
        <w:rPr>
          <w:rFonts w:asciiTheme="minorHAnsi" w:hAnsiTheme="minorHAnsi" w:cstheme="minorHAnsi"/>
        </w:rPr>
        <w:t>(</w:t>
      </w:r>
      <w:r w:rsidR="001E792F">
        <w:rPr>
          <w:rFonts w:asciiTheme="minorHAnsi" w:hAnsiTheme="minorHAnsi" w:cstheme="minorHAnsi"/>
        </w:rPr>
        <w:t>tj. lékařů a očkovacích center</w:t>
      </w:r>
      <w:r w:rsidR="002812CF">
        <w:rPr>
          <w:rFonts w:asciiTheme="minorHAnsi" w:hAnsiTheme="minorHAnsi" w:cstheme="minorHAnsi"/>
        </w:rPr>
        <w:t>)</w:t>
      </w:r>
      <w:r w:rsidRPr="00444F02">
        <w:rPr>
          <w:rFonts w:asciiTheme="minorHAnsi" w:hAnsiTheme="minorHAnsi" w:cstheme="minorHAnsi"/>
        </w:rPr>
        <w:t xml:space="preserve"> řádně vykázány a </w:t>
      </w:r>
      <w:r>
        <w:rPr>
          <w:rFonts w:asciiTheme="minorHAnsi" w:hAnsiTheme="minorHAnsi" w:cstheme="minorHAnsi"/>
        </w:rPr>
        <w:t xml:space="preserve">zdravotními </w:t>
      </w:r>
      <w:r w:rsidRPr="00444F02">
        <w:rPr>
          <w:rFonts w:asciiTheme="minorHAnsi" w:hAnsiTheme="minorHAnsi" w:cstheme="minorHAnsi"/>
        </w:rPr>
        <w:t xml:space="preserve">pojišťovnami uznány. </w:t>
      </w:r>
    </w:p>
    <w:p w14:paraId="25C90007" w14:textId="471A03CC" w:rsidR="007702CF" w:rsidRDefault="007702CF" w:rsidP="007702CF">
      <w:pPr>
        <w:jc w:val="both"/>
        <w:rPr>
          <w:rFonts w:asciiTheme="minorHAnsi" w:hAnsiTheme="minorHAnsi" w:cstheme="minorHAnsi"/>
          <w:lang w:eastAsia="cs-CZ"/>
        </w:rPr>
      </w:pPr>
      <w:r w:rsidRPr="00444F02">
        <w:rPr>
          <w:rFonts w:asciiTheme="minorHAnsi" w:hAnsiTheme="minorHAnsi" w:cstheme="minorHAnsi"/>
        </w:rPr>
        <w:t xml:space="preserve">Distributor se zavázal zajišťovat distribuci </w:t>
      </w:r>
      <w:r>
        <w:rPr>
          <w:rFonts w:asciiTheme="minorHAnsi" w:hAnsiTheme="minorHAnsi" w:cstheme="minorHAnsi"/>
        </w:rPr>
        <w:t>vakcín</w:t>
      </w:r>
      <w:r w:rsidRPr="00444F02">
        <w:rPr>
          <w:rFonts w:asciiTheme="minorHAnsi" w:hAnsiTheme="minorHAnsi" w:cstheme="minorHAnsi"/>
        </w:rPr>
        <w:t xml:space="preserve"> a službu centrálního skladu (či více takových skladů), tedy míst</w:t>
      </w:r>
      <w:r w:rsidR="00EC6D44">
        <w:rPr>
          <w:rFonts w:asciiTheme="minorHAnsi" w:hAnsiTheme="minorHAnsi" w:cstheme="minorHAnsi"/>
        </w:rPr>
        <w:t>a</w:t>
      </w:r>
      <w:r w:rsidRPr="00444F02">
        <w:rPr>
          <w:rFonts w:asciiTheme="minorHAnsi" w:hAnsiTheme="minorHAnsi" w:cstheme="minorHAnsi"/>
        </w:rPr>
        <w:t xml:space="preserve">, do kterého budou </w:t>
      </w:r>
      <w:r>
        <w:rPr>
          <w:rFonts w:asciiTheme="minorHAnsi" w:hAnsiTheme="minorHAnsi" w:cstheme="minorHAnsi"/>
        </w:rPr>
        <w:t>vakcíny</w:t>
      </w:r>
      <w:r w:rsidRPr="00444F02">
        <w:rPr>
          <w:rFonts w:asciiTheme="minorHAnsi" w:hAnsiTheme="minorHAnsi" w:cstheme="minorHAnsi"/>
        </w:rPr>
        <w:t xml:space="preserve"> dodávány distributorovi a z něhož bude prováděna distribuce </w:t>
      </w:r>
      <w:r>
        <w:rPr>
          <w:rFonts w:asciiTheme="minorHAnsi" w:hAnsiTheme="minorHAnsi" w:cstheme="minorHAnsi"/>
        </w:rPr>
        <w:t>vakcín</w:t>
      </w:r>
      <w:r w:rsidR="001E792F">
        <w:rPr>
          <w:rFonts w:asciiTheme="minorHAnsi" w:hAnsiTheme="minorHAnsi" w:cstheme="minorHAnsi"/>
        </w:rPr>
        <w:t xml:space="preserve"> k</w:t>
      </w:r>
      <w:r w:rsidR="00EC6D44">
        <w:rPr>
          <w:rFonts w:asciiTheme="minorHAnsi" w:hAnsiTheme="minorHAnsi" w:cstheme="minorHAnsi"/>
        </w:rPr>
        <w:t> </w:t>
      </w:r>
      <w:r w:rsidR="001E792F">
        <w:rPr>
          <w:rFonts w:asciiTheme="minorHAnsi" w:hAnsiTheme="minorHAnsi" w:cstheme="minorHAnsi"/>
        </w:rPr>
        <w:t>PZS</w:t>
      </w:r>
      <w:r w:rsidR="00EC6D44">
        <w:rPr>
          <w:rFonts w:asciiTheme="minorHAnsi" w:hAnsiTheme="minorHAnsi" w:cstheme="minorHAnsi"/>
        </w:rPr>
        <w:t>.</w:t>
      </w:r>
      <w:r w:rsidRPr="00444F02">
        <w:rPr>
          <w:rFonts w:asciiTheme="minorHAnsi" w:hAnsiTheme="minorHAnsi" w:cstheme="minorHAnsi"/>
        </w:rPr>
        <w:t xml:space="preserve"> </w:t>
      </w:r>
      <w:proofErr w:type="spellStart"/>
      <w:r w:rsidRPr="00444F02">
        <w:rPr>
          <w:rFonts w:asciiTheme="minorHAnsi" w:hAnsiTheme="minorHAnsi" w:cstheme="minorHAnsi"/>
        </w:rPr>
        <w:t>MZ</w:t>
      </w:r>
      <w:r w:rsidR="00E46A0E">
        <w:rPr>
          <w:rFonts w:asciiTheme="minorHAnsi" w:hAnsiTheme="minorHAnsi" w:cstheme="minorHAnsi"/>
        </w:rPr>
        <w:t>d</w:t>
      </w:r>
      <w:proofErr w:type="spellEnd"/>
      <w:r w:rsidRPr="00444F02">
        <w:rPr>
          <w:rFonts w:asciiTheme="minorHAnsi" w:hAnsiTheme="minorHAnsi" w:cstheme="minorHAnsi"/>
        </w:rPr>
        <w:t xml:space="preserve"> se zavázalo udělit dispoziční oprávnění nakládat s</w:t>
      </w:r>
      <w:r w:rsidR="009358FB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vakcínami</w:t>
      </w:r>
      <w:r w:rsidRPr="00444F02">
        <w:rPr>
          <w:rFonts w:asciiTheme="minorHAnsi" w:hAnsiTheme="minorHAnsi" w:cstheme="minorHAnsi"/>
        </w:rPr>
        <w:t xml:space="preserve"> distributorovi ve smyslu § 1 odst. 2 zákona č. 569/2020 Sb. a poskytovat veškerou potřebnou součinnost </w:t>
      </w:r>
      <w:r>
        <w:rPr>
          <w:rFonts w:asciiTheme="minorHAnsi" w:hAnsiTheme="minorHAnsi" w:cstheme="minorHAnsi"/>
        </w:rPr>
        <w:t>ZP</w:t>
      </w:r>
      <w:r w:rsidRPr="00444F02">
        <w:rPr>
          <w:rFonts w:asciiTheme="minorHAnsi" w:hAnsiTheme="minorHAnsi" w:cstheme="minorHAnsi"/>
        </w:rPr>
        <w:t xml:space="preserve"> a distributorovi. Distributor provádí distribuci na základě písemných objednávek ze strany lékařů či pověřených osob </w:t>
      </w:r>
      <w:r w:rsidR="002812CF">
        <w:rPr>
          <w:rFonts w:asciiTheme="minorHAnsi" w:hAnsiTheme="minorHAnsi" w:cstheme="minorHAnsi"/>
        </w:rPr>
        <w:t>–</w:t>
      </w:r>
      <w:r w:rsidRPr="00444F02">
        <w:rPr>
          <w:rFonts w:asciiTheme="minorHAnsi" w:hAnsiTheme="minorHAnsi" w:cstheme="minorHAnsi"/>
        </w:rPr>
        <w:t xml:space="preserve"> krajští koordinátoři očkování. </w:t>
      </w:r>
    </w:p>
    <w:p w14:paraId="2B12E3E9" w14:textId="4C1092E8" w:rsidR="007702CF" w:rsidRDefault="00F52CB3" w:rsidP="00F52CB3">
      <w:pPr>
        <w:jc w:val="both"/>
        <w:rPr>
          <w:rFonts w:cs="Calibri"/>
        </w:rPr>
      </w:pPr>
      <w:proofErr w:type="spellStart"/>
      <w:r w:rsidRPr="00785661">
        <w:rPr>
          <w:rFonts w:cs="Calibri"/>
        </w:rPr>
        <w:lastRenderedPageBreak/>
        <w:t>MZ</w:t>
      </w:r>
      <w:r w:rsidR="00C14E26">
        <w:rPr>
          <w:rFonts w:cs="Calibri"/>
        </w:rPr>
        <w:t>d</w:t>
      </w:r>
      <w:proofErr w:type="spellEnd"/>
      <w:r w:rsidRPr="00785661">
        <w:rPr>
          <w:rFonts w:cs="Calibri"/>
        </w:rPr>
        <w:t xml:space="preserve"> uzavřelo s</w:t>
      </w:r>
      <w:r>
        <w:rPr>
          <w:rFonts w:cs="Calibri"/>
        </w:rPr>
        <w:t>e</w:t>
      </w:r>
      <w:r w:rsidR="00EC6D44">
        <w:rPr>
          <w:rFonts w:cs="Calibri"/>
        </w:rPr>
        <w:t xml:space="preserve"> </w:t>
      </w:r>
      <w:r>
        <w:rPr>
          <w:rFonts w:cs="Calibri"/>
        </w:rPr>
        <w:t>zdravotními pojišťovnami</w:t>
      </w:r>
      <w:r w:rsidRPr="00785661">
        <w:rPr>
          <w:rFonts w:cs="Calibri"/>
        </w:rPr>
        <w:t xml:space="preserve"> smlouvy o úhradě </w:t>
      </w:r>
      <w:r>
        <w:rPr>
          <w:rFonts w:cs="Calibri"/>
        </w:rPr>
        <w:t xml:space="preserve">vakcín </w:t>
      </w:r>
      <w:r w:rsidRPr="00785661">
        <w:rPr>
          <w:rFonts w:cs="Calibri"/>
        </w:rPr>
        <w:t xml:space="preserve">ve smyslu </w:t>
      </w:r>
      <w:r>
        <w:rPr>
          <w:rFonts w:cs="Calibri"/>
        </w:rPr>
        <w:t xml:space="preserve">ustanovení </w:t>
      </w:r>
      <w:r w:rsidRPr="00785661">
        <w:rPr>
          <w:rFonts w:cs="Calibri"/>
        </w:rPr>
        <w:t>§</w:t>
      </w:r>
      <w:r w:rsidR="009358FB">
        <w:rPr>
          <w:rFonts w:cs="Calibri"/>
        </w:rPr>
        <w:t> </w:t>
      </w:r>
      <w:r w:rsidRPr="00785661">
        <w:rPr>
          <w:rFonts w:cs="Calibri"/>
        </w:rPr>
        <w:t xml:space="preserve">17 odst. 7 písm. g) a § 30 odst. 2 písm. g) zákona č. 48/1997 Sb. Předmětem smluv je závazek </w:t>
      </w:r>
      <w:proofErr w:type="spellStart"/>
      <w:r w:rsidRPr="00785661">
        <w:rPr>
          <w:rFonts w:cs="Calibri"/>
        </w:rPr>
        <w:t>MZ</w:t>
      </w:r>
      <w:r w:rsidR="0029604E">
        <w:rPr>
          <w:rFonts w:cs="Calibri"/>
        </w:rPr>
        <w:t>d</w:t>
      </w:r>
      <w:proofErr w:type="spellEnd"/>
      <w:r w:rsidRPr="00785661">
        <w:rPr>
          <w:rFonts w:cs="Calibri"/>
        </w:rPr>
        <w:t xml:space="preserve"> poskytnout PZS za účelem očkování pojištěnců bezplatně </w:t>
      </w:r>
      <w:r>
        <w:rPr>
          <w:rFonts w:cs="Calibri"/>
        </w:rPr>
        <w:t>vakcíny</w:t>
      </w:r>
      <w:r w:rsidRPr="00785661">
        <w:rPr>
          <w:rFonts w:cs="Calibri"/>
        </w:rPr>
        <w:t>, které jsou ve vlastnictví Č</w:t>
      </w:r>
      <w:r>
        <w:rPr>
          <w:rFonts w:cs="Calibri"/>
        </w:rPr>
        <w:t>R</w:t>
      </w:r>
      <w:r w:rsidRPr="00785661">
        <w:rPr>
          <w:rFonts w:cs="Calibri"/>
        </w:rPr>
        <w:t xml:space="preserve">, a závazek </w:t>
      </w:r>
      <w:r>
        <w:rPr>
          <w:rFonts w:cs="Calibri"/>
        </w:rPr>
        <w:t>zdravotních pojišťoven</w:t>
      </w:r>
      <w:r w:rsidRPr="00785661">
        <w:rPr>
          <w:rFonts w:cs="Calibri"/>
        </w:rPr>
        <w:t xml:space="preserve"> uhradit </w:t>
      </w:r>
      <w:proofErr w:type="spellStart"/>
      <w:r w:rsidRPr="00785661">
        <w:rPr>
          <w:rFonts w:cs="Calibri"/>
        </w:rPr>
        <w:t>MZ</w:t>
      </w:r>
      <w:r w:rsidR="0029604E">
        <w:rPr>
          <w:rFonts w:cs="Calibri"/>
        </w:rPr>
        <w:t>d</w:t>
      </w:r>
      <w:proofErr w:type="spellEnd"/>
      <w:r w:rsidRPr="00785661">
        <w:rPr>
          <w:rFonts w:cs="Calibri"/>
        </w:rPr>
        <w:t xml:space="preserve"> cenu skutečně aplikovaných a poskytovateli zdravotních služeb řádně vykázaných a </w:t>
      </w:r>
      <w:r>
        <w:rPr>
          <w:rFonts w:cs="Calibri"/>
        </w:rPr>
        <w:t xml:space="preserve">zdravotní </w:t>
      </w:r>
      <w:r w:rsidRPr="00785661">
        <w:rPr>
          <w:rFonts w:cs="Calibri"/>
        </w:rPr>
        <w:t xml:space="preserve">pojišťovnou uznaných </w:t>
      </w:r>
      <w:r>
        <w:rPr>
          <w:rFonts w:cs="Calibri"/>
        </w:rPr>
        <w:t>vakcín</w:t>
      </w:r>
      <w:r w:rsidRPr="00785661">
        <w:rPr>
          <w:rFonts w:cs="Calibri"/>
        </w:rPr>
        <w:t>.</w:t>
      </w:r>
    </w:p>
    <w:p w14:paraId="0EBE338B" w14:textId="069E8CC6" w:rsidR="00F52CB3" w:rsidRDefault="00F52CB3" w:rsidP="00F52CB3">
      <w:pPr>
        <w:jc w:val="both"/>
        <w:rPr>
          <w:rFonts w:cs="Calibri"/>
        </w:rPr>
      </w:pPr>
      <w:r w:rsidRPr="0018262A">
        <w:rPr>
          <w:rFonts w:cs="Calibri"/>
        </w:rPr>
        <w:t xml:space="preserve">Veškeré </w:t>
      </w:r>
      <w:r>
        <w:rPr>
          <w:rFonts w:cs="Calibri"/>
        </w:rPr>
        <w:t>vakcíny</w:t>
      </w:r>
      <w:r w:rsidRPr="0018262A">
        <w:rPr>
          <w:rFonts w:cs="Calibri"/>
        </w:rPr>
        <w:t xml:space="preserve"> dostupné </w:t>
      </w:r>
      <w:r w:rsidR="00EC6D44">
        <w:rPr>
          <w:rFonts w:cs="Calibri"/>
        </w:rPr>
        <w:t>na základě APA</w:t>
      </w:r>
      <w:r w:rsidRPr="0018262A">
        <w:rPr>
          <w:rFonts w:cs="Calibri"/>
        </w:rPr>
        <w:t>, které nebudou potřeb</w:t>
      </w:r>
      <w:r w:rsidR="00EC6D44">
        <w:rPr>
          <w:rFonts w:cs="Calibri"/>
        </w:rPr>
        <w:t>a</w:t>
      </w:r>
      <w:r w:rsidRPr="0018262A">
        <w:rPr>
          <w:rFonts w:cs="Calibri"/>
        </w:rPr>
        <w:t xml:space="preserve"> a</w:t>
      </w:r>
      <w:r w:rsidR="00EC6D44">
        <w:rPr>
          <w:rFonts w:cs="Calibri"/>
        </w:rPr>
        <w:t xml:space="preserve"> </w:t>
      </w:r>
      <w:r w:rsidRPr="0018262A">
        <w:rPr>
          <w:rFonts w:cs="Calibri"/>
        </w:rPr>
        <w:t>účastnické státy je nezakoupí, mohou být dány k dispozici pro celosvětově solidární aktivity. ČR darovala vakcíny v rámci bilaterálních dohod a též prostřednictvím programu COVAX</w:t>
      </w:r>
      <w:r w:rsidRPr="0018262A">
        <w:rPr>
          <w:rStyle w:val="Znakapoznpodarou"/>
          <w:rFonts w:cs="Calibri"/>
        </w:rPr>
        <w:footnoteReference w:id="44"/>
      </w:r>
      <w:r w:rsidRPr="0018262A">
        <w:rPr>
          <w:rFonts w:cs="Calibri"/>
        </w:rPr>
        <w:t xml:space="preserve"> při WHO. Darování z ČR do jiných zemí probíhá na základě UV 693/2021.</w:t>
      </w:r>
      <w:r>
        <w:rPr>
          <w:rFonts w:cs="Calibri"/>
        </w:rPr>
        <w:t xml:space="preserve"> </w:t>
      </w:r>
      <w:proofErr w:type="spellStart"/>
      <w:r w:rsidRPr="00002FBA">
        <w:rPr>
          <w:rFonts w:cs="Calibri"/>
        </w:rPr>
        <w:t>MZ</w:t>
      </w:r>
      <w:r w:rsidR="00644E76">
        <w:rPr>
          <w:rFonts w:cs="Calibri"/>
        </w:rPr>
        <w:t>d</w:t>
      </w:r>
      <w:proofErr w:type="spellEnd"/>
      <w:r w:rsidRPr="00002FBA">
        <w:rPr>
          <w:rFonts w:cs="Calibri"/>
        </w:rPr>
        <w:t xml:space="preserve"> poskytlo darem </w:t>
      </w:r>
      <w:r>
        <w:rPr>
          <w:rFonts w:cs="Calibri"/>
        </w:rPr>
        <w:t>vakcíny</w:t>
      </w:r>
      <w:r w:rsidRPr="00002FBA">
        <w:rPr>
          <w:rFonts w:cs="Calibri"/>
        </w:rPr>
        <w:t xml:space="preserve"> v hodnotě 151</w:t>
      </w:r>
      <w:r w:rsidR="008F3911">
        <w:rPr>
          <w:rFonts w:cs="Calibri"/>
        </w:rPr>
        <w:t> </w:t>
      </w:r>
      <w:r w:rsidRPr="00002FBA">
        <w:rPr>
          <w:rFonts w:cs="Calibri"/>
        </w:rPr>
        <w:t>395 036,75 Kč.</w:t>
      </w:r>
      <w:r w:rsidR="00D6697C">
        <w:rPr>
          <w:rFonts w:cs="Calibri"/>
        </w:rPr>
        <w:t xml:space="preserve"> Naopak Č</w:t>
      </w:r>
      <w:r w:rsidR="00F54D0E">
        <w:rPr>
          <w:rFonts w:cs="Calibri"/>
        </w:rPr>
        <w:t>R</w:t>
      </w:r>
      <w:r w:rsidR="00D6697C">
        <w:rPr>
          <w:rFonts w:cs="Calibri"/>
        </w:rPr>
        <w:t xml:space="preserve"> obdržela od jiných zemí vakcíny v hodnotě 11 638</w:t>
      </w:r>
      <w:r w:rsidR="00C53072">
        <w:rPr>
          <w:rFonts w:cs="Calibri"/>
        </w:rPr>
        <w:t> </w:t>
      </w:r>
      <w:r w:rsidR="00D6697C">
        <w:rPr>
          <w:rFonts w:cs="Calibri"/>
        </w:rPr>
        <w:t>08</w:t>
      </w:r>
      <w:r w:rsidR="00C53072">
        <w:rPr>
          <w:rFonts w:cs="Calibri"/>
        </w:rPr>
        <w:t>2,98</w:t>
      </w:r>
      <w:r w:rsidR="00D6697C">
        <w:rPr>
          <w:rFonts w:cs="Calibri"/>
        </w:rPr>
        <w:t xml:space="preserve"> Kč.</w:t>
      </w:r>
    </w:p>
    <w:p w14:paraId="31CC236E" w14:textId="10AB5534" w:rsidR="00C17834" w:rsidRDefault="00C17834" w:rsidP="00F52CB3">
      <w:pPr>
        <w:jc w:val="both"/>
        <w:rPr>
          <w:highlight w:val="yellow"/>
        </w:rPr>
      </w:pPr>
      <w:r>
        <w:rPr>
          <w:rFonts w:asciiTheme="minorHAnsi" w:hAnsiTheme="minorHAnsi" w:cstheme="minorHAnsi"/>
        </w:rPr>
        <w:t xml:space="preserve">Vakcíny </w:t>
      </w:r>
      <w:r w:rsidR="00EC6D44">
        <w:rPr>
          <w:rFonts w:asciiTheme="minorHAnsi" w:hAnsiTheme="minorHAnsi" w:cstheme="minorHAnsi"/>
        </w:rPr>
        <w:t xml:space="preserve">Ministerstvo zdravotnictví </w:t>
      </w:r>
      <w:r>
        <w:rPr>
          <w:rFonts w:asciiTheme="minorHAnsi" w:hAnsiTheme="minorHAnsi" w:cstheme="minorHAnsi"/>
        </w:rPr>
        <w:t>skladuje</w:t>
      </w:r>
      <w:r w:rsidRPr="00146EB5">
        <w:rPr>
          <w:rFonts w:asciiTheme="minorHAnsi" w:hAnsiTheme="minorHAnsi" w:cstheme="minorHAnsi"/>
        </w:rPr>
        <w:t xml:space="preserve"> na externích skladových místech a</w:t>
      </w:r>
      <w:r>
        <w:rPr>
          <w:rFonts w:asciiTheme="minorHAnsi" w:hAnsiTheme="minorHAnsi" w:cstheme="minorHAnsi"/>
        </w:rPr>
        <w:t xml:space="preserve"> účtuje o nich způsobem B (periodicky). O stavu vakcín na skladě účtuje </w:t>
      </w:r>
      <w:proofErr w:type="spellStart"/>
      <w:r>
        <w:rPr>
          <w:rFonts w:asciiTheme="minorHAnsi" w:hAnsiTheme="minorHAnsi" w:cstheme="minorHAnsi"/>
        </w:rPr>
        <w:t>MZ</w:t>
      </w:r>
      <w:r w:rsidR="00A6549B">
        <w:rPr>
          <w:rFonts w:asciiTheme="minorHAnsi" w:hAnsiTheme="minorHAnsi" w:cstheme="minorHAnsi"/>
        </w:rPr>
        <w:t>d</w:t>
      </w:r>
      <w:proofErr w:type="spellEnd"/>
      <w:r>
        <w:rPr>
          <w:rFonts w:asciiTheme="minorHAnsi" w:hAnsiTheme="minorHAnsi" w:cstheme="minorHAnsi"/>
        </w:rPr>
        <w:t xml:space="preserve"> čtvrtletně </w:t>
      </w:r>
      <w:r w:rsidRPr="00146EB5">
        <w:rPr>
          <w:rFonts w:asciiTheme="minorHAnsi" w:hAnsiTheme="minorHAnsi" w:cstheme="minorHAnsi"/>
        </w:rPr>
        <w:t>na základě inventurních soupisů jednotlivých externích skladových míst</w:t>
      </w:r>
      <w:r w:rsidR="00CC38E5">
        <w:rPr>
          <w:rFonts w:asciiTheme="minorHAnsi" w:hAnsiTheme="minorHAnsi" w:cstheme="minorHAnsi"/>
        </w:rPr>
        <w:t xml:space="preserve"> (distribučních míst/očkovacích míst)</w:t>
      </w:r>
      <w:r>
        <w:rPr>
          <w:rFonts w:asciiTheme="minorHAnsi" w:hAnsiTheme="minorHAnsi" w:cstheme="minorHAnsi"/>
        </w:rPr>
        <w:t xml:space="preserve"> </w:t>
      </w:r>
      <w:r w:rsidR="00EC6D44">
        <w:rPr>
          <w:rFonts w:asciiTheme="minorHAnsi" w:hAnsiTheme="minorHAnsi" w:cstheme="minorHAnsi"/>
        </w:rPr>
        <w:t>a v</w:t>
      </w:r>
      <w:r w:rsidR="00282FA7">
        <w:rPr>
          <w:rFonts w:asciiTheme="minorHAnsi" w:hAnsiTheme="minorHAnsi" w:cstheme="minorHAnsi"/>
        </w:rPr>
        <w:t xml:space="preserve"> </w:t>
      </w:r>
      <w:r w:rsidR="00EC6D44">
        <w:rPr>
          <w:rFonts w:asciiTheme="minorHAnsi" w:hAnsiTheme="minorHAnsi" w:cstheme="minorHAnsi"/>
        </w:rPr>
        <w:t>souvislosti s</w:t>
      </w:r>
      <w:r w:rsidR="00282FA7">
        <w:rPr>
          <w:rFonts w:asciiTheme="minorHAnsi" w:hAnsiTheme="minorHAnsi" w:cstheme="minorHAnsi"/>
        </w:rPr>
        <w:t xml:space="preserve"> </w:t>
      </w:r>
      <w:r w:rsidR="00EC6D44">
        <w:rPr>
          <w:rFonts w:asciiTheme="minorHAnsi" w:hAnsiTheme="minorHAnsi" w:cstheme="minorHAnsi"/>
        </w:rPr>
        <w:t>těmito soupisy</w:t>
      </w:r>
      <w:r>
        <w:rPr>
          <w:rFonts w:asciiTheme="minorHAnsi" w:hAnsiTheme="minorHAnsi" w:cstheme="minorHAnsi"/>
        </w:rPr>
        <w:t xml:space="preserve"> vede samostatné analytické účty k SÚ 132 – </w:t>
      </w:r>
      <w:r w:rsidRPr="00DA0488">
        <w:rPr>
          <w:rFonts w:asciiTheme="minorHAnsi" w:hAnsiTheme="minorHAnsi" w:cstheme="minorHAnsi"/>
          <w:i/>
        </w:rPr>
        <w:t>Zboží na skladě</w:t>
      </w:r>
      <w:r>
        <w:rPr>
          <w:rFonts w:asciiTheme="minorHAnsi" w:hAnsiTheme="minorHAnsi" w:cstheme="minorHAnsi"/>
        </w:rPr>
        <w:t xml:space="preserve">. </w:t>
      </w:r>
      <w:r w:rsidRPr="00373FDB">
        <w:rPr>
          <w:rFonts w:cs="Calibri"/>
        </w:rPr>
        <w:t xml:space="preserve">Veškeré nákupy </w:t>
      </w:r>
      <w:r>
        <w:rPr>
          <w:rFonts w:cs="Calibri"/>
        </w:rPr>
        <w:t>vakcín</w:t>
      </w:r>
      <w:r w:rsidRPr="00373FDB">
        <w:rPr>
          <w:rFonts w:cs="Calibri"/>
        </w:rPr>
        <w:t xml:space="preserve"> včetně nákladů spojených s jejich pořízením jsou průběžně po celé účetní období účtovány přímo do nákladů.</w:t>
      </w:r>
    </w:p>
    <w:p w14:paraId="7F77F4D2" w14:textId="5915D590" w:rsidR="00092A97" w:rsidRDefault="00092A97" w:rsidP="00C17834">
      <w:pPr>
        <w:jc w:val="both"/>
        <w:rPr>
          <w:rFonts w:asciiTheme="minorHAnsi" w:hAnsiTheme="minorHAnsi" w:cstheme="minorHAnsi"/>
          <w:b/>
          <w:highlight w:val="yellow"/>
        </w:rPr>
      </w:pPr>
      <w:r w:rsidRPr="006E4683">
        <w:rPr>
          <w:rFonts w:asciiTheme="minorHAnsi" w:hAnsiTheme="minorHAnsi" w:cstheme="minorHAnsi"/>
          <w:b/>
        </w:rPr>
        <w:t xml:space="preserve">Ministerstvem zdravotnictví zvolené postupy účtování o vakcínách jsou v souladu s účetními předpisy a ČÚS č. 707 – </w:t>
      </w:r>
      <w:r w:rsidRPr="004E2D6E">
        <w:rPr>
          <w:rFonts w:asciiTheme="minorHAnsi" w:hAnsiTheme="minorHAnsi" w:cstheme="minorHAnsi"/>
          <w:b/>
          <w:i/>
        </w:rPr>
        <w:t>Zásoby</w:t>
      </w:r>
      <w:r w:rsidRPr="006E4683">
        <w:rPr>
          <w:rFonts w:asciiTheme="minorHAnsi" w:hAnsiTheme="minorHAnsi" w:cstheme="minorHAnsi"/>
          <w:b/>
        </w:rPr>
        <w:t>. Zvolený způsob účtování a získávání informací ze skladových evidencí neumožňuj</w:t>
      </w:r>
      <w:r w:rsidR="00EC6D44">
        <w:rPr>
          <w:rFonts w:asciiTheme="minorHAnsi" w:hAnsiTheme="minorHAnsi" w:cstheme="minorHAnsi"/>
          <w:b/>
        </w:rPr>
        <w:t>e</w:t>
      </w:r>
      <w:r w:rsidRPr="006E4683">
        <w:rPr>
          <w:rFonts w:asciiTheme="minorHAnsi" w:hAnsiTheme="minorHAnsi" w:cstheme="minorHAnsi"/>
          <w:b/>
        </w:rPr>
        <w:t xml:space="preserve"> poskytovat průběžn</w:t>
      </w:r>
      <w:r w:rsidR="00EC6D44">
        <w:rPr>
          <w:rFonts w:asciiTheme="minorHAnsi" w:hAnsiTheme="minorHAnsi" w:cstheme="minorHAnsi"/>
          <w:b/>
        </w:rPr>
        <w:t>ě</w:t>
      </w:r>
      <w:r w:rsidRPr="006E4683">
        <w:rPr>
          <w:rFonts w:asciiTheme="minorHAnsi" w:hAnsiTheme="minorHAnsi" w:cstheme="minorHAnsi"/>
          <w:b/>
        </w:rPr>
        <w:t xml:space="preserve"> informac</w:t>
      </w:r>
      <w:r w:rsidR="00EC6D44">
        <w:rPr>
          <w:rFonts w:asciiTheme="minorHAnsi" w:hAnsiTheme="minorHAnsi" w:cstheme="minorHAnsi"/>
          <w:b/>
        </w:rPr>
        <w:t>e</w:t>
      </w:r>
      <w:r w:rsidRPr="006E4683">
        <w:rPr>
          <w:rFonts w:asciiTheme="minorHAnsi" w:hAnsiTheme="minorHAnsi" w:cstheme="minorHAnsi"/>
          <w:b/>
        </w:rPr>
        <w:t xml:space="preserve"> o stavu a pohybu zásob vakcín. </w:t>
      </w:r>
      <w:proofErr w:type="spellStart"/>
      <w:r w:rsidR="00EC6D44" w:rsidRPr="006E4683">
        <w:rPr>
          <w:rFonts w:asciiTheme="minorHAnsi" w:hAnsiTheme="minorHAnsi" w:cstheme="minorHAnsi"/>
          <w:b/>
        </w:rPr>
        <w:t>MZ</w:t>
      </w:r>
      <w:r w:rsidR="00EC6D44">
        <w:rPr>
          <w:rFonts w:asciiTheme="minorHAnsi" w:hAnsiTheme="minorHAnsi" w:cstheme="minorHAnsi"/>
          <w:b/>
        </w:rPr>
        <w:t>d</w:t>
      </w:r>
      <w:proofErr w:type="spellEnd"/>
      <w:r w:rsidR="00EC6D44" w:rsidRPr="006E4683">
        <w:rPr>
          <w:rFonts w:asciiTheme="minorHAnsi" w:hAnsiTheme="minorHAnsi" w:cstheme="minorHAnsi"/>
          <w:b/>
        </w:rPr>
        <w:t xml:space="preserve"> čerpá </w:t>
      </w:r>
      <w:r w:rsidR="00EC6D44">
        <w:rPr>
          <w:rFonts w:asciiTheme="minorHAnsi" w:hAnsiTheme="minorHAnsi" w:cstheme="minorHAnsi"/>
          <w:b/>
        </w:rPr>
        <w:t>i</w:t>
      </w:r>
      <w:r w:rsidRPr="006E4683">
        <w:rPr>
          <w:rFonts w:asciiTheme="minorHAnsi" w:hAnsiTheme="minorHAnsi" w:cstheme="minorHAnsi"/>
          <w:b/>
        </w:rPr>
        <w:t>nformace ze skladové evidence vedené externími subjekty (PZS a</w:t>
      </w:r>
      <w:r w:rsidR="00EC6D44">
        <w:rPr>
          <w:rFonts w:asciiTheme="minorHAnsi" w:hAnsiTheme="minorHAnsi" w:cstheme="minorHAnsi"/>
          <w:b/>
        </w:rPr>
        <w:t xml:space="preserve"> </w:t>
      </w:r>
      <w:r w:rsidRPr="006E4683">
        <w:rPr>
          <w:rFonts w:asciiTheme="minorHAnsi" w:hAnsiTheme="minorHAnsi" w:cstheme="minorHAnsi"/>
          <w:b/>
        </w:rPr>
        <w:t>distributorem)</w:t>
      </w:r>
      <w:r w:rsidRPr="006E4683">
        <w:rPr>
          <w:rStyle w:val="Znakapoznpodarou"/>
          <w:rFonts w:asciiTheme="minorHAnsi" w:hAnsiTheme="minorHAnsi" w:cstheme="minorHAnsi"/>
          <w:b/>
        </w:rPr>
        <w:footnoteReference w:id="45"/>
      </w:r>
      <w:r w:rsidRPr="006E4683">
        <w:rPr>
          <w:rFonts w:asciiTheme="minorHAnsi" w:hAnsiTheme="minorHAnsi" w:cstheme="minorHAnsi"/>
          <w:b/>
        </w:rPr>
        <w:t xml:space="preserve">, </w:t>
      </w:r>
      <w:r w:rsidR="00EC6D44">
        <w:rPr>
          <w:rFonts w:asciiTheme="minorHAnsi" w:hAnsiTheme="minorHAnsi" w:cstheme="minorHAnsi"/>
          <w:b/>
        </w:rPr>
        <w:t>avšak tuto evidenci</w:t>
      </w:r>
      <w:r w:rsidRPr="006E4683">
        <w:rPr>
          <w:rFonts w:asciiTheme="minorHAnsi" w:hAnsiTheme="minorHAnsi" w:cstheme="minorHAnsi"/>
          <w:b/>
        </w:rPr>
        <w:t xml:space="preserve"> nemá kdykoli průběžně k dispozici a </w:t>
      </w:r>
      <w:r w:rsidR="00EC6D44">
        <w:rPr>
          <w:rFonts w:asciiTheme="minorHAnsi" w:hAnsiTheme="minorHAnsi" w:cstheme="minorHAnsi"/>
          <w:b/>
        </w:rPr>
        <w:t>informace z ní</w:t>
      </w:r>
      <w:r w:rsidRPr="006E4683">
        <w:rPr>
          <w:rFonts w:asciiTheme="minorHAnsi" w:hAnsiTheme="minorHAnsi" w:cstheme="minorHAnsi"/>
          <w:b/>
        </w:rPr>
        <w:t xml:space="preserve"> jsou </w:t>
      </w:r>
      <w:r w:rsidR="00EC6D44">
        <w:rPr>
          <w:rFonts w:asciiTheme="minorHAnsi" w:hAnsiTheme="minorHAnsi" w:cstheme="minorHAnsi"/>
          <w:b/>
        </w:rPr>
        <w:t xml:space="preserve">mu </w:t>
      </w:r>
      <w:r w:rsidRPr="006E4683">
        <w:rPr>
          <w:rFonts w:asciiTheme="minorHAnsi" w:hAnsiTheme="minorHAnsi" w:cstheme="minorHAnsi"/>
          <w:b/>
        </w:rPr>
        <w:t>známy pouze ve čtvrtletních intervalech.</w:t>
      </w:r>
    </w:p>
    <w:p w14:paraId="37F80F88" w14:textId="25297436" w:rsidR="00C17834" w:rsidRDefault="00092A97" w:rsidP="00092A97">
      <w:pPr>
        <w:spacing w:after="0"/>
        <w:jc w:val="both"/>
        <w:rPr>
          <w:rFonts w:asciiTheme="minorHAnsi" w:hAnsiTheme="minorHAnsi" w:cstheme="minorHAnsi"/>
          <w:b/>
        </w:rPr>
      </w:pPr>
      <w:r w:rsidRPr="00092A97">
        <w:rPr>
          <w:rFonts w:asciiTheme="minorHAnsi" w:hAnsiTheme="minorHAnsi" w:cstheme="minorHAnsi"/>
          <w:b/>
        </w:rPr>
        <w:t xml:space="preserve">Technické požadavky výrobců vakcín na skladování </w:t>
      </w:r>
      <w:r w:rsidR="00EC6D44">
        <w:rPr>
          <w:rFonts w:asciiTheme="minorHAnsi" w:hAnsiTheme="minorHAnsi" w:cstheme="minorHAnsi"/>
          <w:b/>
        </w:rPr>
        <w:t xml:space="preserve">vakcín </w:t>
      </w:r>
      <w:r w:rsidRPr="00092A97">
        <w:rPr>
          <w:rFonts w:asciiTheme="minorHAnsi" w:hAnsiTheme="minorHAnsi" w:cstheme="minorHAnsi"/>
          <w:b/>
        </w:rPr>
        <w:t>a manipulaci s </w:t>
      </w:r>
      <w:r w:rsidR="00EC6D44">
        <w:rPr>
          <w:rFonts w:asciiTheme="minorHAnsi" w:hAnsiTheme="minorHAnsi" w:cstheme="minorHAnsi"/>
          <w:b/>
        </w:rPr>
        <w:t>nimi</w:t>
      </w:r>
      <w:r w:rsidRPr="00092A97">
        <w:rPr>
          <w:rFonts w:asciiTheme="minorHAnsi" w:hAnsiTheme="minorHAnsi" w:cstheme="minorHAnsi"/>
          <w:b/>
        </w:rPr>
        <w:t xml:space="preserve"> neumožňují </w:t>
      </w:r>
      <w:proofErr w:type="spellStart"/>
      <w:r w:rsidRPr="00092A97">
        <w:rPr>
          <w:rFonts w:asciiTheme="minorHAnsi" w:hAnsiTheme="minorHAnsi" w:cstheme="minorHAnsi"/>
          <w:b/>
        </w:rPr>
        <w:t>MZ</w:t>
      </w:r>
      <w:r w:rsidR="00A6549B">
        <w:rPr>
          <w:rFonts w:asciiTheme="minorHAnsi" w:hAnsiTheme="minorHAnsi" w:cstheme="minorHAnsi"/>
          <w:b/>
        </w:rPr>
        <w:t>d</w:t>
      </w:r>
      <w:proofErr w:type="spellEnd"/>
      <w:r w:rsidRPr="00092A97">
        <w:rPr>
          <w:rFonts w:asciiTheme="minorHAnsi" w:hAnsiTheme="minorHAnsi" w:cstheme="minorHAnsi"/>
          <w:b/>
        </w:rPr>
        <w:t xml:space="preserve"> provádět </w:t>
      </w:r>
      <w:r w:rsidR="00DA32F8">
        <w:rPr>
          <w:rFonts w:asciiTheme="minorHAnsi" w:hAnsiTheme="minorHAnsi" w:cstheme="minorHAnsi"/>
          <w:b/>
        </w:rPr>
        <w:t xml:space="preserve">přímo ověření </w:t>
      </w:r>
      <w:r w:rsidRPr="00092A97">
        <w:rPr>
          <w:rFonts w:asciiTheme="minorHAnsi" w:hAnsiTheme="minorHAnsi" w:cstheme="minorHAnsi"/>
          <w:b/>
        </w:rPr>
        <w:t>fyzick</w:t>
      </w:r>
      <w:r w:rsidR="00DA32F8">
        <w:rPr>
          <w:rFonts w:asciiTheme="minorHAnsi" w:hAnsiTheme="minorHAnsi" w:cstheme="minorHAnsi"/>
          <w:b/>
        </w:rPr>
        <w:t>é existence</w:t>
      </w:r>
      <w:r w:rsidRPr="00092A97">
        <w:rPr>
          <w:rFonts w:asciiTheme="minorHAnsi" w:hAnsiTheme="minorHAnsi" w:cstheme="minorHAnsi"/>
          <w:b/>
        </w:rPr>
        <w:t xml:space="preserve"> zásob vakcín. Skutečný stav vakcín </w:t>
      </w:r>
      <w:r w:rsidR="00282FA7">
        <w:rPr>
          <w:rFonts w:asciiTheme="minorHAnsi" w:hAnsiTheme="minorHAnsi" w:cstheme="minorHAnsi"/>
          <w:b/>
        </w:rPr>
        <w:t>proto</w:t>
      </w:r>
      <w:r w:rsidRPr="00092A97">
        <w:rPr>
          <w:rFonts w:asciiTheme="minorHAnsi" w:hAnsiTheme="minorHAnsi" w:cstheme="minorHAnsi"/>
          <w:b/>
        </w:rPr>
        <w:t xml:space="preserve"> </w:t>
      </w:r>
      <w:proofErr w:type="spellStart"/>
      <w:r w:rsidRPr="00092A97">
        <w:rPr>
          <w:rFonts w:asciiTheme="minorHAnsi" w:hAnsiTheme="minorHAnsi" w:cstheme="minorHAnsi"/>
          <w:b/>
        </w:rPr>
        <w:t>MZ</w:t>
      </w:r>
      <w:r w:rsidR="00A6549B">
        <w:rPr>
          <w:rFonts w:asciiTheme="minorHAnsi" w:hAnsiTheme="minorHAnsi" w:cstheme="minorHAnsi"/>
          <w:b/>
        </w:rPr>
        <w:t>d</w:t>
      </w:r>
      <w:proofErr w:type="spellEnd"/>
      <w:r w:rsidRPr="00092A97">
        <w:rPr>
          <w:rFonts w:asciiTheme="minorHAnsi" w:hAnsiTheme="minorHAnsi" w:cstheme="minorHAnsi"/>
          <w:b/>
        </w:rPr>
        <w:t xml:space="preserve"> zjišť</w:t>
      </w:r>
      <w:r w:rsidR="00282FA7">
        <w:rPr>
          <w:rFonts w:asciiTheme="minorHAnsi" w:hAnsiTheme="minorHAnsi" w:cstheme="minorHAnsi"/>
          <w:b/>
        </w:rPr>
        <w:t>uje</w:t>
      </w:r>
      <w:r w:rsidRPr="00092A97">
        <w:rPr>
          <w:rFonts w:asciiTheme="minorHAnsi" w:hAnsiTheme="minorHAnsi" w:cstheme="minorHAnsi"/>
          <w:b/>
        </w:rPr>
        <w:t xml:space="preserve"> dokladovou inventurou</w:t>
      </w:r>
      <w:r w:rsidR="00DA32F8">
        <w:rPr>
          <w:rFonts w:asciiTheme="minorHAnsi" w:hAnsiTheme="minorHAnsi" w:cstheme="minorHAnsi"/>
          <w:b/>
        </w:rPr>
        <w:t xml:space="preserve"> za současného využití </w:t>
      </w:r>
      <w:r w:rsidRPr="00092A97">
        <w:rPr>
          <w:rFonts w:asciiTheme="minorHAnsi" w:hAnsiTheme="minorHAnsi" w:cstheme="minorHAnsi"/>
          <w:b/>
        </w:rPr>
        <w:t>potvrzení (skladové evidence a</w:t>
      </w:r>
      <w:r w:rsidR="006E7462">
        <w:rPr>
          <w:rFonts w:asciiTheme="minorHAnsi" w:hAnsiTheme="minorHAnsi" w:cstheme="minorHAnsi"/>
          <w:b/>
        </w:rPr>
        <w:t> </w:t>
      </w:r>
      <w:r w:rsidRPr="00092A97">
        <w:rPr>
          <w:rFonts w:asciiTheme="minorHAnsi" w:hAnsiTheme="minorHAnsi" w:cstheme="minorHAnsi"/>
          <w:b/>
        </w:rPr>
        <w:t xml:space="preserve">inventurních soupisů) o existenci tohoto majetku osobou, která má tento majetek v držení nebo užívání (očkovací místa/distribuční místa). </w:t>
      </w:r>
      <w:r w:rsidR="00D72480">
        <w:rPr>
          <w:rFonts w:asciiTheme="minorHAnsi" w:hAnsiTheme="minorHAnsi" w:cstheme="minorHAnsi"/>
          <w:b/>
        </w:rPr>
        <w:t xml:space="preserve">Tento </w:t>
      </w:r>
      <w:r w:rsidRPr="00092A97">
        <w:rPr>
          <w:rFonts w:asciiTheme="minorHAnsi" w:hAnsiTheme="minorHAnsi" w:cstheme="minorHAnsi"/>
          <w:b/>
        </w:rPr>
        <w:t xml:space="preserve">postup </w:t>
      </w:r>
      <w:proofErr w:type="spellStart"/>
      <w:r w:rsidRPr="00092A97">
        <w:rPr>
          <w:rFonts w:asciiTheme="minorHAnsi" w:hAnsiTheme="minorHAnsi" w:cstheme="minorHAnsi"/>
          <w:b/>
        </w:rPr>
        <w:t>MZ</w:t>
      </w:r>
      <w:r w:rsidR="00A6549B">
        <w:rPr>
          <w:rFonts w:asciiTheme="minorHAnsi" w:hAnsiTheme="minorHAnsi" w:cstheme="minorHAnsi"/>
          <w:b/>
        </w:rPr>
        <w:t>d</w:t>
      </w:r>
      <w:proofErr w:type="spellEnd"/>
      <w:r w:rsidRPr="00092A97">
        <w:rPr>
          <w:rFonts w:asciiTheme="minorHAnsi" w:hAnsiTheme="minorHAnsi" w:cstheme="minorHAnsi"/>
          <w:b/>
        </w:rPr>
        <w:t xml:space="preserve"> </w:t>
      </w:r>
      <w:r w:rsidR="00D72480">
        <w:rPr>
          <w:rFonts w:asciiTheme="minorHAnsi" w:hAnsiTheme="minorHAnsi" w:cstheme="minorHAnsi"/>
          <w:b/>
        </w:rPr>
        <w:t xml:space="preserve">lze </w:t>
      </w:r>
      <w:r w:rsidRPr="00092A97">
        <w:rPr>
          <w:rFonts w:asciiTheme="minorHAnsi" w:hAnsiTheme="minorHAnsi" w:cstheme="minorHAnsi"/>
          <w:b/>
        </w:rPr>
        <w:t xml:space="preserve">považovat za </w:t>
      </w:r>
      <w:r w:rsidR="00904491" w:rsidRPr="00092A97">
        <w:rPr>
          <w:rFonts w:asciiTheme="minorHAnsi" w:hAnsiTheme="minorHAnsi" w:cstheme="minorHAnsi"/>
          <w:b/>
        </w:rPr>
        <w:t>možný,</w:t>
      </w:r>
      <w:r w:rsidRPr="00092A97">
        <w:rPr>
          <w:rFonts w:asciiTheme="minorHAnsi" w:hAnsiTheme="minorHAnsi" w:cstheme="minorHAnsi"/>
          <w:b/>
        </w:rPr>
        <w:t xml:space="preserve"> a </w:t>
      </w:r>
      <w:r w:rsidR="0077673C">
        <w:rPr>
          <w:rFonts w:asciiTheme="minorHAnsi" w:hAnsiTheme="minorHAnsi" w:cstheme="minorHAnsi"/>
          <w:b/>
        </w:rPr>
        <w:t xml:space="preserve">to </w:t>
      </w:r>
      <w:r w:rsidRPr="00092A97">
        <w:rPr>
          <w:rFonts w:asciiTheme="minorHAnsi" w:hAnsiTheme="minorHAnsi" w:cstheme="minorHAnsi"/>
          <w:b/>
        </w:rPr>
        <w:t>v souladu s ustanoveními § 6 odst. 1</w:t>
      </w:r>
      <w:r w:rsidR="00282FA7">
        <w:rPr>
          <w:rFonts w:asciiTheme="minorHAnsi" w:hAnsiTheme="minorHAnsi" w:cstheme="minorHAnsi"/>
          <w:b/>
        </w:rPr>
        <w:t xml:space="preserve"> </w:t>
      </w:r>
      <w:r w:rsidR="0077673C">
        <w:rPr>
          <w:rFonts w:asciiTheme="minorHAnsi" w:hAnsiTheme="minorHAnsi" w:cstheme="minorHAnsi"/>
          <w:b/>
        </w:rPr>
        <w:t>a</w:t>
      </w:r>
      <w:r w:rsidRPr="00092A97">
        <w:rPr>
          <w:rFonts w:asciiTheme="minorHAnsi" w:hAnsiTheme="minorHAnsi" w:cstheme="minorHAnsi"/>
          <w:b/>
        </w:rPr>
        <w:t xml:space="preserve"> odst. 3 a § 7 odst. 1 vyhlášky č. 270/2010 Sb. </w:t>
      </w:r>
      <w:proofErr w:type="spellStart"/>
      <w:r w:rsidRPr="00092A97">
        <w:rPr>
          <w:rFonts w:asciiTheme="minorHAnsi" w:hAnsiTheme="minorHAnsi" w:cstheme="minorHAnsi"/>
          <w:b/>
        </w:rPr>
        <w:t>MZ</w:t>
      </w:r>
      <w:r w:rsidR="0077673C">
        <w:rPr>
          <w:rFonts w:asciiTheme="minorHAnsi" w:hAnsiTheme="minorHAnsi" w:cstheme="minorHAnsi"/>
          <w:b/>
        </w:rPr>
        <w:t>d</w:t>
      </w:r>
      <w:proofErr w:type="spellEnd"/>
      <w:r w:rsidRPr="00092A97">
        <w:rPr>
          <w:rFonts w:asciiTheme="minorHAnsi" w:hAnsiTheme="minorHAnsi" w:cstheme="minorHAnsi"/>
          <w:b/>
        </w:rPr>
        <w:t xml:space="preserve"> tak zvolilo vhodný způsob inventarizace vakcín.</w:t>
      </w:r>
    </w:p>
    <w:p w14:paraId="427895F8" w14:textId="77777777" w:rsidR="00DA32F8" w:rsidRDefault="00DA32F8" w:rsidP="00092A97">
      <w:pPr>
        <w:spacing w:after="0"/>
        <w:jc w:val="both"/>
        <w:rPr>
          <w:b/>
          <w:highlight w:val="yellow"/>
        </w:rPr>
      </w:pPr>
    </w:p>
    <w:p w14:paraId="271E2276" w14:textId="77777777" w:rsidR="00173DB0" w:rsidRPr="00E33808" w:rsidRDefault="006750E2" w:rsidP="0097495B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jc w:val="left"/>
        <w:rPr>
          <w:rFonts w:ascii="Calibri" w:hAnsi="Calibri" w:cs="Calibri"/>
          <w:lang w:eastAsia="cs-CZ"/>
        </w:rPr>
      </w:pPr>
      <w:r w:rsidRPr="00E33808">
        <w:rPr>
          <w:rFonts w:ascii="Calibri" w:hAnsi="Calibri" w:cs="Calibri"/>
          <w:lang w:eastAsia="cs-CZ"/>
        </w:rPr>
        <w:lastRenderedPageBreak/>
        <w:t xml:space="preserve">2. </w:t>
      </w:r>
      <w:r w:rsidR="00173DB0" w:rsidRPr="00E33808">
        <w:rPr>
          <w:rFonts w:ascii="Calibri" w:hAnsi="Calibri" w:cs="Calibri"/>
          <w:lang w:eastAsia="cs-CZ"/>
        </w:rPr>
        <w:t>Účetní o</w:t>
      </w:r>
      <w:r w:rsidR="00795D3E" w:rsidRPr="00E33808">
        <w:rPr>
          <w:rFonts w:ascii="Calibri" w:hAnsi="Calibri" w:cs="Calibri"/>
          <w:lang w:eastAsia="cs-CZ"/>
        </w:rPr>
        <w:t>pravy</w:t>
      </w:r>
      <w:r w:rsidR="00173DB0" w:rsidRPr="00E33808">
        <w:rPr>
          <w:rFonts w:ascii="Calibri" w:hAnsi="Calibri" w:cs="Calibri"/>
          <w:lang w:eastAsia="cs-CZ"/>
        </w:rPr>
        <w:t xml:space="preserve"> realizované </w:t>
      </w:r>
      <w:proofErr w:type="spellStart"/>
      <w:r w:rsidR="00E33808" w:rsidRPr="00E33808">
        <w:rPr>
          <w:rFonts w:ascii="Calibri" w:hAnsi="Calibri" w:cs="Calibri"/>
          <w:lang w:eastAsia="cs-CZ"/>
        </w:rPr>
        <w:t>MZ</w:t>
      </w:r>
      <w:r w:rsidR="00A6549B">
        <w:rPr>
          <w:rFonts w:ascii="Calibri" w:hAnsi="Calibri" w:cs="Calibri"/>
          <w:lang w:eastAsia="cs-CZ"/>
        </w:rPr>
        <w:t>d</w:t>
      </w:r>
      <w:proofErr w:type="spellEnd"/>
      <w:r w:rsidR="00173DB0" w:rsidRPr="00E33808">
        <w:rPr>
          <w:rFonts w:ascii="Calibri" w:hAnsi="Calibri" w:cs="Calibri"/>
          <w:lang w:eastAsia="cs-CZ"/>
        </w:rPr>
        <w:t xml:space="preserve"> v průběhu kontroly a spolehlivost údajů ÚZ</w:t>
      </w:r>
    </w:p>
    <w:p w14:paraId="4A1CDAC3" w14:textId="77777777" w:rsidR="00A7490F" w:rsidRPr="00326C66" w:rsidRDefault="006750E2" w:rsidP="0097495B">
      <w:pPr>
        <w:pStyle w:val="Nadpis2"/>
        <w:keepNext/>
        <w:numPr>
          <w:ilvl w:val="0"/>
          <w:numId w:val="0"/>
        </w:numPr>
        <w:spacing w:after="120" w:line="240" w:lineRule="auto"/>
        <w:ind w:left="425" w:hanging="425"/>
        <w:contextualSpacing w:val="0"/>
        <w:jc w:val="left"/>
        <w:rPr>
          <w:rFonts w:ascii="Calibri" w:hAnsi="Calibri" w:cs="Calibri"/>
          <w:lang w:eastAsia="cs-CZ"/>
        </w:rPr>
      </w:pPr>
      <w:r w:rsidRPr="00326C66">
        <w:rPr>
          <w:rFonts w:ascii="Calibri" w:hAnsi="Calibri" w:cs="Calibri"/>
          <w:lang w:eastAsia="cs-CZ"/>
        </w:rPr>
        <w:t xml:space="preserve">2.1 </w:t>
      </w:r>
      <w:r w:rsidR="0097495B" w:rsidRPr="00326C66">
        <w:rPr>
          <w:rFonts w:ascii="Calibri" w:hAnsi="Calibri" w:cs="Calibri"/>
          <w:lang w:eastAsia="cs-CZ"/>
        </w:rPr>
        <w:tab/>
      </w:r>
      <w:r w:rsidR="00173DB0" w:rsidRPr="00326C66">
        <w:rPr>
          <w:rFonts w:ascii="Calibri" w:hAnsi="Calibri" w:cs="Calibri"/>
          <w:lang w:eastAsia="cs-CZ"/>
        </w:rPr>
        <w:t xml:space="preserve">Opravy </w:t>
      </w:r>
      <w:r w:rsidR="00326C66" w:rsidRPr="00326C66">
        <w:rPr>
          <w:rFonts w:ascii="Calibri" w:hAnsi="Calibri" w:cs="Calibri"/>
          <w:lang w:eastAsia="cs-CZ"/>
        </w:rPr>
        <w:t xml:space="preserve">chyb </w:t>
      </w:r>
      <w:r w:rsidR="00173DB0" w:rsidRPr="00326C66">
        <w:rPr>
          <w:rFonts w:ascii="Calibri" w:hAnsi="Calibri" w:cs="Calibri"/>
          <w:lang w:eastAsia="cs-CZ"/>
        </w:rPr>
        <w:t>v účetnictví v průběhu účetního období a</w:t>
      </w:r>
      <w:r w:rsidR="00280E95" w:rsidRPr="00326C66">
        <w:rPr>
          <w:rFonts w:ascii="Calibri" w:hAnsi="Calibri" w:cs="Calibri"/>
          <w:lang w:eastAsia="cs-CZ"/>
        </w:rPr>
        <w:t> </w:t>
      </w:r>
      <w:r w:rsidR="00326C66" w:rsidRPr="00326C66">
        <w:rPr>
          <w:rFonts w:ascii="Calibri" w:hAnsi="Calibri" w:cs="Calibri"/>
          <w:lang w:eastAsia="cs-CZ"/>
        </w:rPr>
        <w:t xml:space="preserve">po odeslání </w:t>
      </w:r>
      <w:r w:rsidR="00326C66" w:rsidRPr="00326C66">
        <w:rPr>
          <w:spacing w:val="-2"/>
        </w:rPr>
        <w:t>konsolidačních účetních záznamů za rok 2021</w:t>
      </w:r>
      <w:r w:rsidR="00A640AE" w:rsidRPr="00326C66">
        <w:rPr>
          <w:rFonts w:ascii="Calibri" w:hAnsi="Calibri" w:cs="Calibri"/>
          <w:lang w:eastAsia="cs-CZ"/>
        </w:rPr>
        <w:t xml:space="preserve"> </w:t>
      </w:r>
    </w:p>
    <w:p w14:paraId="50015922" w14:textId="4479945A" w:rsidR="001073F7" w:rsidRPr="00D71C60" w:rsidRDefault="001073F7" w:rsidP="001073F7">
      <w:pPr>
        <w:jc w:val="both"/>
        <w:rPr>
          <w:rFonts w:asciiTheme="minorHAnsi" w:hAnsiTheme="minorHAnsi"/>
          <w:highlight w:val="yellow"/>
        </w:rPr>
      </w:pPr>
      <w:r w:rsidRPr="00010B99">
        <w:rPr>
          <w:rFonts w:asciiTheme="minorHAnsi" w:hAnsiTheme="minorHAnsi" w:cstheme="minorHAnsi"/>
          <w:spacing w:val="-2"/>
        </w:rPr>
        <w:t>Kontrola byla zahájena v průběhu kontrolovaného účetního období 202</w:t>
      </w:r>
      <w:r w:rsidR="00010B99" w:rsidRPr="00010B99">
        <w:rPr>
          <w:rFonts w:asciiTheme="minorHAnsi" w:hAnsiTheme="minorHAnsi" w:cstheme="minorHAnsi"/>
          <w:spacing w:val="-2"/>
        </w:rPr>
        <w:t>1</w:t>
      </w:r>
      <w:r w:rsidRPr="00010B99">
        <w:rPr>
          <w:rFonts w:asciiTheme="minorHAnsi" w:hAnsiTheme="minorHAnsi" w:cstheme="minorHAnsi"/>
          <w:spacing w:val="-2"/>
        </w:rPr>
        <w:t xml:space="preserve">, což umožnilo </w:t>
      </w:r>
      <w:r w:rsidR="00282FA7">
        <w:rPr>
          <w:rFonts w:asciiTheme="minorHAnsi" w:hAnsiTheme="minorHAnsi" w:cstheme="minorHAnsi"/>
          <w:spacing w:val="-2"/>
        </w:rPr>
        <w:t>Ministerstvu zdravotnictví</w:t>
      </w:r>
      <w:r w:rsidRPr="00010B99">
        <w:rPr>
          <w:rFonts w:asciiTheme="minorHAnsi" w:hAnsiTheme="minorHAnsi" w:cstheme="minorHAnsi"/>
          <w:spacing w:val="-2"/>
        </w:rPr>
        <w:t xml:space="preserve"> ještě v průběhu kontroly před uzavřením účetních knih a sestavením účetní závěr</w:t>
      </w:r>
      <w:r w:rsidR="00C53072">
        <w:rPr>
          <w:rFonts w:asciiTheme="minorHAnsi" w:hAnsiTheme="minorHAnsi" w:cstheme="minorHAnsi"/>
          <w:spacing w:val="-2"/>
        </w:rPr>
        <w:t>k</w:t>
      </w:r>
      <w:r w:rsidRPr="00010B99">
        <w:rPr>
          <w:rFonts w:asciiTheme="minorHAnsi" w:hAnsiTheme="minorHAnsi" w:cstheme="minorHAnsi"/>
          <w:spacing w:val="-2"/>
        </w:rPr>
        <w:t xml:space="preserve">y provést opravu v účetnictví identifikovaných nedostatků. </w:t>
      </w:r>
      <w:proofErr w:type="spellStart"/>
      <w:r w:rsidRPr="00601EDC">
        <w:rPr>
          <w:rFonts w:asciiTheme="minorHAnsi" w:hAnsiTheme="minorHAnsi" w:cstheme="minorHAnsi"/>
          <w:spacing w:val="-2"/>
        </w:rPr>
        <w:t>M</w:t>
      </w:r>
      <w:r w:rsidR="00601EDC" w:rsidRPr="00601EDC">
        <w:rPr>
          <w:rFonts w:asciiTheme="minorHAnsi" w:hAnsiTheme="minorHAnsi" w:cstheme="minorHAnsi"/>
          <w:spacing w:val="-2"/>
        </w:rPr>
        <w:t>Z</w:t>
      </w:r>
      <w:r w:rsidR="00A6549B">
        <w:rPr>
          <w:rFonts w:asciiTheme="minorHAnsi" w:hAnsiTheme="minorHAnsi" w:cstheme="minorHAnsi"/>
          <w:spacing w:val="-2"/>
        </w:rPr>
        <w:t>d</w:t>
      </w:r>
      <w:proofErr w:type="spellEnd"/>
      <w:r w:rsidRPr="00601EDC">
        <w:rPr>
          <w:rFonts w:asciiTheme="minorHAnsi" w:hAnsiTheme="minorHAnsi" w:cstheme="minorHAnsi"/>
          <w:spacing w:val="-2"/>
        </w:rPr>
        <w:t xml:space="preserve"> před </w:t>
      </w:r>
      <w:r w:rsidR="00601EDC" w:rsidRPr="00601EDC">
        <w:rPr>
          <w:rFonts w:asciiTheme="minorHAnsi" w:hAnsiTheme="minorHAnsi" w:cstheme="minorHAnsi"/>
          <w:spacing w:val="-2"/>
        </w:rPr>
        <w:t xml:space="preserve">předáním </w:t>
      </w:r>
      <w:bookmarkStart w:id="6" w:name="_Hlk102042012"/>
      <w:r w:rsidR="00601EDC" w:rsidRPr="00601EDC">
        <w:rPr>
          <w:rFonts w:asciiTheme="minorHAnsi" w:hAnsiTheme="minorHAnsi" w:cstheme="minorHAnsi"/>
          <w:spacing w:val="-2"/>
        </w:rPr>
        <w:t xml:space="preserve">konsolidačních účetních záznamů za rok 2021 </w:t>
      </w:r>
      <w:r w:rsidR="00601EDC" w:rsidRPr="008B4013">
        <w:rPr>
          <w:rFonts w:asciiTheme="minorHAnsi" w:hAnsiTheme="minorHAnsi" w:cstheme="minorHAnsi"/>
          <w:spacing w:val="-2"/>
        </w:rPr>
        <w:t>do CSÚIS dle termínů stanovených vyhláškou č.</w:t>
      </w:r>
      <w:r w:rsidR="00282FA7">
        <w:rPr>
          <w:rFonts w:asciiTheme="minorHAnsi" w:hAnsiTheme="minorHAnsi" w:cstheme="minorHAnsi"/>
          <w:spacing w:val="-2"/>
        </w:rPr>
        <w:t> </w:t>
      </w:r>
      <w:r w:rsidR="00601EDC" w:rsidRPr="008B4013">
        <w:rPr>
          <w:rFonts w:asciiTheme="minorHAnsi" w:hAnsiTheme="minorHAnsi" w:cstheme="minorHAnsi"/>
          <w:spacing w:val="-2"/>
        </w:rPr>
        <w:t>383/2009 Sb.</w:t>
      </w:r>
      <w:bookmarkEnd w:id="6"/>
      <w:r w:rsidRPr="008B4013">
        <w:rPr>
          <w:rFonts w:asciiTheme="minorHAnsi" w:hAnsiTheme="minorHAnsi" w:cstheme="minorHAnsi"/>
          <w:spacing w:val="-2"/>
        </w:rPr>
        <w:t xml:space="preserve"> opravilo</w:t>
      </w:r>
      <w:r w:rsidRPr="00601EDC">
        <w:rPr>
          <w:rFonts w:asciiTheme="minorHAnsi" w:hAnsiTheme="minorHAnsi" w:cstheme="minorHAnsi"/>
          <w:spacing w:val="-2"/>
        </w:rPr>
        <w:t xml:space="preserve"> </w:t>
      </w:r>
      <w:r w:rsidR="00366859" w:rsidRPr="00601EDC">
        <w:rPr>
          <w:rFonts w:asciiTheme="minorHAnsi" w:hAnsiTheme="minorHAnsi" w:cstheme="minorHAnsi"/>
          <w:spacing w:val="-2"/>
        </w:rPr>
        <w:t>chyby</w:t>
      </w:r>
      <w:r w:rsidRPr="00601EDC">
        <w:rPr>
          <w:rFonts w:asciiTheme="minorHAnsi" w:hAnsiTheme="minorHAnsi" w:cstheme="minorHAnsi"/>
          <w:spacing w:val="-2"/>
        </w:rPr>
        <w:t xml:space="preserve"> v účetnictví ve výši 4 mld. Kč </w:t>
      </w:r>
      <w:r w:rsidR="001E78A1" w:rsidRPr="00601EDC">
        <w:rPr>
          <w:rFonts w:asciiTheme="minorHAnsi" w:hAnsiTheme="minorHAnsi" w:cstheme="minorHAnsi"/>
          <w:spacing w:val="-2"/>
        </w:rPr>
        <w:t xml:space="preserve">hodnoty </w:t>
      </w:r>
      <w:r w:rsidRPr="00601EDC">
        <w:rPr>
          <w:rFonts w:asciiTheme="minorHAnsi" w:hAnsiTheme="minorHAnsi" w:cstheme="minorHAnsi"/>
          <w:spacing w:val="-2"/>
        </w:rPr>
        <w:t xml:space="preserve">účetních obratů. </w:t>
      </w:r>
      <w:r w:rsidR="007A7388" w:rsidRPr="00601EDC">
        <w:rPr>
          <w:rFonts w:asciiTheme="minorHAnsi" w:hAnsiTheme="minorHAnsi"/>
        </w:rPr>
        <w:t>Z toho 3</w:t>
      </w:r>
      <w:r w:rsidR="00601EDC" w:rsidRPr="00601EDC">
        <w:rPr>
          <w:rFonts w:asciiTheme="minorHAnsi" w:hAnsiTheme="minorHAnsi"/>
        </w:rPr>
        <w:t>,6</w:t>
      </w:r>
      <w:r w:rsidR="007A7388" w:rsidRPr="00601EDC">
        <w:rPr>
          <w:rFonts w:asciiTheme="minorHAnsi" w:hAnsiTheme="minorHAnsi"/>
        </w:rPr>
        <w:t xml:space="preserve"> mld. Kč souviselo s</w:t>
      </w:r>
      <w:r w:rsidR="00601EDC" w:rsidRPr="00601EDC">
        <w:rPr>
          <w:rFonts w:asciiTheme="minorHAnsi" w:hAnsiTheme="minorHAnsi"/>
        </w:rPr>
        <w:t> </w:t>
      </w:r>
      <w:r w:rsidRPr="00601EDC">
        <w:rPr>
          <w:rFonts w:asciiTheme="minorHAnsi" w:hAnsiTheme="minorHAnsi"/>
        </w:rPr>
        <w:t>ne</w:t>
      </w:r>
      <w:r w:rsidR="00601EDC" w:rsidRPr="00601EDC">
        <w:rPr>
          <w:rFonts w:asciiTheme="minorHAnsi" w:hAnsiTheme="minorHAnsi"/>
        </w:rPr>
        <w:t>správně vykázanými podmíněnými závazky z transferů za projekty EDS/SMVS</w:t>
      </w:r>
      <w:r w:rsidR="00CC38E5">
        <w:rPr>
          <w:rStyle w:val="Znakapoznpodarou"/>
          <w:rFonts w:asciiTheme="minorHAnsi" w:hAnsiTheme="minorHAnsi"/>
        </w:rPr>
        <w:footnoteReference w:id="46"/>
      </w:r>
      <w:r w:rsidR="00601EDC">
        <w:rPr>
          <w:rFonts w:asciiTheme="minorHAnsi" w:hAnsiTheme="minorHAnsi"/>
        </w:rPr>
        <w:t xml:space="preserve"> na účtech 916 – </w:t>
      </w:r>
      <w:r w:rsidR="00601EDC" w:rsidRPr="00601EDC">
        <w:rPr>
          <w:rFonts w:asciiTheme="minorHAnsi" w:hAnsiTheme="minorHAnsi"/>
          <w:i/>
        </w:rPr>
        <w:t>Ostatní krátkodobé podmíněné závazky z</w:t>
      </w:r>
      <w:r w:rsidR="00B61A1D">
        <w:rPr>
          <w:rFonts w:asciiTheme="minorHAnsi" w:hAnsiTheme="minorHAnsi"/>
          <w:i/>
        </w:rPr>
        <w:t xml:space="preserve"> </w:t>
      </w:r>
      <w:r w:rsidR="00601EDC" w:rsidRPr="00601EDC">
        <w:rPr>
          <w:rFonts w:asciiTheme="minorHAnsi" w:hAnsiTheme="minorHAnsi"/>
          <w:i/>
        </w:rPr>
        <w:t>transferů</w:t>
      </w:r>
      <w:r w:rsidR="00601EDC">
        <w:rPr>
          <w:rFonts w:asciiTheme="minorHAnsi" w:hAnsiTheme="minorHAnsi"/>
        </w:rPr>
        <w:t xml:space="preserve"> </w:t>
      </w:r>
      <w:r w:rsidR="00282FA7">
        <w:rPr>
          <w:rFonts w:asciiTheme="minorHAnsi" w:hAnsiTheme="minorHAnsi"/>
        </w:rPr>
        <w:br/>
      </w:r>
      <w:r w:rsidR="00601EDC">
        <w:rPr>
          <w:rFonts w:asciiTheme="minorHAnsi" w:hAnsiTheme="minorHAnsi"/>
        </w:rPr>
        <w:t xml:space="preserve">a 956 – </w:t>
      </w:r>
      <w:r w:rsidR="00601EDC" w:rsidRPr="00601EDC">
        <w:rPr>
          <w:rFonts w:asciiTheme="minorHAnsi" w:hAnsiTheme="minorHAnsi"/>
          <w:i/>
        </w:rPr>
        <w:t>Ostatní dlouhodobé podmíněné závazky z transferů</w:t>
      </w:r>
      <w:r w:rsidRPr="00601EDC">
        <w:rPr>
          <w:rFonts w:asciiTheme="minorHAnsi" w:hAnsiTheme="minorHAnsi"/>
        </w:rPr>
        <w:t>.</w:t>
      </w:r>
      <w:r w:rsidR="00326C66">
        <w:rPr>
          <w:rFonts w:asciiTheme="minorHAnsi" w:hAnsiTheme="minorHAnsi"/>
        </w:rPr>
        <w:t xml:space="preserve"> </w:t>
      </w:r>
      <w:proofErr w:type="spellStart"/>
      <w:r w:rsidR="00326C66">
        <w:rPr>
          <w:rFonts w:asciiTheme="minorHAnsi" w:hAnsiTheme="minorHAnsi"/>
        </w:rPr>
        <w:t>MZ</w:t>
      </w:r>
      <w:r w:rsidR="00751C03">
        <w:rPr>
          <w:rFonts w:asciiTheme="minorHAnsi" w:hAnsiTheme="minorHAnsi"/>
        </w:rPr>
        <w:t>d</w:t>
      </w:r>
      <w:proofErr w:type="spellEnd"/>
      <w:r w:rsidR="00326C66">
        <w:rPr>
          <w:rFonts w:asciiTheme="minorHAnsi" w:hAnsiTheme="minorHAnsi"/>
        </w:rPr>
        <w:t xml:space="preserve"> v tomto případě </w:t>
      </w:r>
      <w:r w:rsidR="00282FA7">
        <w:rPr>
          <w:rFonts w:asciiTheme="minorHAnsi" w:hAnsiTheme="minorHAnsi"/>
        </w:rPr>
        <w:t xml:space="preserve">zahrnovalo </w:t>
      </w:r>
      <w:r w:rsidR="00326C66">
        <w:rPr>
          <w:rFonts w:asciiTheme="minorHAnsi" w:hAnsiTheme="minorHAnsi"/>
        </w:rPr>
        <w:t>do podmíněných závazků i</w:t>
      </w:r>
      <w:r w:rsidR="00330FFE">
        <w:rPr>
          <w:rFonts w:asciiTheme="minorHAnsi" w:hAnsiTheme="minorHAnsi"/>
        </w:rPr>
        <w:t> </w:t>
      </w:r>
      <w:r w:rsidR="00326C66">
        <w:rPr>
          <w:rFonts w:asciiTheme="minorHAnsi" w:hAnsiTheme="minorHAnsi"/>
        </w:rPr>
        <w:t>vlastní zdroje příjemce, některé podmíněné závazky vykazovalo duplicitně a v</w:t>
      </w:r>
      <w:r w:rsidR="00282FA7">
        <w:rPr>
          <w:rFonts w:asciiTheme="minorHAnsi" w:hAnsiTheme="minorHAnsi"/>
        </w:rPr>
        <w:t xml:space="preserve"> </w:t>
      </w:r>
      <w:r w:rsidR="00326C66">
        <w:rPr>
          <w:rFonts w:asciiTheme="minorHAnsi" w:hAnsiTheme="minorHAnsi"/>
        </w:rPr>
        <w:t xml:space="preserve">některých případech neodúčtovalo příslušný podmíněný závazek, přestože se stal již i rozvahovým závazkem a byl již i uhrazen. </w:t>
      </w:r>
      <w:bookmarkStart w:id="7" w:name="_Hlk102045983"/>
      <w:r w:rsidR="00326C66">
        <w:rPr>
          <w:rFonts w:asciiTheme="minorHAnsi" w:hAnsiTheme="minorHAnsi"/>
        </w:rPr>
        <w:t xml:space="preserve">Jednalo se o systémový nedostatek způsobený nevhodně nastavenými postupy </w:t>
      </w:r>
      <w:r w:rsidR="00282FA7">
        <w:rPr>
          <w:rFonts w:asciiTheme="minorHAnsi" w:hAnsiTheme="minorHAnsi"/>
        </w:rPr>
        <w:t xml:space="preserve">pro </w:t>
      </w:r>
      <w:r w:rsidR="00326C66">
        <w:rPr>
          <w:rFonts w:asciiTheme="minorHAnsi" w:hAnsiTheme="minorHAnsi"/>
        </w:rPr>
        <w:t xml:space="preserve">předávání správných údajů o stavu a hodnotě projektů </w:t>
      </w:r>
      <w:r w:rsidR="00282FA7">
        <w:rPr>
          <w:rFonts w:asciiTheme="minorHAnsi" w:hAnsiTheme="minorHAnsi"/>
        </w:rPr>
        <w:t>evidovaných v </w:t>
      </w:r>
      <w:r w:rsidR="00326C66">
        <w:rPr>
          <w:rFonts w:asciiTheme="minorHAnsi" w:hAnsiTheme="minorHAnsi"/>
        </w:rPr>
        <w:t xml:space="preserve">EDS/SMVS </w:t>
      </w:r>
      <w:r w:rsidR="00C73F48">
        <w:rPr>
          <w:rFonts w:asciiTheme="minorHAnsi" w:hAnsiTheme="minorHAnsi"/>
        </w:rPr>
        <w:t>do účetnictví</w:t>
      </w:r>
      <w:r w:rsidR="00326C66">
        <w:rPr>
          <w:rFonts w:asciiTheme="minorHAnsi" w:hAnsiTheme="minorHAnsi"/>
        </w:rPr>
        <w:t xml:space="preserve"> </w:t>
      </w:r>
      <w:proofErr w:type="spellStart"/>
      <w:r w:rsidR="00326C66">
        <w:rPr>
          <w:rFonts w:asciiTheme="minorHAnsi" w:hAnsiTheme="minorHAnsi"/>
        </w:rPr>
        <w:t>MZ</w:t>
      </w:r>
      <w:r w:rsidR="00751C03">
        <w:rPr>
          <w:rFonts w:asciiTheme="minorHAnsi" w:hAnsiTheme="minorHAnsi"/>
        </w:rPr>
        <w:t>d</w:t>
      </w:r>
      <w:proofErr w:type="spellEnd"/>
      <w:r w:rsidR="00326C66">
        <w:rPr>
          <w:rFonts w:asciiTheme="minorHAnsi" w:hAnsiTheme="minorHAnsi"/>
        </w:rPr>
        <w:t>.</w:t>
      </w:r>
      <w:bookmarkEnd w:id="7"/>
    </w:p>
    <w:p w14:paraId="5EC55593" w14:textId="77777777" w:rsidR="001073F7" w:rsidRPr="00964294" w:rsidRDefault="001073F7" w:rsidP="0097495B">
      <w:pPr>
        <w:spacing w:after="0"/>
        <w:jc w:val="both"/>
        <w:rPr>
          <w:rFonts w:asciiTheme="minorHAnsi" w:hAnsiTheme="minorHAnsi" w:cstheme="minorHAnsi"/>
          <w:spacing w:val="-2"/>
        </w:rPr>
      </w:pPr>
      <w:r w:rsidRPr="00964294">
        <w:rPr>
          <w:rFonts w:asciiTheme="minorHAnsi" w:hAnsiTheme="minorHAnsi" w:cstheme="minorHAnsi"/>
          <w:spacing w:val="-2"/>
        </w:rPr>
        <w:t xml:space="preserve">Dále se jednalo například o opravu </w:t>
      </w:r>
      <w:r w:rsidR="00F55B92">
        <w:rPr>
          <w:rFonts w:asciiTheme="minorHAnsi" w:hAnsiTheme="minorHAnsi" w:cstheme="minorHAnsi"/>
          <w:spacing w:val="-2"/>
        </w:rPr>
        <w:t>následujících nedostatků</w:t>
      </w:r>
      <w:r w:rsidRPr="00964294">
        <w:rPr>
          <w:rFonts w:asciiTheme="minorHAnsi" w:hAnsiTheme="minorHAnsi" w:cstheme="minorHAnsi"/>
          <w:spacing w:val="-2"/>
        </w:rPr>
        <w:t>:</w:t>
      </w:r>
    </w:p>
    <w:p w14:paraId="5370DBA4" w14:textId="5538548C" w:rsidR="001073F7" w:rsidRDefault="00F55B92" w:rsidP="0097495B">
      <w:pPr>
        <w:pStyle w:val="Odstavecseseznamem"/>
        <w:numPr>
          <w:ilvl w:val="0"/>
          <w:numId w:val="5"/>
        </w:numPr>
        <w:spacing w:after="0"/>
        <w:contextualSpacing w:val="0"/>
        <w:jc w:val="both"/>
        <w:rPr>
          <w:rFonts w:asciiTheme="minorHAnsi" w:hAnsiTheme="minorHAnsi" w:cstheme="minorHAnsi"/>
          <w:spacing w:val="-2"/>
        </w:rPr>
      </w:pPr>
      <w:r w:rsidRPr="00582CED">
        <w:rPr>
          <w:rFonts w:asciiTheme="minorHAnsi" w:hAnsiTheme="minorHAnsi" w:cstheme="minorHAnsi"/>
          <w:spacing w:val="-2"/>
        </w:rPr>
        <w:t>ne</w:t>
      </w:r>
      <w:r w:rsidR="00491BE0">
        <w:rPr>
          <w:rFonts w:asciiTheme="minorHAnsi" w:hAnsiTheme="minorHAnsi" w:cstheme="minorHAnsi"/>
          <w:spacing w:val="-2"/>
        </w:rPr>
        <w:t>vy</w:t>
      </w:r>
      <w:r w:rsidRPr="00582CED">
        <w:rPr>
          <w:rFonts w:asciiTheme="minorHAnsi" w:hAnsiTheme="minorHAnsi" w:cstheme="minorHAnsi"/>
          <w:spacing w:val="-2"/>
        </w:rPr>
        <w:t>tvoření opravných položek k</w:t>
      </w:r>
      <w:r w:rsidR="00CD4295" w:rsidRPr="00582CED">
        <w:rPr>
          <w:rFonts w:asciiTheme="minorHAnsi" w:hAnsiTheme="minorHAnsi" w:cstheme="minorHAnsi"/>
          <w:spacing w:val="-2"/>
        </w:rPr>
        <w:t xml:space="preserve">e dvěma </w:t>
      </w:r>
      <w:r w:rsidRPr="00582CED">
        <w:rPr>
          <w:rFonts w:asciiTheme="minorHAnsi" w:hAnsiTheme="minorHAnsi" w:cstheme="minorHAnsi"/>
          <w:spacing w:val="-2"/>
        </w:rPr>
        <w:t>pohledávkám po splatnosti</w:t>
      </w:r>
      <w:r w:rsidR="00CD4295" w:rsidRPr="00582CED">
        <w:rPr>
          <w:rFonts w:asciiTheme="minorHAnsi" w:hAnsiTheme="minorHAnsi" w:cstheme="minorHAnsi"/>
          <w:spacing w:val="-2"/>
        </w:rPr>
        <w:t xml:space="preserve"> </w:t>
      </w:r>
      <w:r w:rsidR="00582CED" w:rsidRPr="00582CED">
        <w:rPr>
          <w:rFonts w:asciiTheme="minorHAnsi" w:hAnsiTheme="minorHAnsi" w:cstheme="minorHAnsi"/>
          <w:spacing w:val="-2"/>
        </w:rPr>
        <w:t xml:space="preserve">v celkové výši </w:t>
      </w:r>
      <w:r w:rsidR="00151259">
        <w:rPr>
          <w:rFonts w:asciiTheme="minorHAnsi" w:hAnsiTheme="minorHAnsi" w:cstheme="minorHAnsi"/>
          <w:spacing w:val="-2"/>
        </w:rPr>
        <w:br/>
      </w:r>
      <w:r w:rsidR="00582CED" w:rsidRPr="00582CED">
        <w:rPr>
          <w:rFonts w:asciiTheme="minorHAnsi" w:hAnsiTheme="minorHAnsi" w:cstheme="minorHAnsi"/>
          <w:spacing w:val="-2"/>
        </w:rPr>
        <w:t>87 mil</w:t>
      </w:r>
      <w:r w:rsidR="00582CED">
        <w:rPr>
          <w:rFonts w:asciiTheme="minorHAnsi" w:hAnsiTheme="minorHAnsi" w:cstheme="minorHAnsi"/>
          <w:spacing w:val="-2"/>
        </w:rPr>
        <w:t>.</w:t>
      </w:r>
      <w:r w:rsidR="00582CED" w:rsidRPr="00582CED">
        <w:rPr>
          <w:rFonts w:asciiTheme="minorHAnsi" w:hAnsiTheme="minorHAnsi" w:cstheme="minorHAnsi"/>
          <w:spacing w:val="-2"/>
        </w:rPr>
        <w:t xml:space="preserve"> Kč</w:t>
      </w:r>
      <w:r w:rsidR="00151259">
        <w:rPr>
          <w:rFonts w:asciiTheme="minorHAnsi" w:hAnsiTheme="minorHAnsi" w:cstheme="minorHAnsi"/>
          <w:spacing w:val="-2"/>
        </w:rPr>
        <w:t>;</w:t>
      </w:r>
    </w:p>
    <w:p w14:paraId="2BA70A5B" w14:textId="6D105300" w:rsidR="00CD1515" w:rsidRDefault="00CD1515" w:rsidP="0097495B">
      <w:pPr>
        <w:pStyle w:val="Odstavecseseznamem"/>
        <w:numPr>
          <w:ilvl w:val="0"/>
          <w:numId w:val="5"/>
        </w:numPr>
        <w:spacing w:after="0"/>
        <w:contextualSpacing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ne</w:t>
      </w:r>
      <w:r w:rsidR="00491BE0">
        <w:rPr>
          <w:rFonts w:asciiTheme="minorHAnsi" w:hAnsiTheme="minorHAnsi" w:cstheme="minorHAnsi"/>
          <w:spacing w:val="-2"/>
        </w:rPr>
        <w:t>vy</w:t>
      </w:r>
      <w:r>
        <w:rPr>
          <w:rFonts w:asciiTheme="minorHAnsi" w:hAnsiTheme="minorHAnsi" w:cstheme="minorHAnsi"/>
          <w:spacing w:val="-2"/>
        </w:rPr>
        <w:t>tvoření opravných položek k majetkovým účastem státu ve výši 4 mil. Kč</w:t>
      </w:r>
      <w:r w:rsidR="00151259">
        <w:rPr>
          <w:rFonts w:asciiTheme="minorHAnsi" w:hAnsiTheme="minorHAnsi" w:cstheme="minorHAnsi"/>
          <w:spacing w:val="-2"/>
        </w:rPr>
        <w:t>;</w:t>
      </w:r>
    </w:p>
    <w:p w14:paraId="42450E7D" w14:textId="264D2688" w:rsidR="00582CED" w:rsidRPr="00582CED" w:rsidRDefault="00582CED" w:rsidP="0097495B">
      <w:pPr>
        <w:pStyle w:val="Odstavecseseznamem"/>
        <w:numPr>
          <w:ilvl w:val="0"/>
          <w:numId w:val="5"/>
        </w:numPr>
        <w:spacing w:after="0"/>
        <w:contextualSpacing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nepřepočítání neuhrazených pohledávek a závazků vyjádřených v cizí měně na měnu českou k rozvahovému dni v celkové výši 6,3 mil. Kč</w:t>
      </w:r>
      <w:r w:rsidR="00FB6093">
        <w:rPr>
          <w:rFonts w:asciiTheme="minorHAnsi" w:hAnsiTheme="minorHAnsi" w:cstheme="minorHAnsi"/>
          <w:spacing w:val="-2"/>
        </w:rPr>
        <w:t xml:space="preserve"> (systémový nedostatek)</w:t>
      </w:r>
      <w:r w:rsidR="00151259">
        <w:rPr>
          <w:rFonts w:asciiTheme="minorHAnsi" w:hAnsiTheme="minorHAnsi" w:cstheme="minorHAnsi"/>
          <w:spacing w:val="-2"/>
        </w:rPr>
        <w:t>;</w:t>
      </w:r>
    </w:p>
    <w:p w14:paraId="6E49AB8C" w14:textId="78CBE8E0" w:rsidR="00BA0D87" w:rsidRPr="00F55B92" w:rsidRDefault="00BA0D87" w:rsidP="0097495B">
      <w:pPr>
        <w:pStyle w:val="Odstavecseseznamem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spacing w:val="-2"/>
        </w:rPr>
      </w:pPr>
      <w:r w:rsidRPr="00F55B92">
        <w:rPr>
          <w:rFonts w:asciiTheme="minorHAnsi" w:hAnsiTheme="minorHAnsi" w:cstheme="minorHAnsi"/>
          <w:spacing w:val="-2"/>
        </w:rPr>
        <w:t xml:space="preserve">neúčtování o </w:t>
      </w:r>
      <w:r w:rsidR="00F55B92" w:rsidRPr="00F55B92">
        <w:rPr>
          <w:rFonts w:asciiTheme="minorHAnsi" w:hAnsiTheme="minorHAnsi" w:cstheme="minorHAnsi"/>
          <w:spacing w:val="-2"/>
        </w:rPr>
        <w:t xml:space="preserve">krátkodobých </w:t>
      </w:r>
      <w:r w:rsidRPr="00F55B92">
        <w:rPr>
          <w:rFonts w:asciiTheme="minorHAnsi" w:hAnsiTheme="minorHAnsi" w:cstheme="minorHAnsi"/>
          <w:spacing w:val="-2"/>
        </w:rPr>
        <w:t>podmíněných závazcích</w:t>
      </w:r>
      <w:r w:rsidR="00F55B92" w:rsidRPr="00F55B92">
        <w:rPr>
          <w:rFonts w:asciiTheme="minorHAnsi" w:hAnsiTheme="minorHAnsi" w:cstheme="minorHAnsi"/>
          <w:spacing w:val="-2"/>
        </w:rPr>
        <w:t xml:space="preserve"> </w:t>
      </w:r>
      <w:r w:rsidR="00CD4295" w:rsidRPr="00F55B92">
        <w:rPr>
          <w:rFonts w:asciiTheme="minorHAnsi" w:hAnsiTheme="minorHAnsi" w:cstheme="minorHAnsi"/>
          <w:spacing w:val="-2"/>
        </w:rPr>
        <w:t xml:space="preserve">z uzavřeného dodatku a nové smlouvy </w:t>
      </w:r>
      <w:r w:rsidR="00F55B92" w:rsidRPr="00F55B92">
        <w:rPr>
          <w:rFonts w:asciiTheme="minorHAnsi" w:hAnsiTheme="minorHAnsi" w:cstheme="minorHAnsi"/>
          <w:spacing w:val="-2"/>
        </w:rPr>
        <w:t xml:space="preserve">na účtu 973 – </w:t>
      </w:r>
      <w:r w:rsidR="00F55B92" w:rsidRPr="00F55B92">
        <w:rPr>
          <w:rFonts w:asciiTheme="minorHAnsi" w:hAnsiTheme="minorHAnsi" w:cstheme="minorHAnsi"/>
          <w:i/>
          <w:spacing w:val="-2"/>
        </w:rPr>
        <w:t>Krátkodobé podmíněné závazky z jiných smluv</w:t>
      </w:r>
      <w:r w:rsidR="00F55B92" w:rsidRPr="00F55B92">
        <w:rPr>
          <w:rFonts w:asciiTheme="minorHAnsi" w:hAnsiTheme="minorHAnsi" w:cstheme="minorHAnsi"/>
          <w:spacing w:val="-2"/>
        </w:rPr>
        <w:t xml:space="preserve"> </w:t>
      </w:r>
      <w:r w:rsidRPr="00F55B92">
        <w:rPr>
          <w:rFonts w:asciiTheme="minorHAnsi" w:hAnsiTheme="minorHAnsi" w:cstheme="minorHAnsi"/>
          <w:spacing w:val="-2"/>
        </w:rPr>
        <w:t xml:space="preserve">v celkové výši </w:t>
      </w:r>
      <w:r w:rsidR="00F55B92" w:rsidRPr="00F55B92">
        <w:rPr>
          <w:rFonts w:asciiTheme="minorHAnsi" w:hAnsiTheme="minorHAnsi" w:cstheme="minorHAnsi"/>
          <w:spacing w:val="-2"/>
        </w:rPr>
        <w:t>200</w:t>
      </w:r>
      <w:r w:rsidRPr="00F55B92">
        <w:rPr>
          <w:rFonts w:asciiTheme="minorHAnsi" w:hAnsiTheme="minorHAnsi" w:cstheme="minorHAnsi"/>
          <w:spacing w:val="-2"/>
        </w:rPr>
        <w:t xml:space="preserve"> mil. Kč</w:t>
      </w:r>
      <w:r w:rsidR="00151259">
        <w:rPr>
          <w:rFonts w:asciiTheme="minorHAnsi" w:hAnsiTheme="minorHAnsi" w:cstheme="minorHAnsi"/>
          <w:spacing w:val="-2"/>
        </w:rPr>
        <w:t>;</w:t>
      </w:r>
    </w:p>
    <w:p w14:paraId="1B470768" w14:textId="5B09A1B9" w:rsidR="00D90F1A" w:rsidRDefault="00D90F1A" w:rsidP="0097495B">
      <w:pPr>
        <w:pStyle w:val="Odstavecseseznamem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nesprávné účtování o bezúplatném převodu majetku na státní podnik na účtu 401 – </w:t>
      </w:r>
      <w:r w:rsidRPr="00FB6093">
        <w:rPr>
          <w:rFonts w:asciiTheme="minorHAnsi" w:hAnsiTheme="minorHAnsi" w:cstheme="minorHAnsi"/>
          <w:i/>
          <w:spacing w:val="-2"/>
        </w:rPr>
        <w:t>Jmění účetní jednotky</w:t>
      </w:r>
      <w:r>
        <w:rPr>
          <w:rFonts w:asciiTheme="minorHAnsi" w:hAnsiTheme="minorHAnsi" w:cstheme="minorHAnsi"/>
          <w:spacing w:val="-2"/>
        </w:rPr>
        <w:t xml:space="preserve"> místo na účtu 543 – </w:t>
      </w:r>
      <w:r w:rsidRPr="00FB6093">
        <w:rPr>
          <w:rFonts w:asciiTheme="minorHAnsi" w:hAnsiTheme="minorHAnsi" w:cstheme="minorHAnsi"/>
          <w:i/>
          <w:spacing w:val="-2"/>
        </w:rPr>
        <w:t>Dary a jiná bezúplatná předání</w:t>
      </w:r>
      <w:r>
        <w:rPr>
          <w:rFonts w:asciiTheme="minorHAnsi" w:hAnsiTheme="minorHAnsi" w:cstheme="minorHAnsi"/>
          <w:spacing w:val="-2"/>
        </w:rPr>
        <w:t xml:space="preserve"> v částce </w:t>
      </w:r>
      <w:r w:rsidR="00FB6093">
        <w:rPr>
          <w:rFonts w:asciiTheme="minorHAnsi" w:hAnsiTheme="minorHAnsi" w:cstheme="minorHAnsi"/>
          <w:spacing w:val="-2"/>
        </w:rPr>
        <w:t>89 mil. Kč</w:t>
      </w:r>
      <w:r w:rsidR="00151259">
        <w:rPr>
          <w:rFonts w:asciiTheme="minorHAnsi" w:hAnsiTheme="minorHAnsi" w:cstheme="minorHAnsi"/>
          <w:spacing w:val="-2"/>
        </w:rPr>
        <w:t>;</w:t>
      </w:r>
    </w:p>
    <w:p w14:paraId="0EF3E9D7" w14:textId="33219882" w:rsidR="001073F7" w:rsidRPr="00D90F1A" w:rsidRDefault="00D90F1A" w:rsidP="0097495B">
      <w:pPr>
        <w:pStyle w:val="Odstavecseseznamem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spacing w:val="-2"/>
        </w:rPr>
      </w:pPr>
      <w:r w:rsidRPr="00D90F1A">
        <w:rPr>
          <w:rFonts w:asciiTheme="minorHAnsi" w:hAnsiTheme="minorHAnsi" w:cstheme="minorHAnsi"/>
          <w:spacing w:val="-2"/>
        </w:rPr>
        <w:t xml:space="preserve">nesprávné </w:t>
      </w:r>
      <w:r w:rsidR="00C22775" w:rsidRPr="00D90F1A">
        <w:rPr>
          <w:rFonts w:asciiTheme="minorHAnsi" w:hAnsiTheme="minorHAnsi" w:cstheme="minorHAnsi"/>
          <w:spacing w:val="-2"/>
        </w:rPr>
        <w:t xml:space="preserve">účtování o </w:t>
      </w:r>
      <w:r w:rsidRPr="00D90F1A">
        <w:rPr>
          <w:rFonts w:asciiTheme="minorHAnsi" w:hAnsiTheme="minorHAnsi" w:cstheme="minorHAnsi"/>
          <w:spacing w:val="-2"/>
        </w:rPr>
        <w:t xml:space="preserve">vratkách dotací na účtech 671 – </w:t>
      </w:r>
      <w:r w:rsidRPr="00D90F1A">
        <w:rPr>
          <w:rFonts w:asciiTheme="minorHAnsi" w:hAnsiTheme="minorHAnsi" w:cstheme="minorHAnsi"/>
          <w:i/>
          <w:spacing w:val="-2"/>
        </w:rPr>
        <w:t>Výnosy vybraných ústředních vládních institucí z transferů</w:t>
      </w:r>
      <w:r w:rsidRPr="00D90F1A">
        <w:rPr>
          <w:rFonts w:asciiTheme="minorHAnsi" w:hAnsiTheme="minorHAnsi" w:cstheme="minorHAnsi"/>
          <w:spacing w:val="-2"/>
        </w:rPr>
        <w:t xml:space="preserve"> a 675 – </w:t>
      </w:r>
      <w:r w:rsidRPr="00D90F1A">
        <w:rPr>
          <w:rFonts w:asciiTheme="minorHAnsi" w:hAnsiTheme="minorHAnsi" w:cstheme="minorHAnsi"/>
          <w:i/>
          <w:spacing w:val="-2"/>
        </w:rPr>
        <w:t>Výnosy vybraných ústředních vládních institucí z předfinancování transferů</w:t>
      </w:r>
      <w:r w:rsidRPr="00D90F1A">
        <w:rPr>
          <w:rFonts w:asciiTheme="minorHAnsi" w:hAnsiTheme="minorHAnsi" w:cstheme="minorHAnsi"/>
          <w:spacing w:val="-2"/>
        </w:rPr>
        <w:t xml:space="preserve"> místo na straně </w:t>
      </w:r>
      <w:r w:rsidR="00151259">
        <w:rPr>
          <w:rFonts w:asciiTheme="minorHAnsi" w:hAnsiTheme="minorHAnsi" w:cstheme="minorHAnsi"/>
          <w:spacing w:val="-2"/>
        </w:rPr>
        <w:t>„</w:t>
      </w:r>
      <w:r w:rsidRPr="00D90F1A">
        <w:rPr>
          <w:rFonts w:asciiTheme="minorHAnsi" w:hAnsiTheme="minorHAnsi" w:cstheme="minorHAnsi"/>
          <w:spacing w:val="-2"/>
        </w:rPr>
        <w:t>Dal</w:t>
      </w:r>
      <w:r w:rsidR="00151259">
        <w:rPr>
          <w:rFonts w:asciiTheme="minorHAnsi" w:hAnsiTheme="minorHAnsi" w:cstheme="minorHAnsi"/>
          <w:spacing w:val="-2"/>
        </w:rPr>
        <w:t>“</w:t>
      </w:r>
      <w:r w:rsidRPr="00D90F1A">
        <w:rPr>
          <w:rFonts w:asciiTheme="minorHAnsi" w:hAnsiTheme="minorHAnsi" w:cstheme="minorHAnsi"/>
          <w:spacing w:val="-2"/>
        </w:rPr>
        <w:t xml:space="preserve"> příslušného účtu účtové skupiny 57 – </w:t>
      </w:r>
      <w:r w:rsidRPr="00D90F1A">
        <w:rPr>
          <w:rFonts w:asciiTheme="minorHAnsi" w:hAnsiTheme="minorHAnsi" w:cstheme="minorHAnsi"/>
          <w:i/>
          <w:spacing w:val="-2"/>
        </w:rPr>
        <w:t>Náklady na transfery</w:t>
      </w:r>
      <w:r>
        <w:rPr>
          <w:rFonts w:asciiTheme="minorHAnsi" w:hAnsiTheme="minorHAnsi" w:cstheme="minorHAnsi"/>
          <w:spacing w:val="-2"/>
        </w:rPr>
        <w:t xml:space="preserve"> v celkové výši 18 mil. Kč</w:t>
      </w:r>
      <w:r w:rsidR="00FB6093">
        <w:rPr>
          <w:rFonts w:asciiTheme="minorHAnsi" w:hAnsiTheme="minorHAnsi" w:cstheme="minorHAnsi"/>
          <w:spacing w:val="-2"/>
        </w:rPr>
        <w:t xml:space="preserve"> (systémový nedostatek)</w:t>
      </w:r>
      <w:r w:rsidR="00151259">
        <w:rPr>
          <w:rFonts w:asciiTheme="minorHAnsi" w:hAnsiTheme="minorHAnsi" w:cstheme="minorHAnsi"/>
          <w:spacing w:val="-2"/>
        </w:rPr>
        <w:t>;</w:t>
      </w:r>
    </w:p>
    <w:p w14:paraId="3E5E9467" w14:textId="2AE48127" w:rsidR="001073F7" w:rsidRDefault="00FB6093" w:rsidP="00FD66B5">
      <w:pPr>
        <w:pStyle w:val="Odstavecseseznamem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spacing w:val="-2"/>
        </w:rPr>
      </w:pPr>
      <w:r w:rsidRPr="00FD66B5">
        <w:rPr>
          <w:rFonts w:asciiTheme="minorHAnsi" w:hAnsiTheme="minorHAnsi" w:cstheme="minorHAnsi"/>
          <w:spacing w:val="-2"/>
        </w:rPr>
        <w:t xml:space="preserve">nesprávné </w:t>
      </w:r>
      <w:r w:rsidR="001073F7" w:rsidRPr="00FD66B5">
        <w:rPr>
          <w:rFonts w:asciiTheme="minorHAnsi" w:hAnsiTheme="minorHAnsi" w:cstheme="minorHAnsi"/>
          <w:spacing w:val="-2"/>
        </w:rPr>
        <w:t>algoritm</w:t>
      </w:r>
      <w:r w:rsidRPr="00FD66B5">
        <w:rPr>
          <w:rFonts w:asciiTheme="minorHAnsi" w:hAnsiTheme="minorHAnsi" w:cstheme="minorHAnsi"/>
          <w:spacing w:val="-2"/>
        </w:rPr>
        <w:t>y</w:t>
      </w:r>
      <w:r w:rsidR="001073F7" w:rsidRPr="00FD66B5">
        <w:rPr>
          <w:rFonts w:asciiTheme="minorHAnsi" w:hAnsiTheme="minorHAnsi" w:cstheme="minorHAnsi"/>
          <w:spacing w:val="-2"/>
        </w:rPr>
        <w:t xml:space="preserve"> výpočtu položek přehledu o peněžních tocích, a to položky </w:t>
      </w:r>
      <w:r w:rsidRPr="00FD66B5">
        <w:rPr>
          <w:rFonts w:asciiTheme="minorHAnsi" w:hAnsiTheme="minorHAnsi" w:cstheme="minorHAnsi"/>
          <w:spacing w:val="-2"/>
        </w:rPr>
        <w:t>A.</w:t>
      </w:r>
      <w:r w:rsidR="00FD66B5" w:rsidRPr="00FD66B5">
        <w:rPr>
          <w:rFonts w:asciiTheme="minorHAnsi" w:hAnsiTheme="minorHAnsi" w:cstheme="minorHAnsi"/>
          <w:spacing w:val="-2"/>
        </w:rPr>
        <w:t>I</w:t>
      </w:r>
      <w:r w:rsidRPr="00FD66B5">
        <w:rPr>
          <w:rFonts w:asciiTheme="minorHAnsi" w:hAnsiTheme="minorHAnsi" w:cstheme="minorHAnsi"/>
          <w:spacing w:val="-2"/>
        </w:rPr>
        <w:t>I.</w:t>
      </w:r>
      <w:r w:rsidR="00FD66B5" w:rsidRPr="00FD66B5">
        <w:rPr>
          <w:rFonts w:asciiTheme="minorHAnsi" w:hAnsiTheme="minorHAnsi" w:cstheme="minorHAnsi"/>
          <w:spacing w:val="-2"/>
        </w:rPr>
        <w:t>2</w:t>
      </w:r>
      <w:r w:rsidRPr="00FD66B5">
        <w:rPr>
          <w:rFonts w:asciiTheme="minorHAnsi" w:hAnsiTheme="minorHAnsi" w:cstheme="minorHAnsi"/>
          <w:spacing w:val="-2"/>
        </w:rPr>
        <w:t xml:space="preserve">. </w:t>
      </w:r>
      <w:r w:rsidR="00FD66B5" w:rsidRPr="004E2D6E">
        <w:rPr>
          <w:rFonts w:asciiTheme="minorHAnsi" w:hAnsiTheme="minorHAnsi" w:cstheme="minorHAnsi"/>
          <w:i/>
          <w:spacing w:val="-2"/>
        </w:rPr>
        <w:t>Změna stavu krátkodobých závazků</w:t>
      </w:r>
      <w:r w:rsidRPr="00FD66B5">
        <w:rPr>
          <w:rFonts w:asciiTheme="minorHAnsi" w:hAnsiTheme="minorHAnsi" w:cstheme="minorHAnsi"/>
          <w:spacing w:val="-2"/>
        </w:rPr>
        <w:t xml:space="preserve">, </w:t>
      </w:r>
      <w:r w:rsidR="001073F7" w:rsidRPr="00FD66B5">
        <w:rPr>
          <w:rFonts w:asciiTheme="minorHAnsi" w:hAnsiTheme="minorHAnsi" w:cstheme="minorHAnsi"/>
          <w:spacing w:val="-2"/>
        </w:rPr>
        <w:t xml:space="preserve">B.I. </w:t>
      </w:r>
      <w:r w:rsidR="001073F7" w:rsidRPr="004E2D6E">
        <w:rPr>
          <w:rFonts w:asciiTheme="minorHAnsi" w:hAnsiTheme="minorHAnsi" w:cstheme="minorHAnsi"/>
          <w:i/>
          <w:spacing w:val="-2"/>
        </w:rPr>
        <w:t>Výdaje na pořízení dlouhodobých aktiv</w:t>
      </w:r>
      <w:r w:rsidR="00FD66B5" w:rsidRPr="00FD66B5">
        <w:rPr>
          <w:rFonts w:asciiTheme="minorHAnsi" w:hAnsiTheme="minorHAnsi" w:cstheme="minorHAnsi"/>
          <w:spacing w:val="-2"/>
        </w:rPr>
        <w:t xml:space="preserve"> a C.I. </w:t>
      </w:r>
      <w:r w:rsidR="00FD66B5" w:rsidRPr="004E2D6E">
        <w:rPr>
          <w:rFonts w:asciiTheme="minorHAnsi" w:hAnsiTheme="minorHAnsi" w:cstheme="minorHAnsi"/>
          <w:i/>
          <w:spacing w:val="-2"/>
        </w:rPr>
        <w:t>Peněžní toky vyplývající ze změny vlastního kapitálu</w:t>
      </w:r>
      <w:r w:rsidR="001073F7" w:rsidRPr="00FD66B5">
        <w:rPr>
          <w:rFonts w:asciiTheme="minorHAnsi" w:hAnsiTheme="minorHAnsi" w:cstheme="minorHAnsi"/>
          <w:spacing w:val="-2"/>
        </w:rPr>
        <w:t xml:space="preserve"> (systémový nedostatek)</w:t>
      </w:r>
      <w:r w:rsidR="00151259">
        <w:rPr>
          <w:rFonts w:asciiTheme="minorHAnsi" w:hAnsiTheme="minorHAnsi" w:cstheme="minorHAnsi"/>
          <w:spacing w:val="-2"/>
        </w:rPr>
        <w:t>;</w:t>
      </w:r>
    </w:p>
    <w:p w14:paraId="4D700F34" w14:textId="1B3B8B6A" w:rsidR="00FD66B5" w:rsidRPr="00FD66B5" w:rsidRDefault="00FD66B5" w:rsidP="00CD1515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nesprávné vykázání bezúplatných převodů, u nichž docházelo ke změně příslušnosti hospodařit s majetkem státu nebo k zániku vlastnického práva státu</w:t>
      </w:r>
      <w:r w:rsidR="00151259">
        <w:rPr>
          <w:rFonts w:asciiTheme="minorHAnsi" w:hAnsiTheme="minorHAnsi" w:cstheme="minorHAnsi"/>
          <w:spacing w:val="-2"/>
        </w:rPr>
        <w:t>,</w:t>
      </w:r>
      <w:r>
        <w:rPr>
          <w:rFonts w:asciiTheme="minorHAnsi" w:hAnsiTheme="minorHAnsi" w:cstheme="minorHAnsi"/>
          <w:spacing w:val="-2"/>
        </w:rPr>
        <w:t xml:space="preserve"> na položce A.I.3. </w:t>
      </w:r>
      <w:r w:rsidRPr="004E2D6E">
        <w:rPr>
          <w:rFonts w:asciiTheme="minorHAnsi" w:hAnsiTheme="minorHAnsi" w:cstheme="minorHAnsi"/>
          <w:i/>
          <w:spacing w:val="-2"/>
        </w:rPr>
        <w:t>Bezúplatné převody</w:t>
      </w:r>
      <w:r>
        <w:rPr>
          <w:rFonts w:asciiTheme="minorHAnsi" w:hAnsiTheme="minorHAnsi" w:cstheme="minorHAnsi"/>
          <w:spacing w:val="-2"/>
        </w:rPr>
        <w:t xml:space="preserve"> místo na položce A.I.1. </w:t>
      </w:r>
      <w:r w:rsidRPr="004E2D6E">
        <w:rPr>
          <w:rFonts w:asciiTheme="minorHAnsi" w:hAnsiTheme="minorHAnsi" w:cstheme="minorHAnsi"/>
          <w:i/>
          <w:spacing w:val="-2"/>
        </w:rPr>
        <w:t>Změna, vznik nebo zánik příslušnosti hospodařit s majetkem státu</w:t>
      </w:r>
      <w:r>
        <w:rPr>
          <w:rFonts w:asciiTheme="minorHAnsi" w:hAnsiTheme="minorHAnsi" w:cstheme="minorHAnsi"/>
          <w:spacing w:val="-2"/>
        </w:rPr>
        <w:t xml:space="preserve"> přehledu o změnách vlastního kapitálu</w:t>
      </w:r>
      <w:r w:rsidR="00BB4066">
        <w:rPr>
          <w:rFonts w:asciiTheme="minorHAnsi" w:hAnsiTheme="minorHAnsi" w:cstheme="minorHAnsi"/>
          <w:spacing w:val="-2"/>
        </w:rPr>
        <w:t xml:space="preserve"> (systémový nedostatek)</w:t>
      </w:r>
      <w:r>
        <w:rPr>
          <w:rFonts w:asciiTheme="minorHAnsi" w:hAnsiTheme="minorHAnsi" w:cstheme="minorHAnsi"/>
          <w:spacing w:val="-2"/>
        </w:rPr>
        <w:t>.</w:t>
      </w:r>
    </w:p>
    <w:p w14:paraId="5F042B49" w14:textId="5660179B" w:rsidR="00BF110D" w:rsidRPr="00D71C60" w:rsidRDefault="00B716BB" w:rsidP="0063452C">
      <w:pPr>
        <w:spacing w:after="0"/>
        <w:jc w:val="both"/>
        <w:rPr>
          <w:rFonts w:asciiTheme="minorHAnsi" w:hAnsiTheme="minorHAnsi" w:cstheme="minorHAnsi"/>
          <w:spacing w:val="-2"/>
          <w:highlight w:val="yellow"/>
        </w:rPr>
      </w:pPr>
      <w:r w:rsidRPr="00CD1515">
        <w:rPr>
          <w:rFonts w:asciiTheme="minorHAnsi" w:hAnsiTheme="minorHAnsi" w:cstheme="minorHAnsi"/>
          <w:spacing w:val="-2"/>
        </w:rPr>
        <w:t xml:space="preserve">Následně </w:t>
      </w:r>
      <w:proofErr w:type="spellStart"/>
      <w:r w:rsidRPr="00CD1515">
        <w:rPr>
          <w:rFonts w:asciiTheme="minorHAnsi" w:hAnsiTheme="minorHAnsi" w:cstheme="minorHAnsi"/>
          <w:spacing w:val="-2"/>
        </w:rPr>
        <w:t>M</w:t>
      </w:r>
      <w:r w:rsidR="00CD1515">
        <w:rPr>
          <w:rFonts w:asciiTheme="minorHAnsi" w:hAnsiTheme="minorHAnsi" w:cstheme="minorHAnsi"/>
          <w:spacing w:val="-2"/>
        </w:rPr>
        <w:t>Z</w:t>
      </w:r>
      <w:r w:rsidR="00A6549B">
        <w:rPr>
          <w:rFonts w:asciiTheme="minorHAnsi" w:hAnsiTheme="minorHAnsi" w:cstheme="minorHAnsi"/>
          <w:spacing w:val="-2"/>
        </w:rPr>
        <w:t>d</w:t>
      </w:r>
      <w:proofErr w:type="spellEnd"/>
      <w:r w:rsidRPr="00CD1515">
        <w:rPr>
          <w:rFonts w:asciiTheme="minorHAnsi" w:hAnsiTheme="minorHAnsi" w:cstheme="minorHAnsi"/>
          <w:spacing w:val="-2"/>
        </w:rPr>
        <w:t xml:space="preserve"> </w:t>
      </w:r>
      <w:r w:rsidR="00CD1515">
        <w:rPr>
          <w:rFonts w:asciiTheme="minorHAnsi" w:hAnsiTheme="minorHAnsi" w:cstheme="minorHAnsi"/>
          <w:spacing w:val="-2"/>
        </w:rPr>
        <w:t xml:space="preserve">předalo </w:t>
      </w:r>
      <w:r w:rsidR="00CD1515" w:rsidRPr="00CD1515">
        <w:rPr>
          <w:rFonts w:asciiTheme="minorHAnsi" w:hAnsiTheme="minorHAnsi" w:cstheme="minorHAnsi"/>
          <w:spacing w:val="-2"/>
        </w:rPr>
        <w:t>konsolidační účetní záznam</w:t>
      </w:r>
      <w:r w:rsidR="00CD1515">
        <w:rPr>
          <w:rFonts w:asciiTheme="minorHAnsi" w:hAnsiTheme="minorHAnsi" w:cstheme="minorHAnsi"/>
          <w:spacing w:val="-2"/>
        </w:rPr>
        <w:t>y</w:t>
      </w:r>
      <w:r w:rsidR="00CD1515" w:rsidRPr="00CD1515">
        <w:rPr>
          <w:rFonts w:asciiTheme="minorHAnsi" w:hAnsiTheme="minorHAnsi" w:cstheme="minorHAnsi"/>
          <w:spacing w:val="-2"/>
        </w:rPr>
        <w:t xml:space="preserve"> za rok 2021 do CSÚIS dle termínů stanovených vyhláškou č. 383/2009 Sb.</w:t>
      </w:r>
      <w:r w:rsidR="00CD1515">
        <w:rPr>
          <w:rFonts w:asciiTheme="minorHAnsi" w:hAnsiTheme="minorHAnsi" w:cstheme="minorHAnsi"/>
          <w:spacing w:val="-2"/>
        </w:rPr>
        <w:t xml:space="preserve"> </w:t>
      </w:r>
      <w:r w:rsidRPr="00CD1515">
        <w:rPr>
          <w:rFonts w:asciiTheme="minorHAnsi" w:hAnsiTheme="minorHAnsi" w:cstheme="minorHAnsi"/>
          <w:spacing w:val="-2"/>
        </w:rPr>
        <w:t>V</w:t>
      </w:r>
      <w:r w:rsidR="00CD1515" w:rsidRPr="00CD1515">
        <w:rPr>
          <w:rFonts w:asciiTheme="minorHAnsi" w:hAnsiTheme="minorHAnsi" w:cstheme="minorHAnsi"/>
          <w:spacing w:val="-2"/>
        </w:rPr>
        <w:t> </w:t>
      </w:r>
      <w:r w:rsidRPr="00CD1515">
        <w:rPr>
          <w:rFonts w:asciiTheme="minorHAnsi" w:hAnsiTheme="minorHAnsi" w:cstheme="minorHAnsi"/>
          <w:spacing w:val="-2"/>
        </w:rPr>
        <w:t>t</w:t>
      </w:r>
      <w:r w:rsidR="00CD1515" w:rsidRPr="00CD1515">
        <w:rPr>
          <w:rFonts w:asciiTheme="minorHAnsi" w:hAnsiTheme="minorHAnsi" w:cstheme="minorHAnsi"/>
          <w:spacing w:val="-2"/>
        </w:rPr>
        <w:t>ěchto konsolidačních účetních záznamech</w:t>
      </w:r>
      <w:r w:rsidRPr="00CD1515">
        <w:rPr>
          <w:rFonts w:asciiTheme="minorHAnsi" w:hAnsiTheme="minorHAnsi" w:cstheme="minorHAnsi"/>
          <w:spacing w:val="-2"/>
        </w:rPr>
        <w:t xml:space="preserve"> zjistil </w:t>
      </w:r>
      <w:r w:rsidR="00151259" w:rsidRPr="00CD1515">
        <w:rPr>
          <w:rFonts w:asciiTheme="minorHAnsi" w:hAnsiTheme="minorHAnsi" w:cstheme="minorHAnsi"/>
          <w:spacing w:val="-2"/>
        </w:rPr>
        <w:t xml:space="preserve">NKÚ </w:t>
      </w:r>
      <w:r w:rsidRPr="00CD1515">
        <w:rPr>
          <w:rFonts w:asciiTheme="minorHAnsi" w:hAnsiTheme="minorHAnsi" w:cstheme="minorHAnsi"/>
          <w:spacing w:val="-2"/>
        </w:rPr>
        <w:t xml:space="preserve">další významné </w:t>
      </w:r>
      <w:r w:rsidR="00CE32FA">
        <w:rPr>
          <w:rFonts w:asciiTheme="minorHAnsi" w:hAnsiTheme="minorHAnsi" w:cstheme="minorHAnsi"/>
          <w:spacing w:val="-2"/>
        </w:rPr>
        <w:t>nedostatky</w:t>
      </w:r>
      <w:r w:rsidRPr="00CD1515">
        <w:rPr>
          <w:rFonts w:asciiTheme="minorHAnsi" w:hAnsiTheme="minorHAnsi" w:cstheme="minorHAnsi"/>
          <w:spacing w:val="-2"/>
        </w:rPr>
        <w:t xml:space="preserve"> v celkové výši </w:t>
      </w:r>
      <w:r w:rsidR="00CD1515" w:rsidRPr="00CD1515">
        <w:rPr>
          <w:rFonts w:asciiTheme="minorHAnsi" w:hAnsiTheme="minorHAnsi" w:cstheme="minorHAnsi"/>
          <w:spacing w:val="-2"/>
        </w:rPr>
        <w:t>6</w:t>
      </w:r>
      <w:r w:rsidRPr="00CD1515">
        <w:rPr>
          <w:rFonts w:asciiTheme="minorHAnsi" w:hAnsiTheme="minorHAnsi" w:cstheme="minorHAnsi"/>
          <w:spacing w:val="-2"/>
        </w:rPr>
        <w:t>,9 mld. Kč</w:t>
      </w:r>
      <w:r w:rsidR="00CE32FA">
        <w:rPr>
          <w:rFonts w:asciiTheme="minorHAnsi" w:hAnsiTheme="minorHAnsi" w:cstheme="minorHAnsi"/>
          <w:spacing w:val="-2"/>
        </w:rPr>
        <w:t xml:space="preserve"> hodnoty účetních obratů</w:t>
      </w:r>
      <w:r w:rsidRPr="00CD1515">
        <w:rPr>
          <w:rFonts w:asciiTheme="minorHAnsi" w:hAnsiTheme="minorHAnsi" w:cstheme="minorHAnsi"/>
          <w:spacing w:val="-2"/>
        </w:rPr>
        <w:t xml:space="preserve">, které se </w:t>
      </w:r>
      <w:proofErr w:type="spellStart"/>
      <w:r w:rsidRPr="00CD1515">
        <w:rPr>
          <w:rFonts w:asciiTheme="minorHAnsi" w:hAnsiTheme="minorHAnsi" w:cstheme="minorHAnsi"/>
          <w:spacing w:val="-2"/>
        </w:rPr>
        <w:t>M</w:t>
      </w:r>
      <w:r w:rsidR="00CD1515" w:rsidRPr="00CD1515">
        <w:rPr>
          <w:rFonts w:asciiTheme="minorHAnsi" w:hAnsiTheme="minorHAnsi" w:cstheme="minorHAnsi"/>
          <w:spacing w:val="-2"/>
        </w:rPr>
        <w:t>Z</w:t>
      </w:r>
      <w:r w:rsidR="00484F1B">
        <w:rPr>
          <w:rFonts w:asciiTheme="minorHAnsi" w:hAnsiTheme="minorHAnsi" w:cstheme="minorHAnsi"/>
          <w:spacing w:val="-2"/>
        </w:rPr>
        <w:t>d</w:t>
      </w:r>
      <w:proofErr w:type="spellEnd"/>
      <w:r w:rsidRPr="00CD1515">
        <w:rPr>
          <w:rFonts w:asciiTheme="minorHAnsi" w:hAnsiTheme="minorHAnsi" w:cstheme="minorHAnsi"/>
          <w:spacing w:val="-2"/>
        </w:rPr>
        <w:t xml:space="preserve"> rozhodlo rovněž opravit</w:t>
      </w:r>
      <w:r w:rsidR="00CD1515">
        <w:rPr>
          <w:rFonts w:asciiTheme="minorHAnsi" w:hAnsiTheme="minorHAnsi" w:cstheme="minorHAnsi"/>
          <w:spacing w:val="-2"/>
        </w:rPr>
        <w:t xml:space="preserve">. </w:t>
      </w:r>
      <w:r w:rsidR="00CE32FA">
        <w:rPr>
          <w:rFonts w:asciiTheme="minorHAnsi" w:hAnsiTheme="minorHAnsi" w:cstheme="minorHAnsi"/>
          <w:spacing w:val="-2"/>
        </w:rPr>
        <w:t>J</w:t>
      </w:r>
      <w:r w:rsidR="00B64DD4" w:rsidRPr="007D22EE">
        <w:rPr>
          <w:rFonts w:asciiTheme="minorHAnsi" w:hAnsiTheme="minorHAnsi" w:cstheme="minorHAnsi"/>
          <w:spacing w:val="-2"/>
        </w:rPr>
        <w:t>ednalo se například o</w:t>
      </w:r>
      <w:r w:rsidR="008C7E5A" w:rsidRPr="007D22EE">
        <w:rPr>
          <w:rFonts w:asciiTheme="minorHAnsi" w:hAnsiTheme="minorHAnsi" w:cstheme="minorHAnsi"/>
          <w:spacing w:val="-2"/>
        </w:rPr>
        <w:t xml:space="preserve"> opravu</w:t>
      </w:r>
      <w:r w:rsidR="00B64DD4" w:rsidRPr="007D22EE">
        <w:rPr>
          <w:rFonts w:asciiTheme="minorHAnsi" w:hAnsiTheme="minorHAnsi" w:cstheme="minorHAnsi"/>
          <w:spacing w:val="-2"/>
        </w:rPr>
        <w:t>:</w:t>
      </w:r>
    </w:p>
    <w:p w14:paraId="3DFD70DA" w14:textId="25957B9F" w:rsidR="00CE32FA" w:rsidRPr="00CE32FA" w:rsidRDefault="00B64DD4" w:rsidP="00FE50B4">
      <w:pPr>
        <w:pStyle w:val="Odstavecseseznamem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pacing w:val="-2"/>
        </w:rPr>
      </w:pPr>
      <w:r w:rsidRPr="00CE32FA">
        <w:rPr>
          <w:rFonts w:asciiTheme="minorHAnsi" w:hAnsiTheme="minorHAnsi" w:cstheme="minorHAnsi"/>
          <w:spacing w:val="-2"/>
        </w:rPr>
        <w:t>nesprávn</w:t>
      </w:r>
      <w:r w:rsidR="00CE32FA" w:rsidRPr="00CE32FA">
        <w:rPr>
          <w:rFonts w:asciiTheme="minorHAnsi" w:hAnsiTheme="minorHAnsi" w:cstheme="minorHAnsi"/>
          <w:spacing w:val="-2"/>
        </w:rPr>
        <w:t xml:space="preserve">ě vykázaných podmíněných závazků z transferů za další projekty EDS/SMVS na účtech 916 – </w:t>
      </w:r>
      <w:r w:rsidR="00CE32FA" w:rsidRPr="00CE32FA">
        <w:rPr>
          <w:rFonts w:asciiTheme="minorHAnsi" w:hAnsiTheme="minorHAnsi" w:cstheme="minorHAnsi"/>
          <w:i/>
          <w:spacing w:val="-2"/>
        </w:rPr>
        <w:t>Ostatní krátkodobé podmíněné závazky z transferů</w:t>
      </w:r>
      <w:r w:rsidR="00CE32FA" w:rsidRPr="00CE32FA">
        <w:rPr>
          <w:rFonts w:asciiTheme="minorHAnsi" w:hAnsiTheme="minorHAnsi" w:cstheme="minorHAnsi"/>
          <w:spacing w:val="-2"/>
        </w:rPr>
        <w:t xml:space="preserve"> a 956 – </w:t>
      </w:r>
      <w:r w:rsidR="00CE32FA" w:rsidRPr="00CE32FA">
        <w:rPr>
          <w:rFonts w:asciiTheme="minorHAnsi" w:hAnsiTheme="minorHAnsi" w:cstheme="minorHAnsi"/>
          <w:i/>
          <w:spacing w:val="-2"/>
        </w:rPr>
        <w:t xml:space="preserve">Ostatní dlouhodobé </w:t>
      </w:r>
      <w:r w:rsidR="00CE32FA" w:rsidRPr="00CE32FA">
        <w:rPr>
          <w:rFonts w:asciiTheme="minorHAnsi" w:hAnsiTheme="minorHAnsi" w:cstheme="minorHAnsi"/>
          <w:i/>
          <w:spacing w:val="-2"/>
        </w:rPr>
        <w:lastRenderedPageBreak/>
        <w:t>podmíněné závazky z</w:t>
      </w:r>
      <w:r w:rsidR="00CE32FA">
        <w:rPr>
          <w:rFonts w:asciiTheme="minorHAnsi" w:hAnsiTheme="minorHAnsi" w:cstheme="minorHAnsi"/>
          <w:i/>
          <w:spacing w:val="-2"/>
        </w:rPr>
        <w:t> </w:t>
      </w:r>
      <w:r w:rsidR="00CE32FA" w:rsidRPr="00CE32FA">
        <w:rPr>
          <w:rFonts w:asciiTheme="minorHAnsi" w:hAnsiTheme="minorHAnsi" w:cstheme="minorHAnsi"/>
          <w:i/>
          <w:spacing w:val="-2"/>
        </w:rPr>
        <w:t>transferů</w:t>
      </w:r>
      <w:r w:rsidR="00CE32FA">
        <w:rPr>
          <w:rFonts w:asciiTheme="minorHAnsi" w:hAnsiTheme="minorHAnsi" w:cstheme="minorHAnsi"/>
          <w:i/>
          <w:spacing w:val="-2"/>
        </w:rPr>
        <w:t xml:space="preserve"> </w:t>
      </w:r>
      <w:r w:rsidR="00CE32FA" w:rsidRPr="00CE32FA">
        <w:rPr>
          <w:rFonts w:asciiTheme="minorHAnsi" w:hAnsiTheme="minorHAnsi" w:cstheme="minorHAnsi"/>
          <w:spacing w:val="-2"/>
        </w:rPr>
        <w:t>v celkové výši</w:t>
      </w:r>
      <w:r w:rsidR="00CE32FA">
        <w:rPr>
          <w:rFonts w:asciiTheme="minorHAnsi" w:hAnsiTheme="minorHAnsi" w:cstheme="minorHAnsi"/>
          <w:spacing w:val="-2"/>
        </w:rPr>
        <w:t xml:space="preserve"> téměř 6 mld. Kč</w:t>
      </w:r>
      <w:r w:rsidR="00CE32FA" w:rsidRPr="00CE32FA">
        <w:rPr>
          <w:rFonts w:asciiTheme="minorHAnsi" w:hAnsiTheme="minorHAnsi" w:cstheme="minorHAnsi"/>
          <w:spacing w:val="-2"/>
        </w:rPr>
        <w:t>.</w:t>
      </w:r>
      <w:r w:rsidR="00CE32FA">
        <w:rPr>
          <w:rFonts w:asciiTheme="minorHAnsi" w:hAnsiTheme="minorHAnsi" w:cstheme="minorHAnsi"/>
          <w:spacing w:val="-2"/>
        </w:rPr>
        <w:t xml:space="preserve"> Tato chyba byla způsobena zejména tím, že </w:t>
      </w:r>
      <w:proofErr w:type="spellStart"/>
      <w:r w:rsidR="00CE32FA">
        <w:rPr>
          <w:rFonts w:asciiTheme="minorHAnsi" w:hAnsiTheme="minorHAnsi" w:cstheme="minorHAnsi"/>
          <w:spacing w:val="-2"/>
        </w:rPr>
        <w:t>MZ</w:t>
      </w:r>
      <w:r w:rsidR="00484F1B">
        <w:rPr>
          <w:rFonts w:asciiTheme="minorHAnsi" w:hAnsiTheme="minorHAnsi" w:cstheme="minorHAnsi"/>
          <w:spacing w:val="-2"/>
        </w:rPr>
        <w:t>d</w:t>
      </w:r>
      <w:proofErr w:type="spellEnd"/>
      <w:r w:rsidR="00CE32FA">
        <w:rPr>
          <w:rFonts w:asciiTheme="minorHAnsi" w:hAnsiTheme="minorHAnsi" w:cstheme="minorHAnsi"/>
          <w:spacing w:val="-2"/>
        </w:rPr>
        <w:t xml:space="preserve"> v</w:t>
      </w:r>
      <w:r w:rsidR="00151259">
        <w:rPr>
          <w:rFonts w:asciiTheme="minorHAnsi" w:hAnsiTheme="minorHAnsi" w:cstheme="minorHAnsi"/>
          <w:spacing w:val="-2"/>
        </w:rPr>
        <w:t xml:space="preserve"> </w:t>
      </w:r>
      <w:r w:rsidR="00CE32FA">
        <w:rPr>
          <w:rFonts w:asciiTheme="minorHAnsi" w:hAnsiTheme="minorHAnsi" w:cstheme="minorHAnsi"/>
          <w:spacing w:val="-2"/>
        </w:rPr>
        <w:t xml:space="preserve">podmíněných závazcích nevykázalo předpokládané závazky </w:t>
      </w:r>
      <w:r w:rsidR="00151259">
        <w:rPr>
          <w:rFonts w:asciiTheme="minorHAnsi" w:hAnsiTheme="minorHAnsi" w:cstheme="minorHAnsi"/>
          <w:spacing w:val="-2"/>
        </w:rPr>
        <w:t>(</w:t>
      </w:r>
      <w:r w:rsidR="00CE32FA">
        <w:rPr>
          <w:rFonts w:asciiTheme="minorHAnsi" w:hAnsiTheme="minorHAnsi" w:cstheme="minorHAnsi"/>
          <w:spacing w:val="-2"/>
        </w:rPr>
        <w:t>vyplývající z vydaných rozhodnutí</w:t>
      </w:r>
      <w:r w:rsidR="00151259">
        <w:rPr>
          <w:rFonts w:asciiTheme="minorHAnsi" w:hAnsiTheme="minorHAnsi" w:cstheme="minorHAnsi"/>
          <w:spacing w:val="-2"/>
        </w:rPr>
        <w:t>)</w:t>
      </w:r>
      <w:r w:rsidR="00CE32FA">
        <w:rPr>
          <w:rFonts w:asciiTheme="minorHAnsi" w:hAnsiTheme="minorHAnsi" w:cstheme="minorHAnsi"/>
          <w:spacing w:val="-2"/>
        </w:rPr>
        <w:t xml:space="preserve"> za celé budoucí období trvání projektu </w:t>
      </w:r>
      <w:r w:rsidR="00151259">
        <w:rPr>
          <w:rFonts w:asciiTheme="minorHAnsi" w:hAnsiTheme="minorHAnsi" w:cstheme="minorHAnsi"/>
          <w:spacing w:val="-2"/>
        </w:rPr>
        <w:t>evidovaného v </w:t>
      </w:r>
      <w:r w:rsidR="00CE32FA">
        <w:rPr>
          <w:rFonts w:asciiTheme="minorHAnsi" w:hAnsiTheme="minorHAnsi" w:cstheme="minorHAnsi"/>
          <w:spacing w:val="-2"/>
        </w:rPr>
        <w:t>EDS/SMVS</w:t>
      </w:r>
      <w:r w:rsidR="00781E9C">
        <w:rPr>
          <w:rFonts w:asciiTheme="minorHAnsi" w:hAnsiTheme="minorHAnsi" w:cstheme="minorHAnsi"/>
          <w:spacing w:val="-2"/>
        </w:rPr>
        <w:t xml:space="preserve">, ale pouze za první rok. </w:t>
      </w:r>
      <w:r w:rsidR="00781E9C" w:rsidRPr="00781E9C">
        <w:rPr>
          <w:rFonts w:asciiTheme="minorHAnsi" w:hAnsiTheme="minorHAnsi" w:cstheme="minorHAnsi"/>
          <w:spacing w:val="-2"/>
        </w:rPr>
        <w:t>Jednalo se o systémový nedostatek způsobený nevhodně nastavenými postupy</w:t>
      </w:r>
      <w:r w:rsidR="00151259">
        <w:rPr>
          <w:rFonts w:asciiTheme="minorHAnsi" w:hAnsiTheme="minorHAnsi" w:cstheme="minorHAnsi"/>
          <w:spacing w:val="-2"/>
        </w:rPr>
        <w:t xml:space="preserve"> pro</w:t>
      </w:r>
      <w:r w:rsidR="00781E9C" w:rsidRPr="00781E9C">
        <w:rPr>
          <w:rFonts w:asciiTheme="minorHAnsi" w:hAnsiTheme="minorHAnsi" w:cstheme="minorHAnsi"/>
          <w:spacing w:val="-2"/>
        </w:rPr>
        <w:t xml:space="preserve"> předávání správných údajů o stavu a hodnotě projektů </w:t>
      </w:r>
      <w:r w:rsidR="00151259">
        <w:rPr>
          <w:rFonts w:asciiTheme="minorHAnsi" w:hAnsiTheme="minorHAnsi" w:cstheme="minorHAnsi"/>
          <w:spacing w:val="-2"/>
        </w:rPr>
        <w:t xml:space="preserve">evidovaných v </w:t>
      </w:r>
      <w:r w:rsidR="00781E9C" w:rsidRPr="00781E9C">
        <w:rPr>
          <w:rFonts w:asciiTheme="minorHAnsi" w:hAnsiTheme="minorHAnsi" w:cstheme="minorHAnsi"/>
          <w:spacing w:val="-2"/>
        </w:rPr>
        <w:t xml:space="preserve">EDS/SMVS </w:t>
      </w:r>
      <w:r w:rsidR="00B324FC">
        <w:rPr>
          <w:rFonts w:asciiTheme="minorHAnsi" w:hAnsiTheme="minorHAnsi" w:cstheme="minorHAnsi"/>
          <w:spacing w:val="-2"/>
        </w:rPr>
        <w:t>do účetnictví</w:t>
      </w:r>
      <w:r w:rsidR="00781E9C" w:rsidRPr="00781E9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781E9C" w:rsidRPr="00781E9C">
        <w:rPr>
          <w:rFonts w:asciiTheme="minorHAnsi" w:hAnsiTheme="minorHAnsi" w:cstheme="minorHAnsi"/>
          <w:spacing w:val="-2"/>
        </w:rPr>
        <w:t>MZ</w:t>
      </w:r>
      <w:r w:rsidR="000C6002">
        <w:rPr>
          <w:rFonts w:asciiTheme="minorHAnsi" w:hAnsiTheme="minorHAnsi" w:cstheme="minorHAnsi"/>
          <w:spacing w:val="-2"/>
        </w:rPr>
        <w:t>d</w:t>
      </w:r>
      <w:proofErr w:type="spellEnd"/>
      <w:r w:rsidR="00151259">
        <w:rPr>
          <w:rFonts w:asciiTheme="minorHAnsi" w:hAnsiTheme="minorHAnsi" w:cstheme="minorHAnsi"/>
          <w:spacing w:val="-2"/>
        </w:rPr>
        <w:t>;</w:t>
      </w:r>
    </w:p>
    <w:p w14:paraId="3EDF3329" w14:textId="72B44658" w:rsidR="00B64DD4" w:rsidRPr="00CC3517" w:rsidRDefault="005B74B0" w:rsidP="00371894">
      <w:pPr>
        <w:pStyle w:val="Odstavecseseznamem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pacing w:val="-2"/>
        </w:rPr>
      </w:pPr>
      <w:r w:rsidRPr="00CC3517">
        <w:rPr>
          <w:rFonts w:asciiTheme="minorHAnsi" w:hAnsiTheme="minorHAnsi" w:cstheme="minorHAnsi"/>
          <w:spacing w:val="-2"/>
        </w:rPr>
        <w:t xml:space="preserve">nesprávně vykázaných podmíněných závazků z uzavřené objednávky vakcín na účtu </w:t>
      </w:r>
      <w:r w:rsidR="00B62E7C">
        <w:rPr>
          <w:rFonts w:asciiTheme="minorHAnsi" w:hAnsiTheme="minorHAnsi" w:cstheme="minorHAnsi"/>
          <w:spacing w:val="-2"/>
        </w:rPr>
        <w:br/>
      </w:r>
      <w:r w:rsidRPr="00CC3517">
        <w:rPr>
          <w:rFonts w:asciiTheme="minorHAnsi" w:hAnsiTheme="minorHAnsi" w:cstheme="minorHAnsi"/>
          <w:spacing w:val="-2"/>
        </w:rPr>
        <w:t xml:space="preserve">973 – </w:t>
      </w:r>
      <w:r w:rsidRPr="00CC3517">
        <w:rPr>
          <w:rFonts w:asciiTheme="minorHAnsi" w:hAnsiTheme="minorHAnsi" w:cstheme="minorHAnsi"/>
          <w:i/>
          <w:spacing w:val="-2"/>
        </w:rPr>
        <w:t>Krátkodobé podmíněné závazky z jiných smluv</w:t>
      </w:r>
      <w:r w:rsidR="00CC3517" w:rsidRPr="00CC3517">
        <w:rPr>
          <w:rFonts w:asciiTheme="minorHAnsi" w:hAnsiTheme="minorHAnsi" w:cstheme="minorHAnsi"/>
          <w:spacing w:val="-2"/>
        </w:rPr>
        <w:t xml:space="preserve"> v celkové výši 574 mil. Kč</w:t>
      </w:r>
      <w:r w:rsidR="00B62E7C">
        <w:rPr>
          <w:rFonts w:asciiTheme="minorHAnsi" w:hAnsiTheme="minorHAnsi" w:cstheme="minorHAnsi"/>
          <w:spacing w:val="-2"/>
        </w:rPr>
        <w:t>; tato nesprávnost vznikla</w:t>
      </w:r>
      <w:r w:rsidRPr="00CC3517">
        <w:rPr>
          <w:rFonts w:asciiTheme="minorHAnsi" w:hAnsiTheme="minorHAnsi" w:cstheme="minorHAnsi"/>
          <w:spacing w:val="-2"/>
        </w:rPr>
        <w:t xml:space="preserve"> </w:t>
      </w:r>
      <w:r w:rsidR="00CC3517" w:rsidRPr="00CC3517">
        <w:rPr>
          <w:rFonts w:asciiTheme="minorHAnsi" w:hAnsiTheme="minorHAnsi" w:cstheme="minorHAnsi"/>
          <w:spacing w:val="-2"/>
        </w:rPr>
        <w:t>vlivem zahrnutí závazků, které již byly ministerstvem uhrazeny předem ve formě zálohové platby</w:t>
      </w:r>
      <w:r w:rsidR="00B62E7C">
        <w:rPr>
          <w:rFonts w:asciiTheme="minorHAnsi" w:hAnsiTheme="minorHAnsi" w:cstheme="minorHAnsi"/>
          <w:spacing w:val="-2"/>
        </w:rPr>
        <w:t>,</w:t>
      </w:r>
      <w:r w:rsidR="00CC3517" w:rsidRPr="00CC3517">
        <w:rPr>
          <w:rFonts w:asciiTheme="minorHAnsi" w:hAnsiTheme="minorHAnsi" w:cstheme="minorHAnsi"/>
          <w:spacing w:val="-2"/>
        </w:rPr>
        <w:t xml:space="preserve"> a dále</w:t>
      </w:r>
      <w:r w:rsidR="00B62E7C">
        <w:rPr>
          <w:rFonts w:asciiTheme="minorHAnsi" w:hAnsiTheme="minorHAnsi" w:cstheme="minorHAnsi"/>
          <w:spacing w:val="-2"/>
        </w:rPr>
        <w:t xml:space="preserve"> vlivem</w:t>
      </w:r>
      <w:r w:rsidR="00CC3517" w:rsidRPr="00CC3517">
        <w:rPr>
          <w:rFonts w:asciiTheme="minorHAnsi" w:hAnsiTheme="minorHAnsi" w:cstheme="minorHAnsi"/>
          <w:spacing w:val="-2"/>
        </w:rPr>
        <w:t xml:space="preserve"> zahrnutí cizích závazků, které </w:t>
      </w:r>
      <w:proofErr w:type="spellStart"/>
      <w:r w:rsidR="00CC3517" w:rsidRPr="00CC3517">
        <w:rPr>
          <w:rFonts w:asciiTheme="minorHAnsi" w:hAnsiTheme="minorHAnsi" w:cstheme="minorHAnsi"/>
          <w:spacing w:val="-2"/>
        </w:rPr>
        <w:t>MZ</w:t>
      </w:r>
      <w:r w:rsidR="00484F1B">
        <w:rPr>
          <w:rFonts w:asciiTheme="minorHAnsi" w:hAnsiTheme="minorHAnsi" w:cstheme="minorHAnsi"/>
          <w:spacing w:val="-2"/>
        </w:rPr>
        <w:t>d</w:t>
      </w:r>
      <w:proofErr w:type="spellEnd"/>
      <w:r w:rsidR="00CC3517" w:rsidRPr="00CC3517">
        <w:rPr>
          <w:rFonts w:asciiTheme="minorHAnsi" w:hAnsiTheme="minorHAnsi" w:cstheme="minorHAnsi"/>
          <w:spacing w:val="-2"/>
        </w:rPr>
        <w:t xml:space="preserve"> hradit nebude. </w:t>
      </w:r>
    </w:p>
    <w:p w14:paraId="13BA8F2D" w14:textId="77777777" w:rsidR="00371894" w:rsidRDefault="00371894" w:rsidP="00371894">
      <w:pPr>
        <w:spacing w:after="0"/>
        <w:jc w:val="both"/>
        <w:rPr>
          <w:rFonts w:asciiTheme="minorHAnsi" w:hAnsiTheme="minorHAnsi" w:cstheme="minorHAnsi"/>
          <w:spacing w:val="-2"/>
        </w:rPr>
      </w:pPr>
    </w:p>
    <w:p w14:paraId="77137EAC" w14:textId="6661D6D6" w:rsidR="00371894" w:rsidRPr="00371894" w:rsidRDefault="00371894" w:rsidP="00371894">
      <w:pPr>
        <w:jc w:val="both"/>
        <w:rPr>
          <w:rFonts w:asciiTheme="minorHAnsi" w:hAnsiTheme="minorHAnsi" w:cstheme="minorHAnsi"/>
          <w:spacing w:val="-2"/>
          <w:highlight w:val="yellow"/>
        </w:rPr>
      </w:pPr>
      <w:r>
        <w:rPr>
          <w:rFonts w:asciiTheme="minorHAnsi" w:hAnsiTheme="minorHAnsi" w:cstheme="minorHAnsi"/>
          <w:spacing w:val="-2"/>
        </w:rPr>
        <w:t xml:space="preserve">Po všech uvedených opravách </w:t>
      </w:r>
      <w:r w:rsidRPr="00CD1515">
        <w:rPr>
          <w:rFonts w:asciiTheme="minorHAnsi" w:hAnsiTheme="minorHAnsi" w:cstheme="minorHAnsi"/>
          <w:spacing w:val="-2"/>
        </w:rPr>
        <w:t xml:space="preserve">sestavilo </w:t>
      </w:r>
      <w:proofErr w:type="spellStart"/>
      <w:r w:rsidR="00B62E7C" w:rsidRPr="00CD1515">
        <w:rPr>
          <w:rFonts w:asciiTheme="minorHAnsi" w:hAnsiTheme="minorHAnsi" w:cstheme="minorHAnsi"/>
          <w:spacing w:val="-2"/>
        </w:rPr>
        <w:t>MZ</w:t>
      </w:r>
      <w:r w:rsidR="00B62E7C">
        <w:rPr>
          <w:rFonts w:asciiTheme="minorHAnsi" w:hAnsiTheme="minorHAnsi" w:cstheme="minorHAnsi"/>
          <w:spacing w:val="-2"/>
        </w:rPr>
        <w:t>d</w:t>
      </w:r>
      <w:proofErr w:type="spellEnd"/>
      <w:r w:rsidR="00B62E7C" w:rsidRPr="00CD1515">
        <w:rPr>
          <w:rFonts w:asciiTheme="minorHAnsi" w:hAnsiTheme="minorHAnsi" w:cstheme="minorHAnsi"/>
          <w:spacing w:val="-2"/>
        </w:rPr>
        <w:t xml:space="preserve"> </w:t>
      </w:r>
      <w:r w:rsidRPr="00CD1515">
        <w:rPr>
          <w:rFonts w:asciiTheme="minorHAnsi" w:hAnsiTheme="minorHAnsi" w:cstheme="minorHAnsi"/>
          <w:spacing w:val="-2"/>
        </w:rPr>
        <w:t>účetní závěrku k</w:t>
      </w:r>
      <w:r w:rsidR="00B61A1D">
        <w:rPr>
          <w:rFonts w:asciiTheme="minorHAnsi" w:hAnsiTheme="minorHAnsi" w:cstheme="minorHAnsi"/>
          <w:spacing w:val="-2"/>
        </w:rPr>
        <w:t xml:space="preserve"> </w:t>
      </w:r>
      <w:r w:rsidRPr="00CD1515">
        <w:rPr>
          <w:rFonts w:asciiTheme="minorHAnsi" w:hAnsiTheme="minorHAnsi" w:cstheme="minorHAnsi"/>
          <w:spacing w:val="-2"/>
        </w:rPr>
        <w:t>31. prosinci 2021 s</w:t>
      </w:r>
      <w:r w:rsidR="00B61A1D">
        <w:rPr>
          <w:rFonts w:asciiTheme="minorHAnsi" w:hAnsiTheme="minorHAnsi" w:cstheme="minorHAnsi"/>
          <w:spacing w:val="-2"/>
        </w:rPr>
        <w:t xml:space="preserve"> </w:t>
      </w:r>
      <w:r w:rsidRPr="00CD1515">
        <w:rPr>
          <w:rFonts w:asciiTheme="minorHAnsi" w:hAnsiTheme="minorHAnsi" w:cstheme="minorHAnsi"/>
          <w:spacing w:val="-2"/>
        </w:rPr>
        <w:t xml:space="preserve">datem sestavení 13. dubna </w:t>
      </w:r>
      <w:r w:rsidR="00B62E7C">
        <w:rPr>
          <w:rFonts w:asciiTheme="minorHAnsi" w:hAnsiTheme="minorHAnsi" w:cstheme="minorHAnsi"/>
          <w:spacing w:val="-2"/>
        </w:rPr>
        <w:t>2022</w:t>
      </w:r>
      <w:r w:rsidRPr="00CD1515">
        <w:rPr>
          <w:rFonts w:asciiTheme="minorHAnsi" w:hAnsiTheme="minorHAnsi" w:cstheme="minorHAnsi"/>
          <w:spacing w:val="-2"/>
        </w:rPr>
        <w:t>, která se tak stala účetní závěrkou dle zákona č. 563/1991 Sb.</w:t>
      </w:r>
    </w:p>
    <w:p w14:paraId="41EF77B5" w14:textId="11AB7891" w:rsidR="00B716BB" w:rsidRPr="006B5E10" w:rsidRDefault="006750E2" w:rsidP="0063452C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jc w:val="left"/>
        <w:rPr>
          <w:rFonts w:ascii="Calibri" w:hAnsi="Calibri" w:cs="Calibri"/>
        </w:rPr>
      </w:pPr>
      <w:r w:rsidRPr="006B5E10">
        <w:rPr>
          <w:rFonts w:ascii="Calibri" w:hAnsi="Calibri" w:cs="Calibri"/>
        </w:rPr>
        <w:t xml:space="preserve">2.2 </w:t>
      </w:r>
      <w:r w:rsidR="008C51DA" w:rsidRPr="006B5E10">
        <w:rPr>
          <w:rFonts w:ascii="Calibri" w:hAnsi="Calibri" w:cs="Calibri"/>
        </w:rPr>
        <w:t>S</w:t>
      </w:r>
      <w:r w:rsidR="00B716BB" w:rsidRPr="006B5E10">
        <w:rPr>
          <w:rFonts w:ascii="Calibri" w:hAnsi="Calibri" w:cs="Calibri"/>
        </w:rPr>
        <w:t>polehlivost údajů ÚZ</w:t>
      </w:r>
      <w:r w:rsidR="008C51DA" w:rsidRPr="006B5E10">
        <w:rPr>
          <w:rFonts w:ascii="Calibri" w:hAnsi="Calibri" w:cs="Calibri"/>
        </w:rPr>
        <w:t xml:space="preserve"> a zveřejnění</w:t>
      </w:r>
      <w:r w:rsidR="00B62E7C">
        <w:rPr>
          <w:rFonts w:ascii="Calibri" w:hAnsi="Calibri" w:cs="Calibri"/>
        </w:rPr>
        <w:t xml:space="preserve"> ÚZ</w:t>
      </w:r>
    </w:p>
    <w:p w14:paraId="1AD031E6" w14:textId="77777777" w:rsidR="00B716BB" w:rsidRPr="004F6A74" w:rsidRDefault="00B716BB" w:rsidP="0063452C">
      <w:pPr>
        <w:jc w:val="both"/>
        <w:rPr>
          <w:rFonts w:asciiTheme="minorHAnsi" w:hAnsiTheme="minorHAnsi" w:cstheme="minorHAnsi"/>
          <w:b/>
          <w:spacing w:val="-2"/>
        </w:rPr>
      </w:pPr>
      <w:r w:rsidRPr="004F6A74">
        <w:rPr>
          <w:rFonts w:asciiTheme="minorHAnsi" w:hAnsiTheme="minorHAnsi" w:cstheme="minorHAnsi"/>
          <w:spacing w:val="-2"/>
        </w:rPr>
        <w:t>V</w:t>
      </w:r>
      <w:r w:rsidR="004F6A74" w:rsidRPr="004F6A74">
        <w:rPr>
          <w:rFonts w:asciiTheme="minorHAnsi" w:hAnsiTheme="minorHAnsi" w:cstheme="minorHAnsi"/>
          <w:spacing w:val="-2"/>
        </w:rPr>
        <w:t> </w:t>
      </w:r>
      <w:r w:rsidRPr="004F6A74">
        <w:rPr>
          <w:rFonts w:asciiTheme="minorHAnsi" w:hAnsiTheme="minorHAnsi" w:cstheme="minorHAnsi"/>
          <w:spacing w:val="-2"/>
        </w:rPr>
        <w:t>ÚZ</w:t>
      </w:r>
      <w:r w:rsidR="004F6A74" w:rsidRPr="004F6A74">
        <w:rPr>
          <w:rFonts w:asciiTheme="minorHAnsi" w:hAnsiTheme="minorHAnsi" w:cstheme="minorHAnsi"/>
          <w:spacing w:val="-2"/>
        </w:rPr>
        <w:t xml:space="preserve"> sestavené po provedení oprav uvedených v části </w:t>
      </w:r>
      <w:r w:rsidR="00F01A3D">
        <w:rPr>
          <w:rFonts w:asciiTheme="minorHAnsi" w:hAnsiTheme="minorHAnsi" w:cstheme="minorHAnsi"/>
          <w:spacing w:val="-2"/>
        </w:rPr>
        <w:t>IV.</w:t>
      </w:r>
      <w:r w:rsidR="004F6A74" w:rsidRPr="004F6A74">
        <w:rPr>
          <w:rFonts w:asciiTheme="minorHAnsi" w:hAnsiTheme="minorHAnsi" w:cstheme="minorHAnsi"/>
          <w:spacing w:val="-2"/>
        </w:rPr>
        <w:t xml:space="preserve">2.1 tohoto kontrolního závěru nebyly zjištěny </w:t>
      </w:r>
      <w:r w:rsidR="00CE51CA">
        <w:rPr>
          <w:rFonts w:asciiTheme="minorHAnsi" w:hAnsiTheme="minorHAnsi" w:cstheme="minorHAnsi"/>
          <w:spacing w:val="-2"/>
        </w:rPr>
        <w:t xml:space="preserve">žádné neopravené </w:t>
      </w:r>
      <w:r w:rsidR="004F6A74" w:rsidRPr="004F6A74">
        <w:rPr>
          <w:rFonts w:asciiTheme="minorHAnsi" w:hAnsiTheme="minorHAnsi" w:cstheme="minorHAnsi"/>
          <w:spacing w:val="-2"/>
        </w:rPr>
        <w:t>nesprávnosti.</w:t>
      </w:r>
    </w:p>
    <w:p w14:paraId="4017018C" w14:textId="77777777" w:rsidR="00B716BB" w:rsidRPr="00D71C60" w:rsidRDefault="004F6A74" w:rsidP="0063452C">
      <w:pPr>
        <w:jc w:val="both"/>
        <w:rPr>
          <w:rFonts w:cs="Calibri"/>
          <w:b/>
          <w:highlight w:val="yellow"/>
        </w:rPr>
      </w:pPr>
      <w:r w:rsidRPr="004F6A74">
        <w:rPr>
          <w:rFonts w:cs="Calibri"/>
        </w:rPr>
        <w:t>P</w:t>
      </w:r>
      <w:r w:rsidR="00BF110D" w:rsidRPr="004F6A74">
        <w:rPr>
          <w:rFonts w:cs="Calibri"/>
        </w:rPr>
        <w:t>r</w:t>
      </w:r>
      <w:r w:rsidR="00B716BB" w:rsidRPr="004F6A74">
        <w:rPr>
          <w:rFonts w:cs="Calibri"/>
        </w:rPr>
        <w:t xml:space="preserve">o posouzení spolehlivosti informací v ÚZ byla stanovena významnost neboli </w:t>
      </w:r>
      <w:proofErr w:type="spellStart"/>
      <w:r w:rsidR="00B716BB" w:rsidRPr="004F6A74">
        <w:rPr>
          <w:rFonts w:cs="Calibri"/>
        </w:rPr>
        <w:t>materialita</w:t>
      </w:r>
      <w:proofErr w:type="spellEnd"/>
      <w:r w:rsidR="00B716BB" w:rsidRPr="004F6A74">
        <w:rPr>
          <w:rStyle w:val="Znakapoznpodarou"/>
          <w:rFonts w:cs="Calibri"/>
        </w:rPr>
        <w:footnoteReference w:id="47"/>
      </w:r>
      <w:r w:rsidR="00B716BB" w:rsidRPr="004F6A74">
        <w:rPr>
          <w:rFonts w:cs="Calibri"/>
        </w:rPr>
        <w:t xml:space="preserve"> ve výši </w:t>
      </w:r>
      <w:r w:rsidRPr="004F6A74">
        <w:rPr>
          <w:rFonts w:cs="Calibri"/>
        </w:rPr>
        <w:t>569 mil</w:t>
      </w:r>
      <w:r w:rsidR="00B716BB" w:rsidRPr="004F6A74">
        <w:rPr>
          <w:rFonts w:cs="Calibri"/>
        </w:rPr>
        <w:t>. Kč</w:t>
      </w:r>
      <w:r w:rsidR="00B716BB" w:rsidRPr="004F6A74">
        <w:rPr>
          <w:rStyle w:val="Znakapoznpodarou"/>
          <w:rFonts w:cs="Calibri"/>
        </w:rPr>
        <w:footnoteReference w:id="48"/>
      </w:r>
      <w:r w:rsidR="00B716BB" w:rsidRPr="004F6A74">
        <w:rPr>
          <w:rFonts w:cs="Calibri"/>
        </w:rPr>
        <w:t>.</w:t>
      </w:r>
    </w:p>
    <w:p w14:paraId="4DA32C27" w14:textId="1BF7AD8D" w:rsidR="00F36DC7" w:rsidRPr="007A3D08" w:rsidRDefault="00B716BB" w:rsidP="0063452C">
      <w:pPr>
        <w:jc w:val="both"/>
        <w:rPr>
          <w:rFonts w:cs="Arial"/>
          <w:b/>
        </w:rPr>
      </w:pPr>
      <w:r w:rsidRPr="007A3D08">
        <w:rPr>
          <w:rFonts w:cs="Arial"/>
          <w:b/>
        </w:rPr>
        <w:t xml:space="preserve">Podle názoru NKÚ účetní závěrka </w:t>
      </w:r>
      <w:proofErr w:type="spellStart"/>
      <w:r w:rsidR="007A3D08" w:rsidRPr="007A3D08">
        <w:rPr>
          <w:rFonts w:cs="Arial"/>
          <w:b/>
        </w:rPr>
        <w:t>MZ</w:t>
      </w:r>
      <w:r w:rsidR="00863376">
        <w:rPr>
          <w:rFonts w:cs="Arial"/>
          <w:b/>
        </w:rPr>
        <w:t>d</w:t>
      </w:r>
      <w:proofErr w:type="spellEnd"/>
      <w:r w:rsidRPr="007A3D08">
        <w:rPr>
          <w:rFonts w:cs="Arial"/>
          <w:b/>
        </w:rPr>
        <w:t xml:space="preserve"> sestavená k 31. pros</w:t>
      </w:r>
      <w:r w:rsidR="005B4C04" w:rsidRPr="007A3D08">
        <w:rPr>
          <w:rFonts w:cs="Arial"/>
          <w:b/>
        </w:rPr>
        <w:t>inci 202</w:t>
      </w:r>
      <w:r w:rsidR="007A3D08" w:rsidRPr="007A3D08">
        <w:rPr>
          <w:rFonts w:cs="Arial"/>
          <w:b/>
        </w:rPr>
        <w:t>1</w:t>
      </w:r>
      <w:r w:rsidR="005B4C04" w:rsidRPr="007A3D08">
        <w:rPr>
          <w:rFonts w:cs="Arial"/>
          <w:b/>
        </w:rPr>
        <w:t xml:space="preserve"> s</w:t>
      </w:r>
      <w:r w:rsidR="00517CE0">
        <w:rPr>
          <w:rFonts w:cs="Arial"/>
          <w:b/>
        </w:rPr>
        <w:t xml:space="preserve"> </w:t>
      </w:r>
      <w:r w:rsidR="005B4C04" w:rsidRPr="007A3D08">
        <w:rPr>
          <w:rFonts w:cs="Arial"/>
          <w:b/>
        </w:rPr>
        <w:t>datem sestavení 13. </w:t>
      </w:r>
      <w:r w:rsidR="007A3D08" w:rsidRPr="007A3D08">
        <w:rPr>
          <w:rFonts w:cs="Arial"/>
          <w:b/>
        </w:rPr>
        <w:t>dubna</w:t>
      </w:r>
      <w:r w:rsidRPr="007A3D08">
        <w:rPr>
          <w:rFonts w:cs="Arial"/>
          <w:b/>
        </w:rPr>
        <w:t xml:space="preserve"> 202</w:t>
      </w:r>
      <w:r w:rsidR="007A3D08" w:rsidRPr="007A3D08">
        <w:rPr>
          <w:rFonts w:cs="Arial"/>
          <w:b/>
        </w:rPr>
        <w:t>2</w:t>
      </w:r>
      <w:r w:rsidRPr="007A3D08">
        <w:rPr>
          <w:rFonts w:cs="Arial"/>
          <w:b/>
        </w:rPr>
        <w:t xml:space="preserve"> podává věrný a poctivý obraz předmětu účetnictví a finanční situace účetní jednotky dle účetních předpisů pro některé vybrané účetní jednotky.</w:t>
      </w:r>
      <w:r w:rsidR="008B72E2" w:rsidRPr="007A3D08">
        <w:rPr>
          <w:rFonts w:cs="Arial"/>
          <w:b/>
        </w:rPr>
        <w:t xml:space="preserve"> </w:t>
      </w:r>
    </w:p>
    <w:p w14:paraId="07E1BB46" w14:textId="77777777" w:rsidR="004F6A74" w:rsidRPr="004F6A74" w:rsidRDefault="004F6A74" w:rsidP="004F6A74">
      <w:pPr>
        <w:jc w:val="both"/>
        <w:rPr>
          <w:rFonts w:cs="Arial"/>
          <w:b/>
        </w:rPr>
      </w:pPr>
      <w:r w:rsidRPr="004F6A74">
        <w:rPr>
          <w:rFonts w:cs="Arial"/>
          <w:b/>
        </w:rPr>
        <w:t>NKÚ současně upozorňuje na skutečnosti uvedené v příloze ÚZ v bod</w:t>
      </w:r>
      <w:r w:rsidR="007F6E2C">
        <w:rPr>
          <w:rFonts w:cs="Arial"/>
          <w:b/>
        </w:rPr>
        <w:t>ech</w:t>
      </w:r>
      <w:r w:rsidRPr="004F6A74">
        <w:rPr>
          <w:rFonts w:cs="Arial"/>
          <w:b/>
        </w:rPr>
        <w:t>:</w:t>
      </w:r>
    </w:p>
    <w:p w14:paraId="79DA1D81" w14:textId="77777777" w:rsidR="004F6A74" w:rsidRPr="004F6A74" w:rsidRDefault="004F6A74" w:rsidP="004F6A74">
      <w:pPr>
        <w:numPr>
          <w:ilvl w:val="0"/>
          <w:numId w:val="21"/>
        </w:numPr>
        <w:jc w:val="both"/>
        <w:rPr>
          <w:rFonts w:cs="Arial"/>
          <w:b/>
        </w:rPr>
      </w:pPr>
      <w:r w:rsidRPr="004F6A74">
        <w:rPr>
          <w:rFonts w:cs="Arial"/>
          <w:b/>
        </w:rPr>
        <w:t xml:space="preserve">E.1. </w:t>
      </w:r>
      <w:r w:rsidRPr="004E2D6E">
        <w:rPr>
          <w:rFonts w:cs="Arial"/>
          <w:b/>
          <w:i/>
        </w:rPr>
        <w:t>Doplňující informace k položkám rozvahy</w:t>
      </w:r>
      <w:r w:rsidRPr="004F6A74">
        <w:rPr>
          <w:rFonts w:cs="Arial"/>
          <w:b/>
        </w:rPr>
        <w:t xml:space="preserve"> k SÚ 132 – </w:t>
      </w:r>
      <w:r w:rsidRPr="004F6A74">
        <w:rPr>
          <w:rFonts w:cs="Arial"/>
          <w:b/>
          <w:i/>
        </w:rPr>
        <w:t>Zboží na skladě</w:t>
      </w:r>
      <w:r w:rsidRPr="004F6A74">
        <w:rPr>
          <w:rFonts w:cs="Arial"/>
          <w:b/>
        </w:rPr>
        <w:t xml:space="preserve">, 388 – </w:t>
      </w:r>
      <w:r w:rsidRPr="004F6A74">
        <w:rPr>
          <w:rFonts w:cs="Arial"/>
          <w:b/>
          <w:i/>
        </w:rPr>
        <w:t>Dohadné účty aktivní</w:t>
      </w:r>
      <w:r w:rsidRPr="004F6A74">
        <w:rPr>
          <w:rFonts w:cs="Arial"/>
          <w:b/>
        </w:rPr>
        <w:t xml:space="preserve">, 222 – </w:t>
      </w:r>
      <w:r w:rsidRPr="004F6A74">
        <w:rPr>
          <w:rFonts w:cs="Arial"/>
          <w:b/>
          <w:i/>
        </w:rPr>
        <w:t>Příjmový účet organizačních složek státu</w:t>
      </w:r>
      <w:r w:rsidRPr="004F6A74">
        <w:rPr>
          <w:rFonts w:cs="Arial"/>
          <w:b/>
        </w:rPr>
        <w:t xml:space="preserve">, 223 – </w:t>
      </w:r>
      <w:r w:rsidRPr="004F6A74">
        <w:rPr>
          <w:rFonts w:cs="Arial"/>
          <w:b/>
          <w:i/>
        </w:rPr>
        <w:t>Zvláštní výdajový účet</w:t>
      </w:r>
      <w:r w:rsidRPr="004F6A74">
        <w:rPr>
          <w:rFonts w:cs="Arial"/>
          <w:b/>
        </w:rPr>
        <w:t xml:space="preserve">, 321 – </w:t>
      </w:r>
      <w:r w:rsidRPr="004F6A74">
        <w:rPr>
          <w:rFonts w:cs="Arial"/>
          <w:b/>
          <w:i/>
        </w:rPr>
        <w:t>Dodavatelé</w:t>
      </w:r>
      <w:r w:rsidRPr="004F6A74">
        <w:rPr>
          <w:rFonts w:cs="Arial"/>
          <w:b/>
        </w:rPr>
        <w:t xml:space="preserve">, 324 – </w:t>
      </w:r>
      <w:r w:rsidRPr="004F6A74">
        <w:rPr>
          <w:rFonts w:cs="Arial"/>
          <w:b/>
          <w:i/>
        </w:rPr>
        <w:t>Krátkodobé přijaté zálohy</w:t>
      </w:r>
      <w:r w:rsidRPr="004F6A74">
        <w:rPr>
          <w:rFonts w:cs="Arial"/>
          <w:b/>
        </w:rPr>
        <w:t xml:space="preserve"> a</w:t>
      </w:r>
    </w:p>
    <w:p w14:paraId="3FAADD18" w14:textId="77777777" w:rsidR="004F6A74" w:rsidRPr="004F6A74" w:rsidRDefault="004F6A74" w:rsidP="004F6A74">
      <w:pPr>
        <w:numPr>
          <w:ilvl w:val="0"/>
          <w:numId w:val="21"/>
        </w:numPr>
        <w:jc w:val="both"/>
        <w:rPr>
          <w:rFonts w:cs="Arial"/>
          <w:b/>
        </w:rPr>
      </w:pPr>
      <w:r w:rsidRPr="004F6A74">
        <w:rPr>
          <w:rFonts w:cs="Arial"/>
          <w:b/>
        </w:rPr>
        <w:t xml:space="preserve">E.2. </w:t>
      </w:r>
      <w:r w:rsidRPr="004E2D6E">
        <w:rPr>
          <w:rFonts w:cs="Arial"/>
          <w:b/>
          <w:i/>
        </w:rPr>
        <w:t>Doplňující informace k položkám výkazu zisku a ztráty</w:t>
      </w:r>
      <w:r w:rsidRPr="004F6A74">
        <w:rPr>
          <w:rFonts w:cs="Arial"/>
          <w:b/>
        </w:rPr>
        <w:t xml:space="preserve"> k SÚ 504 – </w:t>
      </w:r>
      <w:r w:rsidRPr="004F6A74">
        <w:rPr>
          <w:rFonts w:cs="Arial"/>
          <w:b/>
          <w:i/>
        </w:rPr>
        <w:t>Prodané zboží</w:t>
      </w:r>
      <w:r w:rsidRPr="004F6A74">
        <w:rPr>
          <w:rFonts w:cs="Arial"/>
          <w:b/>
        </w:rPr>
        <w:t xml:space="preserve">, 543 – </w:t>
      </w:r>
      <w:r w:rsidRPr="004F6A74">
        <w:rPr>
          <w:rFonts w:cs="Arial"/>
          <w:b/>
          <w:i/>
        </w:rPr>
        <w:t>Dary a jiná bezúplatná předání</w:t>
      </w:r>
      <w:r w:rsidRPr="004F6A74">
        <w:rPr>
          <w:rFonts w:cs="Arial"/>
          <w:b/>
        </w:rPr>
        <w:t xml:space="preserve"> a 604 – </w:t>
      </w:r>
      <w:r w:rsidRPr="004F6A74">
        <w:rPr>
          <w:rFonts w:cs="Arial"/>
          <w:b/>
          <w:i/>
        </w:rPr>
        <w:t>Výnosy z prodaného zboží</w:t>
      </w:r>
      <w:r w:rsidR="00B62E7C">
        <w:rPr>
          <w:rFonts w:cs="Arial"/>
          <w:b/>
        </w:rPr>
        <w:t>.</w:t>
      </w:r>
      <w:r w:rsidRPr="004F6A74">
        <w:rPr>
          <w:rFonts w:cs="Arial"/>
          <w:b/>
        </w:rPr>
        <w:t xml:space="preserve"> </w:t>
      </w:r>
    </w:p>
    <w:p w14:paraId="18F0A5AE" w14:textId="64A562F1" w:rsidR="004F6A74" w:rsidRPr="00391821" w:rsidRDefault="00391821" w:rsidP="004F6A74">
      <w:pPr>
        <w:jc w:val="both"/>
        <w:rPr>
          <w:rFonts w:cs="Arial"/>
          <w:b/>
        </w:rPr>
      </w:pPr>
      <w:r w:rsidRPr="00391821">
        <w:rPr>
          <w:rFonts w:eastAsiaTheme="minorHAnsi" w:cs="Calibri"/>
          <w:b/>
        </w:rPr>
        <w:t>Doplňující informace k</w:t>
      </w:r>
      <w:r>
        <w:rPr>
          <w:rFonts w:eastAsiaTheme="minorHAnsi" w:cs="Calibri"/>
          <w:b/>
        </w:rPr>
        <w:t xml:space="preserve"> </w:t>
      </w:r>
      <w:r w:rsidRPr="00391821">
        <w:rPr>
          <w:rFonts w:eastAsiaTheme="minorHAnsi" w:cs="Calibri"/>
          <w:b/>
        </w:rPr>
        <w:t xml:space="preserve">uvedeným SÚ </w:t>
      </w:r>
      <w:r w:rsidR="004F6A74" w:rsidRPr="00391821">
        <w:rPr>
          <w:rFonts w:cs="Arial"/>
          <w:b/>
        </w:rPr>
        <w:t>popisují vliv pořízení, skladování, prodeje a</w:t>
      </w:r>
      <w:r>
        <w:rPr>
          <w:rFonts w:cs="Arial"/>
          <w:b/>
        </w:rPr>
        <w:t xml:space="preserve"> </w:t>
      </w:r>
      <w:r w:rsidR="004F6A74" w:rsidRPr="00391821">
        <w:rPr>
          <w:rFonts w:cs="Arial"/>
          <w:b/>
        </w:rPr>
        <w:t xml:space="preserve">darování zásob vakcín na vybrané položky ÚZ. </w:t>
      </w:r>
    </w:p>
    <w:p w14:paraId="6310D462" w14:textId="702DA7E1" w:rsidR="004F6A74" w:rsidRPr="004F6A74" w:rsidRDefault="004F6A74" w:rsidP="004F6A74">
      <w:pPr>
        <w:jc w:val="both"/>
        <w:rPr>
          <w:rFonts w:cs="Arial"/>
          <w:b/>
        </w:rPr>
      </w:pPr>
      <w:r w:rsidRPr="004F6A74">
        <w:rPr>
          <w:rFonts w:cs="Arial"/>
          <w:b/>
        </w:rPr>
        <w:t xml:space="preserve">Úplatné pořízení vakcín vykázalo </w:t>
      </w:r>
      <w:proofErr w:type="spellStart"/>
      <w:r w:rsidRPr="004F6A74">
        <w:rPr>
          <w:rFonts w:cs="Arial"/>
          <w:b/>
        </w:rPr>
        <w:t>MZ</w:t>
      </w:r>
      <w:r w:rsidR="00863376">
        <w:rPr>
          <w:rFonts w:cs="Arial"/>
          <w:b/>
        </w:rPr>
        <w:t>d</w:t>
      </w:r>
      <w:proofErr w:type="spellEnd"/>
      <w:r w:rsidRPr="004F6A74">
        <w:rPr>
          <w:rFonts w:cs="Arial"/>
          <w:b/>
        </w:rPr>
        <w:t xml:space="preserve"> na SÚ 223 – </w:t>
      </w:r>
      <w:r w:rsidRPr="004F6A74">
        <w:rPr>
          <w:rFonts w:cs="Arial"/>
          <w:b/>
          <w:i/>
        </w:rPr>
        <w:t>Zvláštní výdajový účet</w:t>
      </w:r>
      <w:r w:rsidRPr="004F6A74">
        <w:rPr>
          <w:rFonts w:cs="Arial"/>
          <w:b/>
        </w:rPr>
        <w:t xml:space="preserve"> ve výši uhrazených faktur a na SÚ 321 – </w:t>
      </w:r>
      <w:r w:rsidRPr="004F6A74">
        <w:rPr>
          <w:rFonts w:cs="Arial"/>
          <w:b/>
          <w:i/>
        </w:rPr>
        <w:t>Dodavatelé</w:t>
      </w:r>
      <w:r w:rsidRPr="004F6A74">
        <w:rPr>
          <w:rFonts w:cs="Arial"/>
          <w:b/>
        </w:rPr>
        <w:t xml:space="preserve"> ve výši neuhrazených faktur. Vakcíny poskytnuté občanům ČR, prodané samoplátcům a do zahraničí vykázalo </w:t>
      </w:r>
      <w:proofErr w:type="spellStart"/>
      <w:r w:rsidRPr="004F6A74">
        <w:rPr>
          <w:rFonts w:cs="Arial"/>
          <w:b/>
        </w:rPr>
        <w:t>MZ</w:t>
      </w:r>
      <w:r w:rsidR="00863376">
        <w:rPr>
          <w:rFonts w:cs="Arial"/>
          <w:b/>
        </w:rPr>
        <w:t>d</w:t>
      </w:r>
      <w:proofErr w:type="spellEnd"/>
      <w:r w:rsidRPr="004F6A74">
        <w:rPr>
          <w:rFonts w:cs="Arial"/>
          <w:b/>
        </w:rPr>
        <w:t xml:space="preserve"> na SÚ 504 – </w:t>
      </w:r>
      <w:r w:rsidRPr="004F6A74">
        <w:rPr>
          <w:rFonts w:cs="Arial"/>
          <w:b/>
          <w:i/>
        </w:rPr>
        <w:t>Prodané zboží</w:t>
      </w:r>
      <w:r w:rsidRPr="004F6A74">
        <w:rPr>
          <w:rFonts w:cs="Arial"/>
          <w:b/>
        </w:rPr>
        <w:t xml:space="preserve">, darované vakcíny do zahraničí na SÚ 543 – </w:t>
      </w:r>
      <w:r w:rsidRPr="004F6A74">
        <w:rPr>
          <w:rFonts w:cs="Arial"/>
          <w:b/>
          <w:i/>
        </w:rPr>
        <w:t>Dary a jiná bezúplatná předání</w:t>
      </w:r>
      <w:r w:rsidRPr="004F6A74">
        <w:rPr>
          <w:rFonts w:cs="Arial"/>
          <w:b/>
        </w:rPr>
        <w:t xml:space="preserve">, exspirované a zničené vakcíny na SÚ 547 – </w:t>
      </w:r>
      <w:r w:rsidRPr="004F6A74">
        <w:rPr>
          <w:rFonts w:cs="Arial"/>
          <w:b/>
          <w:i/>
        </w:rPr>
        <w:t>Manka a škody</w:t>
      </w:r>
      <w:r w:rsidRPr="004F6A74">
        <w:rPr>
          <w:rFonts w:cs="Arial"/>
          <w:b/>
        </w:rPr>
        <w:t xml:space="preserve">. Výnosy z prodeje vakcín samoplátcům a do zahraničí vykázalo </w:t>
      </w:r>
      <w:proofErr w:type="spellStart"/>
      <w:r w:rsidRPr="004F6A74">
        <w:rPr>
          <w:rFonts w:cs="Arial"/>
          <w:b/>
        </w:rPr>
        <w:t>MZ</w:t>
      </w:r>
      <w:r w:rsidR="00863376">
        <w:rPr>
          <w:rFonts w:cs="Arial"/>
          <w:b/>
        </w:rPr>
        <w:t>d</w:t>
      </w:r>
      <w:proofErr w:type="spellEnd"/>
      <w:r w:rsidRPr="004F6A74">
        <w:rPr>
          <w:rFonts w:cs="Arial"/>
          <w:b/>
        </w:rPr>
        <w:t xml:space="preserve"> na SÚ 604 – </w:t>
      </w:r>
      <w:r w:rsidRPr="004F6A74">
        <w:rPr>
          <w:rFonts w:cs="Arial"/>
          <w:b/>
          <w:i/>
        </w:rPr>
        <w:t>Výnosy z prodaného zboží</w:t>
      </w:r>
      <w:r w:rsidRPr="004F6A74">
        <w:rPr>
          <w:rFonts w:cs="Arial"/>
          <w:b/>
        </w:rPr>
        <w:t>, stejně tak jako očekávané výnosy vykázané spolu s</w:t>
      </w:r>
      <w:r w:rsidR="00613C2A">
        <w:rPr>
          <w:rFonts w:cs="Arial"/>
          <w:b/>
        </w:rPr>
        <w:t xml:space="preserve"> </w:t>
      </w:r>
      <w:r w:rsidRPr="004F6A74">
        <w:rPr>
          <w:rFonts w:cs="Arial"/>
          <w:b/>
        </w:rPr>
        <w:t xml:space="preserve">dohadnou položkou aktivní (SÚ 388 – </w:t>
      </w:r>
      <w:r w:rsidRPr="004F6A74">
        <w:rPr>
          <w:rFonts w:cs="Arial"/>
          <w:b/>
          <w:i/>
        </w:rPr>
        <w:t>Dohadné účty aktivní</w:t>
      </w:r>
      <w:r w:rsidRPr="004F6A74">
        <w:rPr>
          <w:rFonts w:cs="Arial"/>
          <w:b/>
        </w:rPr>
        <w:t xml:space="preserve">) </w:t>
      </w:r>
      <w:r w:rsidR="00613C2A">
        <w:rPr>
          <w:rFonts w:cs="Arial"/>
          <w:b/>
        </w:rPr>
        <w:t xml:space="preserve">na základě záloh přijatých </w:t>
      </w:r>
      <w:r w:rsidRPr="004F6A74">
        <w:rPr>
          <w:rFonts w:cs="Arial"/>
          <w:b/>
        </w:rPr>
        <w:t xml:space="preserve">od zdravotních pojišťoven za </w:t>
      </w:r>
      <w:proofErr w:type="spellStart"/>
      <w:r w:rsidRPr="004F6A74">
        <w:rPr>
          <w:rFonts w:cs="Arial"/>
          <w:b/>
        </w:rPr>
        <w:t>vyočkované</w:t>
      </w:r>
      <w:proofErr w:type="spellEnd"/>
      <w:r w:rsidRPr="004F6A74">
        <w:rPr>
          <w:rFonts w:cs="Arial"/>
          <w:b/>
        </w:rPr>
        <w:t xml:space="preserve"> vakcíny. Přijaté zálohy od </w:t>
      </w:r>
      <w:r w:rsidRPr="004F6A74">
        <w:rPr>
          <w:rFonts w:cs="Arial"/>
          <w:b/>
        </w:rPr>
        <w:lastRenderedPageBreak/>
        <w:t xml:space="preserve">zdravotních pojišťoven vykázalo </w:t>
      </w:r>
      <w:proofErr w:type="spellStart"/>
      <w:r w:rsidR="00BD74F5" w:rsidRPr="004F6A74">
        <w:rPr>
          <w:rFonts w:cs="Arial"/>
          <w:b/>
        </w:rPr>
        <w:t>MZ</w:t>
      </w:r>
      <w:r w:rsidR="00BD74F5">
        <w:rPr>
          <w:rFonts w:cs="Arial"/>
          <w:b/>
        </w:rPr>
        <w:t>d</w:t>
      </w:r>
      <w:proofErr w:type="spellEnd"/>
      <w:r w:rsidR="00BD74F5" w:rsidRPr="004F6A74">
        <w:rPr>
          <w:rFonts w:cs="Arial"/>
          <w:b/>
        </w:rPr>
        <w:t xml:space="preserve"> </w:t>
      </w:r>
      <w:r w:rsidRPr="004F6A74">
        <w:rPr>
          <w:rFonts w:cs="Arial"/>
          <w:b/>
        </w:rPr>
        <w:t xml:space="preserve">na SÚ 222 – </w:t>
      </w:r>
      <w:r w:rsidRPr="004F6A74">
        <w:rPr>
          <w:rFonts w:cs="Arial"/>
          <w:b/>
          <w:i/>
        </w:rPr>
        <w:t>Příjmový účet OSS</w:t>
      </w:r>
      <w:r w:rsidRPr="004F6A74">
        <w:rPr>
          <w:rFonts w:cs="Arial"/>
          <w:b/>
        </w:rPr>
        <w:t xml:space="preserve"> a na SÚ 324 – </w:t>
      </w:r>
      <w:r w:rsidRPr="004F6A74">
        <w:rPr>
          <w:rFonts w:cs="Arial"/>
          <w:b/>
          <w:i/>
        </w:rPr>
        <w:t>Krátkodobé přijaté zálohy</w:t>
      </w:r>
      <w:r w:rsidRPr="004F6A74">
        <w:rPr>
          <w:rFonts w:cs="Arial"/>
          <w:b/>
        </w:rPr>
        <w:t>. Výnosy z</w:t>
      </w:r>
      <w:r w:rsidR="00B61A1D">
        <w:rPr>
          <w:rFonts w:cs="Arial"/>
          <w:b/>
        </w:rPr>
        <w:t xml:space="preserve"> </w:t>
      </w:r>
      <w:r w:rsidRPr="004F6A74">
        <w:rPr>
          <w:rFonts w:cs="Arial"/>
          <w:b/>
        </w:rPr>
        <w:t xml:space="preserve">bezúplatně pořízených zásob vakcín </w:t>
      </w:r>
      <w:proofErr w:type="spellStart"/>
      <w:r w:rsidRPr="004F6A74">
        <w:rPr>
          <w:rFonts w:cs="Arial"/>
          <w:b/>
        </w:rPr>
        <w:t>MZ</w:t>
      </w:r>
      <w:r w:rsidR="00863376">
        <w:rPr>
          <w:rFonts w:cs="Arial"/>
          <w:b/>
        </w:rPr>
        <w:t>d</w:t>
      </w:r>
      <w:proofErr w:type="spellEnd"/>
      <w:r w:rsidRPr="004F6A74">
        <w:rPr>
          <w:rFonts w:cs="Arial"/>
          <w:b/>
        </w:rPr>
        <w:t xml:space="preserve"> vykázalo na SÚ 649 – </w:t>
      </w:r>
      <w:r w:rsidRPr="004F6A74">
        <w:rPr>
          <w:rFonts w:cs="Arial"/>
          <w:b/>
          <w:i/>
        </w:rPr>
        <w:t>Ostatní výnosy z činnosti</w:t>
      </w:r>
      <w:r w:rsidRPr="004F6A74">
        <w:rPr>
          <w:rFonts w:cs="Arial"/>
          <w:b/>
        </w:rPr>
        <w:t xml:space="preserve"> a stav nespotřebovaných vakcín pak na SÚ 132 – </w:t>
      </w:r>
      <w:r w:rsidRPr="004F6A74">
        <w:rPr>
          <w:rFonts w:cs="Arial"/>
          <w:b/>
          <w:i/>
        </w:rPr>
        <w:t>Zboží na skladě</w:t>
      </w:r>
      <w:r w:rsidRPr="004F6A74">
        <w:rPr>
          <w:rFonts w:cs="Arial"/>
          <w:b/>
        </w:rPr>
        <w:t>.</w:t>
      </w:r>
    </w:p>
    <w:p w14:paraId="17B09B15" w14:textId="6CC85A93" w:rsidR="004F6A74" w:rsidRPr="004F6A74" w:rsidRDefault="004F6A74" w:rsidP="004F6A74">
      <w:pPr>
        <w:spacing w:after="0"/>
        <w:jc w:val="both"/>
        <w:rPr>
          <w:rFonts w:cs="Arial"/>
          <w:b/>
        </w:rPr>
      </w:pPr>
      <w:r w:rsidRPr="004F6A74">
        <w:rPr>
          <w:rFonts w:cs="Arial"/>
          <w:b/>
        </w:rPr>
        <w:t xml:space="preserve">NKÚ dále upozorňuje na skutečnost, že </w:t>
      </w:r>
      <w:proofErr w:type="spellStart"/>
      <w:r w:rsidRPr="004F6A74">
        <w:rPr>
          <w:rFonts w:cs="Arial"/>
          <w:b/>
        </w:rPr>
        <w:t>MZ</w:t>
      </w:r>
      <w:r w:rsidR="00863376">
        <w:rPr>
          <w:rFonts w:cs="Arial"/>
          <w:b/>
        </w:rPr>
        <w:t>d</w:t>
      </w:r>
      <w:proofErr w:type="spellEnd"/>
      <w:r w:rsidRPr="004F6A74">
        <w:rPr>
          <w:rFonts w:cs="Arial"/>
          <w:b/>
        </w:rPr>
        <w:t xml:space="preserve"> v příloze ÚZ na podrozvahových účtech </w:t>
      </w:r>
      <w:r w:rsidR="00A05597">
        <w:rPr>
          <w:rFonts w:cs="Arial"/>
          <w:b/>
        </w:rPr>
        <w:br/>
      </w:r>
      <w:r w:rsidRPr="004F6A74">
        <w:rPr>
          <w:rFonts w:cs="Arial"/>
          <w:b/>
        </w:rPr>
        <w:t xml:space="preserve">973 – </w:t>
      </w:r>
      <w:r w:rsidRPr="004F6A74">
        <w:rPr>
          <w:rFonts w:cs="Arial"/>
          <w:b/>
          <w:i/>
        </w:rPr>
        <w:t>Krátkodobé podmíněné závazky z</w:t>
      </w:r>
      <w:r w:rsidR="00B61A1D">
        <w:rPr>
          <w:rFonts w:cs="Arial"/>
          <w:b/>
          <w:i/>
        </w:rPr>
        <w:t xml:space="preserve"> </w:t>
      </w:r>
      <w:r w:rsidRPr="004F6A74">
        <w:rPr>
          <w:rFonts w:cs="Arial"/>
          <w:b/>
          <w:i/>
        </w:rPr>
        <w:t>jiných smluv</w:t>
      </w:r>
      <w:r w:rsidRPr="004F6A74">
        <w:rPr>
          <w:rFonts w:cs="Arial"/>
          <w:b/>
        </w:rPr>
        <w:t xml:space="preserve"> a 974 – </w:t>
      </w:r>
      <w:r w:rsidRPr="004F6A74">
        <w:rPr>
          <w:rFonts w:cs="Arial"/>
          <w:b/>
          <w:i/>
        </w:rPr>
        <w:t>Dlouhodobé podmíněné závazky z</w:t>
      </w:r>
      <w:r w:rsidR="00B61A1D">
        <w:rPr>
          <w:rFonts w:cs="Arial"/>
          <w:b/>
          <w:i/>
        </w:rPr>
        <w:t xml:space="preserve"> </w:t>
      </w:r>
      <w:r w:rsidRPr="004F6A74">
        <w:rPr>
          <w:rFonts w:cs="Arial"/>
          <w:b/>
          <w:i/>
        </w:rPr>
        <w:t>jiných smluv</w:t>
      </w:r>
      <w:r w:rsidRPr="004F6A74">
        <w:rPr>
          <w:rFonts w:cs="Arial"/>
          <w:b/>
        </w:rPr>
        <w:t xml:space="preserve"> vykázalo významné částky podmíněných závazků vyplývajících z předběžných dohod o nákupu a kupních smluv na dodávku vakcín uzavřených s výrobci vakcín.</w:t>
      </w:r>
      <w:r w:rsidR="00484F1B">
        <w:rPr>
          <w:rFonts w:cs="Arial"/>
          <w:b/>
        </w:rPr>
        <w:t xml:space="preserve"> Tuto informaci </w:t>
      </w:r>
      <w:proofErr w:type="spellStart"/>
      <w:r w:rsidR="00484F1B">
        <w:rPr>
          <w:rFonts w:cs="Arial"/>
          <w:b/>
        </w:rPr>
        <w:t>MZd</w:t>
      </w:r>
      <w:proofErr w:type="spellEnd"/>
      <w:r w:rsidR="00484F1B">
        <w:rPr>
          <w:rFonts w:cs="Arial"/>
          <w:b/>
        </w:rPr>
        <w:t xml:space="preserve"> v příloze ÚZ nekomentovalo</w:t>
      </w:r>
      <w:r w:rsidR="00AC1D6D" w:rsidRPr="00AC1D6D">
        <w:rPr>
          <w:rFonts w:cs="Arial"/>
          <w:b/>
        </w:rPr>
        <w:t>, protože doplňující a vysvětlující informace k</w:t>
      </w:r>
      <w:r w:rsidR="00BD74F5">
        <w:rPr>
          <w:rFonts w:cs="Arial"/>
          <w:b/>
        </w:rPr>
        <w:t> </w:t>
      </w:r>
      <w:r w:rsidR="00AC1D6D" w:rsidRPr="00AC1D6D">
        <w:rPr>
          <w:rFonts w:cs="Arial"/>
          <w:b/>
        </w:rPr>
        <w:t>podrozvahovým účtům nejsou účetními předpisy vyžadovány</w:t>
      </w:r>
      <w:r w:rsidR="00484F1B">
        <w:rPr>
          <w:rFonts w:cs="Arial"/>
          <w:b/>
        </w:rPr>
        <w:t xml:space="preserve">. </w:t>
      </w:r>
    </w:p>
    <w:p w14:paraId="6D3A222F" w14:textId="77777777" w:rsidR="008C51DA" w:rsidRPr="00D71C60" w:rsidRDefault="008C51DA" w:rsidP="004F6A74">
      <w:pPr>
        <w:spacing w:after="0"/>
        <w:jc w:val="both"/>
        <w:rPr>
          <w:rFonts w:cs="Arial"/>
          <w:highlight w:val="yellow"/>
        </w:rPr>
      </w:pPr>
    </w:p>
    <w:p w14:paraId="6A3E4FB2" w14:textId="77777777" w:rsidR="001073F7" w:rsidRPr="007A3D08" w:rsidRDefault="006750E2" w:rsidP="0063452C">
      <w:pPr>
        <w:pStyle w:val="Nadpis2"/>
        <w:keepNext/>
        <w:numPr>
          <w:ilvl w:val="0"/>
          <w:numId w:val="0"/>
        </w:numPr>
        <w:spacing w:after="120" w:line="240" w:lineRule="auto"/>
        <w:ind w:left="284" w:hanging="284"/>
        <w:contextualSpacing w:val="0"/>
        <w:jc w:val="left"/>
        <w:rPr>
          <w:rFonts w:ascii="Calibri" w:hAnsi="Calibri" w:cs="Calibri"/>
        </w:rPr>
      </w:pPr>
      <w:r w:rsidRPr="007A3D08">
        <w:rPr>
          <w:rFonts w:ascii="Calibri" w:hAnsi="Calibri" w:cs="Calibri"/>
        </w:rPr>
        <w:t xml:space="preserve">3. </w:t>
      </w:r>
      <w:r w:rsidR="0063452C" w:rsidRPr="007A3D08">
        <w:rPr>
          <w:rFonts w:ascii="Calibri" w:hAnsi="Calibri" w:cs="Calibri"/>
        </w:rPr>
        <w:tab/>
      </w:r>
      <w:r w:rsidR="001073F7" w:rsidRPr="007A3D08">
        <w:rPr>
          <w:rFonts w:ascii="Calibri" w:hAnsi="Calibri" w:cs="Calibri"/>
        </w:rPr>
        <w:t xml:space="preserve">Údaje předkládané Ministerstvem </w:t>
      </w:r>
      <w:r w:rsidR="007A3D08" w:rsidRPr="007A3D08">
        <w:rPr>
          <w:rFonts w:ascii="Calibri" w:hAnsi="Calibri" w:cs="Calibri"/>
        </w:rPr>
        <w:t>zdravotnictví</w:t>
      </w:r>
      <w:r w:rsidR="001073F7" w:rsidRPr="007A3D08">
        <w:rPr>
          <w:rFonts w:ascii="Calibri" w:hAnsi="Calibri" w:cs="Calibri"/>
        </w:rPr>
        <w:t xml:space="preserve"> pro hodnocení plnění státního rozpočtu za rok 202</w:t>
      </w:r>
      <w:r w:rsidR="005A413E">
        <w:rPr>
          <w:rFonts w:ascii="Calibri" w:hAnsi="Calibri" w:cs="Calibri"/>
        </w:rPr>
        <w:t>1</w:t>
      </w:r>
      <w:r w:rsidR="001073F7" w:rsidRPr="007A3D08">
        <w:rPr>
          <w:rFonts w:ascii="Calibri" w:hAnsi="Calibri" w:cs="Calibri"/>
          <w:vertAlign w:val="superscript"/>
        </w:rPr>
        <w:footnoteReference w:id="49"/>
      </w:r>
    </w:p>
    <w:p w14:paraId="73844BC8" w14:textId="7EBBD3D2" w:rsidR="00101A7B" w:rsidRPr="00101A7B" w:rsidRDefault="00101A7B" w:rsidP="0066297E">
      <w:pPr>
        <w:jc w:val="both"/>
        <w:rPr>
          <w:rFonts w:cs="Calibri"/>
          <w:bCs/>
          <w:lang w:eastAsia="cs-CZ"/>
        </w:rPr>
      </w:pPr>
      <w:r w:rsidRPr="00101A7B">
        <w:rPr>
          <w:rFonts w:cs="Calibri"/>
          <w:bCs/>
          <w:lang w:eastAsia="cs-CZ"/>
        </w:rPr>
        <w:t xml:space="preserve">Obdobně jako v účetnictví zjistil NKÚ i v rozpočtovém systému </w:t>
      </w:r>
      <w:proofErr w:type="spellStart"/>
      <w:r w:rsidRPr="00101A7B">
        <w:rPr>
          <w:rFonts w:cs="Calibri"/>
          <w:bCs/>
          <w:lang w:eastAsia="cs-CZ"/>
        </w:rPr>
        <w:t>MZ</w:t>
      </w:r>
      <w:r w:rsidR="00A6549B">
        <w:rPr>
          <w:rFonts w:cs="Calibri"/>
          <w:bCs/>
          <w:lang w:eastAsia="cs-CZ"/>
        </w:rPr>
        <w:t>d</w:t>
      </w:r>
      <w:proofErr w:type="spellEnd"/>
      <w:r w:rsidRPr="00101A7B">
        <w:rPr>
          <w:rFonts w:cs="Calibri"/>
          <w:bCs/>
          <w:lang w:eastAsia="cs-CZ"/>
        </w:rPr>
        <w:t xml:space="preserve"> v průběhu kontroly nedostatky</w:t>
      </w:r>
      <w:r w:rsidR="00F01A3D">
        <w:rPr>
          <w:rFonts w:cs="Calibri"/>
          <w:bCs/>
          <w:lang w:eastAsia="cs-CZ"/>
        </w:rPr>
        <w:t xml:space="preserve"> </w:t>
      </w:r>
      <w:r w:rsidR="00BD74F5">
        <w:rPr>
          <w:rFonts w:cs="Calibri"/>
          <w:bCs/>
          <w:lang w:eastAsia="cs-CZ"/>
        </w:rPr>
        <w:t>(</w:t>
      </w:r>
      <w:r w:rsidRPr="00101A7B">
        <w:rPr>
          <w:rFonts w:cs="Calibri"/>
          <w:bCs/>
          <w:lang w:eastAsia="cs-CZ"/>
        </w:rPr>
        <w:t>v celkové výši 4 mld. Kč</w:t>
      </w:r>
      <w:r w:rsidR="00BD74F5">
        <w:rPr>
          <w:rFonts w:cs="Calibri"/>
          <w:bCs/>
          <w:lang w:eastAsia="cs-CZ"/>
        </w:rPr>
        <w:t>)</w:t>
      </w:r>
      <w:r w:rsidR="00742B94">
        <w:rPr>
          <w:rFonts w:cs="Calibri"/>
          <w:bCs/>
          <w:lang w:eastAsia="cs-CZ"/>
        </w:rPr>
        <w:t xml:space="preserve">, které </w:t>
      </w:r>
      <w:proofErr w:type="spellStart"/>
      <w:r w:rsidR="00742B94">
        <w:rPr>
          <w:rFonts w:cs="Calibri"/>
          <w:bCs/>
          <w:lang w:eastAsia="cs-CZ"/>
        </w:rPr>
        <w:t>MZ</w:t>
      </w:r>
      <w:r w:rsidR="00A6549B">
        <w:rPr>
          <w:rFonts w:cs="Calibri"/>
          <w:bCs/>
          <w:lang w:eastAsia="cs-CZ"/>
        </w:rPr>
        <w:t>d</w:t>
      </w:r>
      <w:proofErr w:type="spellEnd"/>
      <w:r w:rsidR="00742B94">
        <w:rPr>
          <w:rFonts w:cs="Calibri"/>
          <w:bCs/>
          <w:lang w:eastAsia="cs-CZ"/>
        </w:rPr>
        <w:t xml:space="preserve"> ještě před předáním údajů pro hodnocení plnění státního rozpočtu za rok 2021 opravilo</w:t>
      </w:r>
      <w:r w:rsidRPr="00101A7B">
        <w:rPr>
          <w:rFonts w:cs="Calibri"/>
          <w:bCs/>
          <w:lang w:eastAsia="cs-CZ"/>
        </w:rPr>
        <w:t xml:space="preserve">. Jednalo se zejména o nesprávné třídění výdajů na transfery poskytované obecním a krajským nemocnicím položkou rozpočtové skladby </w:t>
      </w:r>
      <w:r w:rsidR="00A05597">
        <w:rPr>
          <w:rFonts w:cs="Calibri"/>
          <w:bCs/>
          <w:lang w:eastAsia="cs-CZ"/>
        </w:rPr>
        <w:br/>
      </w:r>
      <w:r w:rsidRPr="00101A7B">
        <w:rPr>
          <w:rFonts w:cs="Calibri"/>
          <w:bCs/>
          <w:lang w:eastAsia="cs-CZ"/>
        </w:rPr>
        <w:t xml:space="preserve">5213 – </w:t>
      </w:r>
      <w:r w:rsidRPr="00101A7B">
        <w:rPr>
          <w:rFonts w:cs="Calibri"/>
          <w:bCs/>
          <w:i/>
          <w:lang w:eastAsia="cs-CZ"/>
        </w:rPr>
        <w:t>Neinvestiční transfery nefinančním podnikatelským subjektům – právnickým osobám</w:t>
      </w:r>
      <w:r w:rsidRPr="00101A7B">
        <w:rPr>
          <w:rFonts w:cs="Calibri"/>
          <w:bCs/>
          <w:lang w:eastAsia="cs-CZ"/>
        </w:rPr>
        <w:t xml:space="preserve">, přestože je pro tyto případy s účinností od 1. ledna 2019 stanovena rozpočtovou skladbou položka 5216 – </w:t>
      </w:r>
      <w:r w:rsidRPr="00101A7B">
        <w:rPr>
          <w:rFonts w:cs="Calibri"/>
          <w:bCs/>
          <w:i/>
          <w:lang w:eastAsia="cs-CZ"/>
        </w:rPr>
        <w:t>Neinvestiční transfery obecním a krajským nemocnicím – obchodním společnostem</w:t>
      </w:r>
      <w:r w:rsidRPr="00101A7B">
        <w:rPr>
          <w:rFonts w:cs="Calibri"/>
          <w:bCs/>
          <w:lang w:eastAsia="cs-CZ"/>
        </w:rPr>
        <w:t xml:space="preserve">. </w:t>
      </w:r>
      <w:r w:rsidR="00742B94">
        <w:rPr>
          <w:rFonts w:cs="Calibri"/>
          <w:bCs/>
          <w:lang w:eastAsia="cs-CZ"/>
        </w:rPr>
        <w:t>Jednalo se o systémový nedostatek, který vznikl v </w:t>
      </w:r>
      <w:r w:rsidR="00A05597">
        <w:rPr>
          <w:rFonts w:cs="Calibri"/>
          <w:bCs/>
          <w:lang w:eastAsia="cs-CZ"/>
        </w:rPr>
        <w:t>důsledku</w:t>
      </w:r>
      <w:r w:rsidR="00742B94">
        <w:rPr>
          <w:rFonts w:cs="Calibri"/>
          <w:bCs/>
          <w:lang w:eastAsia="cs-CZ"/>
        </w:rPr>
        <w:t xml:space="preserve"> nesprávně nastavený</w:t>
      </w:r>
      <w:r w:rsidR="00A05597">
        <w:rPr>
          <w:rFonts w:cs="Calibri"/>
          <w:bCs/>
          <w:lang w:eastAsia="cs-CZ"/>
        </w:rPr>
        <w:t>ch</w:t>
      </w:r>
      <w:r w:rsidR="00742B94">
        <w:rPr>
          <w:rFonts w:cs="Calibri"/>
          <w:bCs/>
          <w:lang w:eastAsia="cs-CZ"/>
        </w:rPr>
        <w:t xml:space="preserve"> postup</w:t>
      </w:r>
      <w:r w:rsidR="00A05597">
        <w:rPr>
          <w:rFonts w:cs="Calibri"/>
          <w:bCs/>
          <w:lang w:eastAsia="cs-CZ"/>
        </w:rPr>
        <w:t>ů</w:t>
      </w:r>
      <w:r w:rsidR="00742B94">
        <w:rPr>
          <w:rFonts w:cs="Calibri"/>
          <w:bCs/>
          <w:lang w:eastAsia="cs-CZ"/>
        </w:rPr>
        <w:t xml:space="preserve"> rozpočtové klasifikace tohoto typu výdaj</w:t>
      </w:r>
      <w:r w:rsidR="00A05597">
        <w:rPr>
          <w:rFonts w:cs="Calibri"/>
          <w:bCs/>
          <w:lang w:eastAsia="cs-CZ"/>
        </w:rPr>
        <w:t>ů</w:t>
      </w:r>
      <w:r w:rsidR="00742B94">
        <w:rPr>
          <w:rFonts w:cs="Calibri"/>
          <w:bCs/>
          <w:lang w:eastAsia="cs-CZ"/>
        </w:rPr>
        <w:t xml:space="preserve"> a ke kterému </w:t>
      </w:r>
      <w:proofErr w:type="spellStart"/>
      <w:r w:rsidR="00742B94">
        <w:rPr>
          <w:rFonts w:cs="Calibri"/>
          <w:bCs/>
          <w:lang w:eastAsia="cs-CZ"/>
        </w:rPr>
        <w:t>MZ</w:t>
      </w:r>
      <w:r w:rsidR="00A6549B">
        <w:rPr>
          <w:rFonts w:cs="Calibri"/>
          <w:bCs/>
          <w:lang w:eastAsia="cs-CZ"/>
        </w:rPr>
        <w:t>d</w:t>
      </w:r>
      <w:proofErr w:type="spellEnd"/>
      <w:r w:rsidR="00742B94">
        <w:rPr>
          <w:rFonts w:cs="Calibri"/>
          <w:bCs/>
          <w:lang w:eastAsia="cs-CZ"/>
        </w:rPr>
        <w:t xml:space="preserve"> v průběhu kontroly přijalo adekvátní opatření k jeho eliminaci. </w:t>
      </w:r>
      <w:proofErr w:type="spellStart"/>
      <w:r w:rsidR="00742B94">
        <w:rPr>
          <w:rFonts w:cs="Calibri"/>
          <w:bCs/>
          <w:lang w:eastAsia="cs-CZ"/>
        </w:rPr>
        <w:t>MZ</w:t>
      </w:r>
      <w:r w:rsidR="00A6549B">
        <w:rPr>
          <w:rFonts w:cs="Calibri"/>
          <w:bCs/>
          <w:lang w:eastAsia="cs-CZ"/>
        </w:rPr>
        <w:t>d</w:t>
      </w:r>
      <w:proofErr w:type="spellEnd"/>
      <w:r w:rsidR="00742B94">
        <w:rPr>
          <w:rFonts w:cs="Calibri"/>
          <w:bCs/>
          <w:lang w:eastAsia="cs-CZ"/>
        </w:rPr>
        <w:t xml:space="preserve"> současně chybně zatříděné výdaje opravilo </w:t>
      </w:r>
      <w:r w:rsidR="00DB3975">
        <w:rPr>
          <w:rFonts w:cs="Calibri"/>
          <w:bCs/>
          <w:lang w:eastAsia="cs-CZ"/>
        </w:rPr>
        <w:t>přetříděním</w:t>
      </w:r>
      <w:r w:rsidR="00D73861">
        <w:rPr>
          <w:rFonts w:cs="Calibri"/>
          <w:bCs/>
          <w:lang w:eastAsia="cs-CZ"/>
        </w:rPr>
        <w:t xml:space="preserve"> </w:t>
      </w:r>
      <w:r w:rsidR="00742B94">
        <w:rPr>
          <w:rFonts w:cs="Calibri"/>
          <w:bCs/>
          <w:lang w:eastAsia="cs-CZ"/>
        </w:rPr>
        <w:t xml:space="preserve">na správnou rozpočtovou položku 5216 </w:t>
      </w:r>
      <w:r w:rsidR="00742B94" w:rsidRPr="00101A7B">
        <w:rPr>
          <w:rFonts w:cs="Calibri"/>
          <w:bCs/>
          <w:lang w:eastAsia="cs-CZ"/>
        </w:rPr>
        <w:t xml:space="preserve">– </w:t>
      </w:r>
      <w:r w:rsidR="00742B94" w:rsidRPr="00101A7B">
        <w:rPr>
          <w:rFonts w:cs="Calibri"/>
          <w:bCs/>
          <w:i/>
          <w:lang w:eastAsia="cs-CZ"/>
        </w:rPr>
        <w:t>Neinvestiční transfery obecním a krajským nemocnicím – obchodním společnostem</w:t>
      </w:r>
      <w:r w:rsidR="00742B94">
        <w:rPr>
          <w:rFonts w:cs="Calibri"/>
          <w:bCs/>
          <w:lang w:eastAsia="cs-CZ"/>
        </w:rPr>
        <w:t xml:space="preserve">. </w:t>
      </w:r>
    </w:p>
    <w:p w14:paraId="355C3BFB" w14:textId="2C9B7F63" w:rsidR="00AB5DF0" w:rsidRPr="00742B94" w:rsidRDefault="0037115E" w:rsidP="0063452C">
      <w:pPr>
        <w:jc w:val="both"/>
      </w:pPr>
      <w:r w:rsidRPr="00742B94">
        <w:rPr>
          <w:rFonts w:cs="Calibri"/>
          <w:bCs/>
          <w:lang w:eastAsia="cs-CZ"/>
        </w:rPr>
        <w:t xml:space="preserve">V údajích </w:t>
      </w:r>
      <w:proofErr w:type="spellStart"/>
      <w:r w:rsidR="00A05597" w:rsidRPr="00742B94">
        <w:rPr>
          <w:rFonts w:cs="Calibri"/>
          <w:bCs/>
          <w:lang w:eastAsia="cs-CZ"/>
        </w:rPr>
        <w:t>MZ</w:t>
      </w:r>
      <w:r w:rsidR="00A05597">
        <w:rPr>
          <w:rFonts w:cs="Calibri"/>
          <w:bCs/>
          <w:lang w:eastAsia="cs-CZ"/>
        </w:rPr>
        <w:t>d</w:t>
      </w:r>
      <w:proofErr w:type="spellEnd"/>
      <w:r w:rsidR="00A05597" w:rsidRPr="00742B94">
        <w:rPr>
          <w:rFonts w:cs="Calibri"/>
          <w:bCs/>
          <w:lang w:eastAsia="cs-CZ"/>
        </w:rPr>
        <w:t xml:space="preserve"> </w:t>
      </w:r>
      <w:r w:rsidR="00F76AE7" w:rsidRPr="00742B94">
        <w:rPr>
          <w:rFonts w:cs="Calibri"/>
          <w:bCs/>
          <w:lang w:eastAsia="cs-CZ"/>
        </w:rPr>
        <w:t xml:space="preserve">předložených </w:t>
      </w:r>
      <w:r w:rsidRPr="00742B94">
        <w:t>pro hodnocení plnění</w:t>
      </w:r>
      <w:r w:rsidR="00EA06A4" w:rsidRPr="00742B94">
        <w:t xml:space="preserve"> státního</w:t>
      </w:r>
      <w:r w:rsidRPr="00742B94">
        <w:t xml:space="preserve"> rozpočtu </w:t>
      </w:r>
      <w:r w:rsidR="00DC6D7B" w:rsidRPr="00742B94">
        <w:t xml:space="preserve">za rok </w:t>
      </w:r>
      <w:r w:rsidRPr="00742B94">
        <w:t>20</w:t>
      </w:r>
      <w:r w:rsidR="00F76AE7" w:rsidRPr="00742B94">
        <w:t>2</w:t>
      </w:r>
      <w:r w:rsidR="00742B94" w:rsidRPr="00742B94">
        <w:t>1 po provedení oprav nedostatků v celkové výši 4 mld. Kč</w:t>
      </w:r>
      <w:r w:rsidR="00F76AE7" w:rsidRPr="00742B94">
        <w:t xml:space="preserve"> </w:t>
      </w:r>
      <w:r w:rsidR="00742B94" w:rsidRPr="00742B94">
        <w:t>ne</w:t>
      </w:r>
      <w:r w:rsidR="00F76AE7" w:rsidRPr="00742B94">
        <w:t>byl</w:t>
      </w:r>
      <w:r w:rsidR="00742B94" w:rsidRPr="00742B94">
        <w:t>y</w:t>
      </w:r>
      <w:r w:rsidR="00F76AE7" w:rsidRPr="00742B94">
        <w:t xml:space="preserve"> zjištěn</w:t>
      </w:r>
      <w:r w:rsidR="00742B94" w:rsidRPr="00742B94">
        <w:t>y</w:t>
      </w:r>
      <w:r w:rsidR="00F76AE7" w:rsidRPr="00742B94">
        <w:t xml:space="preserve"> nesprávnost</w:t>
      </w:r>
      <w:r w:rsidR="00742B94" w:rsidRPr="00742B94">
        <w:t>i</w:t>
      </w:r>
      <w:r w:rsidR="00774E76" w:rsidRPr="00742B94">
        <w:t>.</w:t>
      </w:r>
      <w:r w:rsidR="007603FF" w:rsidRPr="00742B94">
        <w:t xml:space="preserve"> </w:t>
      </w:r>
    </w:p>
    <w:p w14:paraId="2E75DDA2" w14:textId="305E58BE" w:rsidR="00EB57EB" w:rsidRPr="00742B94" w:rsidRDefault="00EB57EB" w:rsidP="0063452C">
      <w:pPr>
        <w:jc w:val="both"/>
        <w:rPr>
          <w:rFonts w:ascii="Times New Roman" w:hAnsi="Times New Roman"/>
          <w:lang w:eastAsia="cs-CZ"/>
        </w:rPr>
      </w:pPr>
      <w:r w:rsidRPr="00742B94">
        <w:rPr>
          <w:rFonts w:cs="Calibri"/>
        </w:rPr>
        <w:t xml:space="preserve">Pro posouzení významnosti zjištěných nesprávností v údajích předkládaných </w:t>
      </w:r>
      <w:r w:rsidR="00A05597">
        <w:rPr>
          <w:rFonts w:cs="Calibri"/>
        </w:rPr>
        <w:t>Ministerstvem zdravotnictví</w:t>
      </w:r>
      <w:r w:rsidRPr="00742B94">
        <w:rPr>
          <w:rFonts w:cs="Calibri"/>
        </w:rPr>
        <w:t xml:space="preserve"> pro hodnocení plnění státního rozpočtu byla stanovena </w:t>
      </w:r>
      <w:r w:rsidR="00A05597">
        <w:rPr>
          <w:rFonts w:cs="Calibri"/>
        </w:rPr>
        <w:t xml:space="preserve">hladina </w:t>
      </w:r>
      <w:r w:rsidRPr="00742B94">
        <w:rPr>
          <w:rFonts w:cs="Calibri"/>
        </w:rPr>
        <w:t>významnost</w:t>
      </w:r>
      <w:r w:rsidR="00A05597">
        <w:rPr>
          <w:rFonts w:cs="Calibri"/>
        </w:rPr>
        <w:t>i</w:t>
      </w:r>
      <w:r w:rsidRPr="00742B94">
        <w:rPr>
          <w:rFonts w:cs="Calibri"/>
        </w:rPr>
        <w:t xml:space="preserve"> ve výši </w:t>
      </w:r>
      <w:r w:rsidR="00742B94" w:rsidRPr="00742B94">
        <w:rPr>
          <w:rFonts w:cs="Calibri"/>
        </w:rPr>
        <w:t>572</w:t>
      </w:r>
      <w:r w:rsidRPr="00742B94">
        <w:rPr>
          <w:rFonts w:cs="Calibri"/>
        </w:rPr>
        <w:t xml:space="preserve"> m</w:t>
      </w:r>
      <w:r w:rsidR="00742B94" w:rsidRPr="00742B94">
        <w:rPr>
          <w:rFonts w:cs="Calibri"/>
        </w:rPr>
        <w:t>il</w:t>
      </w:r>
      <w:r w:rsidRPr="00742B94">
        <w:rPr>
          <w:rFonts w:cs="Calibri"/>
        </w:rPr>
        <w:t>. Kč</w:t>
      </w:r>
      <w:r w:rsidRPr="00742B94">
        <w:rPr>
          <w:rStyle w:val="Znakapoznpodarou"/>
        </w:rPr>
        <w:footnoteReference w:id="50"/>
      </w:r>
      <w:r w:rsidRPr="00742B94">
        <w:rPr>
          <w:rFonts w:cs="Calibri"/>
        </w:rPr>
        <w:t>.</w:t>
      </w:r>
    </w:p>
    <w:p w14:paraId="7AC45455" w14:textId="77777777" w:rsidR="00243A47" w:rsidRDefault="00243A47" w:rsidP="0080423C">
      <w:pPr>
        <w:spacing w:after="0"/>
        <w:jc w:val="both"/>
        <w:rPr>
          <w:rFonts w:cs="Calibri"/>
          <w:b/>
        </w:rPr>
      </w:pPr>
      <w:r w:rsidRPr="0080423C">
        <w:rPr>
          <w:rFonts w:cs="Calibri"/>
          <w:b/>
        </w:rPr>
        <w:t xml:space="preserve">NKÚ nezjistil žádné skutečnosti svědčící o tom, že údaje předkládané Ministerstvem </w:t>
      </w:r>
      <w:r w:rsidR="00742B94" w:rsidRPr="0080423C">
        <w:rPr>
          <w:rFonts w:cs="Calibri"/>
          <w:b/>
        </w:rPr>
        <w:t>zdravotnictví</w:t>
      </w:r>
      <w:r w:rsidRPr="0080423C">
        <w:rPr>
          <w:rFonts w:cs="Calibri"/>
          <w:b/>
        </w:rPr>
        <w:t xml:space="preserve"> pro hodnocení plnění státního rozpočtu za rok 202</w:t>
      </w:r>
      <w:r w:rsidR="0080423C" w:rsidRPr="0080423C">
        <w:rPr>
          <w:rFonts w:cs="Calibri"/>
          <w:b/>
        </w:rPr>
        <w:t>1</w:t>
      </w:r>
      <w:r w:rsidRPr="0080423C">
        <w:rPr>
          <w:rFonts w:cs="Calibri"/>
          <w:b/>
        </w:rPr>
        <w:t xml:space="preserve"> by nebyly tříděny ve všech významných ohledech v souladu s vyhláškou č. 323/2002 Sb.</w:t>
      </w:r>
    </w:p>
    <w:p w14:paraId="58E441D4" w14:textId="77777777" w:rsidR="0080423C" w:rsidRPr="0080423C" w:rsidRDefault="0080423C" w:rsidP="0080423C">
      <w:pPr>
        <w:spacing w:after="0"/>
        <w:jc w:val="both"/>
        <w:rPr>
          <w:rFonts w:cs="Calibri"/>
          <w:b/>
        </w:rPr>
      </w:pPr>
    </w:p>
    <w:p w14:paraId="47BE5315" w14:textId="77777777" w:rsidR="00141B7D" w:rsidRPr="006B5E10" w:rsidRDefault="006750E2" w:rsidP="001529C4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jc w:val="left"/>
        <w:rPr>
          <w:rFonts w:ascii="Calibri" w:hAnsi="Calibri" w:cs="Calibri"/>
          <w:lang w:eastAsia="cs-CZ"/>
        </w:rPr>
      </w:pPr>
      <w:r w:rsidRPr="006B5E10">
        <w:rPr>
          <w:rFonts w:ascii="Calibri" w:hAnsi="Calibri" w:cs="Calibri"/>
          <w:lang w:eastAsia="cs-CZ"/>
        </w:rPr>
        <w:t xml:space="preserve">4. </w:t>
      </w:r>
      <w:r w:rsidR="00BC6074" w:rsidRPr="006B5E10">
        <w:rPr>
          <w:rFonts w:ascii="Calibri" w:hAnsi="Calibri" w:cs="Calibri"/>
          <w:lang w:eastAsia="cs-CZ"/>
        </w:rPr>
        <w:t xml:space="preserve">Závěrečný účet kapitoly </w:t>
      </w:r>
      <w:r w:rsidR="006B5E10" w:rsidRPr="006B5E10">
        <w:rPr>
          <w:rFonts w:ascii="Calibri" w:hAnsi="Calibri" w:cs="Calibri"/>
          <w:lang w:eastAsia="cs-CZ"/>
        </w:rPr>
        <w:t>335</w:t>
      </w:r>
      <w:r w:rsidR="00302C43" w:rsidRPr="006B5E10">
        <w:rPr>
          <w:rFonts w:ascii="Calibri" w:hAnsi="Calibri" w:cs="Calibri"/>
          <w:lang w:eastAsia="cs-CZ"/>
        </w:rPr>
        <w:t xml:space="preserve"> –</w:t>
      </w:r>
      <w:r w:rsidR="00BC6074" w:rsidRPr="006B5E10">
        <w:rPr>
          <w:rFonts w:ascii="Calibri" w:hAnsi="Calibri" w:cs="Calibri"/>
          <w:lang w:eastAsia="cs-CZ"/>
        </w:rPr>
        <w:t xml:space="preserve"> </w:t>
      </w:r>
      <w:r w:rsidR="00BC6074" w:rsidRPr="006B5E10">
        <w:rPr>
          <w:rFonts w:ascii="Calibri" w:hAnsi="Calibri" w:cs="Calibri"/>
          <w:i/>
          <w:lang w:eastAsia="cs-CZ"/>
        </w:rPr>
        <w:t>M</w:t>
      </w:r>
      <w:r w:rsidR="003A61A5" w:rsidRPr="006B5E10">
        <w:rPr>
          <w:rFonts w:ascii="Calibri" w:hAnsi="Calibri" w:cs="Calibri"/>
          <w:i/>
          <w:lang w:eastAsia="cs-CZ"/>
        </w:rPr>
        <w:t xml:space="preserve">inisterstvo </w:t>
      </w:r>
      <w:r w:rsidR="006B5E10" w:rsidRPr="006B5E10">
        <w:rPr>
          <w:rFonts w:ascii="Calibri" w:hAnsi="Calibri" w:cs="Calibri"/>
          <w:i/>
          <w:lang w:eastAsia="cs-CZ"/>
        </w:rPr>
        <w:t>zdravotnictví</w:t>
      </w:r>
      <w:r w:rsidR="00BC6074" w:rsidRPr="006B5E10">
        <w:rPr>
          <w:rFonts w:ascii="Calibri" w:hAnsi="Calibri" w:cs="Calibri"/>
          <w:i/>
          <w:lang w:eastAsia="cs-CZ"/>
        </w:rPr>
        <w:t xml:space="preserve"> </w:t>
      </w:r>
      <w:r w:rsidR="00BC6074" w:rsidRPr="006B5E10">
        <w:rPr>
          <w:rFonts w:ascii="Calibri" w:hAnsi="Calibri" w:cs="Calibri"/>
          <w:lang w:eastAsia="cs-CZ"/>
        </w:rPr>
        <w:t>za rok 202</w:t>
      </w:r>
      <w:r w:rsidR="006B5E10" w:rsidRPr="006B5E10">
        <w:rPr>
          <w:rFonts w:ascii="Calibri" w:hAnsi="Calibri" w:cs="Calibri"/>
          <w:lang w:eastAsia="cs-CZ"/>
        </w:rPr>
        <w:t>1</w:t>
      </w:r>
    </w:p>
    <w:p w14:paraId="6B862A23" w14:textId="2E7F4F36" w:rsidR="009E32D1" w:rsidRPr="006B5E10" w:rsidRDefault="006750E2" w:rsidP="001529C4">
      <w:pPr>
        <w:keepNext/>
        <w:jc w:val="both"/>
        <w:rPr>
          <w:rFonts w:cs="Calibri"/>
          <w:b/>
          <w:lang w:eastAsia="cs-CZ"/>
        </w:rPr>
      </w:pPr>
      <w:r w:rsidRPr="006B5E10">
        <w:rPr>
          <w:rFonts w:cs="Calibri"/>
          <w:b/>
          <w:lang w:eastAsia="cs-CZ"/>
        </w:rPr>
        <w:t xml:space="preserve">4.1 </w:t>
      </w:r>
      <w:r w:rsidR="009E32D1" w:rsidRPr="006B5E10">
        <w:rPr>
          <w:rFonts w:cs="Calibri"/>
          <w:b/>
          <w:lang w:eastAsia="cs-CZ"/>
        </w:rPr>
        <w:t xml:space="preserve">Kontrola </w:t>
      </w:r>
      <w:r w:rsidR="00A05597" w:rsidRPr="006B5E10">
        <w:rPr>
          <w:rFonts w:cs="Calibri"/>
          <w:b/>
          <w:lang w:eastAsia="cs-CZ"/>
        </w:rPr>
        <w:t>soulad</w:t>
      </w:r>
      <w:r w:rsidR="00A05597">
        <w:rPr>
          <w:rFonts w:cs="Calibri"/>
          <w:b/>
          <w:lang w:eastAsia="cs-CZ"/>
        </w:rPr>
        <w:t>u</w:t>
      </w:r>
      <w:r w:rsidR="00A05597" w:rsidRPr="006B5E10">
        <w:rPr>
          <w:rFonts w:cs="Calibri"/>
          <w:b/>
          <w:lang w:eastAsia="cs-CZ"/>
        </w:rPr>
        <w:t xml:space="preserve"> </w:t>
      </w:r>
      <w:r w:rsidR="009E32D1" w:rsidRPr="006B5E10">
        <w:rPr>
          <w:rFonts w:cs="Calibri"/>
          <w:b/>
          <w:lang w:eastAsia="cs-CZ"/>
        </w:rPr>
        <w:t>závěrečného účtu s právními předpisy</w:t>
      </w:r>
    </w:p>
    <w:p w14:paraId="150B74EE" w14:textId="4A9577EB" w:rsidR="00F04FF0" w:rsidRDefault="00A640AE" w:rsidP="00A829E9">
      <w:pPr>
        <w:jc w:val="both"/>
        <w:rPr>
          <w:rFonts w:cs="Calibri"/>
          <w:lang w:eastAsia="cs-CZ"/>
        </w:rPr>
      </w:pPr>
      <w:r w:rsidRPr="00F04FF0">
        <w:rPr>
          <w:rFonts w:cs="Calibri"/>
          <w:lang w:eastAsia="cs-CZ"/>
        </w:rPr>
        <w:t xml:space="preserve">Při kontrole </w:t>
      </w:r>
      <w:r w:rsidR="003A61A5" w:rsidRPr="00F04FF0">
        <w:rPr>
          <w:rFonts w:cs="Calibri"/>
          <w:lang w:eastAsia="cs-CZ"/>
        </w:rPr>
        <w:t>ZÚ</w:t>
      </w:r>
      <w:r w:rsidRPr="00F04FF0">
        <w:rPr>
          <w:rFonts w:cs="Calibri"/>
          <w:lang w:eastAsia="cs-CZ"/>
        </w:rPr>
        <w:t xml:space="preserve"> </w:t>
      </w:r>
      <w:r w:rsidR="00105C43" w:rsidRPr="00F04FF0">
        <w:rPr>
          <w:rFonts w:cs="Calibri"/>
          <w:lang w:eastAsia="cs-CZ"/>
        </w:rPr>
        <w:t>202</w:t>
      </w:r>
      <w:r w:rsidR="00E315F3" w:rsidRPr="00F04FF0">
        <w:rPr>
          <w:rFonts w:cs="Calibri"/>
          <w:lang w:eastAsia="cs-CZ"/>
        </w:rPr>
        <w:t>1</w:t>
      </w:r>
      <w:r w:rsidRPr="00F04FF0">
        <w:rPr>
          <w:rFonts w:cs="Calibri"/>
          <w:lang w:eastAsia="cs-CZ"/>
        </w:rPr>
        <w:t xml:space="preserve"> byl</w:t>
      </w:r>
      <w:r w:rsidR="00105C43" w:rsidRPr="00F04FF0">
        <w:rPr>
          <w:rFonts w:cs="Calibri"/>
          <w:lang w:eastAsia="cs-CZ"/>
        </w:rPr>
        <w:t xml:space="preserve">o zjištěno, že </w:t>
      </w:r>
      <w:proofErr w:type="spellStart"/>
      <w:r w:rsidR="00E315F3" w:rsidRPr="00F04FF0">
        <w:rPr>
          <w:rFonts w:cs="Calibri"/>
          <w:lang w:eastAsia="cs-CZ"/>
        </w:rPr>
        <w:t>MZ</w:t>
      </w:r>
      <w:r w:rsidR="00A6549B">
        <w:rPr>
          <w:rFonts w:cs="Calibri"/>
          <w:lang w:eastAsia="cs-CZ"/>
        </w:rPr>
        <w:t>d</w:t>
      </w:r>
      <w:proofErr w:type="spellEnd"/>
      <w:r w:rsidR="00105C43" w:rsidRPr="00F04FF0">
        <w:rPr>
          <w:rFonts w:cs="Calibri"/>
          <w:lang w:eastAsia="cs-CZ"/>
        </w:rPr>
        <w:t xml:space="preserve"> v průvodní zprávě</w:t>
      </w:r>
      <w:r w:rsidR="00E315F3" w:rsidRPr="00F04FF0">
        <w:rPr>
          <w:rFonts w:cs="Calibri"/>
          <w:lang w:eastAsia="cs-CZ"/>
        </w:rPr>
        <w:t xml:space="preserve"> v kapitole 3.3.6.1 </w:t>
      </w:r>
      <w:r w:rsidR="00E315F3" w:rsidRPr="00F04FF0">
        <w:rPr>
          <w:rFonts w:cs="Calibri"/>
          <w:i/>
          <w:lang w:eastAsia="cs-CZ"/>
        </w:rPr>
        <w:t>Bezúplatný převod majetku – mimo vzájemné převody mezi organizačními složkami státu</w:t>
      </w:r>
      <w:r w:rsidR="00105C43" w:rsidRPr="00F04FF0">
        <w:rPr>
          <w:rFonts w:cs="Calibri"/>
          <w:lang w:eastAsia="cs-CZ"/>
        </w:rPr>
        <w:t xml:space="preserve"> </w:t>
      </w:r>
      <w:r w:rsidR="00E315F3" w:rsidRPr="00F04FF0">
        <w:rPr>
          <w:rFonts w:cs="Calibri"/>
          <w:lang w:eastAsia="cs-CZ"/>
        </w:rPr>
        <w:t xml:space="preserve">neuvedlo informaci o bezúplatném převodu rekreačního areálu v hodnotě 94 mil. Kč, kde předávajícím byla příspěvková organizace </w:t>
      </w:r>
      <w:proofErr w:type="spellStart"/>
      <w:r w:rsidR="00E315F3" w:rsidRPr="00F04FF0">
        <w:rPr>
          <w:rFonts w:cs="Calibri"/>
          <w:lang w:eastAsia="cs-CZ"/>
        </w:rPr>
        <w:t>MZ</w:t>
      </w:r>
      <w:r w:rsidR="00A6549B">
        <w:rPr>
          <w:rFonts w:cs="Calibri"/>
          <w:lang w:eastAsia="cs-CZ"/>
        </w:rPr>
        <w:t>d</w:t>
      </w:r>
      <w:proofErr w:type="spellEnd"/>
      <w:r w:rsidR="00E315F3" w:rsidRPr="00F04FF0">
        <w:rPr>
          <w:rFonts w:cs="Calibri"/>
          <w:lang w:eastAsia="cs-CZ"/>
        </w:rPr>
        <w:t xml:space="preserve"> a přebírajícím bylo </w:t>
      </w:r>
      <w:proofErr w:type="spellStart"/>
      <w:r w:rsidR="00E315F3" w:rsidRPr="00F04FF0">
        <w:rPr>
          <w:rFonts w:cs="Calibri"/>
          <w:lang w:eastAsia="cs-CZ"/>
        </w:rPr>
        <w:t>MZ</w:t>
      </w:r>
      <w:r w:rsidR="00A6549B">
        <w:rPr>
          <w:rFonts w:cs="Calibri"/>
          <w:lang w:eastAsia="cs-CZ"/>
        </w:rPr>
        <w:t>d</w:t>
      </w:r>
      <w:proofErr w:type="spellEnd"/>
      <w:r w:rsidR="00E315F3" w:rsidRPr="00F04FF0">
        <w:rPr>
          <w:rFonts w:cs="Calibri"/>
          <w:lang w:eastAsia="cs-CZ"/>
        </w:rPr>
        <w:t>. Dále bylo zjištěno, že v</w:t>
      </w:r>
      <w:r w:rsidR="00105C43" w:rsidRPr="00F04FF0">
        <w:rPr>
          <w:rFonts w:cs="Calibri"/>
          <w:lang w:eastAsia="cs-CZ"/>
        </w:rPr>
        <w:t xml:space="preserve"> tabulkov</w:t>
      </w:r>
      <w:r w:rsidR="00C25214">
        <w:rPr>
          <w:rFonts w:cs="Calibri"/>
          <w:lang w:eastAsia="cs-CZ"/>
        </w:rPr>
        <w:t>é</w:t>
      </w:r>
      <w:r w:rsidR="00105C43" w:rsidRPr="00F04FF0">
        <w:rPr>
          <w:rFonts w:cs="Calibri"/>
          <w:lang w:eastAsia="cs-CZ"/>
        </w:rPr>
        <w:t xml:space="preserve"> přílo</w:t>
      </w:r>
      <w:r w:rsidR="00C25214">
        <w:rPr>
          <w:rFonts w:cs="Calibri"/>
          <w:lang w:eastAsia="cs-CZ"/>
        </w:rPr>
        <w:t>ze</w:t>
      </w:r>
      <w:r w:rsidR="00E315F3" w:rsidRPr="00F04FF0">
        <w:rPr>
          <w:rFonts w:cs="Calibri"/>
          <w:lang w:eastAsia="cs-CZ"/>
        </w:rPr>
        <w:t xml:space="preserve"> č. 8 (</w:t>
      </w:r>
      <w:r w:rsidR="00E315F3" w:rsidRPr="00F04FF0">
        <w:rPr>
          <w:rFonts w:cs="Calibri"/>
          <w:i/>
          <w:lang w:eastAsia="cs-CZ"/>
        </w:rPr>
        <w:t xml:space="preserve">Výdaje kapitoly na programy/projekty spolufinancované z rozpočtu EU nebo </w:t>
      </w:r>
      <w:r w:rsidR="00E315F3" w:rsidRPr="00F04FF0">
        <w:rPr>
          <w:rFonts w:cs="Calibri"/>
          <w:i/>
          <w:lang w:eastAsia="cs-CZ"/>
        </w:rPr>
        <w:lastRenderedPageBreak/>
        <w:t xml:space="preserve">finančních mechanismů </w:t>
      </w:r>
      <w:r w:rsidR="00C25214" w:rsidRPr="004E2D6E">
        <w:rPr>
          <w:rFonts w:cs="Calibri"/>
          <w:lang w:eastAsia="cs-CZ"/>
        </w:rPr>
        <w:t>v tabulce</w:t>
      </w:r>
      <w:r w:rsidR="00E315F3" w:rsidRPr="00F04FF0">
        <w:rPr>
          <w:rFonts w:cs="Calibri"/>
          <w:i/>
          <w:lang w:eastAsia="cs-CZ"/>
        </w:rPr>
        <w:t xml:space="preserve"> Nároky z nespotřebovaných výdajů</w:t>
      </w:r>
      <w:r w:rsidR="00E315F3" w:rsidRPr="00F04FF0">
        <w:rPr>
          <w:rFonts w:cs="Calibri"/>
          <w:lang w:eastAsia="cs-CZ"/>
        </w:rPr>
        <w:t xml:space="preserve">) a </w:t>
      </w:r>
      <w:r w:rsidR="00C25214">
        <w:rPr>
          <w:rFonts w:cs="Calibri"/>
          <w:lang w:eastAsia="cs-CZ"/>
        </w:rPr>
        <w:t xml:space="preserve">v tabulkové příloze </w:t>
      </w:r>
      <w:r w:rsidR="00E315F3" w:rsidRPr="00F04FF0">
        <w:rPr>
          <w:rFonts w:cs="Calibri"/>
          <w:lang w:eastAsia="cs-CZ"/>
        </w:rPr>
        <w:t>č.</w:t>
      </w:r>
      <w:r w:rsidR="00C25214">
        <w:rPr>
          <w:rFonts w:cs="Calibri"/>
          <w:lang w:eastAsia="cs-CZ"/>
        </w:rPr>
        <w:t> </w:t>
      </w:r>
      <w:r w:rsidR="00E315F3" w:rsidRPr="00F04FF0">
        <w:rPr>
          <w:rFonts w:cs="Calibri"/>
          <w:lang w:eastAsia="cs-CZ"/>
        </w:rPr>
        <w:t>10 (</w:t>
      </w:r>
      <w:r w:rsidR="00E315F3" w:rsidRPr="00F04FF0">
        <w:rPr>
          <w:rFonts w:cs="Calibri"/>
          <w:i/>
          <w:lang w:eastAsia="cs-CZ"/>
        </w:rPr>
        <w:t xml:space="preserve">Příjmy kapitoly na programy/projekty spolufinancované z rozpočtu EU nebo finančních mechanismů </w:t>
      </w:r>
      <w:r w:rsidR="00C25214" w:rsidRPr="004E2D6E">
        <w:rPr>
          <w:rFonts w:cs="Calibri"/>
          <w:lang w:eastAsia="cs-CZ"/>
        </w:rPr>
        <w:t>v tabulce</w:t>
      </w:r>
      <w:r w:rsidR="00E315F3" w:rsidRPr="00F04FF0">
        <w:rPr>
          <w:rFonts w:cs="Calibri"/>
          <w:i/>
          <w:lang w:eastAsia="cs-CZ"/>
        </w:rPr>
        <w:t xml:space="preserve"> Příjmy kapitoly z rozpočtu EU na financování společných programů EU a ČR v roce 2021 (bez společné zemědělské politiky)</w:t>
      </w:r>
      <w:r w:rsidR="00E315F3" w:rsidRPr="00F04FF0">
        <w:rPr>
          <w:rFonts w:cs="Calibri"/>
          <w:lang w:eastAsia="cs-CZ"/>
        </w:rPr>
        <w:t>)</w:t>
      </w:r>
      <w:r w:rsidR="00105C43" w:rsidRPr="00F04FF0">
        <w:rPr>
          <w:rFonts w:cs="Calibri"/>
          <w:lang w:eastAsia="cs-CZ"/>
        </w:rPr>
        <w:t xml:space="preserve"> </w:t>
      </w:r>
      <w:r w:rsidR="00E315F3" w:rsidRPr="00F04FF0">
        <w:rPr>
          <w:rFonts w:cs="Calibri"/>
          <w:lang w:eastAsia="cs-CZ"/>
        </w:rPr>
        <w:t xml:space="preserve">nebyly některé údaje uvedeny správně. </w:t>
      </w:r>
    </w:p>
    <w:p w14:paraId="73919DCF" w14:textId="577B59B2" w:rsidR="00105C43" w:rsidRDefault="00F04FF0" w:rsidP="001D11EF">
      <w:pPr>
        <w:spacing w:after="0"/>
        <w:jc w:val="both"/>
        <w:rPr>
          <w:b/>
        </w:rPr>
      </w:pPr>
      <w:r>
        <w:rPr>
          <w:b/>
        </w:rPr>
        <w:t>NKÚ</w:t>
      </w:r>
      <w:r w:rsidRPr="006D6B21">
        <w:rPr>
          <w:b/>
        </w:rPr>
        <w:t xml:space="preserve"> nezjistil žádné skutečnosti svědčící o tom, že závěrečný účet kapitoly státního rozpočtu </w:t>
      </w:r>
      <w:r>
        <w:rPr>
          <w:b/>
        </w:rPr>
        <w:t xml:space="preserve">335 </w:t>
      </w:r>
      <w:r w:rsidR="00C25214" w:rsidRPr="004E2D6E">
        <w:rPr>
          <w:rFonts w:cs="Calibri"/>
          <w:b/>
          <w:lang w:eastAsia="cs-CZ"/>
        </w:rPr>
        <w:t xml:space="preserve">– </w:t>
      </w:r>
      <w:r w:rsidRPr="004E2D6E">
        <w:rPr>
          <w:b/>
          <w:i/>
        </w:rPr>
        <w:t>Ministerstvo zdravotnictví</w:t>
      </w:r>
      <w:r w:rsidRPr="006D6B21">
        <w:rPr>
          <w:b/>
        </w:rPr>
        <w:t xml:space="preserve"> za rok 20</w:t>
      </w:r>
      <w:r>
        <w:rPr>
          <w:b/>
        </w:rPr>
        <w:t>21</w:t>
      </w:r>
      <w:r w:rsidRPr="006D6B21">
        <w:rPr>
          <w:b/>
        </w:rPr>
        <w:t xml:space="preserve"> není ve všech významných ohledech sestaven v</w:t>
      </w:r>
      <w:r w:rsidR="000340C7">
        <w:rPr>
          <w:b/>
        </w:rPr>
        <w:t> </w:t>
      </w:r>
      <w:r w:rsidRPr="006D6B21">
        <w:rPr>
          <w:b/>
        </w:rPr>
        <w:t>souladu s vyhláškou č. 419/2001 Sb., a dále nezjistil, že informace v něm uvedené nejsou ve všech významných ohledech shodné s údaji v rozpočtovém systému, s</w:t>
      </w:r>
      <w:r w:rsidR="00C25214">
        <w:rPr>
          <w:b/>
        </w:rPr>
        <w:t xml:space="preserve"> údaji ve </w:t>
      </w:r>
      <w:r w:rsidRPr="006D6B21">
        <w:rPr>
          <w:b/>
        </w:rPr>
        <w:t>finanční</w:t>
      </w:r>
      <w:r w:rsidR="00C25214">
        <w:rPr>
          <w:b/>
        </w:rPr>
        <w:t>ch</w:t>
      </w:r>
      <w:r w:rsidRPr="006D6B21">
        <w:rPr>
          <w:b/>
        </w:rPr>
        <w:t xml:space="preserve"> výkaz</w:t>
      </w:r>
      <w:r w:rsidR="00C25214">
        <w:rPr>
          <w:b/>
        </w:rPr>
        <w:t>ech</w:t>
      </w:r>
      <w:r w:rsidRPr="006D6B21">
        <w:rPr>
          <w:b/>
        </w:rPr>
        <w:t xml:space="preserve"> a údaji </w:t>
      </w:r>
      <w:r w:rsidR="00C25214">
        <w:rPr>
          <w:b/>
        </w:rPr>
        <w:t xml:space="preserve">v </w:t>
      </w:r>
      <w:r w:rsidRPr="006D6B21">
        <w:rPr>
          <w:b/>
        </w:rPr>
        <w:t>analytických evidencí</w:t>
      </w:r>
      <w:r w:rsidR="00C25214">
        <w:rPr>
          <w:b/>
        </w:rPr>
        <w:t>ch</w:t>
      </w:r>
      <w:r w:rsidRPr="006D6B21">
        <w:rPr>
          <w:b/>
        </w:rPr>
        <w:t>.</w:t>
      </w:r>
    </w:p>
    <w:p w14:paraId="345FF5C0" w14:textId="77777777" w:rsidR="001D11EF" w:rsidRPr="00D71C60" w:rsidRDefault="001D11EF" w:rsidP="0066297E">
      <w:pPr>
        <w:spacing w:after="0"/>
        <w:jc w:val="both"/>
        <w:rPr>
          <w:rFonts w:cs="Calibri"/>
          <w:highlight w:val="yellow"/>
          <w:lang w:eastAsia="cs-CZ"/>
        </w:rPr>
      </w:pPr>
    </w:p>
    <w:p w14:paraId="6063A1C9" w14:textId="7F0D2899" w:rsidR="00F44618" w:rsidRPr="006B5E10" w:rsidRDefault="006750E2" w:rsidP="002354F8">
      <w:pPr>
        <w:keepNext/>
        <w:ind w:left="426" w:hanging="426"/>
        <w:jc w:val="both"/>
        <w:rPr>
          <w:rFonts w:cs="Calibri"/>
          <w:b/>
          <w:lang w:eastAsia="cs-CZ"/>
        </w:rPr>
      </w:pPr>
      <w:r w:rsidRPr="006B5E10">
        <w:rPr>
          <w:rFonts w:cs="Calibri"/>
          <w:b/>
          <w:lang w:eastAsia="cs-CZ"/>
        </w:rPr>
        <w:t>4.2</w:t>
      </w:r>
      <w:r w:rsidR="00A829E9" w:rsidRPr="006B5E10">
        <w:rPr>
          <w:rFonts w:cs="Calibri"/>
          <w:b/>
          <w:lang w:eastAsia="cs-CZ"/>
        </w:rPr>
        <w:tab/>
      </w:r>
      <w:r w:rsidR="00F44618" w:rsidRPr="006B5E10">
        <w:rPr>
          <w:rFonts w:cs="Calibri"/>
          <w:b/>
          <w:lang w:eastAsia="cs-CZ"/>
        </w:rPr>
        <w:t>Souhrnné údaje o hospodaření</w:t>
      </w:r>
      <w:r w:rsidR="00155BF6" w:rsidRPr="006B5E10">
        <w:rPr>
          <w:rFonts w:cs="Calibri"/>
          <w:b/>
          <w:lang w:eastAsia="cs-CZ"/>
        </w:rPr>
        <w:t xml:space="preserve"> kapitoly</w:t>
      </w:r>
      <w:r w:rsidR="00E9361A" w:rsidRPr="006B5E10">
        <w:rPr>
          <w:rFonts w:cs="Calibri"/>
          <w:b/>
          <w:lang w:eastAsia="cs-CZ"/>
        </w:rPr>
        <w:t xml:space="preserve"> státního rozpočtu</w:t>
      </w:r>
      <w:r w:rsidR="002402B6">
        <w:rPr>
          <w:rFonts w:cs="Calibri"/>
          <w:b/>
          <w:lang w:eastAsia="cs-CZ"/>
        </w:rPr>
        <w:t xml:space="preserve"> </w:t>
      </w:r>
      <w:r w:rsidR="006B5E10" w:rsidRPr="006B5E10">
        <w:rPr>
          <w:rFonts w:cs="Calibri"/>
          <w:b/>
          <w:lang w:eastAsia="cs-CZ"/>
        </w:rPr>
        <w:t>335</w:t>
      </w:r>
      <w:r w:rsidR="006A48EE" w:rsidRPr="006B5E10">
        <w:rPr>
          <w:rFonts w:cs="Calibri"/>
          <w:b/>
          <w:lang w:eastAsia="cs-CZ"/>
        </w:rPr>
        <w:t xml:space="preserve"> –</w:t>
      </w:r>
      <w:r w:rsidR="0086013E" w:rsidRPr="006B5E10">
        <w:rPr>
          <w:rFonts w:cs="Calibri"/>
          <w:b/>
          <w:lang w:eastAsia="cs-CZ"/>
        </w:rPr>
        <w:t xml:space="preserve"> </w:t>
      </w:r>
      <w:r w:rsidR="0086013E" w:rsidRPr="006B5E10">
        <w:rPr>
          <w:rFonts w:cs="Calibri"/>
          <w:b/>
          <w:i/>
          <w:lang w:eastAsia="cs-CZ"/>
        </w:rPr>
        <w:t xml:space="preserve">Ministerstvo </w:t>
      </w:r>
      <w:r w:rsidR="006B5E10" w:rsidRPr="006B5E10">
        <w:rPr>
          <w:rFonts w:cs="Calibri"/>
          <w:b/>
          <w:i/>
          <w:lang w:eastAsia="cs-CZ"/>
        </w:rPr>
        <w:t>zdravotnictví</w:t>
      </w:r>
    </w:p>
    <w:p w14:paraId="69429075" w14:textId="77777777" w:rsidR="00F44618" w:rsidRPr="006B5E10" w:rsidRDefault="006750E2" w:rsidP="00A829E9">
      <w:pPr>
        <w:keepNext/>
        <w:jc w:val="both"/>
        <w:rPr>
          <w:rFonts w:cs="Calibri"/>
          <w:b/>
        </w:rPr>
      </w:pPr>
      <w:r w:rsidRPr="006B5E10">
        <w:rPr>
          <w:rFonts w:cs="Calibri"/>
          <w:b/>
        </w:rPr>
        <w:t xml:space="preserve">4.2.1 </w:t>
      </w:r>
      <w:r w:rsidR="00155BF6" w:rsidRPr="006B5E10">
        <w:rPr>
          <w:rFonts w:cs="Calibri"/>
          <w:b/>
        </w:rPr>
        <w:t xml:space="preserve">Souhrnné údaje </w:t>
      </w:r>
      <w:r w:rsidR="00E9361A" w:rsidRPr="006B5E10">
        <w:rPr>
          <w:rFonts w:cs="Calibri"/>
          <w:b/>
        </w:rPr>
        <w:t xml:space="preserve">o hospodaření a </w:t>
      </w:r>
      <w:r w:rsidR="00155BF6" w:rsidRPr="006B5E10">
        <w:rPr>
          <w:rFonts w:cs="Calibri"/>
          <w:b/>
        </w:rPr>
        <w:t>jejich vývoj v čase</w:t>
      </w:r>
    </w:p>
    <w:p w14:paraId="39ACBCAF" w14:textId="20134A3D" w:rsidR="004868FA" w:rsidRDefault="003F1244" w:rsidP="001D11EF">
      <w:pPr>
        <w:spacing w:after="0"/>
        <w:jc w:val="both"/>
      </w:pPr>
      <w:r w:rsidRPr="006B5E10">
        <w:t>O</w:t>
      </w:r>
      <w:r w:rsidR="00491675" w:rsidRPr="006B5E10">
        <w:t>bsahem závěrečného účtu kapitoly státního rozpočtu mají být</w:t>
      </w:r>
      <w:r w:rsidRPr="006B5E10">
        <w:t xml:space="preserve"> dle vyhlášky č. 419/2001 Sb.</w:t>
      </w:r>
      <w:r w:rsidR="00491675" w:rsidRPr="006B5E10">
        <w:t xml:space="preserve"> údaje o výsledcích rozpočtového hospodaření</w:t>
      </w:r>
      <w:r w:rsidRPr="006B5E10">
        <w:t>. Vyhláška</w:t>
      </w:r>
      <w:r w:rsidR="0009634F">
        <w:t xml:space="preserve"> však</w:t>
      </w:r>
      <w:r w:rsidR="000E3FF6" w:rsidRPr="006B5E10">
        <w:t xml:space="preserve"> </w:t>
      </w:r>
      <w:r w:rsidR="00491675" w:rsidRPr="006B5E10">
        <w:t>nestanovuje</w:t>
      </w:r>
      <w:r w:rsidRPr="006B5E10">
        <w:t xml:space="preserve"> v</w:t>
      </w:r>
      <w:r w:rsidR="00B61A1D">
        <w:t xml:space="preserve"> </w:t>
      </w:r>
      <w:r w:rsidRPr="006B5E10">
        <w:t>této oblasti konkrétní povinnost zveřejňovat o výsledcích tohoto hospodaření i</w:t>
      </w:r>
      <w:r w:rsidR="003564CB" w:rsidRPr="006B5E10">
        <w:t> </w:t>
      </w:r>
      <w:r w:rsidRPr="006B5E10">
        <w:t>údaje charakteru nákladů a výnosů, z jejichž rozdílu je možné určit výsledek tohoto hospodaření ve finančním účetnictví</w:t>
      </w:r>
      <w:r w:rsidR="00A52B92" w:rsidRPr="006B5E10">
        <w:t xml:space="preserve">, </w:t>
      </w:r>
      <w:r w:rsidRPr="006B5E10">
        <w:t xml:space="preserve">tj. na akruální bázi. </w:t>
      </w:r>
      <w:r w:rsidR="004868FA" w:rsidRPr="006B5E10">
        <w:t xml:space="preserve">Základní ekonomické charakteristiky související s hospodařením </w:t>
      </w:r>
      <w:proofErr w:type="spellStart"/>
      <w:r w:rsidR="006B5E10" w:rsidRPr="006B5E10">
        <w:t>MZ</w:t>
      </w:r>
      <w:r w:rsidR="00863376">
        <w:t>d</w:t>
      </w:r>
      <w:proofErr w:type="spellEnd"/>
      <w:r w:rsidR="004868FA" w:rsidRPr="006B5E10">
        <w:t xml:space="preserve"> jsou </w:t>
      </w:r>
      <w:r w:rsidR="0080282E" w:rsidRPr="006B5E10">
        <w:t>pro informaci uvedeny v příloze č.</w:t>
      </w:r>
      <w:r w:rsidR="00852210" w:rsidRPr="006B5E10">
        <w:t xml:space="preserve"> 1 </w:t>
      </w:r>
      <w:r w:rsidR="006A48EE" w:rsidRPr="006B5E10">
        <w:t xml:space="preserve">tohoto </w:t>
      </w:r>
      <w:r w:rsidR="00852210" w:rsidRPr="006B5E10">
        <w:t>kontrolního závěru</w:t>
      </w:r>
      <w:r w:rsidR="0080282E" w:rsidRPr="006B5E10">
        <w:t>.</w:t>
      </w:r>
    </w:p>
    <w:p w14:paraId="32CF59CB" w14:textId="77777777" w:rsidR="001D11EF" w:rsidRPr="006B5E10" w:rsidRDefault="001D11EF" w:rsidP="0066297E">
      <w:pPr>
        <w:spacing w:after="0"/>
        <w:jc w:val="both"/>
        <w:rPr>
          <w:b/>
        </w:rPr>
      </w:pPr>
    </w:p>
    <w:p w14:paraId="57B4A0E1" w14:textId="77777777" w:rsidR="00F44618" w:rsidRPr="006B5E10" w:rsidRDefault="00F44618" w:rsidP="00A829E9">
      <w:pPr>
        <w:keepNext/>
        <w:jc w:val="both"/>
        <w:rPr>
          <w:rFonts w:cs="Calibri"/>
          <w:b/>
        </w:rPr>
      </w:pPr>
      <w:r w:rsidRPr="006B5E10">
        <w:rPr>
          <w:rFonts w:cs="Calibri"/>
          <w:b/>
        </w:rPr>
        <w:t>4.2.2 Rozdíl mezi hospodářským výsledkem a saldem hospodaření</w:t>
      </w:r>
      <w:r w:rsidR="00155BF6" w:rsidRPr="006B5E10">
        <w:rPr>
          <w:rFonts w:cs="Calibri"/>
          <w:b/>
        </w:rPr>
        <w:t xml:space="preserve"> u </w:t>
      </w:r>
      <w:proofErr w:type="spellStart"/>
      <w:r w:rsidR="006B5E10" w:rsidRPr="006B5E10">
        <w:rPr>
          <w:rFonts w:cs="Calibri"/>
          <w:b/>
        </w:rPr>
        <w:t>MZ</w:t>
      </w:r>
      <w:r w:rsidR="00493E48">
        <w:rPr>
          <w:rFonts w:cs="Calibri"/>
          <w:b/>
        </w:rPr>
        <w:t>d</w:t>
      </w:r>
      <w:proofErr w:type="spellEnd"/>
    </w:p>
    <w:p w14:paraId="478CB34D" w14:textId="6AFC73F6" w:rsidR="00852210" w:rsidRPr="00D71C60" w:rsidRDefault="00852210" w:rsidP="00A829E9">
      <w:pPr>
        <w:jc w:val="both"/>
        <w:rPr>
          <w:rFonts w:cs="Calibri"/>
          <w:highlight w:val="yellow"/>
        </w:rPr>
      </w:pPr>
      <w:r w:rsidRPr="006B5E10">
        <w:rPr>
          <w:rFonts w:cs="Calibri"/>
          <w:b/>
        </w:rPr>
        <w:t xml:space="preserve">Porovnáním výsledku rozpočtového hospodaření </w:t>
      </w:r>
      <w:proofErr w:type="spellStart"/>
      <w:r w:rsidR="006B5E10" w:rsidRPr="006B5E10">
        <w:rPr>
          <w:rFonts w:cs="Calibri"/>
          <w:b/>
        </w:rPr>
        <w:t>MZ</w:t>
      </w:r>
      <w:r w:rsidR="00493E48">
        <w:rPr>
          <w:rFonts w:cs="Calibri"/>
          <w:b/>
        </w:rPr>
        <w:t>d</w:t>
      </w:r>
      <w:proofErr w:type="spellEnd"/>
      <w:r w:rsidRPr="006B5E10">
        <w:rPr>
          <w:rFonts w:cs="Calibri"/>
          <w:b/>
        </w:rPr>
        <w:t xml:space="preserve"> za rok 202</w:t>
      </w:r>
      <w:r w:rsidR="006B5E10" w:rsidRPr="006B5E10">
        <w:rPr>
          <w:rFonts w:cs="Calibri"/>
          <w:b/>
        </w:rPr>
        <w:t>1</w:t>
      </w:r>
      <w:r w:rsidRPr="006B5E10">
        <w:rPr>
          <w:rFonts w:cs="Calibri"/>
          <w:b/>
        </w:rPr>
        <w:t xml:space="preserve"> na bázi peněžních toků a</w:t>
      </w:r>
      <w:r w:rsidR="000340C7">
        <w:rPr>
          <w:rFonts w:cs="Calibri"/>
          <w:b/>
        </w:rPr>
        <w:t> </w:t>
      </w:r>
      <w:r w:rsidRPr="006B5E10">
        <w:rPr>
          <w:rFonts w:cs="Calibri"/>
          <w:b/>
        </w:rPr>
        <w:t>na akruální bázi byl zjišt</w:t>
      </w:r>
      <w:r w:rsidR="00F44618" w:rsidRPr="006B5E10">
        <w:rPr>
          <w:rFonts w:cs="Calibri"/>
          <w:b/>
        </w:rPr>
        <w:t xml:space="preserve">ěn rozdíl ve výši </w:t>
      </w:r>
      <w:r w:rsidR="006B5E10" w:rsidRPr="006B5E10">
        <w:rPr>
          <w:rFonts w:cs="Calibri"/>
          <w:b/>
        </w:rPr>
        <w:t>1</w:t>
      </w:r>
      <w:r w:rsidR="00F44618" w:rsidRPr="006B5E10">
        <w:rPr>
          <w:rFonts w:cs="Calibri"/>
          <w:b/>
        </w:rPr>
        <w:t>,</w:t>
      </w:r>
      <w:r w:rsidR="006B5E10" w:rsidRPr="006B5E10">
        <w:rPr>
          <w:rFonts w:cs="Calibri"/>
          <w:b/>
        </w:rPr>
        <w:t>9</w:t>
      </w:r>
      <w:r w:rsidR="00F44618" w:rsidRPr="006B5E10">
        <w:rPr>
          <w:rFonts w:cs="Calibri"/>
          <w:b/>
        </w:rPr>
        <w:t xml:space="preserve"> mld. Kč. </w:t>
      </w:r>
      <w:r w:rsidRPr="006B5E10">
        <w:rPr>
          <w:rFonts w:cs="Calibri"/>
        </w:rPr>
        <w:t>Výsledn</w:t>
      </w:r>
      <w:r w:rsidR="00C25214">
        <w:rPr>
          <w:rFonts w:cs="Calibri"/>
        </w:rPr>
        <w:t>ým</w:t>
      </w:r>
      <w:r w:rsidRPr="006B5E10">
        <w:rPr>
          <w:rFonts w:cs="Calibri"/>
        </w:rPr>
        <w:t xml:space="preserve"> sald</w:t>
      </w:r>
      <w:r w:rsidR="00C25214">
        <w:rPr>
          <w:rFonts w:cs="Calibri"/>
        </w:rPr>
        <w:t>em</w:t>
      </w:r>
      <w:r w:rsidRPr="006B5E10">
        <w:rPr>
          <w:rFonts w:cs="Calibri"/>
        </w:rPr>
        <w:t xml:space="preserve"> peněžních toků dle finančního výkazu byl deficit ve výši </w:t>
      </w:r>
      <w:r w:rsidR="006B5E10" w:rsidRPr="006B5E10">
        <w:rPr>
          <w:rFonts w:cs="Calibri"/>
        </w:rPr>
        <w:t>22</w:t>
      </w:r>
      <w:r w:rsidRPr="006B5E10">
        <w:rPr>
          <w:rFonts w:cs="Calibri"/>
        </w:rPr>
        <w:t xml:space="preserve"> mld. Kč</w:t>
      </w:r>
      <w:r w:rsidR="00C25214">
        <w:rPr>
          <w:rFonts w:cs="Calibri"/>
        </w:rPr>
        <w:t>, zatímco</w:t>
      </w:r>
      <w:r w:rsidRPr="006B5E10">
        <w:rPr>
          <w:rFonts w:cs="Calibri"/>
        </w:rPr>
        <w:t xml:space="preserve"> hospodářský</w:t>
      </w:r>
      <w:r w:rsidR="00C25214">
        <w:rPr>
          <w:rFonts w:cs="Calibri"/>
        </w:rPr>
        <w:t>m</w:t>
      </w:r>
      <w:r w:rsidRPr="006B5E10">
        <w:rPr>
          <w:rFonts w:cs="Calibri"/>
        </w:rPr>
        <w:t xml:space="preserve"> výsled</w:t>
      </w:r>
      <w:r w:rsidR="00C25214">
        <w:rPr>
          <w:rFonts w:cs="Calibri"/>
        </w:rPr>
        <w:t>kem</w:t>
      </w:r>
      <w:r w:rsidRPr="006B5E10">
        <w:rPr>
          <w:rFonts w:cs="Calibri"/>
        </w:rPr>
        <w:t xml:space="preserve"> běžného účetního období dle účetního výkazu zisku a ztráty byla ztráta ve výši </w:t>
      </w:r>
      <w:r w:rsidR="006B5E10" w:rsidRPr="006B5E10">
        <w:rPr>
          <w:rFonts w:cs="Calibri"/>
        </w:rPr>
        <w:t>20</w:t>
      </w:r>
      <w:r w:rsidR="006B5E10">
        <w:rPr>
          <w:rFonts w:cs="Calibri"/>
        </w:rPr>
        <w:t>,1</w:t>
      </w:r>
      <w:r w:rsidRPr="006B5E10">
        <w:rPr>
          <w:rFonts w:cs="Calibri"/>
        </w:rPr>
        <w:t xml:space="preserve"> mld. Kč</w:t>
      </w:r>
      <w:r w:rsidR="009E32D1" w:rsidRPr="006B5E10">
        <w:rPr>
          <w:rFonts w:cs="Calibri"/>
        </w:rPr>
        <w:t>.</w:t>
      </w:r>
    </w:p>
    <w:p w14:paraId="7BC76976" w14:textId="21D0AD2A" w:rsidR="001D11EF" w:rsidRDefault="00EC2FB2" w:rsidP="001D11EF">
      <w:pPr>
        <w:spacing w:after="0"/>
        <w:jc w:val="both"/>
        <w:rPr>
          <w:rFonts w:cs="Calibri"/>
        </w:rPr>
      </w:pPr>
      <w:r w:rsidRPr="006B5E10">
        <w:rPr>
          <w:rFonts w:cs="Calibri"/>
        </w:rPr>
        <w:t>Rozdíl</w:t>
      </w:r>
      <w:r w:rsidR="00BA273E" w:rsidRPr="006B5E10">
        <w:rPr>
          <w:rFonts w:cs="Calibri"/>
        </w:rPr>
        <w:t xml:space="preserve"> mezi saldem </w:t>
      </w:r>
      <w:r w:rsidR="00374646" w:rsidRPr="006B5E10">
        <w:rPr>
          <w:rFonts w:cs="Calibri"/>
        </w:rPr>
        <w:t>peněžních toků dle</w:t>
      </w:r>
      <w:r w:rsidR="003A61A5" w:rsidRPr="006B5E10">
        <w:rPr>
          <w:rFonts w:cs="Calibri"/>
        </w:rPr>
        <w:t xml:space="preserve"> finanční</w:t>
      </w:r>
      <w:r w:rsidR="00374646" w:rsidRPr="006B5E10">
        <w:rPr>
          <w:rFonts w:cs="Calibri"/>
        </w:rPr>
        <w:t>h</w:t>
      </w:r>
      <w:r w:rsidR="003A61A5" w:rsidRPr="006B5E10">
        <w:rPr>
          <w:rFonts w:cs="Calibri"/>
        </w:rPr>
        <w:t>o výkazu</w:t>
      </w:r>
      <w:r w:rsidR="00374646" w:rsidRPr="006B5E10">
        <w:rPr>
          <w:rFonts w:cs="Calibri"/>
        </w:rPr>
        <w:t xml:space="preserve"> a hospodářským výsledkem běžného účetního období dle výkazu zisku a ztráty </w:t>
      </w:r>
      <w:r w:rsidR="008B593C" w:rsidRPr="006B5E10">
        <w:rPr>
          <w:rFonts w:cs="Calibri"/>
        </w:rPr>
        <w:t xml:space="preserve">vznikl </w:t>
      </w:r>
      <w:r w:rsidR="002354F8">
        <w:rPr>
          <w:rFonts w:cs="Calibri"/>
        </w:rPr>
        <w:t>mj.</w:t>
      </w:r>
      <w:r w:rsidR="008B593C" w:rsidRPr="006B5E10">
        <w:rPr>
          <w:rFonts w:cs="Calibri"/>
        </w:rPr>
        <w:t xml:space="preserve"> tím, že </w:t>
      </w:r>
      <w:proofErr w:type="spellStart"/>
      <w:r w:rsidR="006B5E10" w:rsidRPr="00F04FF0">
        <w:rPr>
          <w:rFonts w:cs="Calibri"/>
        </w:rPr>
        <w:t>MZ</w:t>
      </w:r>
      <w:r w:rsidR="00B2373F">
        <w:rPr>
          <w:rFonts w:cs="Calibri"/>
        </w:rPr>
        <w:t>d</w:t>
      </w:r>
      <w:proofErr w:type="spellEnd"/>
      <w:r w:rsidR="00000F8C" w:rsidRPr="00F04FF0">
        <w:rPr>
          <w:rFonts w:cs="Calibri"/>
        </w:rPr>
        <w:t xml:space="preserve"> </w:t>
      </w:r>
      <w:r w:rsidR="009860D0">
        <w:rPr>
          <w:rFonts w:cs="Calibri"/>
        </w:rPr>
        <w:t>v roce 2021 realizovalo výdaje v celkové výši 1,37 mld. Kč v</w:t>
      </w:r>
      <w:r w:rsidR="002354F8">
        <w:rPr>
          <w:rFonts w:cs="Calibri"/>
        </w:rPr>
        <w:t xml:space="preserve"> </w:t>
      </w:r>
      <w:r w:rsidR="009860D0">
        <w:rPr>
          <w:rFonts w:cs="Calibri"/>
        </w:rPr>
        <w:t xml:space="preserve">podobě poskytnutí peněžních prostředků na pořízení dlouhodobého majetku zřízeným příspěvkovým organizacím, </w:t>
      </w:r>
      <w:r w:rsidR="002354F8">
        <w:rPr>
          <w:rFonts w:cs="Calibri"/>
        </w:rPr>
        <w:t>přičemž</w:t>
      </w:r>
      <w:r w:rsidR="009860D0">
        <w:rPr>
          <w:rFonts w:cs="Calibri"/>
        </w:rPr>
        <w:t xml:space="preserve"> toto poskytnutí peněžních prostředků není pro vybrané účetní jednotky dle účetních předpisů nákladem, ale snížením jmění účetní jednotky. </w:t>
      </w:r>
      <w:r w:rsidR="00E54A5F">
        <w:rPr>
          <w:rFonts w:cs="Calibri"/>
        </w:rPr>
        <w:t xml:space="preserve">Dále </w:t>
      </w:r>
      <w:proofErr w:type="spellStart"/>
      <w:r w:rsidR="00E54A5F">
        <w:rPr>
          <w:rFonts w:cs="Calibri"/>
        </w:rPr>
        <w:t>MZ</w:t>
      </w:r>
      <w:r w:rsidR="00493E48">
        <w:rPr>
          <w:rFonts w:cs="Calibri"/>
        </w:rPr>
        <w:t>d</w:t>
      </w:r>
      <w:proofErr w:type="spellEnd"/>
      <w:r w:rsidR="00E54A5F">
        <w:rPr>
          <w:rFonts w:cs="Calibri"/>
        </w:rPr>
        <w:t xml:space="preserve"> k</w:t>
      </w:r>
      <w:r w:rsidR="002354F8">
        <w:rPr>
          <w:rFonts w:cs="Calibri"/>
        </w:rPr>
        <w:t xml:space="preserve"> </w:t>
      </w:r>
      <w:r w:rsidR="00E54A5F">
        <w:rPr>
          <w:rFonts w:cs="Calibri"/>
        </w:rPr>
        <w:t xml:space="preserve">31. </w:t>
      </w:r>
      <w:r w:rsidR="00493E48">
        <w:rPr>
          <w:rFonts w:cs="Calibri"/>
        </w:rPr>
        <w:t>prosinci</w:t>
      </w:r>
      <w:r w:rsidR="00E54A5F">
        <w:rPr>
          <w:rFonts w:cs="Calibri"/>
        </w:rPr>
        <w:t xml:space="preserve"> 2021 vytvořilo dohadnou položku aktivní ve výši 6,6 mld. Kč na očekávaný výnos od zdravotních pojišťoven za očkovací látky proti </w:t>
      </w:r>
      <w:r w:rsidR="002354F8">
        <w:rPr>
          <w:rFonts w:cs="Calibri"/>
        </w:rPr>
        <w:t>covidu</w:t>
      </w:r>
      <w:r w:rsidR="00E54A5F">
        <w:rPr>
          <w:rFonts w:cs="Calibri"/>
        </w:rPr>
        <w:t xml:space="preserve">-19 a k uvedenému datu dále přijalo zálohy od zdravotních pojišťoven za očkovací látky proti </w:t>
      </w:r>
      <w:r w:rsidR="002354F8">
        <w:rPr>
          <w:rFonts w:cs="Calibri"/>
        </w:rPr>
        <w:t>covidu</w:t>
      </w:r>
      <w:r w:rsidR="00E54A5F">
        <w:rPr>
          <w:rFonts w:cs="Calibri"/>
        </w:rPr>
        <w:t>-19 ve výši 5,7 mld. Kč</w:t>
      </w:r>
      <w:r w:rsidR="004F15C8">
        <w:rPr>
          <w:rFonts w:cs="Calibri"/>
        </w:rPr>
        <w:t xml:space="preserve">. </w:t>
      </w:r>
      <w:r w:rsidR="00E54A5F">
        <w:rPr>
          <w:rFonts w:cs="Calibri"/>
        </w:rPr>
        <w:t xml:space="preserve">Dále </w:t>
      </w:r>
      <w:proofErr w:type="spellStart"/>
      <w:r w:rsidR="00E54A5F">
        <w:rPr>
          <w:rFonts w:cs="Calibri"/>
        </w:rPr>
        <w:t>MZ</w:t>
      </w:r>
      <w:r w:rsidR="00493E48">
        <w:rPr>
          <w:rFonts w:cs="Calibri"/>
        </w:rPr>
        <w:t>d</w:t>
      </w:r>
      <w:proofErr w:type="spellEnd"/>
      <w:r w:rsidR="00E54A5F">
        <w:rPr>
          <w:rFonts w:cs="Calibri"/>
        </w:rPr>
        <w:t xml:space="preserve"> </w:t>
      </w:r>
      <w:r w:rsidR="00E54A5F" w:rsidRPr="00E54A5F">
        <w:rPr>
          <w:rFonts w:cs="Calibri"/>
        </w:rPr>
        <w:t xml:space="preserve">k 31. </w:t>
      </w:r>
      <w:r w:rsidR="00493E48">
        <w:rPr>
          <w:rFonts w:cs="Calibri"/>
        </w:rPr>
        <w:t>prosinci</w:t>
      </w:r>
      <w:r w:rsidR="00E54A5F" w:rsidRPr="00E54A5F">
        <w:rPr>
          <w:rFonts w:cs="Calibri"/>
        </w:rPr>
        <w:t xml:space="preserve"> 2021 evidovalo </w:t>
      </w:r>
      <w:r w:rsidR="002354F8" w:rsidRPr="00E54A5F">
        <w:rPr>
          <w:rFonts w:cs="Calibri"/>
        </w:rPr>
        <w:t xml:space="preserve">faktury </w:t>
      </w:r>
      <w:r w:rsidR="00E54A5F" w:rsidRPr="00E54A5F">
        <w:rPr>
          <w:rFonts w:cs="Calibri"/>
        </w:rPr>
        <w:t xml:space="preserve">neuhrazené dodavatelům očkovacích látek proti </w:t>
      </w:r>
      <w:r w:rsidR="002354F8">
        <w:rPr>
          <w:rFonts w:cs="Calibri"/>
        </w:rPr>
        <w:t>covidu</w:t>
      </w:r>
      <w:r w:rsidR="00E54A5F" w:rsidRPr="00E54A5F">
        <w:rPr>
          <w:rFonts w:cs="Calibri"/>
        </w:rPr>
        <w:t xml:space="preserve">-19 ve výši 1,2 mld. Kč, které tak zatíží výdaje státního rozpočtu </w:t>
      </w:r>
      <w:r w:rsidR="002354F8">
        <w:rPr>
          <w:rFonts w:cs="Calibri"/>
        </w:rPr>
        <w:t xml:space="preserve">v </w:t>
      </w:r>
      <w:r w:rsidR="00E54A5F" w:rsidRPr="00E54A5F">
        <w:rPr>
          <w:rFonts w:cs="Calibri"/>
        </w:rPr>
        <w:t>ro</w:t>
      </w:r>
      <w:r w:rsidR="002354F8">
        <w:rPr>
          <w:rFonts w:cs="Calibri"/>
        </w:rPr>
        <w:t>ce</w:t>
      </w:r>
      <w:r w:rsidR="00E54A5F" w:rsidRPr="00E54A5F">
        <w:rPr>
          <w:rFonts w:cs="Calibri"/>
        </w:rPr>
        <w:t xml:space="preserve"> 2022</w:t>
      </w:r>
      <w:r w:rsidR="00E54A5F">
        <w:rPr>
          <w:rFonts w:cs="Calibri"/>
        </w:rPr>
        <w:t xml:space="preserve">. </w:t>
      </w:r>
      <w:r w:rsidR="00C72B58" w:rsidRPr="00F04FF0">
        <w:t>Tato skutečnost dokresluje důvody vzniku</w:t>
      </w:r>
      <w:r w:rsidR="001D11EF">
        <w:t xml:space="preserve"> </w:t>
      </w:r>
      <w:r w:rsidR="00134F55">
        <w:t>významných</w:t>
      </w:r>
      <w:r w:rsidR="00C72B58" w:rsidRPr="00F04FF0">
        <w:t xml:space="preserve"> rozdílů mezi výsledkem hospodaření </w:t>
      </w:r>
      <w:r w:rsidR="00134F55">
        <w:t>dle účetnictví</w:t>
      </w:r>
      <w:r w:rsidR="00C72B58" w:rsidRPr="00F04FF0">
        <w:t xml:space="preserve"> a saldem hospodaření dle rozpočtových výkazů a</w:t>
      </w:r>
      <w:r w:rsidR="002354F8">
        <w:t xml:space="preserve"> </w:t>
      </w:r>
      <w:r w:rsidR="00C72B58" w:rsidRPr="00F04FF0">
        <w:t xml:space="preserve">není dávána k tíži </w:t>
      </w:r>
      <w:proofErr w:type="spellStart"/>
      <w:r w:rsidR="0009634F">
        <w:t>MZ</w:t>
      </w:r>
      <w:r w:rsidR="00171D33">
        <w:t>d</w:t>
      </w:r>
      <w:proofErr w:type="spellEnd"/>
      <w:r w:rsidR="0009634F">
        <w:t xml:space="preserve"> </w:t>
      </w:r>
      <w:r w:rsidR="00C72B58" w:rsidRPr="00F04FF0">
        <w:t>jako pochybení.</w:t>
      </w:r>
      <w:r w:rsidR="009E32D1" w:rsidRPr="00F04FF0">
        <w:rPr>
          <w:rFonts w:cs="Calibri"/>
          <w:b/>
        </w:rPr>
        <w:t xml:space="preserve"> </w:t>
      </w:r>
      <w:r w:rsidR="009E32D1" w:rsidRPr="00A21AC3">
        <w:rPr>
          <w:rFonts w:cs="Calibri"/>
        </w:rPr>
        <w:t>D</w:t>
      </w:r>
      <w:r w:rsidR="00000F8C" w:rsidRPr="00A21AC3">
        <w:rPr>
          <w:rFonts w:cs="Calibri"/>
        </w:rPr>
        <w:t>alší hlavní důvody rozdílů</w:t>
      </w:r>
      <w:r w:rsidR="00F84367" w:rsidRPr="00147FEF">
        <w:rPr>
          <w:rFonts w:cs="Calibri"/>
        </w:rPr>
        <w:t xml:space="preserve"> mezi saldem peněžních toků a hospodářským výsledkem běžného účetního období</w:t>
      </w:r>
      <w:r w:rsidR="00000F8C" w:rsidRPr="00147FEF">
        <w:rPr>
          <w:rFonts w:cs="Calibri"/>
        </w:rPr>
        <w:t xml:space="preserve"> jsou uvedeny </w:t>
      </w:r>
      <w:r w:rsidR="00000F8C" w:rsidRPr="00A21AC3">
        <w:rPr>
          <w:rFonts w:cs="Calibri"/>
        </w:rPr>
        <w:t xml:space="preserve">v </w:t>
      </w:r>
      <w:r w:rsidRPr="00A21AC3">
        <w:rPr>
          <w:rFonts w:cs="Calibri"/>
        </w:rPr>
        <w:t>příloze č. 2</w:t>
      </w:r>
      <w:r w:rsidR="0080282E" w:rsidRPr="00A21AC3">
        <w:rPr>
          <w:rFonts w:cs="Calibri"/>
        </w:rPr>
        <w:t xml:space="preserve"> </w:t>
      </w:r>
      <w:r w:rsidR="006A48EE" w:rsidRPr="00A21AC3">
        <w:rPr>
          <w:rFonts w:cs="Calibri"/>
        </w:rPr>
        <w:t xml:space="preserve">tohoto </w:t>
      </w:r>
      <w:r w:rsidR="0080282E" w:rsidRPr="00A21AC3">
        <w:rPr>
          <w:rFonts w:cs="Calibri"/>
        </w:rPr>
        <w:t>kontrolního závěru</w:t>
      </w:r>
      <w:r w:rsidRPr="00A21AC3">
        <w:rPr>
          <w:rFonts w:cs="Calibri"/>
        </w:rPr>
        <w:t>.</w:t>
      </w:r>
    </w:p>
    <w:p w14:paraId="2C25C190" w14:textId="77777777" w:rsidR="00EC2FB2" w:rsidRPr="00A21AC3" w:rsidRDefault="00EC2FB2" w:rsidP="0066297E">
      <w:pPr>
        <w:spacing w:after="0"/>
        <w:jc w:val="both"/>
        <w:rPr>
          <w:rFonts w:cs="Calibri"/>
          <w:highlight w:val="yellow"/>
        </w:rPr>
      </w:pPr>
      <w:r w:rsidRPr="00A21AC3">
        <w:rPr>
          <w:rFonts w:cs="Calibri"/>
        </w:rPr>
        <w:t xml:space="preserve"> </w:t>
      </w:r>
    </w:p>
    <w:p w14:paraId="3F7F8828" w14:textId="77777777" w:rsidR="00BA273E" w:rsidRPr="006B5E10" w:rsidRDefault="006750E2" w:rsidP="00A829E9">
      <w:pPr>
        <w:keepNext/>
        <w:jc w:val="both"/>
        <w:rPr>
          <w:rFonts w:cs="Calibri"/>
          <w:b/>
        </w:rPr>
      </w:pPr>
      <w:r w:rsidRPr="006B5E10">
        <w:rPr>
          <w:rFonts w:cs="Calibri"/>
          <w:b/>
        </w:rPr>
        <w:t xml:space="preserve">4.2.3 </w:t>
      </w:r>
      <w:r w:rsidR="00F44618" w:rsidRPr="006B5E10">
        <w:rPr>
          <w:rFonts w:cs="Calibri"/>
          <w:b/>
        </w:rPr>
        <w:t xml:space="preserve">Podmíněné závazky </w:t>
      </w:r>
      <w:proofErr w:type="spellStart"/>
      <w:r w:rsidR="006B5E10" w:rsidRPr="006B5E10">
        <w:rPr>
          <w:rFonts w:cs="Calibri"/>
          <w:b/>
        </w:rPr>
        <w:t>MZ</w:t>
      </w:r>
      <w:r w:rsidR="00B2373F">
        <w:rPr>
          <w:rFonts w:cs="Calibri"/>
          <w:b/>
        </w:rPr>
        <w:t>d</w:t>
      </w:r>
      <w:proofErr w:type="spellEnd"/>
      <w:r w:rsidR="00155BF6" w:rsidRPr="006B5E10">
        <w:rPr>
          <w:rFonts w:cs="Calibri"/>
          <w:b/>
        </w:rPr>
        <w:t xml:space="preserve"> </w:t>
      </w:r>
      <w:r w:rsidR="00F44618" w:rsidRPr="006B5E10">
        <w:rPr>
          <w:rFonts w:cs="Calibri"/>
          <w:b/>
        </w:rPr>
        <w:t>jako nároky na budoucí rozpočty</w:t>
      </w:r>
    </w:p>
    <w:p w14:paraId="1A972E04" w14:textId="5D8FD82F" w:rsidR="001D11EF" w:rsidRDefault="006B6CF2" w:rsidP="001D11EF">
      <w:pPr>
        <w:spacing w:after="0"/>
        <w:jc w:val="both"/>
        <w:rPr>
          <w:rFonts w:eastAsiaTheme="minorHAnsi" w:cs="Calibri"/>
          <w:b/>
        </w:rPr>
      </w:pPr>
      <w:r w:rsidRPr="006B5E10">
        <w:rPr>
          <w:rFonts w:cs="Calibri"/>
          <w:b/>
        </w:rPr>
        <w:t>Dle ÚZ vykazuje</w:t>
      </w:r>
      <w:r w:rsidR="00374646" w:rsidRPr="006B5E10">
        <w:rPr>
          <w:rFonts w:cs="Calibri"/>
          <w:b/>
        </w:rPr>
        <w:t xml:space="preserve"> </w:t>
      </w:r>
      <w:proofErr w:type="spellStart"/>
      <w:r w:rsidR="007774C3" w:rsidRPr="006B5E10">
        <w:rPr>
          <w:rFonts w:cs="Calibri"/>
          <w:b/>
        </w:rPr>
        <w:t>M</w:t>
      </w:r>
      <w:r w:rsidR="006B5E10" w:rsidRPr="006B5E10">
        <w:rPr>
          <w:rFonts w:cs="Calibri"/>
          <w:b/>
        </w:rPr>
        <w:t>Z</w:t>
      </w:r>
      <w:r w:rsidR="00B2373F">
        <w:rPr>
          <w:rFonts w:cs="Calibri"/>
          <w:b/>
        </w:rPr>
        <w:t>d</w:t>
      </w:r>
      <w:proofErr w:type="spellEnd"/>
      <w:r w:rsidR="00374646" w:rsidRPr="006B5E10">
        <w:rPr>
          <w:rFonts w:cs="Calibri"/>
          <w:b/>
        </w:rPr>
        <w:t xml:space="preserve"> k rozvahovému dni podmíněné závazky ve výši </w:t>
      </w:r>
      <w:r w:rsidR="003A5587" w:rsidRPr="006B5E10">
        <w:rPr>
          <w:rFonts w:cs="Calibri"/>
          <w:b/>
        </w:rPr>
        <w:t>4</w:t>
      </w:r>
      <w:r w:rsidR="006B5E10" w:rsidRPr="006B5E10">
        <w:rPr>
          <w:rFonts w:cs="Calibri"/>
          <w:b/>
        </w:rPr>
        <w:t>7</w:t>
      </w:r>
      <w:r w:rsidR="00374646" w:rsidRPr="006B5E10">
        <w:rPr>
          <w:rFonts w:cs="Calibri"/>
          <w:b/>
        </w:rPr>
        <w:t>,</w:t>
      </w:r>
      <w:r w:rsidR="006B5E10" w:rsidRPr="006B5E10">
        <w:rPr>
          <w:rFonts w:cs="Calibri"/>
          <w:b/>
        </w:rPr>
        <w:t>7</w:t>
      </w:r>
      <w:r w:rsidR="00374646" w:rsidRPr="006B5E10">
        <w:rPr>
          <w:rFonts w:cs="Calibri"/>
          <w:b/>
        </w:rPr>
        <w:t xml:space="preserve"> mld. Kč,</w:t>
      </w:r>
      <w:r w:rsidR="00374646" w:rsidRPr="006B5E10">
        <w:rPr>
          <w:rFonts w:eastAsiaTheme="minorHAnsi" w:cs="Calibri"/>
        </w:rPr>
        <w:t xml:space="preserve"> </w:t>
      </w:r>
      <w:r w:rsidR="00374646" w:rsidRPr="006B5E10">
        <w:t>které jsou tvořeny</w:t>
      </w:r>
      <w:r w:rsidR="00AE2EBB" w:rsidRPr="006B5E10">
        <w:t xml:space="preserve"> </w:t>
      </w:r>
      <w:r w:rsidR="00374646" w:rsidRPr="006B5E10">
        <w:t>z</w:t>
      </w:r>
      <w:r w:rsidR="002354F8">
        <w:t xml:space="preserve"> </w:t>
      </w:r>
      <w:r w:rsidR="006B5E10" w:rsidRPr="006B5E10">
        <w:t>46</w:t>
      </w:r>
      <w:r w:rsidR="00374646" w:rsidRPr="006B5E10">
        <w:t>,</w:t>
      </w:r>
      <w:r w:rsidR="006B5E10" w:rsidRPr="006B5E10">
        <w:t>5</w:t>
      </w:r>
      <w:r w:rsidR="00374646" w:rsidRPr="006B5E10">
        <w:t> % podmíněnými závazky z transferů z titulu již vydaných rozhodnutí o</w:t>
      </w:r>
      <w:r w:rsidR="000340C7">
        <w:t> </w:t>
      </w:r>
      <w:r w:rsidR="00374646" w:rsidRPr="006B5E10">
        <w:t>poskytnutí dotace, z </w:t>
      </w:r>
      <w:r w:rsidR="003A5587" w:rsidRPr="006B5E10">
        <w:t>2</w:t>
      </w:r>
      <w:r w:rsidR="006B5E10" w:rsidRPr="006B5E10">
        <w:t>8</w:t>
      </w:r>
      <w:r w:rsidR="00374646" w:rsidRPr="006B5E10">
        <w:t>,</w:t>
      </w:r>
      <w:r w:rsidR="006B5E10" w:rsidRPr="006B5E10">
        <w:t>3</w:t>
      </w:r>
      <w:r w:rsidR="00374646" w:rsidRPr="006B5E10">
        <w:t> % podmíněnými závazky z</w:t>
      </w:r>
      <w:r w:rsidR="006B5E10" w:rsidRPr="006B5E10">
        <w:t xml:space="preserve"> jiných smluv a </w:t>
      </w:r>
      <w:r w:rsidR="003A5587" w:rsidRPr="006B5E10">
        <w:t>z </w:t>
      </w:r>
      <w:r w:rsidR="006B5E10" w:rsidRPr="006B5E10">
        <w:t>25</w:t>
      </w:r>
      <w:r w:rsidR="003A5587" w:rsidRPr="006B5E10">
        <w:t>,</w:t>
      </w:r>
      <w:r w:rsidR="006B5E10" w:rsidRPr="006B5E10">
        <w:t>2</w:t>
      </w:r>
      <w:r w:rsidR="003A5587" w:rsidRPr="006B5E10">
        <w:t xml:space="preserve"> % dlouhodobými </w:t>
      </w:r>
      <w:r w:rsidR="003A5587" w:rsidRPr="006B5E10">
        <w:lastRenderedPageBreak/>
        <w:t xml:space="preserve">podmíněnými závazky </w:t>
      </w:r>
      <w:r w:rsidR="006B5E10" w:rsidRPr="006B5E10">
        <w:t>ze soudních sporů, správních a jiných řízení</w:t>
      </w:r>
      <w:r w:rsidR="00374646" w:rsidRPr="006B5E10">
        <w:t xml:space="preserve">. </w:t>
      </w:r>
      <w:r w:rsidR="00374646" w:rsidRPr="006B5E10">
        <w:rPr>
          <w:rFonts w:eastAsiaTheme="minorHAnsi" w:cs="Calibri"/>
        </w:rPr>
        <w:t xml:space="preserve">Všechny tyto podmíněné závazky </w:t>
      </w:r>
      <w:r w:rsidR="00374646" w:rsidRPr="006B5E10">
        <w:rPr>
          <w:rFonts w:eastAsiaTheme="minorHAnsi" w:cs="Calibri"/>
          <w:b/>
        </w:rPr>
        <w:t>představují potenciální nároky na rozpočty dalších období</w:t>
      </w:r>
      <w:r w:rsidR="00374646" w:rsidRPr="006B5E10">
        <w:rPr>
          <w:rStyle w:val="Znakapoznpodarou"/>
          <w:rFonts w:eastAsiaTheme="minorHAnsi" w:cs="Calibri"/>
          <w:b/>
        </w:rPr>
        <w:footnoteReference w:id="51"/>
      </w:r>
      <w:r w:rsidR="008B593C" w:rsidRPr="006B5E10">
        <w:rPr>
          <w:rFonts w:eastAsiaTheme="minorHAnsi" w:cs="Calibri"/>
          <w:b/>
        </w:rPr>
        <w:t xml:space="preserve">, </w:t>
      </w:r>
      <w:r w:rsidR="00F44618" w:rsidRPr="006B5E10">
        <w:rPr>
          <w:rFonts w:eastAsiaTheme="minorHAnsi" w:cs="Calibri"/>
          <w:b/>
        </w:rPr>
        <w:t>ve kterých</w:t>
      </w:r>
      <w:r w:rsidR="008B593C" w:rsidRPr="006B5E10">
        <w:rPr>
          <w:rFonts w:eastAsiaTheme="minorHAnsi" w:cs="Calibri"/>
          <w:b/>
        </w:rPr>
        <w:t xml:space="preserve"> budou realizovány související peněžní toky.</w:t>
      </w:r>
    </w:p>
    <w:p w14:paraId="34CD0DDF" w14:textId="77777777" w:rsidR="00374646" w:rsidRPr="006B5E10" w:rsidRDefault="00374646" w:rsidP="0066297E">
      <w:pPr>
        <w:spacing w:after="0"/>
        <w:jc w:val="both"/>
        <w:rPr>
          <w:rFonts w:eastAsiaTheme="minorHAnsi" w:cs="Calibri"/>
          <w:b/>
        </w:rPr>
      </w:pPr>
      <w:r w:rsidRPr="006B5E10">
        <w:rPr>
          <w:rFonts w:eastAsiaTheme="minorHAnsi" w:cs="Calibri"/>
          <w:b/>
        </w:rPr>
        <w:t xml:space="preserve"> </w:t>
      </w:r>
    </w:p>
    <w:p w14:paraId="3999E340" w14:textId="77777777" w:rsidR="00E95C11" w:rsidRPr="006B5E10" w:rsidRDefault="006750E2" w:rsidP="00A829E9">
      <w:pPr>
        <w:pStyle w:val="Nadpis2"/>
        <w:keepNext/>
        <w:numPr>
          <w:ilvl w:val="0"/>
          <w:numId w:val="0"/>
        </w:numPr>
        <w:tabs>
          <w:tab w:val="center" w:pos="4535"/>
          <w:tab w:val="left" w:pos="5355"/>
          <w:tab w:val="left" w:pos="6525"/>
        </w:tabs>
        <w:spacing w:after="120" w:line="240" w:lineRule="auto"/>
        <w:contextualSpacing w:val="0"/>
        <w:rPr>
          <w:rFonts w:ascii="Calibri" w:hAnsi="Calibri" w:cs="Calibri"/>
        </w:rPr>
      </w:pPr>
      <w:r w:rsidRPr="006B5E10">
        <w:rPr>
          <w:rFonts w:ascii="Calibri" w:hAnsi="Calibri" w:cs="Calibri"/>
        </w:rPr>
        <w:t xml:space="preserve">5. </w:t>
      </w:r>
      <w:r w:rsidR="00366859" w:rsidRPr="006B5E10">
        <w:rPr>
          <w:rFonts w:ascii="Calibri" w:hAnsi="Calibri" w:cs="Calibri"/>
        </w:rPr>
        <w:t>Vnit</w:t>
      </w:r>
      <w:r w:rsidR="00E95C11" w:rsidRPr="006B5E10">
        <w:rPr>
          <w:rFonts w:ascii="Calibri" w:hAnsi="Calibri" w:cs="Calibri"/>
        </w:rPr>
        <w:t xml:space="preserve">řní kontrolní systém </w:t>
      </w:r>
      <w:proofErr w:type="spellStart"/>
      <w:r w:rsidR="002354F8">
        <w:rPr>
          <w:rFonts w:ascii="Calibri" w:hAnsi="Calibri" w:cs="Calibri"/>
        </w:rPr>
        <w:t>MZd</w:t>
      </w:r>
      <w:proofErr w:type="spellEnd"/>
    </w:p>
    <w:p w14:paraId="5FAFF3C7" w14:textId="77777777" w:rsidR="00E95C11" w:rsidRDefault="00E95C11" w:rsidP="00A829E9">
      <w:pPr>
        <w:jc w:val="both"/>
        <w:rPr>
          <w:rFonts w:cs="Calibri"/>
        </w:rPr>
      </w:pPr>
      <w:r w:rsidRPr="00CE51CA">
        <w:rPr>
          <w:rFonts w:cs="Calibri"/>
        </w:rPr>
        <w:t>Jedním z hlavních cílů finanční kontroly je zajistit správnost finančních a majetkových operací (tj. aby</w:t>
      </w:r>
      <w:r w:rsidR="0097145D" w:rsidRPr="00CE51CA">
        <w:rPr>
          <w:rFonts w:cs="Calibri"/>
        </w:rPr>
        <w:t xml:space="preserve"> mj.</w:t>
      </w:r>
      <w:r w:rsidRPr="00CE51CA">
        <w:rPr>
          <w:rFonts w:cs="Calibri"/>
        </w:rPr>
        <w:t xml:space="preserve"> probíhaly v souladu s právními předpisy), průkaznost jejich účetního zpracování a</w:t>
      </w:r>
      <w:r w:rsidR="000340C7">
        <w:rPr>
          <w:rFonts w:cs="Calibri"/>
        </w:rPr>
        <w:t> </w:t>
      </w:r>
      <w:r w:rsidRPr="00CE51CA">
        <w:rPr>
          <w:rFonts w:cs="Calibri"/>
        </w:rPr>
        <w:t xml:space="preserve">spolehlivost informací o nich na výstupu. </w:t>
      </w:r>
    </w:p>
    <w:p w14:paraId="7C27F7D9" w14:textId="7EEED545" w:rsidR="006C2EC8" w:rsidRDefault="006C2EC8" w:rsidP="0066297E">
      <w:pPr>
        <w:jc w:val="both"/>
        <w:rPr>
          <w:rFonts w:eastAsiaTheme="minorHAnsi" w:cs="Calibri"/>
          <w:b/>
        </w:rPr>
      </w:pPr>
      <w:r w:rsidRPr="00487E12">
        <w:rPr>
          <w:rFonts w:eastAsiaTheme="minorHAnsi" w:cs="Calibri"/>
          <w:b/>
        </w:rPr>
        <w:t xml:space="preserve">V oblasti účetnictví </w:t>
      </w:r>
      <w:r w:rsidRPr="00FB6494">
        <w:rPr>
          <w:rFonts w:eastAsiaTheme="minorHAnsi" w:cs="Calibri"/>
          <w:b/>
        </w:rPr>
        <w:t xml:space="preserve">i </w:t>
      </w:r>
      <w:r>
        <w:rPr>
          <w:rFonts w:eastAsiaTheme="minorHAnsi" w:cs="Calibri"/>
          <w:b/>
        </w:rPr>
        <w:t xml:space="preserve">v </w:t>
      </w:r>
      <w:r w:rsidRPr="00FB6494">
        <w:rPr>
          <w:rFonts w:eastAsiaTheme="minorHAnsi" w:cs="Calibri"/>
          <w:b/>
        </w:rPr>
        <w:t xml:space="preserve">rozpočtovém systému </w:t>
      </w:r>
      <w:proofErr w:type="spellStart"/>
      <w:r w:rsidRPr="00FB6494">
        <w:rPr>
          <w:rFonts w:eastAsiaTheme="minorHAnsi" w:cs="Calibri"/>
          <w:b/>
        </w:rPr>
        <w:t>MZd</w:t>
      </w:r>
      <w:proofErr w:type="spellEnd"/>
      <w:r w:rsidRPr="00487E12">
        <w:rPr>
          <w:rFonts w:eastAsiaTheme="minorHAnsi" w:cs="Calibri"/>
          <w:b/>
        </w:rPr>
        <w:t xml:space="preserve"> zjistil NKÚ v průběhu kontroly nedostatky, které VKS neidentifikoval </w:t>
      </w:r>
      <w:r w:rsidRPr="00CE51CA">
        <w:rPr>
          <w:rFonts w:eastAsiaTheme="minorHAnsi" w:cs="Calibri"/>
        </w:rPr>
        <w:t xml:space="preserve">(blíže viz část </w:t>
      </w:r>
      <w:r w:rsidRPr="008B4013">
        <w:rPr>
          <w:rFonts w:eastAsiaTheme="minorHAnsi" w:cs="Calibri"/>
        </w:rPr>
        <w:t>IV.5.</w:t>
      </w:r>
      <w:r w:rsidR="00AC25D0">
        <w:rPr>
          <w:rFonts w:eastAsiaTheme="minorHAnsi" w:cs="Calibri"/>
        </w:rPr>
        <w:t>1</w:t>
      </w:r>
      <w:r w:rsidRPr="008B4013">
        <w:rPr>
          <w:rFonts w:eastAsiaTheme="minorHAnsi" w:cs="Calibri"/>
        </w:rPr>
        <w:t xml:space="preserve"> tohoto kontrolního závěru).</w:t>
      </w:r>
      <w:r w:rsidRPr="00487E12">
        <w:rPr>
          <w:rFonts w:eastAsiaTheme="minorHAnsi" w:cs="Calibri"/>
          <w:b/>
        </w:rPr>
        <w:t xml:space="preserve"> </w:t>
      </w:r>
      <w:proofErr w:type="spellStart"/>
      <w:r w:rsidRPr="00487E12">
        <w:rPr>
          <w:rFonts w:eastAsiaTheme="minorHAnsi" w:cs="Calibri"/>
          <w:b/>
        </w:rPr>
        <w:t>MZ</w:t>
      </w:r>
      <w:r>
        <w:rPr>
          <w:rFonts w:eastAsiaTheme="minorHAnsi" w:cs="Calibri"/>
          <w:b/>
        </w:rPr>
        <w:t>d</w:t>
      </w:r>
      <w:proofErr w:type="spellEnd"/>
      <w:r w:rsidRPr="00487E12">
        <w:rPr>
          <w:rFonts w:eastAsiaTheme="minorHAnsi" w:cs="Calibri"/>
          <w:b/>
        </w:rPr>
        <w:t xml:space="preserve"> všechny tyto nedostatky</w:t>
      </w:r>
      <w:r>
        <w:rPr>
          <w:rFonts w:eastAsiaTheme="minorHAnsi" w:cs="Calibri"/>
          <w:b/>
        </w:rPr>
        <w:t xml:space="preserve"> v průběhu kontroly</w:t>
      </w:r>
      <w:r w:rsidRPr="00487E12">
        <w:rPr>
          <w:rFonts w:eastAsiaTheme="minorHAnsi" w:cs="Calibri"/>
          <w:b/>
        </w:rPr>
        <w:t xml:space="preserve"> řádně opravilo</w:t>
      </w:r>
      <w:r w:rsidR="001D11EF">
        <w:rPr>
          <w:rFonts w:eastAsiaTheme="minorHAnsi" w:cs="Calibri"/>
          <w:b/>
        </w:rPr>
        <w:t>,</w:t>
      </w:r>
      <w:r w:rsidRPr="00487E12">
        <w:rPr>
          <w:rFonts w:eastAsiaTheme="minorHAnsi" w:cs="Calibri"/>
          <w:b/>
        </w:rPr>
        <w:t xml:space="preserve"> </w:t>
      </w:r>
      <w:r>
        <w:rPr>
          <w:rFonts w:eastAsiaTheme="minorHAnsi" w:cs="Calibri"/>
          <w:b/>
        </w:rPr>
        <w:t xml:space="preserve">a to </w:t>
      </w:r>
      <w:r w:rsidRPr="00A21AC3">
        <w:rPr>
          <w:rFonts w:eastAsiaTheme="minorHAnsi" w:cs="Calibri"/>
          <w:b/>
        </w:rPr>
        <w:t>provedením opravných</w:t>
      </w:r>
      <w:r w:rsidRPr="00CE51CA">
        <w:rPr>
          <w:rFonts w:eastAsiaTheme="minorHAnsi" w:cs="Calibri"/>
        </w:rPr>
        <w:t xml:space="preserve"> </w:t>
      </w:r>
      <w:r>
        <w:rPr>
          <w:rFonts w:eastAsiaTheme="minorHAnsi" w:cs="Calibri"/>
          <w:b/>
        </w:rPr>
        <w:t>zápisů a</w:t>
      </w:r>
      <w:r w:rsidR="00D27396">
        <w:rPr>
          <w:rFonts w:eastAsiaTheme="minorHAnsi" w:cs="Calibri"/>
          <w:b/>
        </w:rPr>
        <w:t xml:space="preserve"> </w:t>
      </w:r>
      <w:r>
        <w:rPr>
          <w:rFonts w:eastAsiaTheme="minorHAnsi" w:cs="Calibri"/>
          <w:b/>
        </w:rPr>
        <w:t>také přijetím opatření k nápravě systémových nedostatků.</w:t>
      </w:r>
      <w:r w:rsidRPr="00487E12">
        <w:rPr>
          <w:rFonts w:eastAsiaTheme="minorHAnsi" w:cs="Calibri"/>
          <w:b/>
        </w:rPr>
        <w:t xml:space="preserve"> Po </w:t>
      </w:r>
      <w:r>
        <w:rPr>
          <w:rFonts w:eastAsiaTheme="minorHAnsi" w:cs="Calibri"/>
          <w:b/>
        </w:rPr>
        <w:t xml:space="preserve">realizaci všech </w:t>
      </w:r>
      <w:r w:rsidRPr="00487E12">
        <w:rPr>
          <w:rFonts w:eastAsiaTheme="minorHAnsi" w:cs="Calibri"/>
          <w:b/>
        </w:rPr>
        <w:t xml:space="preserve">těchto </w:t>
      </w:r>
      <w:r w:rsidRPr="00FB6494">
        <w:rPr>
          <w:rFonts w:eastAsiaTheme="minorHAnsi" w:cs="Calibri"/>
          <w:b/>
        </w:rPr>
        <w:t>opatření k</w:t>
      </w:r>
      <w:r w:rsidR="00D27396">
        <w:rPr>
          <w:rFonts w:eastAsiaTheme="minorHAnsi" w:cs="Calibri"/>
          <w:b/>
        </w:rPr>
        <w:t> </w:t>
      </w:r>
      <w:r w:rsidRPr="00FB6494">
        <w:rPr>
          <w:rFonts w:eastAsiaTheme="minorHAnsi" w:cs="Calibri"/>
          <w:b/>
        </w:rPr>
        <w:t>nápravě</w:t>
      </w:r>
      <w:r w:rsidRPr="00F91DAF">
        <w:rPr>
          <w:rFonts w:eastAsiaTheme="minorHAnsi" w:cs="Calibri"/>
          <w:b/>
        </w:rPr>
        <w:t xml:space="preserve"> </w:t>
      </w:r>
      <w:r w:rsidR="002354F8">
        <w:rPr>
          <w:rFonts w:eastAsiaTheme="minorHAnsi" w:cs="Calibri"/>
          <w:b/>
        </w:rPr>
        <w:t>mohl NKÚ</w:t>
      </w:r>
      <w:r w:rsidRPr="00487E12">
        <w:rPr>
          <w:rFonts w:eastAsiaTheme="minorHAnsi" w:cs="Calibri"/>
          <w:b/>
        </w:rPr>
        <w:t xml:space="preserve"> konstatovat, že v oblasti účetnictví, plnění rozpočtu a závěrečného účtu nezjistil </w:t>
      </w:r>
      <w:r w:rsidR="00516D8B">
        <w:rPr>
          <w:rFonts w:eastAsiaTheme="minorHAnsi" w:cs="Calibri"/>
          <w:b/>
        </w:rPr>
        <w:t xml:space="preserve">výsledně </w:t>
      </w:r>
      <w:r w:rsidRPr="00487E12">
        <w:rPr>
          <w:rFonts w:eastAsiaTheme="minorHAnsi" w:cs="Calibri"/>
          <w:b/>
        </w:rPr>
        <w:t>žádné skutečnosti svědčící o tom, že vnitřní kontrolní systém</w:t>
      </w:r>
      <w:r>
        <w:rPr>
          <w:rFonts w:eastAsiaTheme="minorHAnsi" w:cs="Calibri"/>
          <w:b/>
        </w:rPr>
        <w:t xml:space="preserve"> </w:t>
      </w:r>
      <w:proofErr w:type="spellStart"/>
      <w:r>
        <w:rPr>
          <w:rFonts w:eastAsiaTheme="minorHAnsi" w:cs="Calibri"/>
          <w:b/>
        </w:rPr>
        <w:t>MZd</w:t>
      </w:r>
      <w:proofErr w:type="spellEnd"/>
      <w:r w:rsidRPr="00487E12">
        <w:rPr>
          <w:rFonts w:eastAsiaTheme="minorHAnsi" w:cs="Calibri"/>
          <w:b/>
        </w:rPr>
        <w:t xml:space="preserve"> není účinný.</w:t>
      </w:r>
    </w:p>
    <w:p w14:paraId="245C48E1" w14:textId="77777777" w:rsidR="0035154B" w:rsidRPr="001217F1" w:rsidRDefault="006C2EC8" w:rsidP="0035154B">
      <w:pPr>
        <w:keepNext/>
        <w:jc w:val="both"/>
        <w:rPr>
          <w:rFonts w:eastAsiaTheme="minorHAnsi" w:cs="Calibri"/>
          <w:b/>
        </w:rPr>
      </w:pPr>
      <w:r>
        <w:rPr>
          <w:rFonts w:eastAsiaTheme="minorHAnsi" w:cs="Calibri"/>
          <w:b/>
        </w:rPr>
        <w:t>V</w:t>
      </w:r>
      <w:r w:rsidR="0035154B" w:rsidRPr="00487E12">
        <w:rPr>
          <w:rFonts w:eastAsiaTheme="minorHAnsi" w:cs="Calibri"/>
          <w:b/>
        </w:rPr>
        <w:t xml:space="preserve"> oblasti </w:t>
      </w:r>
      <w:r w:rsidR="007326FC">
        <w:rPr>
          <w:rFonts w:eastAsiaTheme="minorHAnsi" w:cs="Calibri"/>
          <w:b/>
        </w:rPr>
        <w:t xml:space="preserve">hospodaření s majetkem státu dle zákona č. 219/2000 Sb. a </w:t>
      </w:r>
      <w:r w:rsidR="00AB1F75">
        <w:rPr>
          <w:rFonts w:eastAsiaTheme="minorHAnsi" w:cs="Calibri"/>
          <w:b/>
        </w:rPr>
        <w:t xml:space="preserve">v oblasti </w:t>
      </w:r>
      <w:r w:rsidR="007326FC">
        <w:rPr>
          <w:rFonts w:eastAsiaTheme="minorHAnsi" w:cs="Calibri"/>
          <w:b/>
        </w:rPr>
        <w:t xml:space="preserve">finančního hospodaření dle zákona č. 218/2000 Sb. </w:t>
      </w:r>
      <w:r>
        <w:rPr>
          <w:rFonts w:eastAsiaTheme="minorHAnsi" w:cs="Calibri"/>
          <w:b/>
        </w:rPr>
        <w:t xml:space="preserve">zjistil NKÚ významné nedostatky, kterým VKS nezabránil, neidentifikoval je a ani v průběhu kontroly je neodstranil. </w:t>
      </w:r>
      <w:r w:rsidR="00817E1B">
        <w:rPr>
          <w:rFonts w:eastAsiaTheme="minorHAnsi" w:cs="Calibri"/>
          <w:b/>
        </w:rPr>
        <w:t>Šlo o případy</w:t>
      </w:r>
      <w:r w:rsidR="00844523" w:rsidRPr="001217F1">
        <w:rPr>
          <w:rFonts w:eastAsiaTheme="minorHAnsi" w:cs="Calibri"/>
          <w:b/>
        </w:rPr>
        <w:t>, kdy</w:t>
      </w:r>
      <w:r w:rsidR="0035154B" w:rsidRPr="001217F1">
        <w:rPr>
          <w:rFonts w:eastAsiaTheme="minorHAnsi" w:cs="Calibri"/>
          <w:b/>
        </w:rPr>
        <w:t xml:space="preserve"> </w:t>
      </w:r>
      <w:proofErr w:type="spellStart"/>
      <w:r w:rsidR="0035154B" w:rsidRPr="001217F1">
        <w:rPr>
          <w:rFonts w:eastAsiaTheme="minorHAnsi" w:cs="Calibri"/>
          <w:b/>
        </w:rPr>
        <w:t>MZ</w:t>
      </w:r>
      <w:r w:rsidR="000C5100" w:rsidRPr="001217F1">
        <w:rPr>
          <w:rFonts w:eastAsiaTheme="minorHAnsi" w:cs="Calibri"/>
          <w:b/>
        </w:rPr>
        <w:t>d</w:t>
      </w:r>
      <w:proofErr w:type="spellEnd"/>
      <w:r w:rsidR="0035154B" w:rsidRPr="001217F1">
        <w:rPr>
          <w:rFonts w:eastAsiaTheme="minorHAnsi" w:cs="Calibri"/>
          <w:b/>
        </w:rPr>
        <w:t>:</w:t>
      </w:r>
    </w:p>
    <w:p w14:paraId="03649BC3" w14:textId="77777777" w:rsidR="0035154B" w:rsidRPr="00487E12" w:rsidRDefault="0035154B" w:rsidP="0035154B">
      <w:pPr>
        <w:keepNext/>
        <w:numPr>
          <w:ilvl w:val="0"/>
          <w:numId w:val="22"/>
        </w:numPr>
        <w:jc w:val="both"/>
        <w:rPr>
          <w:rFonts w:eastAsiaTheme="minorHAnsi" w:cs="Calibri"/>
          <w:b/>
        </w:rPr>
      </w:pPr>
      <w:r w:rsidRPr="00487E12">
        <w:rPr>
          <w:rFonts w:eastAsiaTheme="minorHAnsi" w:cs="Calibri"/>
          <w:b/>
        </w:rPr>
        <w:t xml:space="preserve">poskytlo peněžní dar WHO bez předchozího souhlasu vlády, </w:t>
      </w:r>
    </w:p>
    <w:p w14:paraId="45B827E9" w14:textId="2A2CF38F" w:rsidR="0035154B" w:rsidRPr="00CE51CA" w:rsidRDefault="0035154B" w:rsidP="00085F16">
      <w:pPr>
        <w:pStyle w:val="Odstavecseseznamem"/>
        <w:numPr>
          <w:ilvl w:val="0"/>
          <w:numId w:val="22"/>
        </w:numPr>
        <w:spacing w:after="0"/>
        <w:ind w:left="714" w:hanging="357"/>
        <w:jc w:val="both"/>
        <w:rPr>
          <w:rFonts w:cs="Calibri"/>
        </w:rPr>
      </w:pPr>
      <w:r w:rsidRPr="0035154B">
        <w:rPr>
          <w:rFonts w:eastAsiaTheme="minorHAnsi" w:cs="Calibri"/>
          <w:b/>
        </w:rPr>
        <w:t xml:space="preserve">neplnilo </w:t>
      </w:r>
      <w:r w:rsidR="00A6549B">
        <w:rPr>
          <w:rFonts w:eastAsiaTheme="minorHAnsi" w:cs="Calibri"/>
        </w:rPr>
        <w:t>povinnosti</w:t>
      </w:r>
      <w:r w:rsidRPr="00CE51CA">
        <w:rPr>
          <w:rFonts w:eastAsiaTheme="minorHAnsi" w:cs="Calibri"/>
        </w:rPr>
        <w:t xml:space="preserve"> dle zákona č. 106/1999 Sb. </w:t>
      </w:r>
      <w:r w:rsidR="00A6549B">
        <w:rPr>
          <w:rFonts w:eastAsiaTheme="minorHAnsi" w:cs="Calibri"/>
        </w:rPr>
        <w:t>a</w:t>
      </w:r>
      <w:r w:rsidR="00AB1F75">
        <w:rPr>
          <w:rFonts w:eastAsiaTheme="minorHAnsi" w:cs="Calibri"/>
        </w:rPr>
        <w:t>ni</w:t>
      </w:r>
      <w:r w:rsidR="00A6549B">
        <w:rPr>
          <w:rFonts w:eastAsiaTheme="minorHAnsi" w:cs="Calibri"/>
        </w:rPr>
        <w:t xml:space="preserve"> povinnosti uložené</w:t>
      </w:r>
      <w:r w:rsidRPr="00CE51CA">
        <w:rPr>
          <w:rFonts w:eastAsiaTheme="minorHAnsi" w:cs="Calibri"/>
        </w:rPr>
        <w:t xml:space="preserve"> </w:t>
      </w:r>
      <w:r w:rsidR="008B02AD">
        <w:rPr>
          <w:rFonts w:eastAsiaTheme="minorHAnsi" w:cs="Calibri"/>
        </w:rPr>
        <w:t>pravomocným rozhodnutím soudu</w:t>
      </w:r>
      <w:r w:rsidRPr="0035154B">
        <w:rPr>
          <w:rFonts w:eastAsiaTheme="minorHAnsi" w:cs="Calibri"/>
          <w:b/>
        </w:rPr>
        <w:t xml:space="preserve"> </w:t>
      </w:r>
      <w:r w:rsidR="00AB1F75" w:rsidRPr="006B5E10">
        <w:rPr>
          <w:rFonts w:cs="Calibri"/>
          <w:lang w:eastAsia="cs-CZ"/>
        </w:rPr>
        <w:t>–</w:t>
      </w:r>
      <w:r w:rsidR="00AB1F75">
        <w:rPr>
          <w:rFonts w:cs="Calibri"/>
          <w:lang w:eastAsia="cs-CZ"/>
        </w:rPr>
        <w:t xml:space="preserve"> </w:t>
      </w:r>
      <w:r w:rsidR="00AB1F75" w:rsidRPr="004E2D6E">
        <w:rPr>
          <w:rFonts w:cs="Calibri"/>
          <w:b/>
          <w:lang w:eastAsia="cs-CZ"/>
        </w:rPr>
        <w:t>nedbalo tudíž</w:t>
      </w:r>
      <w:r w:rsidR="00DB3975">
        <w:rPr>
          <w:rFonts w:cs="Calibri"/>
          <w:b/>
          <w:lang w:eastAsia="cs-CZ"/>
        </w:rPr>
        <w:t xml:space="preserve"> toho</w:t>
      </w:r>
      <w:r w:rsidR="008B02AD" w:rsidRPr="001217F1">
        <w:rPr>
          <w:rFonts w:eastAsiaTheme="minorHAnsi" w:cs="Calibri"/>
          <w:b/>
        </w:rPr>
        <w:t xml:space="preserve">, aby plnilo určené </w:t>
      </w:r>
      <w:r w:rsidR="00A6549B" w:rsidRPr="008B02AD">
        <w:rPr>
          <w:rFonts w:eastAsiaTheme="minorHAnsi" w:cs="Calibri"/>
          <w:b/>
        </w:rPr>
        <w:t xml:space="preserve">úkoly </w:t>
      </w:r>
      <w:r w:rsidRPr="008B02AD">
        <w:rPr>
          <w:rFonts w:eastAsiaTheme="minorHAnsi" w:cs="Calibri"/>
          <w:b/>
        </w:rPr>
        <w:t>nejhospodárnějším způsobem</w:t>
      </w:r>
      <w:r w:rsidR="00AB1F75">
        <w:rPr>
          <w:rFonts w:eastAsiaTheme="minorHAnsi" w:cs="Calibri"/>
          <w:b/>
        </w:rPr>
        <w:t>,</w:t>
      </w:r>
      <w:r w:rsidRPr="008B02AD">
        <w:rPr>
          <w:rFonts w:eastAsiaTheme="minorHAnsi" w:cs="Calibri"/>
          <w:b/>
        </w:rPr>
        <w:t xml:space="preserve"> a nekonalo</w:t>
      </w:r>
      <w:r w:rsidRPr="0035154B">
        <w:rPr>
          <w:rFonts w:eastAsiaTheme="minorHAnsi" w:cs="Calibri"/>
          <w:b/>
        </w:rPr>
        <w:t xml:space="preserve"> tak, aby neodůvodněně nesnižovalo rozsah a hodnotu majetku, </w:t>
      </w:r>
      <w:r w:rsidRPr="00CE51CA">
        <w:rPr>
          <w:rFonts w:eastAsiaTheme="minorHAnsi" w:cs="Calibri"/>
        </w:rPr>
        <w:t>s nímž je příslušné hospodařit</w:t>
      </w:r>
      <w:r w:rsidR="00A6549B">
        <w:rPr>
          <w:rFonts w:eastAsiaTheme="minorHAnsi" w:cs="Calibri"/>
        </w:rPr>
        <w:t>;</w:t>
      </w:r>
      <w:r w:rsidRPr="0035154B">
        <w:rPr>
          <w:rFonts w:eastAsiaTheme="minorHAnsi" w:cs="Calibri"/>
          <w:b/>
        </w:rPr>
        <w:t xml:space="preserve"> </w:t>
      </w:r>
      <w:r w:rsidR="00AB1F75">
        <w:rPr>
          <w:rFonts w:eastAsiaTheme="minorHAnsi" w:cs="Calibri"/>
          <w:b/>
        </w:rPr>
        <w:t xml:space="preserve">dále </w:t>
      </w:r>
      <w:r w:rsidR="00AB1F75" w:rsidRPr="0035154B">
        <w:rPr>
          <w:rFonts w:eastAsiaTheme="minorHAnsi" w:cs="Calibri"/>
          <w:b/>
        </w:rPr>
        <w:t xml:space="preserve">neposoudilo </w:t>
      </w:r>
      <w:r w:rsidRPr="0035154B">
        <w:rPr>
          <w:rFonts w:eastAsiaTheme="minorHAnsi" w:cs="Calibri"/>
          <w:b/>
        </w:rPr>
        <w:t xml:space="preserve">bez zbytečného odkladu uplatnění nároku na náhradu škody </w:t>
      </w:r>
      <w:r w:rsidRPr="00CE51CA">
        <w:rPr>
          <w:rFonts w:eastAsiaTheme="minorHAnsi" w:cs="Calibri"/>
        </w:rPr>
        <w:t xml:space="preserve">vůči osobě odpovědné za porušení stanovených povinností a za škodu, která tím vznikla na majetku, s nímž je </w:t>
      </w:r>
      <w:proofErr w:type="spellStart"/>
      <w:r w:rsidRPr="00CE51CA">
        <w:rPr>
          <w:rFonts w:eastAsiaTheme="minorHAnsi" w:cs="Calibri"/>
        </w:rPr>
        <w:t>MZ</w:t>
      </w:r>
      <w:r w:rsidR="00A6549B">
        <w:rPr>
          <w:rFonts w:eastAsiaTheme="minorHAnsi" w:cs="Calibri"/>
        </w:rPr>
        <w:t>d</w:t>
      </w:r>
      <w:proofErr w:type="spellEnd"/>
      <w:r w:rsidRPr="00CE51CA">
        <w:rPr>
          <w:rFonts w:eastAsiaTheme="minorHAnsi" w:cs="Calibri"/>
        </w:rPr>
        <w:t xml:space="preserve"> příslušné hospodařit.</w:t>
      </w:r>
    </w:p>
    <w:p w14:paraId="44DFE598" w14:textId="77777777" w:rsidR="0035154B" w:rsidRDefault="0035154B" w:rsidP="00085F16">
      <w:pPr>
        <w:spacing w:after="0"/>
        <w:jc w:val="both"/>
        <w:rPr>
          <w:rFonts w:cs="Calibri"/>
          <w:b/>
          <w:highlight w:val="yellow"/>
        </w:rPr>
      </w:pPr>
    </w:p>
    <w:p w14:paraId="5C77CACA" w14:textId="77777777" w:rsidR="001F4F92" w:rsidRPr="00085F16" w:rsidRDefault="00366859" w:rsidP="0033700B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 w:rsidRPr="00085F16">
        <w:rPr>
          <w:rFonts w:ascii="Calibri" w:hAnsi="Calibri" w:cs="Calibri"/>
          <w:lang w:eastAsia="cs-CZ"/>
        </w:rPr>
        <w:t>5</w:t>
      </w:r>
      <w:r w:rsidR="001F4F92" w:rsidRPr="00085F16">
        <w:rPr>
          <w:rFonts w:ascii="Calibri" w:hAnsi="Calibri" w:cs="Calibri"/>
          <w:lang w:eastAsia="cs-CZ"/>
        </w:rPr>
        <w:t>.</w:t>
      </w:r>
      <w:r w:rsidR="006C2EC8">
        <w:rPr>
          <w:rFonts w:ascii="Calibri" w:hAnsi="Calibri" w:cs="Calibri"/>
          <w:lang w:eastAsia="cs-CZ"/>
        </w:rPr>
        <w:t>1</w:t>
      </w:r>
      <w:r w:rsidR="001F4F92" w:rsidRPr="00085F16">
        <w:rPr>
          <w:rFonts w:ascii="Calibri" w:hAnsi="Calibri" w:cs="Calibri"/>
          <w:lang w:eastAsia="cs-CZ"/>
        </w:rPr>
        <w:t xml:space="preserve"> </w:t>
      </w:r>
      <w:r w:rsidR="00085F16" w:rsidRPr="00085F16">
        <w:rPr>
          <w:rFonts w:ascii="Calibri" w:hAnsi="Calibri" w:cs="Calibri"/>
          <w:lang w:eastAsia="cs-CZ"/>
        </w:rPr>
        <w:t>VKS v oblasti účetnictví, plnění rozpočtu a ZÚ 2021</w:t>
      </w:r>
    </w:p>
    <w:p w14:paraId="7AAB87AA" w14:textId="5CE0F106" w:rsidR="00300B43" w:rsidRDefault="001B6780" w:rsidP="001B6780">
      <w:pPr>
        <w:pStyle w:val="Odstavecseseznamem"/>
        <w:ind w:left="0"/>
        <w:contextualSpacing w:val="0"/>
        <w:jc w:val="both"/>
        <w:rPr>
          <w:rFonts w:cs="Calibri"/>
        </w:rPr>
      </w:pPr>
      <w:r w:rsidRPr="001B6780">
        <w:rPr>
          <w:rFonts w:cs="Calibri"/>
        </w:rPr>
        <w:t xml:space="preserve">V </w:t>
      </w:r>
      <w:r w:rsidR="002D3611">
        <w:rPr>
          <w:rFonts w:cs="Calibri"/>
        </w:rPr>
        <w:t>průběhu</w:t>
      </w:r>
      <w:r w:rsidRPr="001B6780">
        <w:rPr>
          <w:rFonts w:cs="Calibri"/>
        </w:rPr>
        <w:t xml:space="preserve"> KA č. 21/24 </w:t>
      </w:r>
      <w:r w:rsidR="008B02AD">
        <w:rPr>
          <w:rFonts w:cs="Calibri"/>
        </w:rPr>
        <w:t xml:space="preserve">zjistil </w:t>
      </w:r>
      <w:r>
        <w:rPr>
          <w:rFonts w:cs="Calibri"/>
        </w:rPr>
        <w:t>NKÚ</w:t>
      </w:r>
      <w:r w:rsidRPr="001B6780">
        <w:rPr>
          <w:rFonts w:cs="Calibri"/>
        </w:rPr>
        <w:t xml:space="preserve"> nedostatky v původních konsolidačních účetních záznamech za rok 2021 předaných do CSÚIS v celkové výši 6,9 mld. Kč, které VKS neidentifikoval </w:t>
      </w:r>
      <w:r w:rsidRPr="00A01FC5">
        <w:rPr>
          <w:rFonts w:cs="Calibri"/>
        </w:rPr>
        <w:t xml:space="preserve">(blíže viz část </w:t>
      </w:r>
      <w:r w:rsidR="00A01FC5" w:rsidRPr="00A01FC5">
        <w:rPr>
          <w:rFonts w:cs="Calibri"/>
        </w:rPr>
        <w:t>IV.2.1</w:t>
      </w:r>
      <w:r w:rsidRPr="00A01FC5">
        <w:rPr>
          <w:rFonts w:cs="Calibri"/>
        </w:rPr>
        <w:t xml:space="preserve"> tohoto kontrolního závěru). </w:t>
      </w:r>
      <w:proofErr w:type="spellStart"/>
      <w:r w:rsidRPr="00A01FC5">
        <w:rPr>
          <w:rFonts w:cs="Calibri"/>
        </w:rPr>
        <w:t>MZ</w:t>
      </w:r>
      <w:r w:rsidR="00A6549B">
        <w:rPr>
          <w:rFonts w:cs="Calibri"/>
        </w:rPr>
        <w:t>d</w:t>
      </w:r>
      <w:proofErr w:type="spellEnd"/>
      <w:r w:rsidRPr="00A01FC5">
        <w:rPr>
          <w:rFonts w:cs="Calibri"/>
        </w:rPr>
        <w:t xml:space="preserve"> všechny</w:t>
      </w:r>
      <w:r w:rsidRPr="001B6780">
        <w:rPr>
          <w:rFonts w:cs="Calibri"/>
        </w:rPr>
        <w:t xml:space="preserve"> tyto nedostatky řádně opravilo provedením opravných účetních zápisů v účetních knihách účetního období 2021</w:t>
      </w:r>
      <w:r w:rsidR="002D3611">
        <w:rPr>
          <w:rFonts w:cs="Calibri"/>
        </w:rPr>
        <w:t xml:space="preserve"> </w:t>
      </w:r>
      <w:r w:rsidR="00AB1F75">
        <w:rPr>
          <w:rFonts w:cs="Calibri"/>
        </w:rPr>
        <w:t xml:space="preserve">a </w:t>
      </w:r>
      <w:r w:rsidR="006C2EC8">
        <w:rPr>
          <w:rFonts w:cs="Calibri"/>
        </w:rPr>
        <w:t>přijetím opatření k nápravě systémových nedostatků</w:t>
      </w:r>
      <w:r w:rsidR="00AB1F75">
        <w:rPr>
          <w:rFonts w:cs="Calibri"/>
        </w:rPr>
        <w:t>;</w:t>
      </w:r>
      <w:r w:rsidR="006C2EC8">
        <w:rPr>
          <w:rFonts w:cs="Calibri"/>
        </w:rPr>
        <w:t xml:space="preserve"> </w:t>
      </w:r>
      <w:r w:rsidR="00AB1F75">
        <w:rPr>
          <w:rFonts w:cs="Calibri"/>
        </w:rPr>
        <w:t xml:space="preserve">opravilo mj. </w:t>
      </w:r>
      <w:r w:rsidR="002D3611">
        <w:rPr>
          <w:rFonts w:cs="Calibri"/>
        </w:rPr>
        <w:t>významn</w:t>
      </w:r>
      <w:r w:rsidR="00AB1F75">
        <w:rPr>
          <w:rFonts w:cs="Calibri"/>
        </w:rPr>
        <w:t>ý</w:t>
      </w:r>
      <w:r w:rsidR="002D3611">
        <w:rPr>
          <w:rFonts w:cs="Calibri"/>
        </w:rPr>
        <w:t xml:space="preserve"> </w:t>
      </w:r>
      <w:r w:rsidRPr="001B6780">
        <w:rPr>
          <w:rFonts w:cs="Calibri"/>
        </w:rPr>
        <w:t>systémov</w:t>
      </w:r>
      <w:r w:rsidR="00AB1F75">
        <w:rPr>
          <w:rFonts w:cs="Calibri"/>
        </w:rPr>
        <w:t>ý</w:t>
      </w:r>
      <w:r w:rsidRPr="001B6780">
        <w:rPr>
          <w:rFonts w:cs="Calibri"/>
        </w:rPr>
        <w:t xml:space="preserve"> nedostat</w:t>
      </w:r>
      <w:r w:rsidR="00AB1F75">
        <w:rPr>
          <w:rFonts w:cs="Calibri"/>
        </w:rPr>
        <w:t>e</w:t>
      </w:r>
      <w:r w:rsidRPr="001B6780">
        <w:rPr>
          <w:rFonts w:cs="Calibri"/>
        </w:rPr>
        <w:t>k u</w:t>
      </w:r>
      <w:r w:rsidR="00AB1F75">
        <w:rPr>
          <w:rFonts w:cs="Calibri"/>
        </w:rPr>
        <w:t> </w:t>
      </w:r>
      <w:r w:rsidRPr="001B6780">
        <w:rPr>
          <w:rFonts w:cs="Calibri"/>
        </w:rPr>
        <w:t xml:space="preserve">podmíněných závazků z projektů </w:t>
      </w:r>
      <w:r w:rsidR="00AB1F75">
        <w:rPr>
          <w:rFonts w:cs="Calibri"/>
        </w:rPr>
        <w:t xml:space="preserve">evidovaných v </w:t>
      </w:r>
      <w:r w:rsidRPr="001B6780">
        <w:rPr>
          <w:rFonts w:cs="Calibri"/>
        </w:rPr>
        <w:t>EDS/SMVS</w:t>
      </w:r>
      <w:r w:rsidR="00844523">
        <w:rPr>
          <w:rFonts w:cs="Calibri"/>
        </w:rPr>
        <w:t xml:space="preserve">, </w:t>
      </w:r>
      <w:r w:rsidR="00AB1F75">
        <w:rPr>
          <w:rFonts w:cs="Calibri"/>
        </w:rPr>
        <w:t>a to tak, aby eliminovalo jeho opakování</w:t>
      </w:r>
      <w:r w:rsidRPr="001B6780">
        <w:rPr>
          <w:rFonts w:cs="Calibri"/>
        </w:rPr>
        <w:t xml:space="preserve"> </w:t>
      </w:r>
      <w:r w:rsidR="00AB1F75">
        <w:rPr>
          <w:rFonts w:cs="Calibri"/>
        </w:rPr>
        <w:t xml:space="preserve">i </w:t>
      </w:r>
      <w:r w:rsidRPr="001B6780">
        <w:rPr>
          <w:rFonts w:cs="Calibri"/>
        </w:rPr>
        <w:t>v dalších účetních obdobích.</w:t>
      </w:r>
    </w:p>
    <w:p w14:paraId="21806E42" w14:textId="77777777" w:rsidR="001B6780" w:rsidRPr="00420535" w:rsidRDefault="001B6780" w:rsidP="001B6780">
      <w:pPr>
        <w:jc w:val="both"/>
      </w:pPr>
      <w:r>
        <w:rPr>
          <w:rFonts w:asciiTheme="minorHAnsi" w:hAnsiTheme="minorHAnsi" w:cstheme="minorHAnsi"/>
        </w:rPr>
        <w:t>NKÚ</w:t>
      </w:r>
      <w:r w:rsidRPr="00420535">
        <w:rPr>
          <w:rFonts w:asciiTheme="minorHAnsi" w:hAnsiTheme="minorHAnsi" w:cstheme="minorHAnsi"/>
        </w:rPr>
        <w:t xml:space="preserve"> nezjisti</w:t>
      </w:r>
      <w:r>
        <w:rPr>
          <w:rFonts w:asciiTheme="minorHAnsi" w:hAnsiTheme="minorHAnsi" w:cstheme="minorHAnsi"/>
        </w:rPr>
        <w:t>l</w:t>
      </w:r>
      <w:r w:rsidRPr="00420535">
        <w:rPr>
          <w:rFonts w:asciiTheme="minorHAnsi" w:hAnsiTheme="minorHAnsi" w:cstheme="minorHAnsi"/>
        </w:rPr>
        <w:t xml:space="preserve"> žádné skutečnosti svědčící o tom, že údaje</w:t>
      </w:r>
      <w:r w:rsidR="004C6544">
        <w:rPr>
          <w:rFonts w:asciiTheme="minorHAnsi" w:hAnsiTheme="minorHAnsi" w:cstheme="minorHAnsi"/>
        </w:rPr>
        <w:t xml:space="preserve"> výsledně</w:t>
      </w:r>
      <w:r w:rsidRPr="00420535">
        <w:rPr>
          <w:rFonts w:asciiTheme="minorHAnsi" w:hAnsiTheme="minorHAnsi" w:cstheme="minorHAnsi"/>
        </w:rPr>
        <w:t xml:space="preserve"> předkládané Ministerstvem zdravotnictví pro hodnocení plnění státního rozpočtu za rok 2021 by nebyly tříděny ve všech významných ohledech v souladu s vyhláškou č. 323/2002 Sb.</w:t>
      </w:r>
      <w:r>
        <w:rPr>
          <w:rFonts w:asciiTheme="minorHAnsi" w:hAnsiTheme="minorHAnsi" w:cstheme="minorHAnsi"/>
        </w:rPr>
        <w:t xml:space="preserve"> </w:t>
      </w:r>
      <w:r w:rsidRPr="001B6780">
        <w:rPr>
          <w:rFonts w:cs="Calibri"/>
        </w:rPr>
        <w:t>(</w:t>
      </w:r>
      <w:r w:rsidRPr="00A01FC5">
        <w:rPr>
          <w:rFonts w:cs="Calibri"/>
        </w:rPr>
        <w:t xml:space="preserve">blíže viz část </w:t>
      </w:r>
      <w:r w:rsidR="00A01FC5" w:rsidRPr="00A01FC5">
        <w:rPr>
          <w:rFonts w:cs="Calibri"/>
        </w:rPr>
        <w:t>IV.3</w:t>
      </w:r>
      <w:r w:rsidRPr="00A01FC5">
        <w:rPr>
          <w:rFonts w:cs="Calibri"/>
        </w:rPr>
        <w:t xml:space="preserve"> tohoto kontrolního závěru).</w:t>
      </w:r>
    </w:p>
    <w:p w14:paraId="5712AA39" w14:textId="6892B524" w:rsidR="001B6780" w:rsidRPr="00A01FC5" w:rsidRDefault="001B6780" w:rsidP="001B6780">
      <w:pPr>
        <w:pStyle w:val="Odstavecseseznamem"/>
        <w:spacing w:after="0"/>
        <w:ind w:left="0"/>
        <w:contextualSpacing w:val="0"/>
        <w:jc w:val="both"/>
        <w:rPr>
          <w:rFonts w:cs="Calibri"/>
        </w:rPr>
      </w:pPr>
      <w:r>
        <w:lastRenderedPageBreak/>
        <w:t>NKÚ nezjistil</w:t>
      </w:r>
      <w:r w:rsidRPr="00420535">
        <w:t xml:space="preserve"> žádné skutečnosti svědčící o tom, že </w:t>
      </w:r>
      <w:r>
        <w:t>ZÚ 2021</w:t>
      </w:r>
      <w:r w:rsidRPr="00420535">
        <w:t xml:space="preserve"> není ve všech významných ohledech sestaven v souladu s vyhláškou č. 419/2001 Sb., a nezjistil</w:t>
      </w:r>
      <w:r w:rsidR="00D27396">
        <w:t xml:space="preserve"> ani žádné skutečnosti nasvědčující tomu</w:t>
      </w:r>
      <w:r w:rsidRPr="00420535">
        <w:t xml:space="preserve">, že informace </w:t>
      </w:r>
      <w:r w:rsidR="00D27396" w:rsidRPr="00420535">
        <w:t xml:space="preserve">uvedené </w:t>
      </w:r>
      <w:r w:rsidRPr="00420535">
        <w:t xml:space="preserve">v </w:t>
      </w:r>
      <w:r>
        <w:t>ZÚ</w:t>
      </w:r>
      <w:r w:rsidRPr="00420535">
        <w:t xml:space="preserve"> </w:t>
      </w:r>
      <w:r w:rsidR="00D27396">
        <w:t xml:space="preserve">2021 </w:t>
      </w:r>
      <w:r w:rsidRPr="00420535">
        <w:t xml:space="preserve">nejsou ve všech významných ohledech shodné s údaji v rozpočtovém systému, </w:t>
      </w:r>
      <w:r w:rsidR="00D27396">
        <w:t>údaji ve</w:t>
      </w:r>
      <w:r w:rsidRPr="00420535">
        <w:t xml:space="preserve"> finanční</w:t>
      </w:r>
      <w:r w:rsidR="00D27396">
        <w:t>ch</w:t>
      </w:r>
      <w:r w:rsidRPr="00420535">
        <w:t xml:space="preserve"> výkaz</w:t>
      </w:r>
      <w:r w:rsidR="00D27396">
        <w:t>ech</w:t>
      </w:r>
      <w:r w:rsidRPr="00420535">
        <w:t xml:space="preserve"> a údaji </w:t>
      </w:r>
      <w:r w:rsidR="00D27396">
        <w:t xml:space="preserve">v </w:t>
      </w:r>
      <w:r w:rsidRPr="00420535">
        <w:t>analytických evidencí</w:t>
      </w:r>
      <w:r w:rsidR="00D27396">
        <w:t>ch</w:t>
      </w:r>
      <w:r>
        <w:t xml:space="preserve"> </w:t>
      </w:r>
      <w:r w:rsidRPr="001B6780">
        <w:rPr>
          <w:rFonts w:cs="Calibri"/>
        </w:rPr>
        <w:t>(</w:t>
      </w:r>
      <w:r w:rsidRPr="00A01FC5">
        <w:rPr>
          <w:rFonts w:cs="Calibri"/>
        </w:rPr>
        <w:t xml:space="preserve">blíže viz část </w:t>
      </w:r>
      <w:r w:rsidR="00A01FC5" w:rsidRPr="00A01FC5">
        <w:rPr>
          <w:rFonts w:cs="Calibri"/>
        </w:rPr>
        <w:t>IV.4.1</w:t>
      </w:r>
      <w:r w:rsidRPr="00A01FC5">
        <w:rPr>
          <w:rFonts w:cs="Calibri"/>
        </w:rPr>
        <w:t xml:space="preserve"> tohoto kontrolního závěru)</w:t>
      </w:r>
      <w:r w:rsidRPr="00A01FC5">
        <w:t>.</w:t>
      </w:r>
    </w:p>
    <w:p w14:paraId="02193B28" w14:textId="77777777" w:rsidR="001B6780" w:rsidRPr="00D71C60" w:rsidRDefault="001B6780" w:rsidP="001B6780">
      <w:pPr>
        <w:pStyle w:val="Odstavecseseznamem"/>
        <w:spacing w:after="0"/>
        <w:ind w:left="0"/>
        <w:contextualSpacing w:val="0"/>
        <w:jc w:val="both"/>
        <w:rPr>
          <w:rFonts w:cs="Calibri"/>
          <w:highlight w:val="yellow"/>
        </w:rPr>
      </w:pPr>
    </w:p>
    <w:p w14:paraId="1CFF16F8" w14:textId="77777777" w:rsidR="00AB129E" w:rsidRPr="00E60017" w:rsidRDefault="00366859" w:rsidP="0033700B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rPr>
          <w:rFonts w:ascii="Calibri" w:hAnsi="Calibri" w:cs="Calibri"/>
          <w:lang w:eastAsia="cs-CZ"/>
        </w:rPr>
      </w:pPr>
      <w:r w:rsidRPr="00E60017">
        <w:rPr>
          <w:rFonts w:ascii="Calibri" w:hAnsi="Calibri" w:cs="Calibri"/>
          <w:lang w:eastAsia="cs-CZ"/>
        </w:rPr>
        <w:t>5</w:t>
      </w:r>
      <w:r w:rsidR="00AB129E" w:rsidRPr="00E60017">
        <w:rPr>
          <w:rFonts w:ascii="Calibri" w:hAnsi="Calibri" w:cs="Calibri"/>
          <w:lang w:eastAsia="cs-CZ"/>
        </w:rPr>
        <w:t>.</w:t>
      </w:r>
      <w:r w:rsidR="006C2EC8">
        <w:rPr>
          <w:rFonts w:ascii="Calibri" w:hAnsi="Calibri" w:cs="Calibri"/>
          <w:lang w:eastAsia="cs-CZ"/>
        </w:rPr>
        <w:t>2</w:t>
      </w:r>
      <w:r w:rsidR="00AB129E" w:rsidRPr="00E60017">
        <w:rPr>
          <w:rFonts w:ascii="Calibri" w:hAnsi="Calibri" w:cs="Calibri"/>
          <w:lang w:eastAsia="cs-CZ"/>
        </w:rPr>
        <w:t xml:space="preserve"> </w:t>
      </w:r>
      <w:r w:rsidR="00C90F38">
        <w:rPr>
          <w:rFonts w:ascii="Calibri" w:hAnsi="Calibri" w:cs="Calibri"/>
          <w:lang w:eastAsia="cs-CZ"/>
        </w:rPr>
        <w:t xml:space="preserve">Hospodaření </w:t>
      </w:r>
      <w:proofErr w:type="spellStart"/>
      <w:r w:rsidR="00C90F38">
        <w:rPr>
          <w:rFonts w:ascii="Calibri" w:hAnsi="Calibri" w:cs="Calibri"/>
          <w:lang w:eastAsia="cs-CZ"/>
        </w:rPr>
        <w:t>M</w:t>
      </w:r>
      <w:r w:rsidR="001D11EF">
        <w:rPr>
          <w:rFonts w:ascii="Calibri" w:hAnsi="Calibri" w:cs="Calibri"/>
          <w:lang w:eastAsia="cs-CZ"/>
        </w:rPr>
        <w:t>Z</w:t>
      </w:r>
      <w:r w:rsidR="00C90F38">
        <w:rPr>
          <w:rFonts w:ascii="Calibri" w:hAnsi="Calibri" w:cs="Calibri"/>
          <w:lang w:eastAsia="cs-CZ"/>
        </w:rPr>
        <w:t>d</w:t>
      </w:r>
      <w:proofErr w:type="spellEnd"/>
      <w:r w:rsidR="00C90F38">
        <w:rPr>
          <w:rFonts w:ascii="Calibri" w:hAnsi="Calibri" w:cs="Calibri"/>
          <w:lang w:eastAsia="cs-CZ"/>
        </w:rPr>
        <w:t xml:space="preserve"> v rozporu s právními předpisy</w:t>
      </w:r>
    </w:p>
    <w:p w14:paraId="0120ECBC" w14:textId="0BCFCC88" w:rsidR="001D11EF" w:rsidRDefault="00D27396" w:rsidP="001D11EF">
      <w:pPr>
        <w:spacing w:after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NKÚ u</w:t>
      </w:r>
      <w:r w:rsidR="00C90F38">
        <w:rPr>
          <w:rFonts w:asciiTheme="minorHAnsi" w:eastAsiaTheme="minorHAnsi" w:hAnsiTheme="minorHAnsi" w:cstheme="minorHAnsi"/>
        </w:rPr>
        <w:t xml:space="preserve"> několika vybraných majetkových</w:t>
      </w:r>
      <w:r w:rsidR="00844523">
        <w:rPr>
          <w:rFonts w:asciiTheme="minorHAnsi" w:eastAsiaTheme="minorHAnsi" w:hAnsiTheme="minorHAnsi" w:cstheme="minorHAnsi"/>
        </w:rPr>
        <w:t xml:space="preserve"> a finančních</w:t>
      </w:r>
      <w:r w:rsidR="00C90F38">
        <w:rPr>
          <w:rFonts w:asciiTheme="minorHAnsi" w:eastAsiaTheme="minorHAnsi" w:hAnsiTheme="minorHAnsi" w:cstheme="minorHAnsi"/>
        </w:rPr>
        <w:t xml:space="preserve"> operací zjistil, že V</w:t>
      </w:r>
      <w:r w:rsidR="00B16BE9" w:rsidRPr="00E60017">
        <w:rPr>
          <w:rFonts w:asciiTheme="minorHAnsi" w:eastAsiaTheme="minorHAnsi" w:hAnsiTheme="minorHAnsi" w:cstheme="minorHAnsi"/>
        </w:rPr>
        <w:t>KS</w:t>
      </w:r>
      <w:r w:rsidR="00AB129E" w:rsidRPr="00E60017">
        <w:rPr>
          <w:rFonts w:asciiTheme="minorHAnsi" w:eastAsiaTheme="minorHAnsi" w:hAnsiTheme="minorHAnsi" w:cstheme="minorHAnsi"/>
        </w:rPr>
        <w:t xml:space="preserve"> </w:t>
      </w:r>
      <w:r w:rsidR="00366859" w:rsidRPr="00E60017">
        <w:rPr>
          <w:rFonts w:asciiTheme="minorHAnsi" w:eastAsiaTheme="minorHAnsi" w:hAnsiTheme="minorHAnsi" w:cstheme="minorHAnsi"/>
        </w:rPr>
        <w:t>nezabránil</w:t>
      </w:r>
      <w:r w:rsidR="001D11EF">
        <w:rPr>
          <w:rFonts w:asciiTheme="minorHAnsi" w:eastAsiaTheme="minorHAnsi" w:hAnsiTheme="minorHAnsi" w:cstheme="minorHAnsi"/>
        </w:rPr>
        <w:t xml:space="preserve"> </w:t>
      </w:r>
      <w:r w:rsidR="00817E1B">
        <w:rPr>
          <w:rFonts w:asciiTheme="minorHAnsi" w:eastAsiaTheme="minorHAnsi" w:hAnsiTheme="minorHAnsi" w:cstheme="minorHAnsi"/>
        </w:rPr>
        <w:t>porušení</w:t>
      </w:r>
      <w:r w:rsidR="00817E1B" w:rsidRPr="00E60017">
        <w:rPr>
          <w:rFonts w:asciiTheme="minorHAnsi" w:eastAsiaTheme="minorHAnsi" w:hAnsiTheme="minorHAnsi" w:cstheme="minorHAnsi"/>
        </w:rPr>
        <w:t xml:space="preserve"> </w:t>
      </w:r>
      <w:r w:rsidR="00842B22" w:rsidRPr="00E60017">
        <w:rPr>
          <w:rFonts w:asciiTheme="minorHAnsi" w:eastAsiaTheme="minorHAnsi" w:hAnsiTheme="minorHAnsi" w:cstheme="minorHAnsi"/>
        </w:rPr>
        <w:t xml:space="preserve">povinností </w:t>
      </w:r>
      <w:r w:rsidR="00A01FC5">
        <w:rPr>
          <w:rFonts w:asciiTheme="minorHAnsi" w:eastAsiaTheme="minorHAnsi" w:hAnsiTheme="minorHAnsi" w:cstheme="minorHAnsi"/>
        </w:rPr>
        <w:t>stanovených</w:t>
      </w:r>
      <w:r w:rsidR="00C90F38">
        <w:rPr>
          <w:rFonts w:asciiTheme="minorHAnsi" w:eastAsiaTheme="minorHAnsi" w:hAnsiTheme="minorHAnsi" w:cstheme="minorHAnsi"/>
        </w:rPr>
        <w:t xml:space="preserve"> právními předpisy, zejména</w:t>
      </w:r>
      <w:r w:rsidR="00A01FC5">
        <w:rPr>
          <w:rFonts w:asciiTheme="minorHAnsi" w:eastAsiaTheme="minorHAnsi" w:hAnsiTheme="minorHAnsi" w:cstheme="minorHAnsi"/>
        </w:rPr>
        <w:t xml:space="preserve"> zákony č. 218/2000 Sb. a č.</w:t>
      </w:r>
      <w:r w:rsidR="000340C7">
        <w:rPr>
          <w:rFonts w:asciiTheme="minorHAnsi" w:eastAsiaTheme="minorHAnsi" w:hAnsiTheme="minorHAnsi" w:cstheme="minorHAnsi"/>
        </w:rPr>
        <w:t> </w:t>
      </w:r>
      <w:r w:rsidR="00A01FC5">
        <w:rPr>
          <w:rFonts w:asciiTheme="minorHAnsi" w:eastAsiaTheme="minorHAnsi" w:hAnsiTheme="minorHAnsi" w:cstheme="minorHAnsi"/>
        </w:rPr>
        <w:t>219/2000 Sb.</w:t>
      </w:r>
    </w:p>
    <w:p w14:paraId="67269B19" w14:textId="3DE62E6A" w:rsidR="004C32C7" w:rsidRPr="00E60017" w:rsidRDefault="004C32C7" w:rsidP="0066297E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4F18EDC4" w14:textId="77777777" w:rsidR="004C32C7" w:rsidRPr="002344FC" w:rsidRDefault="006750E2" w:rsidP="0033700B">
      <w:pPr>
        <w:rPr>
          <w:b/>
        </w:rPr>
      </w:pPr>
      <w:r w:rsidRPr="002344FC">
        <w:rPr>
          <w:b/>
        </w:rPr>
        <w:t>5.</w:t>
      </w:r>
      <w:r w:rsidR="006C2EC8">
        <w:rPr>
          <w:b/>
        </w:rPr>
        <w:t>2</w:t>
      </w:r>
      <w:r w:rsidRPr="002344FC">
        <w:rPr>
          <w:b/>
        </w:rPr>
        <w:t xml:space="preserve">.1 </w:t>
      </w:r>
      <w:r w:rsidR="002344FC" w:rsidRPr="002344FC">
        <w:rPr>
          <w:b/>
        </w:rPr>
        <w:t>Exekuce</w:t>
      </w:r>
      <w:r w:rsidR="00C90F38">
        <w:rPr>
          <w:b/>
        </w:rPr>
        <w:t xml:space="preserve"> na majetek </w:t>
      </w:r>
      <w:proofErr w:type="spellStart"/>
      <w:r w:rsidR="00C90F38">
        <w:rPr>
          <w:b/>
        </w:rPr>
        <w:t>MZd</w:t>
      </w:r>
      <w:proofErr w:type="spellEnd"/>
    </w:p>
    <w:p w14:paraId="0A665BC9" w14:textId="28E1CCC9" w:rsidR="00360011" w:rsidRDefault="00D27396" w:rsidP="0033700B">
      <w:pPr>
        <w:jc w:val="both"/>
      </w:pPr>
      <w:r>
        <w:t>Ministerstvu zdravotnictví</w:t>
      </w:r>
      <w:r w:rsidR="007D245A">
        <w:t xml:space="preserve"> byly adresovány žádosti o informace dle zákona č. 106/1999 Sb. </w:t>
      </w:r>
      <w:proofErr w:type="spellStart"/>
      <w:r w:rsidR="007D245A">
        <w:t>MZ</w:t>
      </w:r>
      <w:r w:rsidR="000D610D">
        <w:t>d</w:t>
      </w:r>
      <w:proofErr w:type="spellEnd"/>
      <w:r w:rsidR="007D245A">
        <w:t xml:space="preserve"> v několika případech </w:t>
      </w:r>
      <w:r w:rsidR="00360011">
        <w:t>nerozhodlo o těchto žádostech v souladu s</w:t>
      </w:r>
      <w:r w:rsidR="00086872">
        <w:t> uvedeným zákonem</w:t>
      </w:r>
      <w:r w:rsidR="00360011">
        <w:t xml:space="preserve"> a</w:t>
      </w:r>
      <w:r>
        <w:t> </w:t>
      </w:r>
      <w:r w:rsidR="00360011">
        <w:t>v některých případech též nereagovalo na stížnosti žadatelů. Ve čtyřech případech proto žadatel</w:t>
      </w:r>
      <w:r>
        <w:t>é</w:t>
      </w:r>
      <w:r w:rsidR="00360011">
        <w:t xml:space="preserve"> pod</w:t>
      </w:r>
      <w:r>
        <w:t>ali</w:t>
      </w:r>
      <w:r w:rsidR="00360011">
        <w:t xml:space="preserve"> na </w:t>
      </w:r>
      <w:proofErr w:type="spellStart"/>
      <w:r w:rsidR="00360011">
        <w:t>MZ</w:t>
      </w:r>
      <w:r w:rsidR="000D610D">
        <w:t>d</w:t>
      </w:r>
      <w:proofErr w:type="spellEnd"/>
      <w:r w:rsidR="00360011">
        <w:t xml:space="preserve"> žalob</w:t>
      </w:r>
      <w:r>
        <w:t>u</w:t>
      </w:r>
      <w:r w:rsidR="00360011">
        <w:t xml:space="preserve"> na ochranu proti nečinnosti. </w:t>
      </w:r>
      <w:r w:rsidR="00F67970" w:rsidRPr="00F67970">
        <w:t>Městský soud v</w:t>
      </w:r>
      <w:r w:rsidR="00F67970">
        <w:t> </w:t>
      </w:r>
      <w:r w:rsidR="00F67970" w:rsidRPr="00F67970">
        <w:t>Praze</w:t>
      </w:r>
      <w:r w:rsidR="00F67970">
        <w:t xml:space="preserve"> (dále </w:t>
      </w:r>
      <w:r>
        <w:t xml:space="preserve">jen </w:t>
      </w:r>
      <w:r w:rsidR="00F67970">
        <w:t>„</w:t>
      </w:r>
      <w:proofErr w:type="spellStart"/>
      <w:r w:rsidR="00F67970">
        <w:t>MS</w:t>
      </w:r>
      <w:r>
        <w:t>v</w:t>
      </w:r>
      <w:r w:rsidR="00F67970">
        <w:t>P</w:t>
      </w:r>
      <w:proofErr w:type="spellEnd"/>
      <w:r w:rsidR="00F67970">
        <w:t>“)</w:t>
      </w:r>
      <w:r w:rsidR="00360011">
        <w:t xml:space="preserve"> na základě podaných žalob </w:t>
      </w:r>
      <w:r w:rsidR="008B02AD">
        <w:t>vydal</w:t>
      </w:r>
      <w:r w:rsidR="008B02AD" w:rsidRPr="00F67970">
        <w:t xml:space="preserve"> </w:t>
      </w:r>
      <w:r w:rsidR="00F67970" w:rsidRPr="00F67970">
        <w:t>rozsudky</w:t>
      </w:r>
      <w:r w:rsidR="00360011">
        <w:t xml:space="preserve"> obsahující mj. povinnost rozhodnout o</w:t>
      </w:r>
      <w:r w:rsidR="00D239E8">
        <w:t> </w:t>
      </w:r>
      <w:r w:rsidR="00360011">
        <w:t xml:space="preserve">žádosti žalobce o poskytnutí informací. </w:t>
      </w:r>
      <w:proofErr w:type="spellStart"/>
      <w:r w:rsidR="00360011">
        <w:t>MZ</w:t>
      </w:r>
      <w:r w:rsidR="000D610D">
        <w:t>d</w:t>
      </w:r>
      <w:proofErr w:type="spellEnd"/>
      <w:r w:rsidR="00360011">
        <w:t xml:space="preserve"> na základě těchto vydaných rozsudků </w:t>
      </w:r>
      <w:r w:rsidR="008B02AD">
        <w:t xml:space="preserve">nepodalo </w:t>
      </w:r>
      <w:r w:rsidR="00360011">
        <w:t>kasační stížnosti Nejvyšší</w:t>
      </w:r>
      <w:r w:rsidR="008B02AD">
        <w:t>mu</w:t>
      </w:r>
      <w:r w:rsidR="00360011">
        <w:t xml:space="preserve"> správní</w:t>
      </w:r>
      <w:r w:rsidR="008B02AD">
        <w:t>mu</w:t>
      </w:r>
      <w:r w:rsidR="00360011">
        <w:t xml:space="preserve"> soudu, zároveň však ani </w:t>
      </w:r>
      <w:r w:rsidR="008B02AD">
        <w:t xml:space="preserve">nesplnilo </w:t>
      </w:r>
      <w:r w:rsidR="00360011">
        <w:t>povinnost rozhodnout o</w:t>
      </w:r>
      <w:r w:rsidR="00D239E8">
        <w:t xml:space="preserve"> </w:t>
      </w:r>
      <w:r w:rsidR="00360011">
        <w:t xml:space="preserve">žádosti žalobce o poskytnutí informací. </w:t>
      </w:r>
      <w:proofErr w:type="spellStart"/>
      <w:r w:rsidR="003E425C" w:rsidRPr="00F67970">
        <w:t>MZ</w:t>
      </w:r>
      <w:r w:rsidR="000D610D">
        <w:t>d</w:t>
      </w:r>
      <w:proofErr w:type="spellEnd"/>
      <w:r w:rsidR="00360011">
        <w:t xml:space="preserve"> tímto nekonáním</w:t>
      </w:r>
      <w:r w:rsidR="003E425C" w:rsidRPr="00F67970">
        <w:t xml:space="preserve"> </w:t>
      </w:r>
      <w:r w:rsidR="00360011">
        <w:t xml:space="preserve">vyvolalo </w:t>
      </w:r>
      <w:r w:rsidR="00AE470F">
        <w:t xml:space="preserve">čtyři </w:t>
      </w:r>
      <w:r w:rsidR="00360011">
        <w:t>exekuční řízení</w:t>
      </w:r>
      <w:r w:rsidR="00AE470F">
        <w:t xml:space="preserve"> k vynucení splnění vymáhané nepeněžité povinnosti – rozhodnout o žádostech o poskytnutí informací</w:t>
      </w:r>
      <w:r w:rsidR="00360011">
        <w:t>.</w:t>
      </w:r>
      <w:r w:rsidR="00AE470F">
        <w:t xml:space="preserve"> </w:t>
      </w:r>
      <w:proofErr w:type="spellStart"/>
      <w:r w:rsidR="00AE470F">
        <w:t>MZ</w:t>
      </w:r>
      <w:r w:rsidR="000D610D">
        <w:t>d</w:t>
      </w:r>
      <w:proofErr w:type="spellEnd"/>
      <w:r w:rsidR="00AE470F">
        <w:t xml:space="preserve"> však na zahájení exekucí nereagovalo, nepodalo návrh na zastavení exekucí ani návrh na jejich odklad. </w:t>
      </w:r>
      <w:r w:rsidR="00D239E8">
        <w:t>E</w:t>
      </w:r>
      <w:r w:rsidR="00D75CC0">
        <w:t xml:space="preserve">xekutoři proto prováděli exekuce i opakovanými exekučními příkazy, </w:t>
      </w:r>
      <w:r w:rsidR="00D239E8">
        <w:t>na jejichž základě</w:t>
      </w:r>
      <w:r w:rsidR="00D75CC0">
        <w:t xml:space="preserve"> docházelo mj. k postupnému navyšování</w:t>
      </w:r>
      <w:r w:rsidR="00360011">
        <w:t xml:space="preserve"> </w:t>
      </w:r>
      <w:r w:rsidR="00D75CC0">
        <w:t>uložených pokut za účelem splnění vymáhaných povinností.</w:t>
      </w:r>
      <w:r w:rsidR="00360011">
        <w:t xml:space="preserve"> </w:t>
      </w:r>
    </w:p>
    <w:p w14:paraId="13DBF0DC" w14:textId="55DE681F" w:rsidR="00677942" w:rsidRDefault="00677942" w:rsidP="00677942">
      <w:pPr>
        <w:jc w:val="both"/>
        <w:rPr>
          <w:rFonts w:eastAsia="Calibri" w:cs="Calibri"/>
          <w:b/>
        </w:rPr>
      </w:pPr>
      <w:proofErr w:type="spellStart"/>
      <w:r w:rsidRPr="00116807">
        <w:rPr>
          <w:rFonts w:eastAsia="Calibri" w:cs="Calibri"/>
          <w:b/>
        </w:rPr>
        <w:t>MZ</w:t>
      </w:r>
      <w:r w:rsidR="00BB0E2D">
        <w:rPr>
          <w:rFonts w:eastAsia="Calibri" w:cs="Calibri"/>
          <w:b/>
        </w:rPr>
        <w:t>d</w:t>
      </w:r>
      <w:proofErr w:type="spellEnd"/>
      <w:r w:rsidRPr="00116807">
        <w:rPr>
          <w:rFonts w:eastAsia="Calibri" w:cs="Calibri"/>
          <w:b/>
        </w:rPr>
        <w:t xml:space="preserve"> nerespektovalo pravomocn</w:t>
      </w:r>
      <w:r>
        <w:rPr>
          <w:rFonts w:eastAsia="Calibri" w:cs="Calibri"/>
          <w:b/>
        </w:rPr>
        <w:t>á</w:t>
      </w:r>
      <w:r w:rsidRPr="00116807">
        <w:rPr>
          <w:rFonts w:eastAsia="Calibri" w:cs="Calibri"/>
          <w:b/>
        </w:rPr>
        <w:t xml:space="preserve"> soudní rozhodnutí </w:t>
      </w:r>
      <w:proofErr w:type="spellStart"/>
      <w:r w:rsidRPr="00116807">
        <w:rPr>
          <w:rFonts w:eastAsia="Calibri" w:cs="Calibri"/>
          <w:b/>
        </w:rPr>
        <w:t>MS</w:t>
      </w:r>
      <w:r w:rsidR="00D239E8">
        <w:rPr>
          <w:rFonts w:eastAsia="Calibri" w:cs="Calibri"/>
          <w:b/>
        </w:rPr>
        <w:t>vP</w:t>
      </w:r>
      <w:proofErr w:type="spellEnd"/>
      <w:r w:rsidRPr="004E2D6E">
        <w:rPr>
          <w:rFonts w:eastAsia="Calibri" w:cs="Calibri"/>
          <w:b/>
        </w:rPr>
        <w:t>,</w:t>
      </w:r>
      <w:r w:rsidRPr="00FF193F">
        <w:rPr>
          <w:rFonts w:eastAsia="Calibri" w:cs="Calibri"/>
        </w:rPr>
        <w:t xml:space="preserve"> když neplnilo v nich uložené povinnosti</w:t>
      </w:r>
      <w:r w:rsidR="00D239E8">
        <w:rPr>
          <w:rFonts w:eastAsia="Calibri" w:cs="Calibri"/>
        </w:rPr>
        <w:t>,</w:t>
      </w:r>
      <w:r w:rsidRPr="00116807">
        <w:rPr>
          <w:rFonts w:eastAsia="Calibri" w:cs="Calibri"/>
          <w:b/>
        </w:rPr>
        <w:t xml:space="preserve"> a </w:t>
      </w:r>
      <w:r w:rsidRPr="00FF193F">
        <w:rPr>
          <w:rFonts w:eastAsia="Calibri" w:cs="Calibri"/>
        </w:rPr>
        <w:t>následně</w:t>
      </w:r>
      <w:r>
        <w:rPr>
          <w:rFonts w:eastAsia="Calibri" w:cs="Calibri"/>
          <w:b/>
        </w:rPr>
        <w:t xml:space="preserve"> </w:t>
      </w:r>
      <w:r w:rsidRPr="00116807">
        <w:rPr>
          <w:rFonts w:eastAsia="Calibri" w:cs="Calibri"/>
          <w:b/>
        </w:rPr>
        <w:t xml:space="preserve">nereagovalo </w:t>
      </w:r>
      <w:r>
        <w:rPr>
          <w:rFonts w:eastAsia="Calibri" w:cs="Calibri"/>
          <w:b/>
        </w:rPr>
        <w:t xml:space="preserve">ani </w:t>
      </w:r>
      <w:r w:rsidRPr="00116807">
        <w:rPr>
          <w:rFonts w:eastAsia="Calibri" w:cs="Calibri"/>
          <w:b/>
        </w:rPr>
        <w:t xml:space="preserve">na výzvy exekutorů </w:t>
      </w:r>
      <w:r w:rsidRPr="00FF193F">
        <w:rPr>
          <w:rFonts w:eastAsia="Calibri" w:cs="Calibri"/>
        </w:rPr>
        <w:t>ke splnění vymáhané povinnosti,</w:t>
      </w:r>
      <w:r w:rsidRPr="00116807">
        <w:rPr>
          <w:rFonts w:eastAsia="Calibri" w:cs="Calibri"/>
          <w:b/>
        </w:rPr>
        <w:t xml:space="preserve"> </w:t>
      </w:r>
      <w:r w:rsidRPr="003A27E0">
        <w:rPr>
          <w:rFonts w:eastAsia="Calibri" w:cs="Calibri"/>
          <w:b/>
        </w:rPr>
        <w:t>a bylo tak povinno uhradit</w:t>
      </w:r>
      <w:r>
        <w:rPr>
          <w:rStyle w:val="Znakapoznpodarou"/>
          <w:rFonts w:eastAsia="Calibri" w:cs="Calibri"/>
          <w:b/>
        </w:rPr>
        <w:footnoteReference w:id="52"/>
      </w:r>
      <w:r w:rsidRPr="003A27E0">
        <w:rPr>
          <w:rFonts w:eastAsia="Calibri" w:cs="Calibri"/>
          <w:b/>
        </w:rPr>
        <w:t xml:space="preserve"> na základě </w:t>
      </w:r>
      <w:r w:rsidRPr="00FF193F">
        <w:rPr>
          <w:rFonts w:eastAsia="Calibri" w:cs="Calibri"/>
        </w:rPr>
        <w:t>vystavených</w:t>
      </w:r>
      <w:r w:rsidRPr="003A27E0">
        <w:rPr>
          <w:rFonts w:eastAsia="Calibri" w:cs="Calibri"/>
          <w:b/>
        </w:rPr>
        <w:t xml:space="preserve"> exekučních příkazů </w:t>
      </w:r>
      <w:r w:rsidRPr="00FF193F">
        <w:rPr>
          <w:rFonts w:eastAsia="Calibri" w:cs="Calibri"/>
        </w:rPr>
        <w:t>částku</w:t>
      </w:r>
      <w:r w:rsidRPr="003A27E0">
        <w:rPr>
          <w:rFonts w:eastAsia="Calibri" w:cs="Calibri"/>
          <w:b/>
        </w:rPr>
        <w:t xml:space="preserve"> 3</w:t>
      </w:r>
      <w:r w:rsidR="00D239E8">
        <w:rPr>
          <w:rFonts w:eastAsia="Calibri" w:cs="Calibri"/>
          <w:b/>
        </w:rPr>
        <w:t> </w:t>
      </w:r>
      <w:r w:rsidRPr="003A27E0">
        <w:rPr>
          <w:rFonts w:eastAsia="Calibri" w:cs="Calibri"/>
          <w:b/>
        </w:rPr>
        <w:t>582</w:t>
      </w:r>
      <w:r w:rsidR="00D239E8">
        <w:rPr>
          <w:rFonts w:eastAsia="Calibri" w:cs="Calibri"/>
          <w:b/>
        </w:rPr>
        <w:t> </w:t>
      </w:r>
      <w:r w:rsidRPr="003A27E0">
        <w:rPr>
          <w:rFonts w:eastAsia="Calibri" w:cs="Calibri"/>
          <w:b/>
        </w:rPr>
        <w:t>628,70</w:t>
      </w:r>
      <w:r w:rsidR="00D239E8">
        <w:rPr>
          <w:rFonts w:eastAsia="Calibri" w:cs="Calibri"/>
          <w:b/>
        </w:rPr>
        <w:t> </w:t>
      </w:r>
      <w:r w:rsidRPr="003A27E0">
        <w:rPr>
          <w:rFonts w:eastAsia="Calibri" w:cs="Calibri"/>
          <w:b/>
        </w:rPr>
        <w:t>Kč</w:t>
      </w:r>
      <w:r>
        <w:rPr>
          <w:rFonts w:eastAsia="Calibri" w:cs="Calibri"/>
          <w:b/>
        </w:rPr>
        <w:t>.</w:t>
      </w:r>
      <w:r w:rsidRPr="003A27E0">
        <w:rPr>
          <w:rFonts w:eastAsia="Calibri" w:cs="Calibri"/>
          <w:b/>
        </w:rPr>
        <w:t xml:space="preserve"> Tím</w:t>
      </w:r>
      <w:r w:rsidRPr="004E2D6E">
        <w:rPr>
          <w:rFonts w:eastAsia="Calibri" w:cs="Calibri"/>
          <w:b/>
        </w:rPr>
        <w:t>,</w:t>
      </w:r>
      <w:r w:rsidRPr="00FF193F">
        <w:rPr>
          <w:rFonts w:eastAsia="Calibri" w:cs="Calibri"/>
        </w:rPr>
        <w:t xml:space="preserve"> že</w:t>
      </w:r>
      <w:r w:rsidRPr="003A27E0">
        <w:rPr>
          <w:rFonts w:eastAsia="Calibri" w:cs="Calibri"/>
          <w:b/>
        </w:rPr>
        <w:t xml:space="preserve"> </w:t>
      </w:r>
      <w:proofErr w:type="spellStart"/>
      <w:r w:rsidRPr="003A27E0">
        <w:rPr>
          <w:rFonts w:eastAsia="Calibri" w:cs="Calibri"/>
          <w:b/>
        </w:rPr>
        <w:t>MZ</w:t>
      </w:r>
      <w:r w:rsidR="00BB0E2D">
        <w:rPr>
          <w:rFonts w:eastAsia="Calibri" w:cs="Calibri"/>
          <w:b/>
        </w:rPr>
        <w:t>d</w:t>
      </w:r>
      <w:proofErr w:type="spellEnd"/>
      <w:r w:rsidRPr="003A27E0">
        <w:rPr>
          <w:rFonts w:eastAsia="Calibri" w:cs="Calibri"/>
          <w:b/>
        </w:rPr>
        <w:t xml:space="preserve"> </w:t>
      </w:r>
      <w:r w:rsidRPr="00FF193F">
        <w:rPr>
          <w:rFonts w:eastAsia="Calibri" w:cs="Calibri"/>
        </w:rPr>
        <w:t xml:space="preserve">neplnilo povinnosti stanovené v rozhodnutích </w:t>
      </w:r>
      <w:proofErr w:type="spellStart"/>
      <w:r w:rsidRPr="00FF193F">
        <w:rPr>
          <w:rFonts w:eastAsia="Calibri" w:cs="Calibri"/>
        </w:rPr>
        <w:t>MS</w:t>
      </w:r>
      <w:r w:rsidR="00D239E8">
        <w:rPr>
          <w:rFonts w:eastAsia="Calibri" w:cs="Calibri"/>
        </w:rPr>
        <w:t>vP</w:t>
      </w:r>
      <w:proofErr w:type="spellEnd"/>
      <w:r w:rsidRPr="00FF193F">
        <w:rPr>
          <w:rFonts w:eastAsia="Calibri" w:cs="Calibri"/>
        </w:rPr>
        <w:t xml:space="preserve"> a muselo uhradit částku 3 582 628 Kč,</w:t>
      </w:r>
      <w:r w:rsidRPr="003A27E0">
        <w:rPr>
          <w:rFonts w:eastAsia="Calibri" w:cs="Calibri"/>
          <w:b/>
        </w:rPr>
        <w:t xml:space="preserve"> </w:t>
      </w:r>
      <w:r w:rsidRPr="00116807">
        <w:rPr>
          <w:rFonts w:eastAsia="Calibri" w:cs="Calibri"/>
          <w:b/>
        </w:rPr>
        <w:t>postupovalo v rozporu s ustanovením § 14 odst. 1 zákona č.</w:t>
      </w:r>
      <w:r w:rsidR="00D239E8">
        <w:rPr>
          <w:rFonts w:eastAsia="Calibri" w:cs="Calibri"/>
          <w:b/>
        </w:rPr>
        <w:t> </w:t>
      </w:r>
      <w:r w:rsidRPr="00116807">
        <w:rPr>
          <w:rFonts w:eastAsia="Calibri" w:cs="Calibri"/>
          <w:b/>
        </w:rPr>
        <w:t>219/2000 Sb.</w:t>
      </w:r>
      <w:r w:rsidRPr="004E2D6E">
        <w:rPr>
          <w:rFonts w:eastAsia="Calibri" w:cs="Calibri"/>
          <w:b/>
        </w:rPr>
        <w:t>,</w:t>
      </w:r>
      <w:r w:rsidRPr="00FF193F">
        <w:rPr>
          <w:rFonts w:eastAsia="Calibri" w:cs="Calibri"/>
        </w:rPr>
        <w:t xml:space="preserve"> neboť si nepočínalo tak, aby neodůvodněně nesnižovalo rozsah a hodnotu majetku, s nímž je příslušné hospodařit.</w:t>
      </w:r>
    </w:p>
    <w:p w14:paraId="77B3DC4B" w14:textId="255B1A99" w:rsidR="00677942" w:rsidRPr="00FF193F" w:rsidRDefault="00677942" w:rsidP="00677942">
      <w:pPr>
        <w:jc w:val="both"/>
        <w:rPr>
          <w:rFonts w:asciiTheme="minorHAnsi" w:hAnsiTheme="minorHAnsi" w:cstheme="minorHAnsi"/>
          <w:b/>
        </w:rPr>
      </w:pPr>
      <w:proofErr w:type="spellStart"/>
      <w:r w:rsidRPr="00FF193F">
        <w:rPr>
          <w:rFonts w:asciiTheme="minorHAnsi" w:eastAsia="Calibri" w:hAnsiTheme="minorHAnsi" w:cstheme="minorHAnsi"/>
          <w:b/>
        </w:rPr>
        <w:t>MZ</w:t>
      </w:r>
      <w:r w:rsidR="00BB0E2D">
        <w:rPr>
          <w:rFonts w:asciiTheme="minorHAnsi" w:eastAsia="Calibri" w:hAnsiTheme="minorHAnsi" w:cstheme="minorHAnsi"/>
          <w:b/>
        </w:rPr>
        <w:t>d</w:t>
      </w:r>
      <w:proofErr w:type="spellEnd"/>
      <w:r w:rsidRPr="00FF193F">
        <w:rPr>
          <w:rFonts w:asciiTheme="minorHAnsi" w:eastAsia="Calibri" w:hAnsiTheme="minorHAnsi" w:cstheme="minorHAnsi"/>
          <w:b/>
        </w:rPr>
        <w:t xml:space="preserve"> je </w:t>
      </w:r>
      <w:r w:rsidRPr="00FF193F">
        <w:rPr>
          <w:rFonts w:asciiTheme="minorHAnsi" w:eastAsia="Calibri" w:hAnsiTheme="minorHAnsi" w:cstheme="minorHAnsi"/>
        </w:rPr>
        <w:t>v souladu s § 20 zákona</w:t>
      </w:r>
      <w:r w:rsidR="00D873AF">
        <w:rPr>
          <w:rFonts w:asciiTheme="minorHAnsi" w:eastAsia="Calibri" w:hAnsiTheme="minorHAnsi" w:cstheme="minorHAnsi"/>
        </w:rPr>
        <w:t xml:space="preserve"> České národní rady</w:t>
      </w:r>
      <w:r w:rsidRPr="00FF193F">
        <w:rPr>
          <w:rFonts w:asciiTheme="minorHAnsi" w:eastAsia="Calibri" w:hAnsiTheme="minorHAnsi" w:cstheme="minorHAnsi"/>
        </w:rPr>
        <w:t xml:space="preserve"> č. 2/1969 Sb.</w:t>
      </w:r>
      <w:r w:rsidRPr="00FF193F">
        <w:rPr>
          <w:rFonts w:asciiTheme="minorHAnsi" w:eastAsia="Calibri" w:hAnsiTheme="minorHAnsi" w:cstheme="minorHAnsi"/>
          <w:b/>
        </w:rPr>
        <w:t xml:space="preserve"> povinno plnit </w:t>
      </w:r>
      <w:r w:rsidRPr="00FF193F">
        <w:rPr>
          <w:rFonts w:asciiTheme="minorHAnsi" w:hAnsiTheme="minorHAnsi" w:cstheme="minorHAnsi"/>
        </w:rPr>
        <w:t xml:space="preserve">v okruhu své působnosti </w:t>
      </w:r>
      <w:r w:rsidRPr="00FF193F">
        <w:rPr>
          <w:rFonts w:asciiTheme="minorHAnsi" w:hAnsiTheme="minorHAnsi" w:cstheme="minorHAnsi"/>
          <w:b/>
        </w:rPr>
        <w:t xml:space="preserve">úkoly stanovené v zákonech </w:t>
      </w:r>
      <w:r w:rsidRPr="00FF193F">
        <w:rPr>
          <w:rFonts w:asciiTheme="minorHAnsi" w:hAnsiTheme="minorHAnsi" w:cstheme="minorHAnsi"/>
        </w:rPr>
        <w:t xml:space="preserve">a v jiných obecně závazných právních předpisech. Dle § 45 odst. 2 zákona č. 218/2000 Sb. je přitom </w:t>
      </w:r>
      <w:proofErr w:type="spellStart"/>
      <w:r w:rsidRPr="00FF193F">
        <w:rPr>
          <w:rFonts w:asciiTheme="minorHAnsi" w:hAnsiTheme="minorHAnsi" w:cstheme="minorHAnsi"/>
        </w:rPr>
        <w:t>MZ</w:t>
      </w:r>
      <w:r w:rsidR="00BB0E2D">
        <w:rPr>
          <w:rFonts w:asciiTheme="minorHAnsi" w:hAnsiTheme="minorHAnsi" w:cstheme="minorHAnsi"/>
        </w:rPr>
        <w:t>d</w:t>
      </w:r>
      <w:proofErr w:type="spellEnd"/>
      <w:r w:rsidRPr="00FF193F">
        <w:rPr>
          <w:rFonts w:asciiTheme="minorHAnsi" w:hAnsiTheme="minorHAnsi" w:cstheme="minorHAnsi"/>
        </w:rPr>
        <w:t xml:space="preserve"> povinno plnit tyto úkoly</w:t>
      </w:r>
      <w:r w:rsidRPr="00FF193F">
        <w:rPr>
          <w:rFonts w:asciiTheme="minorHAnsi" w:hAnsiTheme="minorHAnsi" w:cstheme="minorHAnsi"/>
          <w:b/>
        </w:rPr>
        <w:t xml:space="preserve"> nejhospodárnějším způsobem. Hospodárnost je </w:t>
      </w:r>
      <w:r w:rsidRPr="00FF193F">
        <w:rPr>
          <w:rFonts w:asciiTheme="minorHAnsi" w:hAnsiTheme="minorHAnsi" w:cstheme="minorHAnsi"/>
        </w:rPr>
        <w:t>definována v § 2 písm. m) zákona č. 320/2001 Sb. jako</w:t>
      </w:r>
      <w:r w:rsidRPr="00FF193F">
        <w:rPr>
          <w:rFonts w:asciiTheme="minorHAnsi" w:hAnsiTheme="minorHAnsi" w:cstheme="minorHAnsi"/>
          <w:b/>
        </w:rPr>
        <w:t xml:space="preserve"> použití </w:t>
      </w:r>
      <w:r w:rsidRPr="00FF193F">
        <w:rPr>
          <w:rFonts w:asciiTheme="minorHAnsi" w:hAnsiTheme="minorHAnsi" w:cstheme="minorHAnsi"/>
        </w:rPr>
        <w:t>veřejných</w:t>
      </w:r>
      <w:r w:rsidRPr="00FF193F">
        <w:rPr>
          <w:rFonts w:asciiTheme="minorHAnsi" w:hAnsiTheme="minorHAnsi" w:cstheme="minorHAnsi"/>
          <w:b/>
        </w:rPr>
        <w:t xml:space="preserve"> prostředků k</w:t>
      </w:r>
      <w:r w:rsidR="00D11F46">
        <w:rPr>
          <w:rFonts w:asciiTheme="minorHAnsi" w:hAnsiTheme="minorHAnsi" w:cstheme="minorHAnsi"/>
          <w:b/>
        </w:rPr>
        <w:t xml:space="preserve"> </w:t>
      </w:r>
      <w:r w:rsidRPr="00FF193F">
        <w:rPr>
          <w:rFonts w:asciiTheme="minorHAnsi" w:hAnsiTheme="minorHAnsi" w:cstheme="minorHAnsi"/>
          <w:b/>
        </w:rPr>
        <w:t xml:space="preserve">zajištění </w:t>
      </w:r>
      <w:r w:rsidRPr="00FF193F">
        <w:rPr>
          <w:rFonts w:asciiTheme="minorHAnsi" w:hAnsiTheme="minorHAnsi" w:cstheme="minorHAnsi"/>
        </w:rPr>
        <w:t>stanovených</w:t>
      </w:r>
      <w:r w:rsidRPr="00FF193F">
        <w:rPr>
          <w:rFonts w:asciiTheme="minorHAnsi" w:hAnsiTheme="minorHAnsi" w:cstheme="minorHAnsi"/>
          <w:b/>
        </w:rPr>
        <w:t xml:space="preserve"> úkolů s</w:t>
      </w:r>
      <w:r w:rsidR="00D11F46">
        <w:rPr>
          <w:rFonts w:asciiTheme="minorHAnsi" w:hAnsiTheme="minorHAnsi" w:cstheme="minorHAnsi"/>
          <w:b/>
        </w:rPr>
        <w:t xml:space="preserve"> </w:t>
      </w:r>
      <w:r w:rsidRPr="00FF193F">
        <w:rPr>
          <w:rFonts w:asciiTheme="minorHAnsi" w:hAnsiTheme="minorHAnsi" w:cstheme="minorHAnsi"/>
          <w:b/>
        </w:rPr>
        <w:t xml:space="preserve">co nejnižším vynaložením těchto prostředků, </w:t>
      </w:r>
      <w:r w:rsidRPr="00FF193F">
        <w:rPr>
          <w:rFonts w:asciiTheme="minorHAnsi" w:hAnsiTheme="minorHAnsi" w:cstheme="minorHAnsi"/>
        </w:rPr>
        <w:t>a to</w:t>
      </w:r>
      <w:r w:rsidRPr="00FF193F">
        <w:rPr>
          <w:rFonts w:asciiTheme="minorHAnsi" w:hAnsiTheme="minorHAnsi" w:cstheme="minorHAnsi"/>
          <w:b/>
        </w:rPr>
        <w:t xml:space="preserve"> při dodržení </w:t>
      </w:r>
      <w:r w:rsidRPr="00FF193F">
        <w:rPr>
          <w:rFonts w:asciiTheme="minorHAnsi" w:hAnsiTheme="minorHAnsi" w:cstheme="minorHAnsi"/>
        </w:rPr>
        <w:t>odpovídající</w:t>
      </w:r>
      <w:r w:rsidRPr="00FF193F">
        <w:rPr>
          <w:rFonts w:asciiTheme="minorHAnsi" w:hAnsiTheme="minorHAnsi" w:cstheme="minorHAnsi"/>
          <w:b/>
        </w:rPr>
        <w:t xml:space="preserve"> kvality plněných úkolů. </w:t>
      </w:r>
      <w:proofErr w:type="spellStart"/>
      <w:r w:rsidRPr="00FF193F">
        <w:rPr>
          <w:rFonts w:asciiTheme="minorHAnsi" w:hAnsiTheme="minorHAnsi" w:cstheme="minorHAnsi"/>
          <w:b/>
        </w:rPr>
        <w:t>MZ</w:t>
      </w:r>
      <w:r w:rsidR="00BB0E2D">
        <w:rPr>
          <w:rFonts w:asciiTheme="minorHAnsi" w:hAnsiTheme="minorHAnsi" w:cstheme="minorHAnsi"/>
          <w:b/>
        </w:rPr>
        <w:t>d</w:t>
      </w:r>
      <w:proofErr w:type="spellEnd"/>
      <w:r w:rsidRPr="00FF193F">
        <w:rPr>
          <w:rFonts w:asciiTheme="minorHAnsi" w:hAnsiTheme="minorHAnsi" w:cstheme="minorHAnsi"/>
          <w:b/>
        </w:rPr>
        <w:t xml:space="preserve"> </w:t>
      </w:r>
      <w:r w:rsidRPr="00FF193F">
        <w:rPr>
          <w:rFonts w:asciiTheme="minorHAnsi" w:hAnsiTheme="minorHAnsi" w:cstheme="minorHAnsi"/>
        </w:rPr>
        <w:t>je</w:t>
      </w:r>
      <w:r w:rsidRPr="00FF193F">
        <w:rPr>
          <w:rFonts w:asciiTheme="minorHAnsi" w:hAnsiTheme="minorHAnsi" w:cstheme="minorHAnsi"/>
          <w:b/>
        </w:rPr>
        <w:t xml:space="preserve"> podle </w:t>
      </w:r>
      <w:r w:rsidRPr="00FF193F">
        <w:rPr>
          <w:rFonts w:asciiTheme="minorHAnsi" w:hAnsiTheme="minorHAnsi" w:cstheme="minorHAnsi"/>
        </w:rPr>
        <w:t>§ 2 odst. 1</w:t>
      </w:r>
      <w:r w:rsidRPr="00FF193F">
        <w:rPr>
          <w:rFonts w:asciiTheme="minorHAnsi" w:hAnsiTheme="minorHAnsi" w:cstheme="minorHAnsi"/>
          <w:b/>
        </w:rPr>
        <w:t xml:space="preserve"> zákona č. 106/1999 Sb. </w:t>
      </w:r>
      <w:r w:rsidRPr="00FF193F">
        <w:rPr>
          <w:rFonts w:asciiTheme="minorHAnsi" w:hAnsiTheme="minorHAnsi" w:cstheme="minorHAnsi"/>
        </w:rPr>
        <w:t xml:space="preserve">tzv. povinným subjektem, který </w:t>
      </w:r>
      <w:r w:rsidRPr="00FF193F">
        <w:rPr>
          <w:rFonts w:asciiTheme="minorHAnsi" w:hAnsiTheme="minorHAnsi" w:cstheme="minorHAnsi"/>
          <w:b/>
        </w:rPr>
        <w:t xml:space="preserve">má </w:t>
      </w:r>
      <w:r w:rsidRPr="00FF193F">
        <w:rPr>
          <w:rFonts w:asciiTheme="minorHAnsi" w:hAnsiTheme="minorHAnsi" w:cstheme="minorHAnsi"/>
        </w:rPr>
        <w:t>podle tohoto zákona</w:t>
      </w:r>
      <w:r w:rsidRPr="00FF193F">
        <w:rPr>
          <w:rFonts w:asciiTheme="minorHAnsi" w:hAnsiTheme="minorHAnsi" w:cstheme="minorHAnsi"/>
          <w:b/>
        </w:rPr>
        <w:t xml:space="preserve"> povinnost poskytovat informace </w:t>
      </w:r>
      <w:r w:rsidRPr="00FF193F">
        <w:rPr>
          <w:rFonts w:asciiTheme="minorHAnsi" w:hAnsiTheme="minorHAnsi" w:cstheme="minorHAnsi"/>
        </w:rPr>
        <w:t xml:space="preserve">vztahující se k působnosti ministerstva. </w:t>
      </w:r>
      <w:proofErr w:type="spellStart"/>
      <w:r w:rsidRPr="00FF193F">
        <w:rPr>
          <w:rFonts w:asciiTheme="minorHAnsi" w:hAnsiTheme="minorHAnsi" w:cstheme="minorHAnsi"/>
          <w:b/>
        </w:rPr>
        <w:t>MZ</w:t>
      </w:r>
      <w:r w:rsidR="00BB0E2D">
        <w:rPr>
          <w:rFonts w:asciiTheme="minorHAnsi" w:hAnsiTheme="minorHAnsi" w:cstheme="minorHAnsi"/>
          <w:b/>
        </w:rPr>
        <w:t>d</w:t>
      </w:r>
      <w:proofErr w:type="spellEnd"/>
      <w:r w:rsidRPr="00FF193F">
        <w:rPr>
          <w:rFonts w:asciiTheme="minorHAnsi" w:hAnsiTheme="minorHAnsi" w:cstheme="minorHAnsi"/>
          <w:b/>
        </w:rPr>
        <w:t xml:space="preserve"> má </w:t>
      </w:r>
      <w:r w:rsidRPr="00FF193F">
        <w:rPr>
          <w:rFonts w:asciiTheme="minorHAnsi" w:hAnsiTheme="minorHAnsi" w:cstheme="minorHAnsi"/>
        </w:rPr>
        <w:t>dále podle § 160 odst.</w:t>
      </w:r>
      <w:r w:rsidR="00D239E8">
        <w:rPr>
          <w:rFonts w:asciiTheme="minorHAnsi" w:hAnsiTheme="minorHAnsi" w:cstheme="minorHAnsi"/>
        </w:rPr>
        <w:t> </w:t>
      </w:r>
      <w:r w:rsidRPr="00FF193F">
        <w:rPr>
          <w:rFonts w:asciiTheme="minorHAnsi" w:hAnsiTheme="minorHAnsi" w:cstheme="minorHAnsi"/>
        </w:rPr>
        <w:t>1 zákona č. 99/1963 Sb.</w:t>
      </w:r>
      <w:r w:rsidR="00707ED7" w:rsidRPr="004E2D6E">
        <w:rPr>
          <w:rStyle w:val="Znakapoznpodarou"/>
          <w:rFonts w:eastAsia="Calibri" w:cs="Calibri"/>
        </w:rPr>
        <w:footnoteReference w:id="53"/>
      </w:r>
      <w:r w:rsidRPr="004E2D6E">
        <w:rPr>
          <w:rFonts w:asciiTheme="minorHAnsi" w:hAnsiTheme="minorHAnsi" w:cstheme="minorHAnsi"/>
        </w:rPr>
        <w:t xml:space="preserve"> </w:t>
      </w:r>
      <w:r w:rsidRPr="00FF193F">
        <w:rPr>
          <w:rFonts w:asciiTheme="minorHAnsi" w:hAnsiTheme="minorHAnsi" w:cstheme="minorHAnsi"/>
          <w:b/>
        </w:rPr>
        <w:t xml:space="preserve">plnit soudem uložené povinnosti </w:t>
      </w:r>
      <w:r w:rsidRPr="00FF193F">
        <w:rPr>
          <w:rFonts w:asciiTheme="minorHAnsi" w:hAnsiTheme="minorHAnsi" w:cstheme="minorHAnsi"/>
        </w:rPr>
        <w:t>vyplývající z pravomocného rozsudku.</w:t>
      </w:r>
    </w:p>
    <w:p w14:paraId="4A17282D" w14:textId="27EEFB79" w:rsidR="00677942" w:rsidRDefault="00677942" w:rsidP="00677942">
      <w:pPr>
        <w:jc w:val="both"/>
        <w:rPr>
          <w:rFonts w:eastAsia="Calibri" w:cs="Calibri"/>
          <w:b/>
        </w:rPr>
      </w:pPr>
      <w:r>
        <w:rPr>
          <w:rFonts w:asciiTheme="minorHAnsi" w:eastAsia="Calibri" w:hAnsiTheme="minorHAnsi" w:cstheme="minorHAnsi"/>
          <w:b/>
        </w:rPr>
        <w:t xml:space="preserve">Ministerstvu stanovené úkoly </w:t>
      </w:r>
      <w:r w:rsidRPr="00FF193F">
        <w:rPr>
          <w:rFonts w:asciiTheme="minorHAnsi" w:eastAsia="Calibri" w:hAnsiTheme="minorHAnsi" w:cstheme="minorHAnsi"/>
        </w:rPr>
        <w:t xml:space="preserve">v podobě poskytování informací dle zákona </w:t>
      </w:r>
      <w:r w:rsidRPr="00FF193F">
        <w:rPr>
          <w:rFonts w:asciiTheme="minorHAnsi" w:hAnsiTheme="minorHAnsi" w:cstheme="minorHAnsi"/>
        </w:rPr>
        <w:t>č. 106/1999 Sb. a</w:t>
      </w:r>
      <w:r w:rsidR="000340C7">
        <w:rPr>
          <w:rFonts w:asciiTheme="minorHAnsi" w:hAnsiTheme="minorHAnsi" w:cstheme="minorHAnsi"/>
        </w:rPr>
        <w:t> </w:t>
      </w:r>
      <w:r w:rsidRPr="00FF193F">
        <w:rPr>
          <w:rFonts w:asciiTheme="minorHAnsi" w:hAnsiTheme="minorHAnsi" w:cstheme="minorHAnsi"/>
        </w:rPr>
        <w:t>v podobě plnění soudem uložených povinností dle zákona č. 99/1963 Sb.</w:t>
      </w:r>
      <w:r>
        <w:rPr>
          <w:rFonts w:asciiTheme="minorHAnsi" w:hAnsiTheme="minorHAnsi" w:cstheme="minorHAnsi"/>
          <w:b/>
        </w:rPr>
        <w:t xml:space="preserve"> nebyly </w:t>
      </w:r>
      <w:r>
        <w:rPr>
          <w:rFonts w:asciiTheme="minorHAnsi" w:hAnsiTheme="minorHAnsi" w:cstheme="minorHAnsi"/>
          <w:b/>
        </w:rPr>
        <w:lastRenderedPageBreak/>
        <w:t xml:space="preserve">ministerstvem </w:t>
      </w:r>
      <w:r w:rsidRPr="002C0781">
        <w:rPr>
          <w:rFonts w:asciiTheme="minorHAnsi" w:hAnsiTheme="minorHAnsi" w:cstheme="minorHAnsi"/>
          <w:b/>
        </w:rPr>
        <w:t>v rozporu s § 45 odst. 2 zákona č. 218/2000 Sb.</w:t>
      </w:r>
      <w:r>
        <w:rPr>
          <w:rFonts w:asciiTheme="minorHAnsi" w:hAnsiTheme="minorHAnsi" w:cstheme="minorHAnsi"/>
          <w:b/>
        </w:rPr>
        <w:t xml:space="preserve"> plněny nejhospodárnějším způsobem</w:t>
      </w:r>
      <w:r w:rsidRPr="00AF7BF2">
        <w:rPr>
          <w:rFonts w:asciiTheme="minorHAnsi" w:hAnsiTheme="minorHAnsi" w:cstheme="minorHAnsi"/>
          <w:b/>
        </w:rPr>
        <w:t xml:space="preserve">. </w:t>
      </w:r>
      <w:proofErr w:type="spellStart"/>
      <w:r w:rsidRPr="00AF7BF2">
        <w:rPr>
          <w:rFonts w:asciiTheme="minorHAnsi" w:hAnsiTheme="minorHAnsi" w:cstheme="minorHAnsi"/>
          <w:b/>
          <w:bCs/>
        </w:rPr>
        <w:t>MZ</w:t>
      </w:r>
      <w:r w:rsidR="00BB0E2D">
        <w:rPr>
          <w:rFonts w:asciiTheme="minorHAnsi" w:hAnsiTheme="minorHAnsi" w:cstheme="minorHAnsi"/>
          <w:b/>
          <w:bCs/>
        </w:rPr>
        <w:t>d</w:t>
      </w:r>
      <w:proofErr w:type="spellEnd"/>
      <w:r w:rsidRPr="00AF7BF2">
        <w:rPr>
          <w:rFonts w:asciiTheme="minorHAnsi" w:hAnsiTheme="minorHAnsi" w:cstheme="minorHAnsi"/>
          <w:b/>
          <w:bCs/>
        </w:rPr>
        <w:t xml:space="preserve"> </w:t>
      </w:r>
      <w:r w:rsidRPr="00FF193F">
        <w:rPr>
          <w:rFonts w:asciiTheme="minorHAnsi" w:hAnsiTheme="minorHAnsi" w:cstheme="minorHAnsi"/>
          <w:bCs/>
        </w:rPr>
        <w:t xml:space="preserve">místo toho, aby splnilo úkoly nejhospodárnějším způsobem tím, že v souladu </w:t>
      </w:r>
      <w:r w:rsidR="00D239E8">
        <w:rPr>
          <w:rFonts w:asciiTheme="minorHAnsi" w:hAnsiTheme="minorHAnsi" w:cstheme="minorHAnsi"/>
          <w:bCs/>
        </w:rPr>
        <w:t>s rozhodnutím soudu</w:t>
      </w:r>
      <w:r w:rsidRPr="00FF193F">
        <w:rPr>
          <w:rFonts w:asciiTheme="minorHAnsi" w:hAnsiTheme="minorHAnsi" w:cstheme="minorHAnsi"/>
          <w:bCs/>
        </w:rPr>
        <w:t xml:space="preserve"> poskytne informace dle zákona č. 106/1999 Sb.,</w:t>
      </w:r>
      <w:r w:rsidRPr="005A0730">
        <w:rPr>
          <w:rFonts w:asciiTheme="minorHAnsi" w:hAnsiTheme="minorHAnsi" w:cstheme="minorHAnsi"/>
          <w:b/>
          <w:bCs/>
        </w:rPr>
        <w:t xml:space="preserve"> opakovaně nekonalo vůbec a tato nečinnost vedla k vynakládání dalších výdajů státního rozpočtu na opakované exekuce.</w:t>
      </w:r>
      <w:r w:rsidRPr="005A0730">
        <w:rPr>
          <w:rFonts w:asciiTheme="minorHAnsi" w:hAnsiTheme="minorHAnsi" w:cstheme="minorHAnsi"/>
          <w:b/>
        </w:rPr>
        <w:t xml:space="preserve"> Porušení § 45 odst. 2 zákona č.</w:t>
      </w:r>
      <w:r w:rsidR="000340C7">
        <w:rPr>
          <w:rFonts w:asciiTheme="minorHAnsi" w:hAnsiTheme="minorHAnsi" w:cstheme="minorHAnsi"/>
          <w:b/>
        </w:rPr>
        <w:t> </w:t>
      </w:r>
      <w:r w:rsidRPr="005A0730">
        <w:rPr>
          <w:rFonts w:asciiTheme="minorHAnsi" w:hAnsiTheme="minorHAnsi" w:cstheme="minorHAnsi"/>
          <w:b/>
        </w:rPr>
        <w:t>218/2000 Sb. je porušením rozpočtové</w:t>
      </w:r>
      <w:r>
        <w:rPr>
          <w:rFonts w:asciiTheme="minorHAnsi" w:hAnsiTheme="minorHAnsi" w:cstheme="minorHAnsi"/>
          <w:b/>
        </w:rPr>
        <w:t xml:space="preserve"> kázně dle </w:t>
      </w:r>
      <w:bookmarkStart w:id="8" w:name="_Hlk97108161"/>
      <w:r w:rsidR="00EA5103">
        <w:rPr>
          <w:rFonts w:asciiTheme="minorHAnsi" w:hAnsiTheme="minorHAnsi" w:cstheme="minorHAnsi"/>
          <w:b/>
        </w:rPr>
        <w:br/>
      </w:r>
      <w:r w:rsidRPr="00116807">
        <w:rPr>
          <w:rFonts w:eastAsia="Calibri" w:cs="Calibri"/>
          <w:b/>
        </w:rPr>
        <w:t>§</w:t>
      </w:r>
      <w:r w:rsidR="00EA5103">
        <w:rPr>
          <w:rFonts w:eastAsia="Calibri" w:cs="Calibri"/>
          <w:b/>
        </w:rPr>
        <w:t xml:space="preserve"> </w:t>
      </w:r>
      <w:r w:rsidRPr="00116807">
        <w:rPr>
          <w:rFonts w:eastAsia="Calibri" w:cs="Calibri"/>
          <w:b/>
        </w:rPr>
        <w:t xml:space="preserve">44 odst. 1 písm. f) </w:t>
      </w:r>
      <w:bookmarkEnd w:id="8"/>
      <w:r>
        <w:rPr>
          <w:rFonts w:eastAsia="Calibri" w:cs="Calibri"/>
          <w:b/>
        </w:rPr>
        <w:t xml:space="preserve">tohoto </w:t>
      </w:r>
      <w:r w:rsidRPr="00C57559">
        <w:rPr>
          <w:rFonts w:eastAsia="Calibri" w:cs="Calibri"/>
          <w:b/>
        </w:rPr>
        <w:t xml:space="preserve">zákona. </w:t>
      </w:r>
      <w:proofErr w:type="spellStart"/>
      <w:r w:rsidRPr="00C57559">
        <w:rPr>
          <w:rFonts w:eastAsia="Calibri" w:cs="Calibri"/>
          <w:b/>
        </w:rPr>
        <w:t>MZ</w:t>
      </w:r>
      <w:r w:rsidR="00BB0E2D">
        <w:rPr>
          <w:rFonts w:eastAsia="Calibri" w:cs="Calibri"/>
          <w:b/>
        </w:rPr>
        <w:t>d</w:t>
      </w:r>
      <w:proofErr w:type="spellEnd"/>
      <w:r w:rsidRPr="00C57559">
        <w:rPr>
          <w:rFonts w:eastAsia="Calibri" w:cs="Calibri"/>
          <w:b/>
        </w:rPr>
        <w:t xml:space="preserve"> v souvislosti s nařízenými exekucemi uhradilo </w:t>
      </w:r>
      <w:r w:rsidRPr="00FF193F">
        <w:rPr>
          <w:rFonts w:eastAsia="Calibri" w:cs="Calibri"/>
        </w:rPr>
        <w:t>částku</w:t>
      </w:r>
      <w:r w:rsidRPr="00C57559">
        <w:rPr>
          <w:rFonts w:eastAsia="Calibri" w:cs="Calibri"/>
          <w:b/>
        </w:rPr>
        <w:t xml:space="preserve"> 3 582 628,70 Kč.</w:t>
      </w:r>
    </w:p>
    <w:p w14:paraId="756D14CB" w14:textId="28F9F452" w:rsidR="00677942" w:rsidRPr="00FF193F" w:rsidRDefault="00677942" w:rsidP="00677942">
      <w:pPr>
        <w:jc w:val="both"/>
        <w:rPr>
          <w:rFonts w:eastAsia="Calibri" w:cs="Calibri"/>
        </w:rPr>
      </w:pPr>
      <w:proofErr w:type="spellStart"/>
      <w:r>
        <w:rPr>
          <w:rFonts w:eastAsia="Calibri" w:cs="Calibri"/>
          <w:b/>
        </w:rPr>
        <w:t>MZ</w:t>
      </w:r>
      <w:r w:rsidR="00BB0E2D">
        <w:rPr>
          <w:rFonts w:eastAsia="Calibri" w:cs="Calibri"/>
          <w:b/>
        </w:rPr>
        <w:t>d</w:t>
      </w:r>
      <w:proofErr w:type="spellEnd"/>
      <w:r>
        <w:rPr>
          <w:rFonts w:eastAsia="Calibri" w:cs="Calibri"/>
          <w:b/>
        </w:rPr>
        <w:t xml:space="preserve"> </w:t>
      </w:r>
      <w:r w:rsidRPr="00FF193F">
        <w:rPr>
          <w:rFonts w:eastAsia="Calibri" w:cs="Calibri"/>
        </w:rPr>
        <w:t>dále</w:t>
      </w:r>
      <w:r>
        <w:rPr>
          <w:rFonts w:eastAsia="Calibri" w:cs="Calibri"/>
          <w:b/>
        </w:rPr>
        <w:t xml:space="preserve"> postupovalo v rozporu s § 47 odst. 4 zákona č. 219/2000 Sb., když </w:t>
      </w:r>
      <w:r w:rsidR="00D239E8">
        <w:rPr>
          <w:rFonts w:eastAsia="Calibri" w:cs="Calibri"/>
          <w:b/>
        </w:rPr>
        <w:t xml:space="preserve">neposoudilo </w:t>
      </w:r>
      <w:r>
        <w:rPr>
          <w:rFonts w:eastAsia="Calibri" w:cs="Calibri"/>
          <w:b/>
        </w:rPr>
        <w:t xml:space="preserve">bez zbytečného odkladu uplatnění nároku na náhradu škody </w:t>
      </w:r>
      <w:r w:rsidRPr="00FF193F">
        <w:rPr>
          <w:rFonts w:eastAsia="Calibri" w:cs="Calibri"/>
        </w:rPr>
        <w:t xml:space="preserve">vůči osobě odpovědné za porušení výše uvedených povinností a za škodu, která tím vznikla na majetku, s nímž je </w:t>
      </w:r>
      <w:proofErr w:type="spellStart"/>
      <w:r w:rsidRPr="00FF193F">
        <w:rPr>
          <w:rFonts w:eastAsia="Calibri" w:cs="Calibri"/>
        </w:rPr>
        <w:t>MZ</w:t>
      </w:r>
      <w:r w:rsidR="00BB0E2D">
        <w:rPr>
          <w:rFonts w:eastAsia="Calibri" w:cs="Calibri"/>
        </w:rPr>
        <w:t>d</w:t>
      </w:r>
      <w:proofErr w:type="spellEnd"/>
      <w:r w:rsidRPr="00FF193F">
        <w:rPr>
          <w:rFonts w:eastAsia="Calibri" w:cs="Calibri"/>
        </w:rPr>
        <w:t xml:space="preserve"> příslušné hospodařit</w:t>
      </w:r>
      <w:r w:rsidR="00B63EDA">
        <w:rPr>
          <w:rFonts w:eastAsia="Calibri" w:cs="Calibri"/>
        </w:rPr>
        <w:t>.</w:t>
      </w:r>
      <w:r w:rsidR="00086872" w:rsidRPr="00FF193F">
        <w:rPr>
          <w:rStyle w:val="Znakapoznpodarou"/>
          <w:rFonts w:eastAsia="Calibri" w:cs="Calibri"/>
        </w:rPr>
        <w:footnoteReference w:id="54"/>
      </w:r>
    </w:p>
    <w:p w14:paraId="74C3B6C4" w14:textId="27C35DEE" w:rsidR="00360011" w:rsidRPr="00FF193F" w:rsidRDefault="00677942" w:rsidP="00677942">
      <w:pPr>
        <w:spacing w:after="0"/>
        <w:jc w:val="both"/>
      </w:pPr>
      <w:r w:rsidRPr="00DE493D">
        <w:rPr>
          <w:rFonts w:eastAsia="Calibri" w:cs="Calibri"/>
          <w:b/>
        </w:rPr>
        <w:t>V</w:t>
      </w:r>
      <w:r>
        <w:rPr>
          <w:rFonts w:eastAsia="Calibri" w:cs="Calibri"/>
          <w:b/>
        </w:rPr>
        <w:t>KS</w:t>
      </w:r>
      <w:r w:rsidRPr="00DE493D">
        <w:rPr>
          <w:rFonts w:eastAsia="Calibri" w:cs="Calibri"/>
          <w:b/>
        </w:rPr>
        <w:t xml:space="preserve"> nebyl v</w:t>
      </w:r>
      <w:r w:rsidR="00B63EDA">
        <w:rPr>
          <w:rFonts w:eastAsia="Calibri" w:cs="Calibri"/>
          <w:b/>
        </w:rPr>
        <w:t xml:space="preserve"> </w:t>
      </w:r>
      <w:r w:rsidRPr="00DE493D">
        <w:rPr>
          <w:rFonts w:eastAsia="Calibri" w:cs="Calibri"/>
          <w:b/>
        </w:rPr>
        <w:t>daném případě zaveden a udržován</w:t>
      </w:r>
      <w:r>
        <w:rPr>
          <w:rFonts w:eastAsia="Calibri" w:cs="Calibri"/>
          <w:b/>
        </w:rPr>
        <w:t xml:space="preserve"> v</w:t>
      </w:r>
      <w:r w:rsidR="00B63EDA">
        <w:rPr>
          <w:rFonts w:eastAsia="Calibri" w:cs="Calibri"/>
          <w:b/>
        </w:rPr>
        <w:t xml:space="preserve"> </w:t>
      </w:r>
      <w:r>
        <w:rPr>
          <w:rFonts w:eastAsia="Calibri" w:cs="Calibri"/>
          <w:b/>
        </w:rPr>
        <w:t>souladu s</w:t>
      </w:r>
      <w:r w:rsidR="00B63EDA">
        <w:rPr>
          <w:rFonts w:eastAsia="Calibri" w:cs="Calibri"/>
          <w:b/>
        </w:rPr>
        <w:t xml:space="preserve"> </w:t>
      </w:r>
      <w:r w:rsidRPr="00DE493D">
        <w:rPr>
          <w:rFonts w:eastAsia="Calibri" w:cs="Calibri"/>
          <w:b/>
        </w:rPr>
        <w:t>§ 25 odst. 1 zákona č.</w:t>
      </w:r>
      <w:r w:rsidR="00B63EDA">
        <w:rPr>
          <w:rFonts w:eastAsia="Calibri" w:cs="Calibri"/>
          <w:b/>
        </w:rPr>
        <w:t> </w:t>
      </w:r>
      <w:r w:rsidRPr="00DE493D">
        <w:rPr>
          <w:rFonts w:eastAsia="Calibri" w:cs="Calibri"/>
          <w:b/>
        </w:rPr>
        <w:t>320/2001</w:t>
      </w:r>
      <w:r w:rsidR="00B63EDA">
        <w:rPr>
          <w:rFonts w:eastAsia="Calibri" w:cs="Calibri"/>
          <w:b/>
        </w:rPr>
        <w:t> </w:t>
      </w:r>
      <w:r w:rsidRPr="00DE493D">
        <w:rPr>
          <w:rFonts w:eastAsia="Calibri" w:cs="Calibri"/>
          <w:b/>
        </w:rPr>
        <w:t>Sb.</w:t>
      </w:r>
      <w:r>
        <w:rPr>
          <w:rFonts w:eastAsia="Calibri" w:cs="Calibri"/>
          <w:b/>
        </w:rPr>
        <w:t xml:space="preserve">, </w:t>
      </w:r>
      <w:r w:rsidRPr="00FF193F">
        <w:rPr>
          <w:rFonts w:eastAsia="Calibri" w:cs="Calibri"/>
        </w:rPr>
        <w:t>tj. tak, aby byl způsobilý včas zjišťovat, vyhodnocovat a minimalizovat příslušná rizika a podávat informace příslušným úrovním řízení o výskytu závažných nedostatků.</w:t>
      </w:r>
    </w:p>
    <w:p w14:paraId="13476355" w14:textId="77777777" w:rsidR="004C32C7" w:rsidRPr="00D71C60" w:rsidRDefault="004C32C7" w:rsidP="00677942">
      <w:pPr>
        <w:spacing w:after="0"/>
        <w:jc w:val="both"/>
        <w:rPr>
          <w:highlight w:val="yellow"/>
        </w:rPr>
      </w:pPr>
    </w:p>
    <w:p w14:paraId="34BA7D89" w14:textId="77777777" w:rsidR="004C32C7" w:rsidRPr="002344FC" w:rsidRDefault="007D633C" w:rsidP="00847833">
      <w:pPr>
        <w:ind w:left="567" w:hanging="567"/>
        <w:rPr>
          <w:b/>
        </w:rPr>
      </w:pPr>
      <w:r w:rsidRPr="002344FC">
        <w:rPr>
          <w:b/>
        </w:rPr>
        <w:t>5.</w:t>
      </w:r>
      <w:r w:rsidR="006C2EC8">
        <w:rPr>
          <w:b/>
        </w:rPr>
        <w:t>2</w:t>
      </w:r>
      <w:r w:rsidRPr="002344FC">
        <w:rPr>
          <w:b/>
        </w:rPr>
        <w:t>.2</w:t>
      </w:r>
      <w:r w:rsidR="004C32C7" w:rsidRPr="002344FC">
        <w:rPr>
          <w:b/>
        </w:rPr>
        <w:t xml:space="preserve"> </w:t>
      </w:r>
      <w:r w:rsidR="002344FC" w:rsidRPr="002344FC">
        <w:rPr>
          <w:b/>
        </w:rPr>
        <w:t>Peněžní dar do zahraničí</w:t>
      </w:r>
      <w:r w:rsidR="00C90F38">
        <w:rPr>
          <w:b/>
        </w:rPr>
        <w:t xml:space="preserve"> bez souhlasu vlády</w:t>
      </w:r>
    </w:p>
    <w:p w14:paraId="716EB973" w14:textId="77777777" w:rsidR="00AF7E2F" w:rsidRDefault="002344FC" w:rsidP="004E2D6E">
      <w:pPr>
        <w:jc w:val="both"/>
      </w:pPr>
      <w:proofErr w:type="spellStart"/>
      <w:r w:rsidRPr="001355D1">
        <w:t>MZ</w:t>
      </w:r>
      <w:r w:rsidR="00BB0E2D">
        <w:t>d</w:t>
      </w:r>
      <w:proofErr w:type="spellEnd"/>
      <w:r w:rsidR="004C32C7" w:rsidRPr="001355D1">
        <w:t xml:space="preserve"> </w:t>
      </w:r>
      <w:r w:rsidRPr="001355D1">
        <w:t>poskytlo v roce 2021</w:t>
      </w:r>
      <w:r w:rsidR="00AF7E2F">
        <w:t xml:space="preserve"> Světové zdravotnické organizaci </w:t>
      </w:r>
      <w:r w:rsidR="005D2188">
        <w:t>peněžní prostředky státního rozpočtu</w:t>
      </w:r>
      <w:r w:rsidR="001D11EF">
        <w:t xml:space="preserve"> </w:t>
      </w:r>
      <w:r w:rsidR="001355D1">
        <w:t>ve výši 500 000 Kč</w:t>
      </w:r>
      <w:r w:rsidR="00AF7E2F">
        <w:t xml:space="preserve"> jako dobrovolný finanční příspěvek na činnost této mezinárodní organizace</w:t>
      </w:r>
      <w:r w:rsidR="001355D1">
        <w:t xml:space="preserve">. </w:t>
      </w:r>
    </w:p>
    <w:p w14:paraId="42CE1479" w14:textId="5D3193D8" w:rsidR="00AF7E2F" w:rsidRDefault="00C36079" w:rsidP="00AF7E2F">
      <w:p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D</w:t>
      </w:r>
      <w:r w:rsidR="006F3657">
        <w:rPr>
          <w:rFonts w:asciiTheme="minorHAnsi" w:hAnsiTheme="minorHAnsi" w:cstheme="minorHAnsi"/>
          <w:bCs/>
          <w:iCs/>
        </w:rPr>
        <w:t xml:space="preserve">obrovolné </w:t>
      </w:r>
      <w:r w:rsidR="00AF7E2F">
        <w:rPr>
          <w:rFonts w:asciiTheme="minorHAnsi" w:hAnsiTheme="minorHAnsi" w:cstheme="minorHAnsi"/>
          <w:bCs/>
          <w:iCs/>
        </w:rPr>
        <w:t xml:space="preserve">poskytnutí peněžních prostředků </w:t>
      </w:r>
      <w:r>
        <w:rPr>
          <w:rFonts w:asciiTheme="minorHAnsi" w:hAnsiTheme="minorHAnsi" w:cstheme="minorHAnsi"/>
          <w:bCs/>
          <w:iCs/>
        </w:rPr>
        <w:t>je</w:t>
      </w:r>
      <w:r w:rsidR="006F3657">
        <w:rPr>
          <w:rFonts w:asciiTheme="minorHAnsi" w:hAnsiTheme="minorHAnsi" w:cstheme="minorHAnsi"/>
          <w:bCs/>
          <w:iCs/>
        </w:rPr>
        <w:t xml:space="preserve"> </w:t>
      </w:r>
      <w:r w:rsidR="006F3657" w:rsidRPr="00A21AC3">
        <w:rPr>
          <w:rFonts w:asciiTheme="minorHAnsi" w:hAnsiTheme="minorHAnsi" w:cstheme="minorHAnsi"/>
          <w:b/>
          <w:bCs/>
          <w:iCs/>
        </w:rPr>
        <w:t>poskytnutí</w:t>
      </w:r>
      <w:r>
        <w:rPr>
          <w:rFonts w:asciiTheme="minorHAnsi" w:hAnsiTheme="minorHAnsi" w:cstheme="minorHAnsi"/>
          <w:b/>
          <w:bCs/>
          <w:iCs/>
        </w:rPr>
        <w:t>m</w:t>
      </w:r>
      <w:r w:rsidR="006F3657" w:rsidRPr="00A21AC3">
        <w:rPr>
          <w:rFonts w:asciiTheme="minorHAnsi" w:hAnsiTheme="minorHAnsi" w:cstheme="minorHAnsi"/>
          <w:b/>
          <w:bCs/>
          <w:iCs/>
        </w:rPr>
        <w:t xml:space="preserve"> </w:t>
      </w:r>
      <w:r w:rsidR="00AF7E2F" w:rsidRPr="00A21AC3">
        <w:rPr>
          <w:rFonts w:asciiTheme="minorHAnsi" w:hAnsiTheme="minorHAnsi" w:cstheme="minorHAnsi"/>
          <w:b/>
          <w:bCs/>
          <w:iCs/>
        </w:rPr>
        <w:t>závisející</w:t>
      </w:r>
      <w:r>
        <w:rPr>
          <w:rFonts w:asciiTheme="minorHAnsi" w:hAnsiTheme="minorHAnsi" w:cstheme="minorHAnsi"/>
          <w:b/>
          <w:bCs/>
          <w:iCs/>
        </w:rPr>
        <w:t xml:space="preserve">m </w:t>
      </w:r>
      <w:r w:rsidR="00AF7E2F" w:rsidRPr="00A21AC3">
        <w:rPr>
          <w:rFonts w:asciiTheme="minorHAnsi" w:hAnsiTheme="minorHAnsi" w:cstheme="minorHAnsi"/>
          <w:b/>
          <w:bCs/>
          <w:iCs/>
        </w:rPr>
        <w:t>výhradně na uvážení a vůli</w:t>
      </w:r>
      <w:r>
        <w:rPr>
          <w:rFonts w:asciiTheme="minorHAnsi" w:hAnsiTheme="minorHAnsi" w:cstheme="minorHAnsi"/>
          <w:b/>
          <w:bCs/>
          <w:iCs/>
        </w:rPr>
        <w:t xml:space="preserve"> poskytovatele</w:t>
      </w:r>
      <w:r w:rsidR="00B63EDA">
        <w:rPr>
          <w:rFonts w:asciiTheme="minorHAnsi" w:hAnsiTheme="minorHAnsi" w:cstheme="minorHAnsi"/>
          <w:b/>
          <w:bCs/>
          <w:iCs/>
        </w:rPr>
        <w:t>,</w:t>
      </w:r>
      <w:r w:rsidR="00AF7E2F" w:rsidRPr="00A21AC3">
        <w:rPr>
          <w:rFonts w:asciiTheme="minorHAnsi" w:hAnsiTheme="minorHAnsi" w:cstheme="minorHAnsi"/>
          <w:b/>
          <w:bCs/>
          <w:iCs/>
        </w:rPr>
        <w:t xml:space="preserve"> a </w:t>
      </w:r>
      <w:r w:rsidR="00B63EDA" w:rsidRPr="00A21AC3">
        <w:rPr>
          <w:rFonts w:asciiTheme="minorHAnsi" w:hAnsiTheme="minorHAnsi" w:cstheme="minorHAnsi"/>
          <w:b/>
          <w:bCs/>
          <w:iCs/>
        </w:rPr>
        <w:t xml:space="preserve">proto </w:t>
      </w:r>
      <w:r w:rsidR="00AF7E2F" w:rsidRPr="00A21AC3">
        <w:rPr>
          <w:rFonts w:asciiTheme="minorHAnsi" w:hAnsiTheme="minorHAnsi" w:cstheme="minorHAnsi"/>
          <w:b/>
          <w:bCs/>
          <w:iCs/>
        </w:rPr>
        <w:t xml:space="preserve">nemůže jít o nic </w:t>
      </w:r>
      <w:r w:rsidR="00904491" w:rsidRPr="00A21AC3">
        <w:rPr>
          <w:rFonts w:asciiTheme="minorHAnsi" w:hAnsiTheme="minorHAnsi" w:cstheme="minorHAnsi"/>
          <w:b/>
          <w:bCs/>
          <w:iCs/>
        </w:rPr>
        <w:t>jiného</w:t>
      </w:r>
      <w:r w:rsidR="00AF7E2F" w:rsidRPr="00A21AC3">
        <w:rPr>
          <w:rFonts w:asciiTheme="minorHAnsi" w:hAnsiTheme="minorHAnsi" w:cstheme="minorHAnsi"/>
          <w:b/>
          <w:bCs/>
          <w:iCs/>
        </w:rPr>
        <w:t xml:space="preserve"> než o poskytnutí peněžního daru</w:t>
      </w:r>
      <w:r>
        <w:rPr>
          <w:rFonts w:asciiTheme="minorHAnsi" w:hAnsiTheme="minorHAnsi" w:cstheme="minorHAnsi"/>
          <w:b/>
          <w:bCs/>
          <w:iCs/>
        </w:rPr>
        <w:t>.</w:t>
      </w:r>
      <w:r w:rsidR="00AF7E2F" w:rsidRPr="00A21AC3">
        <w:rPr>
          <w:rFonts w:asciiTheme="minorHAnsi" w:hAnsiTheme="minorHAnsi" w:cstheme="minorHAnsi"/>
          <w:b/>
          <w:bCs/>
          <w:iCs/>
        </w:rPr>
        <w:t xml:space="preserve"> </w:t>
      </w:r>
      <w:r w:rsidR="00AF7E2F">
        <w:rPr>
          <w:rFonts w:asciiTheme="minorHAnsi" w:hAnsiTheme="minorHAnsi" w:cstheme="minorHAnsi"/>
          <w:bCs/>
          <w:iCs/>
        </w:rPr>
        <w:t xml:space="preserve">K poskytnutí </w:t>
      </w:r>
      <w:r>
        <w:rPr>
          <w:rFonts w:asciiTheme="minorHAnsi" w:hAnsiTheme="minorHAnsi" w:cstheme="minorHAnsi"/>
          <w:bCs/>
          <w:iCs/>
        </w:rPr>
        <w:t xml:space="preserve">peněžního daru do zahraničí </w:t>
      </w:r>
      <w:r w:rsidR="00AF7E2F">
        <w:rPr>
          <w:rFonts w:asciiTheme="minorHAnsi" w:hAnsiTheme="minorHAnsi" w:cstheme="minorHAnsi"/>
          <w:bCs/>
          <w:iCs/>
        </w:rPr>
        <w:t>stanovuje zákon č. 218/2000 Sb. nutn</w:t>
      </w:r>
      <w:r>
        <w:rPr>
          <w:rFonts w:asciiTheme="minorHAnsi" w:hAnsiTheme="minorHAnsi" w:cstheme="minorHAnsi"/>
          <w:bCs/>
          <w:iCs/>
        </w:rPr>
        <w:t>ost</w:t>
      </w:r>
      <w:r w:rsidR="00AF7E2F">
        <w:rPr>
          <w:rFonts w:asciiTheme="minorHAnsi" w:hAnsiTheme="minorHAnsi" w:cstheme="minorHAnsi"/>
          <w:bCs/>
          <w:iCs/>
        </w:rPr>
        <w:t xml:space="preserve"> předchozí</w:t>
      </w:r>
      <w:r>
        <w:rPr>
          <w:rFonts w:asciiTheme="minorHAnsi" w:hAnsiTheme="minorHAnsi" w:cstheme="minorHAnsi"/>
          <w:bCs/>
          <w:iCs/>
        </w:rPr>
        <w:t>ho</w:t>
      </w:r>
      <w:r w:rsidR="00AF7E2F">
        <w:rPr>
          <w:rFonts w:asciiTheme="minorHAnsi" w:hAnsiTheme="minorHAnsi" w:cstheme="minorHAnsi"/>
          <w:bCs/>
          <w:iCs/>
        </w:rPr>
        <w:t xml:space="preserve"> souhlas</w:t>
      </w:r>
      <w:r>
        <w:rPr>
          <w:rFonts w:asciiTheme="minorHAnsi" w:hAnsiTheme="minorHAnsi" w:cstheme="minorHAnsi"/>
          <w:bCs/>
          <w:iCs/>
        </w:rPr>
        <w:t>u</w:t>
      </w:r>
      <w:r w:rsidR="00AF7E2F">
        <w:rPr>
          <w:rFonts w:asciiTheme="minorHAnsi" w:hAnsiTheme="minorHAnsi" w:cstheme="minorHAnsi"/>
          <w:bCs/>
          <w:iCs/>
        </w:rPr>
        <w:t xml:space="preserve"> vlády</w:t>
      </w:r>
      <w:r w:rsidR="00B63EDA">
        <w:rPr>
          <w:rFonts w:asciiTheme="minorHAnsi" w:hAnsiTheme="minorHAnsi" w:cstheme="minorHAnsi"/>
          <w:bCs/>
          <w:iCs/>
        </w:rPr>
        <w:t>,</w:t>
      </w:r>
      <w:r>
        <w:rPr>
          <w:rFonts w:asciiTheme="minorHAnsi" w:hAnsiTheme="minorHAnsi" w:cstheme="minorHAnsi"/>
          <w:bCs/>
          <w:iCs/>
        </w:rPr>
        <w:t xml:space="preserve"> tzn. p</w:t>
      </w:r>
      <w:r w:rsidR="006F3657">
        <w:rPr>
          <w:rFonts w:asciiTheme="minorHAnsi" w:hAnsiTheme="minorHAnsi" w:cstheme="minorHAnsi"/>
          <w:bCs/>
          <w:iCs/>
        </w:rPr>
        <w:t xml:space="preserve">okud je </w:t>
      </w:r>
      <w:r w:rsidR="00AF7E2F">
        <w:rPr>
          <w:rFonts w:asciiTheme="minorHAnsi" w:hAnsiTheme="minorHAnsi" w:cstheme="minorHAnsi"/>
          <w:bCs/>
          <w:iCs/>
        </w:rPr>
        <w:t xml:space="preserve">platba na účet mezinárodní organizace dobrovolná, musí o jejím poskytnutí rozhodnout vláda. </w:t>
      </w:r>
      <w:r w:rsidR="00B63EDA">
        <w:rPr>
          <w:rFonts w:asciiTheme="minorHAnsi" w:hAnsiTheme="minorHAnsi" w:cstheme="minorHAnsi"/>
          <w:bCs/>
          <w:iCs/>
        </w:rPr>
        <w:t>V tom spočívá</w:t>
      </w:r>
      <w:r w:rsidR="006F3657">
        <w:rPr>
          <w:rFonts w:asciiTheme="minorHAnsi" w:hAnsiTheme="minorHAnsi" w:cstheme="minorHAnsi"/>
          <w:bCs/>
          <w:iCs/>
        </w:rPr>
        <w:t xml:space="preserve"> rozdíl oproti povinné platbě. Pokud by platba </w:t>
      </w:r>
      <w:r w:rsidR="00AF7E2F">
        <w:rPr>
          <w:rFonts w:asciiTheme="minorHAnsi" w:hAnsiTheme="minorHAnsi" w:cstheme="minorHAnsi"/>
          <w:bCs/>
          <w:iCs/>
        </w:rPr>
        <w:t>mezinárodní organizac</w:t>
      </w:r>
      <w:r w:rsidR="006F3657">
        <w:rPr>
          <w:rFonts w:asciiTheme="minorHAnsi" w:hAnsiTheme="minorHAnsi" w:cstheme="minorHAnsi"/>
          <w:bCs/>
          <w:iCs/>
        </w:rPr>
        <w:t>i byla</w:t>
      </w:r>
      <w:r w:rsidR="00AF7E2F">
        <w:rPr>
          <w:rFonts w:asciiTheme="minorHAnsi" w:hAnsiTheme="minorHAnsi" w:cstheme="minorHAnsi"/>
          <w:bCs/>
          <w:iCs/>
        </w:rPr>
        <w:t xml:space="preserve"> povinná</w:t>
      </w:r>
      <w:r w:rsidR="00B63EDA">
        <w:rPr>
          <w:rFonts w:asciiTheme="minorHAnsi" w:hAnsiTheme="minorHAnsi" w:cstheme="minorHAnsi"/>
          <w:bCs/>
          <w:iCs/>
        </w:rPr>
        <w:t>,</w:t>
      </w:r>
      <w:r w:rsidR="00AF7E2F">
        <w:rPr>
          <w:rFonts w:asciiTheme="minorHAnsi" w:hAnsiTheme="minorHAnsi" w:cstheme="minorHAnsi"/>
          <w:bCs/>
          <w:iCs/>
        </w:rPr>
        <w:t xml:space="preserve"> </w:t>
      </w:r>
      <w:r w:rsidR="006F3657">
        <w:rPr>
          <w:rFonts w:asciiTheme="minorHAnsi" w:hAnsiTheme="minorHAnsi" w:cstheme="minorHAnsi"/>
          <w:bCs/>
          <w:iCs/>
        </w:rPr>
        <w:t xml:space="preserve">např. </w:t>
      </w:r>
      <w:r w:rsidR="00AF7E2F">
        <w:rPr>
          <w:rFonts w:asciiTheme="minorHAnsi" w:hAnsiTheme="minorHAnsi" w:cstheme="minorHAnsi"/>
          <w:bCs/>
          <w:iCs/>
        </w:rPr>
        <w:t>na základě stanov této mezinárodní organizace</w:t>
      </w:r>
      <w:r w:rsidR="006F3657">
        <w:rPr>
          <w:rFonts w:asciiTheme="minorHAnsi" w:hAnsiTheme="minorHAnsi" w:cstheme="minorHAnsi"/>
          <w:bCs/>
          <w:iCs/>
        </w:rPr>
        <w:t xml:space="preserve"> či jiných aktů, předchozí souhlas vlády se nevyžaduje.</w:t>
      </w:r>
      <w:r w:rsidR="00AF7E2F">
        <w:rPr>
          <w:rFonts w:asciiTheme="minorHAnsi" w:hAnsiTheme="minorHAnsi" w:cstheme="minorHAnsi"/>
          <w:bCs/>
          <w:iCs/>
        </w:rPr>
        <w:t xml:space="preserve"> </w:t>
      </w:r>
    </w:p>
    <w:p w14:paraId="76F43215" w14:textId="1D644880" w:rsidR="00AF7E2F" w:rsidRPr="00F76548" w:rsidRDefault="00AF7E2F" w:rsidP="00AF7E2F">
      <w:pPr>
        <w:jc w:val="both"/>
        <w:rPr>
          <w:rFonts w:asciiTheme="minorHAnsi" w:hAnsiTheme="minorHAnsi" w:cstheme="minorHAnsi"/>
          <w:bCs/>
          <w:iCs/>
          <w:highlight w:val="yellow"/>
        </w:rPr>
      </w:pPr>
      <w:r w:rsidRPr="003C34FC">
        <w:rPr>
          <w:rFonts w:asciiTheme="minorHAnsi" w:hAnsiTheme="minorHAnsi" w:cstheme="minorHAnsi"/>
          <w:bCs/>
          <w:iCs/>
        </w:rPr>
        <w:t xml:space="preserve">Členství České republiky ve WHO spadá do gesční působnosti Ministerstva zahraničních věcí, jak vyplývá z usnesení vlády ze dne 2. května 2013 č. 317, </w:t>
      </w:r>
      <w:r w:rsidRPr="00A21AC3">
        <w:rPr>
          <w:rFonts w:asciiTheme="minorHAnsi" w:hAnsiTheme="minorHAnsi" w:cstheme="minorHAnsi"/>
          <w:bCs/>
          <w:i/>
          <w:iCs/>
        </w:rPr>
        <w:t>ke členství České republiky v mezinárodních organizacích</w:t>
      </w:r>
      <w:r w:rsidRPr="003C34FC">
        <w:rPr>
          <w:rFonts w:asciiTheme="minorHAnsi" w:hAnsiTheme="minorHAnsi" w:cstheme="minorHAnsi"/>
          <w:bCs/>
          <w:iCs/>
        </w:rPr>
        <w:t xml:space="preserve">. </w:t>
      </w:r>
      <w:r>
        <w:rPr>
          <w:rFonts w:asciiTheme="minorHAnsi" w:hAnsiTheme="minorHAnsi" w:cstheme="minorHAnsi"/>
          <w:bCs/>
          <w:iCs/>
        </w:rPr>
        <w:t>Tímto usnesením vláda schválila změnu financování ve vztahu k vybraným mezinárodním organizacím</w:t>
      </w:r>
      <w:r w:rsidR="00B63EDA">
        <w:rPr>
          <w:rFonts w:asciiTheme="minorHAnsi" w:hAnsiTheme="minorHAnsi" w:cstheme="minorHAnsi"/>
          <w:bCs/>
          <w:iCs/>
        </w:rPr>
        <w:t>,</w:t>
      </w:r>
      <w:r>
        <w:rPr>
          <w:rFonts w:asciiTheme="minorHAnsi" w:hAnsiTheme="minorHAnsi" w:cstheme="minorHAnsi"/>
          <w:bCs/>
          <w:iCs/>
        </w:rPr>
        <w:t xml:space="preserve"> mj. i ve vztahu k</w:t>
      </w:r>
      <w:r w:rsidR="006F3657">
        <w:rPr>
          <w:rFonts w:asciiTheme="minorHAnsi" w:hAnsiTheme="minorHAnsi" w:cstheme="minorHAnsi"/>
          <w:bCs/>
          <w:iCs/>
        </w:rPr>
        <w:t> </w:t>
      </w:r>
      <w:r>
        <w:rPr>
          <w:rFonts w:asciiTheme="minorHAnsi" w:hAnsiTheme="minorHAnsi" w:cstheme="minorHAnsi"/>
          <w:bCs/>
          <w:iCs/>
        </w:rPr>
        <w:t>WHO</w:t>
      </w:r>
      <w:r w:rsidR="006F3657">
        <w:rPr>
          <w:rFonts w:asciiTheme="minorHAnsi" w:hAnsiTheme="minorHAnsi" w:cstheme="minorHAnsi"/>
          <w:bCs/>
          <w:iCs/>
        </w:rPr>
        <w:t xml:space="preserve">. Na základě tohoto usnesení je od roku 2014 </w:t>
      </w:r>
      <w:r w:rsidR="00C36079">
        <w:rPr>
          <w:rFonts w:asciiTheme="minorHAnsi" w:hAnsiTheme="minorHAnsi" w:cstheme="minorHAnsi"/>
          <w:bCs/>
          <w:iCs/>
        </w:rPr>
        <w:t xml:space="preserve">oprávněno </w:t>
      </w:r>
      <w:r w:rsidR="006F3657">
        <w:rPr>
          <w:rFonts w:asciiTheme="minorHAnsi" w:hAnsiTheme="minorHAnsi" w:cstheme="minorHAnsi"/>
          <w:bCs/>
          <w:iCs/>
        </w:rPr>
        <w:t xml:space="preserve">výhradně Ministerstvo zahraničních věcí plnit </w:t>
      </w:r>
      <w:r w:rsidRPr="003C34FC">
        <w:rPr>
          <w:rFonts w:asciiTheme="minorHAnsi" w:hAnsiTheme="minorHAnsi" w:cstheme="minorHAnsi"/>
          <w:bCs/>
          <w:iCs/>
        </w:rPr>
        <w:t xml:space="preserve">závazky </w:t>
      </w:r>
      <w:r w:rsidR="006F3657">
        <w:rPr>
          <w:rFonts w:asciiTheme="minorHAnsi" w:hAnsiTheme="minorHAnsi" w:cstheme="minorHAnsi"/>
          <w:bCs/>
          <w:iCs/>
        </w:rPr>
        <w:t xml:space="preserve">ČR </w:t>
      </w:r>
      <w:r w:rsidRPr="003C34FC">
        <w:rPr>
          <w:rFonts w:asciiTheme="minorHAnsi" w:hAnsiTheme="minorHAnsi" w:cstheme="minorHAnsi"/>
          <w:bCs/>
          <w:iCs/>
        </w:rPr>
        <w:t>vyplývající z</w:t>
      </w:r>
      <w:r w:rsidR="00B63EDA">
        <w:rPr>
          <w:rFonts w:asciiTheme="minorHAnsi" w:hAnsiTheme="minorHAnsi" w:cstheme="minorHAnsi"/>
          <w:bCs/>
          <w:iCs/>
        </w:rPr>
        <w:t> </w:t>
      </w:r>
      <w:r w:rsidR="006F3657">
        <w:rPr>
          <w:rFonts w:asciiTheme="minorHAnsi" w:hAnsiTheme="minorHAnsi" w:cstheme="minorHAnsi"/>
          <w:bCs/>
          <w:iCs/>
        </w:rPr>
        <w:t>jejího</w:t>
      </w:r>
      <w:r w:rsidR="00B63EDA">
        <w:rPr>
          <w:rFonts w:asciiTheme="minorHAnsi" w:hAnsiTheme="minorHAnsi" w:cstheme="minorHAnsi"/>
          <w:bCs/>
          <w:iCs/>
        </w:rPr>
        <w:t xml:space="preserve"> </w:t>
      </w:r>
      <w:r w:rsidRPr="003C34FC">
        <w:rPr>
          <w:rFonts w:asciiTheme="minorHAnsi" w:hAnsiTheme="minorHAnsi" w:cstheme="minorHAnsi"/>
          <w:bCs/>
          <w:iCs/>
        </w:rPr>
        <w:t>členství v</w:t>
      </w:r>
      <w:r w:rsidR="00B63EDA">
        <w:rPr>
          <w:rFonts w:asciiTheme="minorHAnsi" w:hAnsiTheme="minorHAnsi" w:cstheme="minorHAnsi"/>
          <w:bCs/>
          <w:iCs/>
        </w:rPr>
        <w:t>e Světové zdravotnické</w:t>
      </w:r>
      <w:r w:rsidRPr="003C34FC">
        <w:rPr>
          <w:rFonts w:asciiTheme="minorHAnsi" w:hAnsiTheme="minorHAnsi" w:cstheme="minorHAnsi"/>
          <w:bCs/>
          <w:iCs/>
        </w:rPr>
        <w:t xml:space="preserve"> organizaci</w:t>
      </w:r>
      <w:r w:rsidR="006F3657">
        <w:rPr>
          <w:rFonts w:asciiTheme="minorHAnsi" w:hAnsiTheme="minorHAnsi" w:cstheme="minorHAnsi"/>
          <w:bCs/>
          <w:iCs/>
        </w:rPr>
        <w:t>. Toto</w:t>
      </w:r>
      <w:r w:rsidRPr="00B250C9">
        <w:rPr>
          <w:rFonts w:asciiTheme="minorHAnsi" w:hAnsiTheme="minorHAnsi" w:cstheme="minorHAnsi"/>
          <w:bCs/>
          <w:iCs/>
        </w:rPr>
        <w:t xml:space="preserve"> usnesení vlády řadí WHO mezi mezinárodní organizace zásadního zahraničněpolitického významu a nadresortního charakteru. </w:t>
      </w:r>
      <w:r w:rsidRPr="00A21AC3">
        <w:rPr>
          <w:rFonts w:asciiTheme="minorHAnsi" w:hAnsiTheme="minorHAnsi" w:cstheme="minorHAnsi"/>
          <w:b/>
          <w:bCs/>
          <w:iCs/>
        </w:rPr>
        <w:t xml:space="preserve">Z uvedeného je zřejmé, že </w:t>
      </w:r>
      <w:proofErr w:type="spellStart"/>
      <w:r w:rsidRPr="00A21AC3">
        <w:rPr>
          <w:rFonts w:asciiTheme="minorHAnsi" w:hAnsiTheme="minorHAnsi" w:cstheme="minorHAnsi"/>
          <w:b/>
          <w:bCs/>
          <w:iCs/>
        </w:rPr>
        <w:t>MZ</w:t>
      </w:r>
      <w:r w:rsidR="006F3657" w:rsidRPr="00A21AC3">
        <w:rPr>
          <w:rFonts w:asciiTheme="minorHAnsi" w:hAnsiTheme="minorHAnsi" w:cstheme="minorHAnsi"/>
          <w:b/>
          <w:bCs/>
          <w:iCs/>
        </w:rPr>
        <w:t>d</w:t>
      </w:r>
      <w:proofErr w:type="spellEnd"/>
      <w:r w:rsidRPr="00A21AC3">
        <w:rPr>
          <w:rFonts w:asciiTheme="minorHAnsi" w:hAnsiTheme="minorHAnsi" w:cstheme="minorHAnsi"/>
          <w:b/>
          <w:bCs/>
          <w:iCs/>
        </w:rPr>
        <w:t xml:space="preserve"> ani nemohlo poskytnout příspěvek WHO, neboť to přísluší výhradně Ministerstvu zahraničních věcí, které je gestorem ve vztahu k této mezinárodní organizaci</w:t>
      </w:r>
      <w:r w:rsidRPr="004E2D6E">
        <w:rPr>
          <w:rFonts w:asciiTheme="minorHAnsi" w:hAnsiTheme="minorHAnsi" w:cstheme="minorHAnsi"/>
          <w:b/>
          <w:bCs/>
          <w:iCs/>
        </w:rPr>
        <w:t>.</w:t>
      </w:r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MZ</w:t>
      </w:r>
      <w:r w:rsidR="006F3657">
        <w:rPr>
          <w:rFonts w:asciiTheme="minorHAnsi" w:hAnsiTheme="minorHAnsi" w:cstheme="minorHAnsi"/>
          <w:bCs/>
          <w:iCs/>
        </w:rPr>
        <w:t>d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r w:rsidR="006F3657">
        <w:rPr>
          <w:rFonts w:asciiTheme="minorHAnsi" w:hAnsiTheme="minorHAnsi" w:cstheme="minorHAnsi"/>
          <w:bCs/>
          <w:iCs/>
        </w:rPr>
        <w:t xml:space="preserve">proto </w:t>
      </w:r>
      <w:r>
        <w:rPr>
          <w:rFonts w:asciiTheme="minorHAnsi" w:hAnsiTheme="minorHAnsi" w:cstheme="minorHAnsi"/>
          <w:bCs/>
          <w:iCs/>
        </w:rPr>
        <w:t xml:space="preserve">mohlo poskytnout WHO peněžní prostředky státního </w:t>
      </w:r>
      <w:r>
        <w:rPr>
          <w:rFonts w:asciiTheme="minorHAnsi" w:hAnsiTheme="minorHAnsi" w:cstheme="minorHAnsi"/>
          <w:bCs/>
          <w:iCs/>
        </w:rPr>
        <w:lastRenderedPageBreak/>
        <w:t>rozpočtu pouze ve formě peněžního daru, k</w:t>
      </w:r>
      <w:r w:rsidR="00EA5103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>jehož uskutečnění však potřeb</w:t>
      </w:r>
      <w:r w:rsidR="006F3657">
        <w:rPr>
          <w:rFonts w:asciiTheme="minorHAnsi" w:hAnsiTheme="minorHAnsi" w:cstheme="minorHAnsi"/>
          <w:bCs/>
          <w:iCs/>
        </w:rPr>
        <w:t>uje</w:t>
      </w:r>
      <w:r>
        <w:rPr>
          <w:rFonts w:asciiTheme="minorHAnsi" w:hAnsiTheme="minorHAnsi" w:cstheme="minorHAnsi"/>
          <w:bCs/>
          <w:iCs/>
        </w:rPr>
        <w:t xml:space="preserve"> předchozí souhlas vlády </w:t>
      </w:r>
      <w:r w:rsidR="006F3657">
        <w:rPr>
          <w:rFonts w:asciiTheme="minorHAnsi" w:hAnsiTheme="minorHAnsi" w:cstheme="minorHAnsi"/>
          <w:bCs/>
          <w:iCs/>
        </w:rPr>
        <w:t>v souladu s ustanovením</w:t>
      </w:r>
      <w:r>
        <w:rPr>
          <w:rFonts w:asciiTheme="minorHAnsi" w:hAnsiTheme="minorHAnsi" w:cstheme="minorHAnsi"/>
          <w:bCs/>
          <w:iCs/>
        </w:rPr>
        <w:t xml:space="preserve"> § 7 odst. 2 zákona č. 218/2000 Sb. </w:t>
      </w:r>
      <w:r w:rsidR="006F3657">
        <w:rPr>
          <w:rFonts w:asciiTheme="minorHAnsi" w:hAnsiTheme="minorHAnsi" w:cstheme="minorHAnsi"/>
          <w:bCs/>
          <w:iCs/>
        </w:rPr>
        <w:t>Souhlasem vlády</w:t>
      </w:r>
      <w:r>
        <w:rPr>
          <w:rFonts w:asciiTheme="minorHAnsi" w:hAnsiTheme="minorHAnsi" w:cstheme="minorHAnsi"/>
          <w:bCs/>
          <w:iCs/>
        </w:rPr>
        <w:t xml:space="preserve"> </w:t>
      </w:r>
      <w:r w:rsidR="00B63EDA">
        <w:rPr>
          <w:rFonts w:asciiTheme="minorHAnsi" w:hAnsiTheme="minorHAnsi" w:cstheme="minorHAnsi"/>
          <w:bCs/>
          <w:iCs/>
        </w:rPr>
        <w:t>Ministerstvo zdravotnictv</w:t>
      </w:r>
      <w:r w:rsidR="000C7FCA">
        <w:rPr>
          <w:rFonts w:asciiTheme="minorHAnsi" w:hAnsiTheme="minorHAnsi" w:cstheme="minorHAnsi"/>
          <w:bCs/>
          <w:iCs/>
        </w:rPr>
        <w:t>í</w:t>
      </w:r>
      <w:r>
        <w:rPr>
          <w:rFonts w:asciiTheme="minorHAnsi" w:hAnsiTheme="minorHAnsi" w:cstheme="minorHAnsi"/>
          <w:bCs/>
          <w:iCs/>
        </w:rPr>
        <w:t xml:space="preserve"> v uvedeném případě nedisponovalo. Chybí tak právní titul opravňující </w:t>
      </w:r>
      <w:proofErr w:type="spellStart"/>
      <w:r>
        <w:rPr>
          <w:rFonts w:asciiTheme="minorHAnsi" w:hAnsiTheme="minorHAnsi" w:cstheme="minorHAnsi"/>
          <w:bCs/>
          <w:iCs/>
        </w:rPr>
        <w:t>MZ</w:t>
      </w:r>
      <w:r w:rsidR="006F3657">
        <w:rPr>
          <w:rFonts w:asciiTheme="minorHAnsi" w:hAnsiTheme="minorHAnsi" w:cstheme="minorHAnsi"/>
          <w:bCs/>
          <w:iCs/>
        </w:rPr>
        <w:t>d</w:t>
      </w:r>
      <w:proofErr w:type="spellEnd"/>
      <w:r>
        <w:rPr>
          <w:rFonts w:asciiTheme="minorHAnsi" w:hAnsiTheme="minorHAnsi" w:cstheme="minorHAnsi"/>
          <w:bCs/>
          <w:iCs/>
        </w:rPr>
        <w:t xml:space="preserve"> poskytnout uvedený peněžní dar do zahraničí. </w:t>
      </w:r>
    </w:p>
    <w:p w14:paraId="11323E73" w14:textId="42CFA87F" w:rsidR="00AF7E2F" w:rsidRPr="009215DA" w:rsidRDefault="00AF7E2F" w:rsidP="00AF7E2F">
      <w:pPr>
        <w:jc w:val="both"/>
        <w:rPr>
          <w:rFonts w:asciiTheme="minorHAnsi" w:hAnsiTheme="minorHAnsi" w:cs="Arial"/>
          <w:bCs/>
          <w:iCs/>
        </w:rPr>
      </w:pPr>
      <w:r w:rsidRPr="00A21AC3">
        <w:rPr>
          <w:rFonts w:asciiTheme="minorHAnsi" w:hAnsiTheme="minorHAnsi" w:cs="Arial"/>
          <w:b/>
          <w:bCs/>
          <w:iCs/>
        </w:rPr>
        <w:t>Dle § 45 odst. 2 zákona č. 218/2000 Sb. může organizační složka státu prostředky, kterými disponuje, používat na krytí nezbytných potřeb a na opatření zakládající se na právních předpisech.</w:t>
      </w:r>
      <w:r w:rsidRPr="009215DA">
        <w:rPr>
          <w:rFonts w:asciiTheme="minorHAnsi" w:hAnsiTheme="minorHAnsi" w:cs="Arial"/>
          <w:bCs/>
          <w:iCs/>
        </w:rPr>
        <w:t xml:space="preserve"> V</w:t>
      </w:r>
      <w:r w:rsidR="000C7FCA">
        <w:rPr>
          <w:rFonts w:asciiTheme="minorHAnsi" w:hAnsiTheme="minorHAnsi" w:cs="Arial"/>
          <w:bCs/>
          <w:iCs/>
        </w:rPr>
        <w:t> </w:t>
      </w:r>
      <w:r w:rsidRPr="009215DA">
        <w:rPr>
          <w:rFonts w:asciiTheme="minorHAnsi" w:hAnsiTheme="minorHAnsi" w:cs="Arial"/>
          <w:bCs/>
          <w:iCs/>
        </w:rPr>
        <w:t>případě</w:t>
      </w:r>
      <w:r w:rsidR="000C7FCA">
        <w:rPr>
          <w:rFonts w:asciiTheme="minorHAnsi" w:hAnsiTheme="minorHAnsi" w:cs="Arial"/>
          <w:bCs/>
          <w:iCs/>
        </w:rPr>
        <w:t xml:space="preserve"> dobrovolného</w:t>
      </w:r>
      <w:r w:rsidRPr="009215DA">
        <w:rPr>
          <w:rFonts w:asciiTheme="minorHAnsi" w:hAnsiTheme="minorHAnsi" w:cs="Arial"/>
          <w:bCs/>
          <w:iCs/>
        </w:rPr>
        <w:t xml:space="preserve"> poskytnutí peněžního daru na účet </w:t>
      </w:r>
      <w:r w:rsidRPr="009215DA">
        <w:rPr>
          <w:rFonts w:cs="Calibri"/>
        </w:rPr>
        <w:t>WHO</w:t>
      </w:r>
      <w:r w:rsidRPr="009215DA">
        <w:rPr>
          <w:rFonts w:asciiTheme="minorHAnsi" w:hAnsiTheme="minorHAnsi" w:cs="Arial"/>
          <w:bCs/>
          <w:iCs/>
        </w:rPr>
        <w:t xml:space="preserve"> nemůže být poskytnutí takové platby považováno za opatření zakládající se na právních předpisech </w:t>
      </w:r>
      <w:r w:rsidR="00EA5103">
        <w:rPr>
          <w:rFonts w:asciiTheme="minorHAnsi" w:hAnsiTheme="minorHAnsi" w:cs="Arial"/>
          <w:bCs/>
          <w:iCs/>
        </w:rPr>
        <w:br/>
      </w:r>
      <w:r w:rsidRPr="009215DA">
        <w:rPr>
          <w:rFonts w:asciiTheme="minorHAnsi" w:hAnsiTheme="minorHAnsi" w:cs="Arial"/>
          <w:bCs/>
          <w:iCs/>
        </w:rPr>
        <w:t>a</w:t>
      </w:r>
      <w:r w:rsidR="00EA5103">
        <w:rPr>
          <w:rFonts w:asciiTheme="minorHAnsi" w:hAnsiTheme="minorHAnsi" w:cs="Arial"/>
          <w:bCs/>
          <w:iCs/>
        </w:rPr>
        <w:t xml:space="preserve"> </w:t>
      </w:r>
      <w:r w:rsidRPr="009215DA">
        <w:rPr>
          <w:rFonts w:asciiTheme="minorHAnsi" w:hAnsiTheme="minorHAnsi" w:cs="Arial"/>
          <w:bCs/>
          <w:iCs/>
        </w:rPr>
        <w:t>právně závazným důvodem pro uskutečnění takové platby může být jedině předchozí souhlas vlády. Poskytnutí peněžního daru</w:t>
      </w:r>
      <w:r>
        <w:rPr>
          <w:rFonts w:asciiTheme="minorHAnsi" w:hAnsiTheme="minorHAnsi" w:cs="Arial"/>
          <w:bCs/>
          <w:iCs/>
        </w:rPr>
        <w:t xml:space="preserve"> do zahraničí</w:t>
      </w:r>
      <w:r w:rsidRPr="009215DA">
        <w:rPr>
          <w:rFonts w:asciiTheme="minorHAnsi" w:hAnsiTheme="minorHAnsi" w:cs="Arial"/>
          <w:bCs/>
          <w:iCs/>
        </w:rPr>
        <w:t xml:space="preserve"> jen v důsledku rozhodnutí organizační složky státu bez předchozího souhlasu vlády nemůže být považováno za použití prostředků na krytí nezbytných potřeb a</w:t>
      </w:r>
      <w:r w:rsidR="000C7FCA">
        <w:rPr>
          <w:rFonts w:asciiTheme="minorHAnsi" w:hAnsiTheme="minorHAnsi" w:cs="Arial"/>
          <w:bCs/>
          <w:iCs/>
        </w:rPr>
        <w:t>ni za použití prostředků na krytí</w:t>
      </w:r>
      <w:r w:rsidRPr="009215DA">
        <w:rPr>
          <w:rFonts w:asciiTheme="minorHAnsi" w:hAnsiTheme="minorHAnsi" w:cs="Arial"/>
          <w:bCs/>
          <w:iCs/>
        </w:rPr>
        <w:t xml:space="preserve"> opatření založené</w:t>
      </w:r>
      <w:r w:rsidR="000C7FCA">
        <w:rPr>
          <w:rFonts w:asciiTheme="minorHAnsi" w:hAnsiTheme="minorHAnsi" w:cs="Arial"/>
          <w:bCs/>
          <w:iCs/>
        </w:rPr>
        <w:t>ho</w:t>
      </w:r>
      <w:r w:rsidRPr="009215DA">
        <w:rPr>
          <w:rFonts w:asciiTheme="minorHAnsi" w:hAnsiTheme="minorHAnsi" w:cs="Arial"/>
          <w:bCs/>
          <w:iCs/>
        </w:rPr>
        <w:t xml:space="preserve"> na právních předpisech.</w:t>
      </w:r>
    </w:p>
    <w:p w14:paraId="4F928E21" w14:textId="77777777" w:rsidR="00AF7E2F" w:rsidRPr="00A21AC3" w:rsidRDefault="00AF7E2F" w:rsidP="0066297E">
      <w:pPr>
        <w:spacing w:after="0"/>
        <w:jc w:val="both"/>
        <w:rPr>
          <w:rFonts w:asciiTheme="minorHAnsi" w:hAnsiTheme="minorHAnsi" w:cs="Arial"/>
          <w:b/>
          <w:bCs/>
          <w:iCs/>
        </w:rPr>
      </w:pPr>
      <w:proofErr w:type="spellStart"/>
      <w:r w:rsidRPr="009215DA">
        <w:rPr>
          <w:rFonts w:asciiTheme="minorHAnsi" w:hAnsiTheme="minorHAnsi" w:cs="Arial"/>
          <w:b/>
          <w:bCs/>
          <w:iCs/>
        </w:rPr>
        <w:t>MZ</w:t>
      </w:r>
      <w:r w:rsidR="000C6002">
        <w:rPr>
          <w:rFonts w:asciiTheme="minorHAnsi" w:hAnsiTheme="minorHAnsi" w:cs="Arial"/>
          <w:b/>
          <w:bCs/>
          <w:iCs/>
        </w:rPr>
        <w:t>d</w:t>
      </w:r>
      <w:proofErr w:type="spellEnd"/>
      <w:r w:rsidRPr="009215DA">
        <w:rPr>
          <w:rFonts w:asciiTheme="minorHAnsi" w:hAnsiTheme="minorHAnsi" w:cs="Arial"/>
          <w:b/>
          <w:bCs/>
          <w:iCs/>
        </w:rPr>
        <w:t xml:space="preserve"> porušilo § 45 odst. 2 zákona </w:t>
      </w:r>
      <w:r>
        <w:rPr>
          <w:rFonts w:asciiTheme="minorHAnsi" w:hAnsiTheme="minorHAnsi" w:cs="Arial"/>
          <w:b/>
          <w:bCs/>
          <w:iCs/>
        </w:rPr>
        <w:t>č. 218/2000 Sb.</w:t>
      </w:r>
      <w:r w:rsidRPr="009215DA">
        <w:rPr>
          <w:rFonts w:asciiTheme="minorHAnsi" w:hAnsiTheme="minorHAnsi" w:cs="Arial"/>
          <w:b/>
          <w:bCs/>
          <w:iCs/>
        </w:rPr>
        <w:t xml:space="preserve"> tím, že prostředky, kterými disponovalo, nepoužilo na krytí nezbytných potřeb a</w:t>
      </w:r>
      <w:r w:rsidR="000C7FCA">
        <w:rPr>
          <w:rFonts w:asciiTheme="minorHAnsi" w:hAnsiTheme="minorHAnsi" w:cs="Arial"/>
          <w:b/>
          <w:bCs/>
          <w:iCs/>
        </w:rPr>
        <w:t>ni</w:t>
      </w:r>
      <w:r w:rsidRPr="009215DA">
        <w:rPr>
          <w:rFonts w:asciiTheme="minorHAnsi" w:hAnsiTheme="minorHAnsi" w:cs="Arial"/>
          <w:b/>
          <w:bCs/>
          <w:iCs/>
        </w:rPr>
        <w:t xml:space="preserve"> na opatření zakládající se na právních předpisech, když poskytlo peněžní dar WHO bez předchozího souhlasu vlády. Zákon</w:t>
      </w:r>
      <w:r>
        <w:rPr>
          <w:rFonts w:asciiTheme="minorHAnsi" w:hAnsiTheme="minorHAnsi" w:cs="Arial"/>
          <w:b/>
          <w:bCs/>
          <w:iCs/>
        </w:rPr>
        <w:t xml:space="preserve"> č. 218/2000 Sb. </w:t>
      </w:r>
      <w:r w:rsidRPr="009215DA">
        <w:rPr>
          <w:rFonts w:asciiTheme="minorHAnsi" w:hAnsiTheme="minorHAnsi" w:cs="Arial"/>
          <w:b/>
          <w:bCs/>
          <w:iCs/>
        </w:rPr>
        <w:t>považuje v § 44 odst. 1 písm. f) porušení § 45 odst. 2 tohoto zákona za porušení rozpočtové kázně</w:t>
      </w:r>
      <w:r w:rsidR="00CC38E5">
        <w:rPr>
          <w:rFonts w:asciiTheme="minorHAnsi" w:hAnsiTheme="minorHAnsi" w:cs="Arial"/>
          <w:b/>
          <w:bCs/>
          <w:iCs/>
        </w:rPr>
        <w:t>.</w:t>
      </w:r>
    </w:p>
    <w:p w14:paraId="44636559" w14:textId="77777777" w:rsidR="008B593C" w:rsidRPr="00D71C60" w:rsidRDefault="008B593C" w:rsidP="0066297E">
      <w:pPr>
        <w:spacing w:after="0"/>
        <w:jc w:val="both"/>
        <w:rPr>
          <w:highlight w:val="yellow"/>
        </w:rPr>
      </w:pPr>
    </w:p>
    <w:p w14:paraId="3433ED9C" w14:textId="0C0E2C9E" w:rsidR="008B593C" w:rsidRPr="00085F16" w:rsidRDefault="006750E2" w:rsidP="00847833">
      <w:pPr>
        <w:pStyle w:val="Nadpis2"/>
        <w:keepNext/>
        <w:numPr>
          <w:ilvl w:val="0"/>
          <w:numId w:val="0"/>
        </w:numPr>
        <w:spacing w:after="120" w:line="240" w:lineRule="auto"/>
        <w:contextualSpacing w:val="0"/>
        <w:jc w:val="left"/>
        <w:rPr>
          <w:rFonts w:ascii="Calibri" w:hAnsi="Calibri" w:cs="Calibri"/>
          <w:lang w:eastAsia="cs-CZ"/>
        </w:rPr>
      </w:pPr>
      <w:r w:rsidRPr="00085F16">
        <w:rPr>
          <w:rFonts w:ascii="Calibri" w:hAnsi="Calibri" w:cs="Calibri"/>
        </w:rPr>
        <w:t xml:space="preserve">6. </w:t>
      </w:r>
      <w:r w:rsidR="008B593C" w:rsidRPr="00085F16">
        <w:rPr>
          <w:rFonts w:ascii="Calibri" w:hAnsi="Calibri" w:cs="Calibri"/>
        </w:rPr>
        <w:t xml:space="preserve">Vyhodnocení opatření přijatých k nápravě nedostatků </w:t>
      </w:r>
      <w:r w:rsidR="000C7FCA">
        <w:rPr>
          <w:rFonts w:ascii="Calibri" w:hAnsi="Calibri" w:cs="Calibri"/>
        </w:rPr>
        <w:t>zjištěných při</w:t>
      </w:r>
      <w:r w:rsidR="008B593C" w:rsidRPr="00085F16">
        <w:rPr>
          <w:rFonts w:ascii="Calibri" w:hAnsi="Calibri" w:cs="Calibri"/>
        </w:rPr>
        <w:t xml:space="preserve"> KA č. 1</w:t>
      </w:r>
      <w:r w:rsidR="00085F16" w:rsidRPr="00085F16">
        <w:rPr>
          <w:rFonts w:ascii="Calibri" w:hAnsi="Calibri" w:cs="Calibri"/>
        </w:rPr>
        <w:t>8</w:t>
      </w:r>
      <w:r w:rsidR="008B593C" w:rsidRPr="00085F16">
        <w:rPr>
          <w:rFonts w:ascii="Calibri" w:hAnsi="Calibri" w:cs="Calibri"/>
        </w:rPr>
        <w:t>/</w:t>
      </w:r>
      <w:r w:rsidR="00085F16" w:rsidRPr="00085F16">
        <w:rPr>
          <w:rFonts w:ascii="Calibri" w:hAnsi="Calibri" w:cs="Calibri"/>
        </w:rPr>
        <w:t>13</w:t>
      </w:r>
    </w:p>
    <w:p w14:paraId="472F5130" w14:textId="0DE8926E" w:rsidR="008B593C" w:rsidRDefault="008B593C" w:rsidP="006B0AA0">
      <w:pPr>
        <w:keepNext/>
        <w:spacing w:after="0"/>
        <w:jc w:val="both"/>
        <w:rPr>
          <w:rFonts w:eastAsiaTheme="minorHAnsi" w:cs="Calibri"/>
          <w:bCs/>
        </w:rPr>
      </w:pPr>
      <w:r w:rsidRPr="00085F16">
        <w:rPr>
          <w:rFonts w:cs="Calibri"/>
        </w:rPr>
        <w:t xml:space="preserve">Vláda ČR </w:t>
      </w:r>
      <w:r w:rsidR="000C7FCA">
        <w:rPr>
          <w:rFonts w:cs="Calibri"/>
        </w:rPr>
        <w:t xml:space="preserve">svým </w:t>
      </w:r>
      <w:r w:rsidRPr="00085F16">
        <w:rPr>
          <w:rFonts w:cs="Calibri"/>
        </w:rPr>
        <w:t xml:space="preserve">usnesením ze dne </w:t>
      </w:r>
      <w:r w:rsidR="00085F16" w:rsidRPr="00085F16">
        <w:rPr>
          <w:rFonts w:cs="Calibri"/>
        </w:rPr>
        <w:t>30</w:t>
      </w:r>
      <w:r w:rsidRPr="00085F16">
        <w:rPr>
          <w:rFonts w:cs="Calibri"/>
        </w:rPr>
        <w:t xml:space="preserve">. </w:t>
      </w:r>
      <w:r w:rsidR="00085F16" w:rsidRPr="00085F16">
        <w:rPr>
          <w:rFonts w:cs="Calibri"/>
        </w:rPr>
        <w:t>září</w:t>
      </w:r>
      <w:r w:rsidRPr="00085F16">
        <w:rPr>
          <w:rFonts w:cs="Calibri"/>
        </w:rPr>
        <w:t xml:space="preserve"> 201</w:t>
      </w:r>
      <w:r w:rsidR="00085F16" w:rsidRPr="00085F16">
        <w:rPr>
          <w:rFonts w:cs="Calibri"/>
        </w:rPr>
        <w:t>9</w:t>
      </w:r>
      <w:r w:rsidRPr="00085F16">
        <w:rPr>
          <w:rFonts w:cs="Calibri"/>
        </w:rPr>
        <w:t xml:space="preserve"> č. </w:t>
      </w:r>
      <w:r w:rsidR="00085F16" w:rsidRPr="00085F16">
        <w:rPr>
          <w:rFonts w:cs="Calibri"/>
        </w:rPr>
        <w:t>676</w:t>
      </w:r>
      <w:r w:rsidR="00D4218A" w:rsidRPr="00085F16">
        <w:rPr>
          <w:rFonts w:cs="Calibri"/>
        </w:rPr>
        <w:t>,</w:t>
      </w:r>
      <w:r w:rsidRPr="00085F16">
        <w:rPr>
          <w:rFonts w:cs="Calibri"/>
        </w:rPr>
        <w:t xml:space="preserve"> </w:t>
      </w:r>
      <w:r w:rsidRPr="00085F16">
        <w:rPr>
          <w:rFonts w:cs="Calibri"/>
          <w:i/>
        </w:rPr>
        <w:t>ke kontrolnímu závěru Nejvyššího kontrolního úřadu z</w:t>
      </w:r>
      <w:r w:rsidR="000C7FCA">
        <w:rPr>
          <w:rFonts w:cs="Calibri"/>
          <w:i/>
        </w:rPr>
        <w:t xml:space="preserve"> </w:t>
      </w:r>
      <w:r w:rsidRPr="00085F16">
        <w:rPr>
          <w:rFonts w:cs="Calibri"/>
          <w:i/>
        </w:rPr>
        <w:t>KA č. 1</w:t>
      </w:r>
      <w:r w:rsidR="00085F16" w:rsidRPr="00085F16">
        <w:rPr>
          <w:rFonts w:cs="Calibri"/>
          <w:i/>
        </w:rPr>
        <w:t>8</w:t>
      </w:r>
      <w:r w:rsidRPr="00085F16">
        <w:rPr>
          <w:rFonts w:cs="Calibri"/>
          <w:i/>
        </w:rPr>
        <w:t>/</w:t>
      </w:r>
      <w:r w:rsidR="00085F16" w:rsidRPr="00085F16">
        <w:rPr>
          <w:rFonts w:cs="Calibri"/>
          <w:i/>
        </w:rPr>
        <w:t>13</w:t>
      </w:r>
      <w:r w:rsidR="00D4218A" w:rsidRPr="00085F16">
        <w:rPr>
          <w:rFonts w:cs="Calibri"/>
        </w:rPr>
        <w:t>,</w:t>
      </w:r>
      <w:r w:rsidRPr="00085F16">
        <w:rPr>
          <w:rFonts w:cs="Calibri"/>
        </w:rPr>
        <w:t xml:space="preserve"> </w:t>
      </w:r>
      <w:r w:rsidR="000C7FCA" w:rsidRPr="00085F16">
        <w:rPr>
          <w:rFonts w:cs="Calibri"/>
        </w:rPr>
        <w:t xml:space="preserve">stanovila </w:t>
      </w:r>
      <w:r w:rsidRPr="00085F16">
        <w:rPr>
          <w:rFonts w:cs="Calibri"/>
        </w:rPr>
        <w:t xml:space="preserve">pro </w:t>
      </w:r>
      <w:proofErr w:type="spellStart"/>
      <w:r w:rsidRPr="00085F16">
        <w:rPr>
          <w:rFonts w:cs="Calibri"/>
        </w:rPr>
        <w:t>M</w:t>
      </w:r>
      <w:r w:rsidR="00085F16" w:rsidRPr="00085F16">
        <w:rPr>
          <w:rFonts w:cs="Calibri"/>
        </w:rPr>
        <w:t>Z</w:t>
      </w:r>
      <w:r w:rsidR="000C6002">
        <w:rPr>
          <w:rFonts w:cs="Calibri"/>
        </w:rPr>
        <w:t>d</w:t>
      </w:r>
      <w:proofErr w:type="spellEnd"/>
      <w:r w:rsidRPr="00085F16">
        <w:rPr>
          <w:rFonts w:cs="Calibri"/>
        </w:rPr>
        <w:t xml:space="preserve"> 2</w:t>
      </w:r>
      <w:r w:rsidR="00085F16" w:rsidRPr="00085F16">
        <w:rPr>
          <w:rFonts w:cs="Calibri"/>
        </w:rPr>
        <w:t>1</w:t>
      </w:r>
      <w:r w:rsidRPr="00085F16">
        <w:rPr>
          <w:rFonts w:cs="Calibri"/>
        </w:rPr>
        <w:t xml:space="preserve"> opatření k</w:t>
      </w:r>
      <w:r w:rsidR="000C7FCA">
        <w:rPr>
          <w:rFonts w:cs="Calibri"/>
        </w:rPr>
        <w:t xml:space="preserve"> </w:t>
      </w:r>
      <w:r w:rsidRPr="00085F16">
        <w:rPr>
          <w:rFonts w:cs="Calibri"/>
        </w:rPr>
        <w:t xml:space="preserve">nápravě </w:t>
      </w:r>
      <w:r w:rsidR="000C7FCA">
        <w:rPr>
          <w:rFonts w:cs="Calibri"/>
        </w:rPr>
        <w:t xml:space="preserve">zjištěných </w:t>
      </w:r>
      <w:r w:rsidRPr="00085F16">
        <w:rPr>
          <w:rFonts w:cs="Calibri"/>
        </w:rPr>
        <w:t xml:space="preserve">nedostatků. </w:t>
      </w:r>
      <w:proofErr w:type="spellStart"/>
      <w:r w:rsidRPr="00085F16">
        <w:rPr>
          <w:rFonts w:eastAsiaTheme="minorHAnsi" w:cs="Calibri"/>
          <w:b/>
          <w:bCs/>
        </w:rPr>
        <w:t>M</w:t>
      </w:r>
      <w:r w:rsidR="00085F16" w:rsidRPr="00085F16">
        <w:rPr>
          <w:rFonts w:eastAsiaTheme="minorHAnsi" w:cs="Calibri"/>
          <w:b/>
          <w:bCs/>
        </w:rPr>
        <w:t>Z</w:t>
      </w:r>
      <w:r w:rsidR="00BB0E2D">
        <w:rPr>
          <w:rFonts w:eastAsiaTheme="minorHAnsi" w:cs="Calibri"/>
          <w:b/>
          <w:bCs/>
        </w:rPr>
        <w:t>d</w:t>
      </w:r>
      <w:proofErr w:type="spellEnd"/>
      <w:r w:rsidR="00085F16" w:rsidRPr="00085F16">
        <w:rPr>
          <w:rFonts w:eastAsiaTheme="minorHAnsi" w:cs="Calibri"/>
          <w:b/>
          <w:bCs/>
        </w:rPr>
        <w:t xml:space="preserve"> realizovalo úplně a správně všech těchto 21 opatření</w:t>
      </w:r>
      <w:r w:rsidRPr="00085F16">
        <w:rPr>
          <w:rFonts w:eastAsiaTheme="minorHAnsi" w:cs="Calibri"/>
          <w:b/>
          <w:bCs/>
        </w:rPr>
        <w:t xml:space="preserve">. </w:t>
      </w:r>
      <w:proofErr w:type="spellStart"/>
      <w:r w:rsidR="00085F16" w:rsidRPr="00085F16">
        <w:rPr>
          <w:rFonts w:eastAsiaTheme="minorHAnsi" w:cs="Calibri"/>
          <w:bCs/>
        </w:rPr>
        <w:t>MZ</w:t>
      </w:r>
      <w:r w:rsidR="00BB0E2D">
        <w:rPr>
          <w:rFonts w:eastAsiaTheme="minorHAnsi" w:cs="Calibri"/>
          <w:bCs/>
        </w:rPr>
        <w:t>d</w:t>
      </w:r>
      <w:proofErr w:type="spellEnd"/>
      <w:r w:rsidR="00085F16" w:rsidRPr="00085F16">
        <w:rPr>
          <w:rFonts w:eastAsiaTheme="minorHAnsi" w:cs="Calibri"/>
          <w:bCs/>
        </w:rPr>
        <w:t xml:space="preserve"> tak realizovalo opatření k nápravě nedostatků ze 100 %</w:t>
      </w:r>
      <w:r w:rsidRPr="00085F16">
        <w:rPr>
          <w:rFonts w:eastAsiaTheme="minorHAnsi" w:cs="Calibri"/>
          <w:bCs/>
        </w:rPr>
        <w:t>.</w:t>
      </w:r>
    </w:p>
    <w:p w14:paraId="7D4A7E44" w14:textId="77777777" w:rsidR="006B0AA0" w:rsidRPr="00D71C60" w:rsidRDefault="006B0AA0" w:rsidP="006B0AA0">
      <w:pPr>
        <w:keepNext/>
        <w:spacing w:after="0"/>
        <w:jc w:val="both"/>
        <w:rPr>
          <w:b/>
          <w:highlight w:val="yellow"/>
        </w:rPr>
      </w:pPr>
    </w:p>
    <w:p w14:paraId="2DDB031F" w14:textId="77777777" w:rsidR="00A8572C" w:rsidRPr="00D71C60" w:rsidRDefault="00A8572C" w:rsidP="00463ED9">
      <w:pPr>
        <w:spacing w:after="60"/>
        <w:rPr>
          <w:rFonts w:eastAsiaTheme="minorHAnsi"/>
          <w:highlight w:val="yellow"/>
        </w:rPr>
      </w:pPr>
    </w:p>
    <w:p w14:paraId="46137F06" w14:textId="77777777" w:rsidR="00D554C8" w:rsidRDefault="00D554C8">
      <w:pPr>
        <w:spacing w:after="160" w:line="259" w:lineRule="auto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br w:type="page"/>
      </w:r>
    </w:p>
    <w:p w14:paraId="74FCDCF2" w14:textId="77777777" w:rsidR="00112642" w:rsidRPr="00EE514D" w:rsidRDefault="00A640AE">
      <w:pPr>
        <w:spacing w:after="60"/>
        <w:rPr>
          <w:rFonts w:asciiTheme="minorHAnsi" w:eastAsiaTheme="minorHAnsi" w:hAnsiTheme="minorHAnsi" w:cstheme="minorHAnsi"/>
          <w:b/>
          <w:sz w:val="28"/>
          <w:szCs w:val="28"/>
        </w:rPr>
      </w:pPr>
      <w:r w:rsidRPr="00EE514D">
        <w:rPr>
          <w:rFonts w:asciiTheme="minorHAnsi" w:eastAsiaTheme="minorHAnsi" w:hAnsiTheme="minorHAnsi" w:cstheme="minorHAnsi"/>
          <w:b/>
          <w:sz w:val="28"/>
          <w:szCs w:val="28"/>
        </w:rPr>
        <w:lastRenderedPageBreak/>
        <w:t>Seznam zkratek</w:t>
      </w:r>
    </w:p>
    <w:p w14:paraId="23B532F7" w14:textId="77777777" w:rsidR="00EE514D" w:rsidRPr="00A6638A" w:rsidRDefault="00EE514D" w:rsidP="00EE514D">
      <w:pPr>
        <w:spacing w:after="60"/>
        <w:rPr>
          <w:rFonts w:asciiTheme="minorHAnsi" w:eastAsiaTheme="minorHAnsi" w:hAnsiTheme="minorHAnsi" w:cstheme="minorHAnsi"/>
          <w:b/>
        </w:rPr>
      </w:pPr>
    </w:p>
    <w:p w14:paraId="7970FBBA" w14:textId="4D1C036C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APA</w:t>
      </w:r>
      <w:r w:rsidRPr="00EE514D">
        <w:rPr>
          <w:rFonts w:asciiTheme="minorHAnsi" w:eastAsiaTheme="minorHAnsi" w:hAnsiTheme="minorHAnsi" w:cstheme="minorHAnsi"/>
        </w:rPr>
        <w:tab/>
      </w:r>
      <w:proofErr w:type="spellStart"/>
      <w:r w:rsidRPr="00EE514D">
        <w:rPr>
          <w:rFonts w:asciiTheme="minorHAnsi" w:eastAsiaTheme="minorHAnsi" w:hAnsiTheme="minorHAnsi" w:cstheme="minorHAnsi"/>
        </w:rPr>
        <w:t>Advance</w:t>
      </w:r>
      <w:r w:rsidR="00391821">
        <w:rPr>
          <w:rFonts w:asciiTheme="minorHAnsi" w:eastAsiaTheme="minorHAnsi" w:hAnsiTheme="minorHAnsi" w:cstheme="minorHAnsi"/>
        </w:rPr>
        <w:t>d</w:t>
      </w:r>
      <w:proofErr w:type="spellEnd"/>
      <w:r w:rsidRPr="00EE514D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E514D">
        <w:rPr>
          <w:rFonts w:asciiTheme="minorHAnsi" w:eastAsiaTheme="minorHAnsi" w:hAnsiTheme="minorHAnsi" w:cstheme="minorHAnsi"/>
        </w:rPr>
        <w:t>Purchase</w:t>
      </w:r>
      <w:proofErr w:type="spellEnd"/>
      <w:r w:rsidRPr="00EE514D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E514D">
        <w:rPr>
          <w:rFonts w:asciiTheme="minorHAnsi" w:eastAsiaTheme="minorHAnsi" w:hAnsiTheme="minorHAnsi" w:cstheme="minorHAnsi"/>
        </w:rPr>
        <w:t>Agreements</w:t>
      </w:r>
      <w:proofErr w:type="spellEnd"/>
      <w:r w:rsidRPr="00EE514D">
        <w:rPr>
          <w:rFonts w:asciiTheme="minorHAnsi" w:eastAsiaTheme="minorHAnsi" w:hAnsiTheme="minorHAnsi" w:cstheme="minorHAnsi"/>
        </w:rPr>
        <w:t xml:space="preserve"> (předběžná dohoda o nákupu)</w:t>
      </w:r>
    </w:p>
    <w:p w14:paraId="7E761224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CSÚIS</w:t>
      </w:r>
      <w:r w:rsidRPr="00EE514D">
        <w:rPr>
          <w:rFonts w:asciiTheme="minorHAnsi" w:eastAsiaTheme="minorHAnsi" w:hAnsiTheme="minorHAnsi" w:cstheme="minorHAnsi"/>
        </w:rPr>
        <w:tab/>
      </w:r>
      <w:r w:rsidRPr="00EE514D">
        <w:rPr>
          <w:rFonts w:asciiTheme="minorHAnsi" w:eastAsiaTheme="minorHAnsi" w:hAnsiTheme="minorHAnsi" w:cstheme="minorHAnsi"/>
          <w:i/>
        </w:rPr>
        <w:t>Centrální systém účetních informací státu</w:t>
      </w:r>
    </w:p>
    <w:p w14:paraId="12A2EDC9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ČR</w:t>
      </w:r>
      <w:r w:rsidRPr="00EE514D">
        <w:rPr>
          <w:rFonts w:asciiTheme="minorHAnsi" w:eastAsiaTheme="minorHAnsi" w:hAnsiTheme="minorHAnsi" w:cstheme="minorHAnsi"/>
        </w:rPr>
        <w:tab/>
        <w:t>Česká republika</w:t>
      </w:r>
    </w:p>
    <w:p w14:paraId="0F88F17E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ČÚS</w:t>
      </w:r>
      <w:r w:rsidRPr="00EE514D">
        <w:rPr>
          <w:rFonts w:asciiTheme="minorHAnsi" w:eastAsiaTheme="minorHAnsi" w:hAnsiTheme="minorHAnsi" w:cstheme="minorHAnsi"/>
        </w:rPr>
        <w:tab/>
        <w:t>český účetní standard pro některé vybrané účetní jednotky</w:t>
      </w:r>
    </w:p>
    <w:p w14:paraId="13A52E77" w14:textId="584141E9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eastAsiaTheme="minorHAnsi" w:cs="Calibri"/>
        </w:rPr>
        <w:t xml:space="preserve">EDS/SMVS </w:t>
      </w:r>
      <w:r w:rsidRPr="00EE514D">
        <w:rPr>
          <w:rFonts w:eastAsiaTheme="minorHAnsi" w:cs="Calibri"/>
        </w:rPr>
        <w:tab/>
        <w:t xml:space="preserve">informační systém </w:t>
      </w:r>
      <w:r w:rsidRPr="004E2D6E">
        <w:rPr>
          <w:rFonts w:eastAsiaTheme="minorHAnsi" w:cs="Calibri"/>
          <w:i/>
        </w:rPr>
        <w:t>Evidenční dotační systém</w:t>
      </w:r>
      <w:r w:rsidRPr="00EE514D">
        <w:rPr>
          <w:rFonts w:eastAsiaTheme="minorHAnsi" w:cs="Calibri"/>
        </w:rPr>
        <w:t>/</w:t>
      </w:r>
      <w:r w:rsidRPr="004E2D6E">
        <w:rPr>
          <w:rFonts w:eastAsiaTheme="minorHAnsi" w:cs="Calibri"/>
          <w:i/>
        </w:rPr>
        <w:t>Správa majetku ve vlastnictví státu</w:t>
      </w:r>
    </w:p>
    <w:p w14:paraId="42F44DD8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ESI</w:t>
      </w:r>
      <w:r w:rsidRPr="00EE514D">
        <w:rPr>
          <w:rFonts w:asciiTheme="minorHAnsi" w:eastAsiaTheme="minorHAnsi" w:hAnsiTheme="minorHAnsi" w:cstheme="minorHAnsi"/>
        </w:rPr>
        <w:tab/>
      </w:r>
      <w:r w:rsidRPr="00D11F46">
        <w:rPr>
          <w:rFonts w:asciiTheme="minorHAnsi" w:eastAsiaTheme="minorHAnsi" w:hAnsiTheme="minorHAnsi" w:cstheme="minorHAnsi"/>
          <w:lang w:val="en-GB"/>
        </w:rPr>
        <w:t>Emergency Support Instrument</w:t>
      </w:r>
      <w:r w:rsidRPr="00EE514D">
        <w:rPr>
          <w:rFonts w:asciiTheme="minorHAnsi" w:eastAsiaTheme="minorHAnsi" w:hAnsiTheme="minorHAnsi" w:cstheme="minorHAnsi"/>
        </w:rPr>
        <w:t xml:space="preserve"> (nástroj pro mimořádnou podporu)</w:t>
      </w:r>
    </w:p>
    <w:p w14:paraId="315B1D4E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EU</w:t>
      </w:r>
      <w:r w:rsidRPr="00EE514D">
        <w:rPr>
          <w:rFonts w:asciiTheme="minorHAnsi" w:eastAsiaTheme="minorHAnsi" w:hAnsiTheme="minorHAnsi" w:cstheme="minorHAnsi"/>
        </w:rPr>
        <w:tab/>
        <w:t>Evropská unie</w:t>
      </w:r>
    </w:p>
    <w:p w14:paraId="0F7FF7E8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IČO</w:t>
      </w:r>
      <w:r w:rsidRPr="00EE514D">
        <w:rPr>
          <w:rFonts w:asciiTheme="minorHAnsi" w:eastAsiaTheme="minorHAnsi" w:hAnsiTheme="minorHAnsi" w:cstheme="minorHAnsi"/>
        </w:rPr>
        <w:tab/>
        <w:t>identifikační číslo</w:t>
      </w:r>
    </w:p>
    <w:p w14:paraId="3B562618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IISSP</w:t>
      </w:r>
      <w:r w:rsidRPr="00EE514D">
        <w:rPr>
          <w:rFonts w:asciiTheme="minorHAnsi" w:eastAsiaTheme="minorHAnsi" w:hAnsiTheme="minorHAnsi" w:cstheme="minorHAnsi"/>
        </w:rPr>
        <w:tab/>
      </w:r>
      <w:r w:rsidRPr="00EE514D">
        <w:rPr>
          <w:rFonts w:asciiTheme="minorHAnsi" w:eastAsiaTheme="minorHAnsi" w:hAnsiTheme="minorHAnsi" w:cstheme="minorHAnsi"/>
          <w:i/>
        </w:rPr>
        <w:t>Integrovaný informační systém Státní pokladny</w:t>
      </w:r>
    </w:p>
    <w:p w14:paraId="73004400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KA</w:t>
      </w:r>
      <w:r w:rsidRPr="00EE514D">
        <w:rPr>
          <w:rFonts w:asciiTheme="minorHAnsi" w:eastAsiaTheme="minorHAnsi" w:hAnsiTheme="minorHAnsi" w:cstheme="minorHAnsi"/>
        </w:rPr>
        <w:tab/>
        <w:t>kontrolní akce Nejvyššího kontrolního úřadu</w:t>
      </w:r>
    </w:p>
    <w:p w14:paraId="6C3DB9AB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kapitola 335</w:t>
      </w:r>
      <w:r w:rsidRPr="00EE514D">
        <w:rPr>
          <w:rFonts w:asciiTheme="minorHAnsi" w:eastAsiaTheme="minorHAnsi" w:hAnsiTheme="minorHAnsi" w:cstheme="minorHAnsi"/>
        </w:rPr>
        <w:tab/>
        <w:t xml:space="preserve">kapitola státního rozpočtu 335 – </w:t>
      </w:r>
      <w:r w:rsidRPr="00EE514D">
        <w:rPr>
          <w:rFonts w:asciiTheme="minorHAnsi" w:eastAsiaTheme="minorHAnsi" w:hAnsiTheme="minorHAnsi" w:cstheme="minorHAnsi"/>
          <w:i/>
        </w:rPr>
        <w:t>Ministerstvo zdravotnictví</w:t>
      </w:r>
    </w:p>
    <w:p w14:paraId="1708D720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Komise</w:t>
      </w:r>
      <w:r w:rsidRPr="00EE514D">
        <w:rPr>
          <w:rFonts w:asciiTheme="minorHAnsi" w:eastAsiaTheme="minorHAnsi" w:hAnsiTheme="minorHAnsi" w:cstheme="minorHAnsi"/>
        </w:rPr>
        <w:tab/>
        <w:t>Evropská komise</w:t>
      </w:r>
    </w:p>
    <w:p w14:paraId="49319FCC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KTS</w:t>
      </w:r>
      <w:r w:rsidRPr="00EE514D">
        <w:rPr>
          <w:rFonts w:asciiTheme="minorHAnsi" w:eastAsiaTheme="minorHAnsi" w:hAnsiTheme="minorHAnsi" w:cstheme="minorHAnsi"/>
        </w:rPr>
        <w:tab/>
        <w:t>Koordinační středisko transplantací</w:t>
      </w:r>
    </w:p>
    <w:p w14:paraId="0FCC1F4B" w14:textId="77777777" w:rsidR="00345BDA" w:rsidRPr="00EE514D" w:rsidRDefault="00345BDA" w:rsidP="004E2D6E">
      <w:pPr>
        <w:spacing w:after="80"/>
        <w:ind w:left="2268" w:hanging="2268"/>
        <w:rPr>
          <w:rFonts w:cs="Calibri"/>
          <w:color w:val="000000"/>
          <w:lang w:eastAsia="cs-CZ"/>
        </w:rPr>
      </w:pPr>
      <w:r w:rsidRPr="00EE514D">
        <w:rPr>
          <w:rFonts w:cs="Calibri"/>
          <w:color w:val="000000"/>
          <w:lang w:eastAsia="cs-CZ"/>
        </w:rPr>
        <w:t>MF</w:t>
      </w:r>
      <w:r w:rsidRPr="00EE514D">
        <w:rPr>
          <w:rFonts w:cs="Calibri"/>
          <w:color w:val="000000"/>
          <w:lang w:eastAsia="cs-CZ"/>
        </w:rPr>
        <w:tab/>
        <w:t>Ministerstvo financí</w:t>
      </w:r>
    </w:p>
    <w:p w14:paraId="24D92CFB" w14:textId="401CC183" w:rsidR="00345BDA" w:rsidRPr="00EE514D" w:rsidRDefault="00345BDA" w:rsidP="004E2D6E">
      <w:pPr>
        <w:spacing w:after="80"/>
        <w:ind w:left="2268" w:hanging="2268"/>
        <w:rPr>
          <w:rFonts w:cs="Calibri"/>
          <w:color w:val="000000"/>
          <w:lang w:eastAsia="cs-CZ"/>
        </w:rPr>
      </w:pPr>
      <w:proofErr w:type="spellStart"/>
      <w:r w:rsidRPr="00EE514D">
        <w:rPr>
          <w:rFonts w:cs="Calibri"/>
          <w:color w:val="000000"/>
          <w:lang w:eastAsia="cs-CZ"/>
        </w:rPr>
        <w:t>MSvP</w:t>
      </w:r>
      <w:proofErr w:type="spellEnd"/>
      <w:r w:rsidRPr="00EE514D">
        <w:rPr>
          <w:rFonts w:cs="Calibri"/>
          <w:color w:val="000000"/>
          <w:lang w:eastAsia="cs-CZ"/>
        </w:rPr>
        <w:tab/>
        <w:t>Městský soud v Praze</w:t>
      </w:r>
    </w:p>
    <w:p w14:paraId="3A9F5D85" w14:textId="77777777" w:rsidR="00345BDA" w:rsidRPr="00EE514D" w:rsidRDefault="00345BDA" w:rsidP="004E2D6E">
      <w:pPr>
        <w:spacing w:after="80"/>
        <w:ind w:left="2268" w:hanging="2268"/>
        <w:rPr>
          <w:rFonts w:cs="Calibri"/>
          <w:color w:val="000000"/>
          <w:lang w:eastAsia="cs-CZ"/>
        </w:rPr>
      </w:pPr>
      <w:proofErr w:type="spellStart"/>
      <w:r w:rsidRPr="00EE514D">
        <w:rPr>
          <w:rFonts w:cs="Calibri"/>
          <w:color w:val="000000"/>
          <w:lang w:eastAsia="cs-CZ"/>
        </w:rPr>
        <w:t>MZd</w:t>
      </w:r>
      <w:proofErr w:type="spellEnd"/>
      <w:r w:rsidRPr="00EE514D">
        <w:rPr>
          <w:rFonts w:cs="Calibri"/>
          <w:color w:val="000000"/>
          <w:lang w:eastAsia="cs-CZ"/>
        </w:rPr>
        <w:t xml:space="preserve"> </w:t>
      </w:r>
      <w:r w:rsidRPr="00EE514D">
        <w:rPr>
          <w:rFonts w:cs="Calibri"/>
          <w:color w:val="000000"/>
          <w:lang w:eastAsia="cs-CZ"/>
        </w:rPr>
        <w:tab/>
        <w:t>Ministerstvo zdravotnictví</w:t>
      </w:r>
    </w:p>
    <w:p w14:paraId="0ED383F9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NKÚ</w:t>
      </w:r>
      <w:r w:rsidRPr="00EE514D">
        <w:rPr>
          <w:rFonts w:asciiTheme="minorHAnsi" w:eastAsiaTheme="minorHAnsi" w:hAnsiTheme="minorHAnsi" w:cstheme="minorHAnsi"/>
        </w:rPr>
        <w:tab/>
        <w:t>Nejvyšší kontrolní úřad</w:t>
      </w:r>
    </w:p>
    <w:p w14:paraId="637A93F6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OSS</w:t>
      </w:r>
      <w:r w:rsidRPr="00EE514D">
        <w:rPr>
          <w:rFonts w:asciiTheme="minorHAnsi" w:eastAsiaTheme="minorHAnsi" w:hAnsiTheme="minorHAnsi" w:cstheme="minorHAnsi"/>
        </w:rPr>
        <w:tab/>
        <w:t>organizační složka/složky státu</w:t>
      </w:r>
    </w:p>
    <w:p w14:paraId="708B4085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PA</w:t>
      </w:r>
      <w:r w:rsidRPr="00EE514D">
        <w:rPr>
          <w:rFonts w:asciiTheme="minorHAnsi" w:eastAsiaTheme="minorHAnsi" w:hAnsiTheme="minorHAnsi" w:cstheme="minorHAnsi"/>
        </w:rPr>
        <w:tab/>
      </w:r>
      <w:proofErr w:type="spellStart"/>
      <w:r w:rsidRPr="00EE514D">
        <w:rPr>
          <w:rFonts w:asciiTheme="minorHAnsi" w:eastAsiaTheme="minorHAnsi" w:hAnsiTheme="minorHAnsi" w:cstheme="minorHAnsi"/>
        </w:rPr>
        <w:t>Purchase</w:t>
      </w:r>
      <w:proofErr w:type="spellEnd"/>
      <w:r w:rsidRPr="00EE514D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E514D">
        <w:rPr>
          <w:rFonts w:asciiTheme="minorHAnsi" w:eastAsiaTheme="minorHAnsi" w:hAnsiTheme="minorHAnsi" w:cstheme="minorHAnsi"/>
        </w:rPr>
        <w:t>Agreement</w:t>
      </w:r>
      <w:proofErr w:type="spellEnd"/>
      <w:r w:rsidRPr="00EE514D">
        <w:rPr>
          <w:rFonts w:asciiTheme="minorHAnsi" w:eastAsiaTheme="minorHAnsi" w:hAnsiTheme="minorHAnsi" w:cstheme="minorHAnsi"/>
        </w:rPr>
        <w:t xml:space="preserve"> (kupní smlouva)</w:t>
      </w:r>
    </w:p>
    <w:p w14:paraId="29372DB2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PO</w:t>
      </w:r>
      <w:r w:rsidRPr="00EE514D">
        <w:rPr>
          <w:rFonts w:asciiTheme="minorHAnsi" w:eastAsiaTheme="minorHAnsi" w:hAnsiTheme="minorHAnsi" w:cstheme="minorHAnsi"/>
        </w:rPr>
        <w:tab/>
        <w:t>příspěvková/příspěvkové organizace</w:t>
      </w:r>
    </w:p>
    <w:p w14:paraId="44E0D769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 xml:space="preserve">předběžná dohoda </w:t>
      </w:r>
    </w:p>
    <w:p w14:paraId="00B4B782" w14:textId="46BC294A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o nákupu</w:t>
      </w:r>
      <w:r w:rsidRPr="00EE514D">
        <w:rPr>
          <w:rFonts w:asciiTheme="minorHAnsi" w:eastAsiaTheme="minorHAnsi" w:hAnsiTheme="minorHAnsi" w:cstheme="minorHAnsi"/>
        </w:rPr>
        <w:tab/>
        <w:t xml:space="preserve">překlad anglického termínu </w:t>
      </w:r>
      <w:proofErr w:type="spellStart"/>
      <w:r w:rsidRPr="00EE514D">
        <w:rPr>
          <w:rFonts w:asciiTheme="minorHAnsi" w:eastAsiaTheme="minorHAnsi" w:hAnsiTheme="minorHAnsi" w:cstheme="minorHAnsi"/>
        </w:rPr>
        <w:t>Advance</w:t>
      </w:r>
      <w:r w:rsidR="00391821">
        <w:rPr>
          <w:rFonts w:asciiTheme="minorHAnsi" w:eastAsiaTheme="minorHAnsi" w:hAnsiTheme="minorHAnsi" w:cstheme="minorHAnsi"/>
        </w:rPr>
        <w:t>d</w:t>
      </w:r>
      <w:proofErr w:type="spellEnd"/>
      <w:r w:rsidRPr="00EE514D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E514D">
        <w:rPr>
          <w:rFonts w:asciiTheme="minorHAnsi" w:eastAsiaTheme="minorHAnsi" w:hAnsiTheme="minorHAnsi" w:cstheme="minorHAnsi"/>
        </w:rPr>
        <w:t>Purchase</w:t>
      </w:r>
      <w:proofErr w:type="spellEnd"/>
      <w:r w:rsidRPr="00EE514D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E514D">
        <w:rPr>
          <w:rFonts w:asciiTheme="minorHAnsi" w:eastAsiaTheme="minorHAnsi" w:hAnsiTheme="minorHAnsi" w:cstheme="minorHAnsi"/>
        </w:rPr>
        <w:t>Agreements</w:t>
      </w:r>
      <w:proofErr w:type="spellEnd"/>
      <w:r w:rsidRPr="00EE514D">
        <w:rPr>
          <w:rFonts w:asciiTheme="minorHAnsi" w:eastAsiaTheme="minorHAnsi" w:hAnsiTheme="minorHAnsi" w:cstheme="minorHAnsi"/>
        </w:rPr>
        <w:t xml:space="preserve"> (APA)</w:t>
      </w:r>
    </w:p>
    <w:p w14:paraId="2FF099F8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PZS</w:t>
      </w:r>
      <w:r w:rsidRPr="00EE514D">
        <w:rPr>
          <w:rFonts w:asciiTheme="minorHAnsi" w:eastAsiaTheme="minorHAnsi" w:hAnsiTheme="minorHAnsi" w:cstheme="minorHAnsi"/>
        </w:rPr>
        <w:tab/>
        <w:t>poskytovatelé zdravotních služeb</w:t>
      </w:r>
    </w:p>
    <w:p w14:paraId="3C4F8B39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SÚ</w:t>
      </w:r>
      <w:r w:rsidRPr="00EE514D">
        <w:rPr>
          <w:rFonts w:asciiTheme="minorHAnsi" w:eastAsiaTheme="minorHAnsi" w:hAnsiTheme="minorHAnsi" w:cstheme="minorHAnsi"/>
        </w:rPr>
        <w:tab/>
        <w:t>syntetický účet</w:t>
      </w:r>
    </w:p>
    <w:p w14:paraId="529CDDAA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SÚKL</w:t>
      </w:r>
      <w:r w:rsidRPr="00EE514D">
        <w:rPr>
          <w:rFonts w:asciiTheme="minorHAnsi" w:eastAsiaTheme="minorHAnsi" w:hAnsiTheme="minorHAnsi" w:cstheme="minorHAnsi"/>
        </w:rPr>
        <w:tab/>
        <w:t>Státní ústav pro kontrolu léčiv</w:t>
      </w:r>
    </w:p>
    <w:p w14:paraId="66F09DB8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UV 846/2020</w:t>
      </w:r>
      <w:r w:rsidRPr="00EE514D">
        <w:rPr>
          <w:rFonts w:asciiTheme="minorHAnsi" w:eastAsiaTheme="minorHAnsi" w:hAnsiTheme="minorHAnsi" w:cstheme="minorHAnsi"/>
        </w:rPr>
        <w:tab/>
        <w:t xml:space="preserve">usnesení vlády ČR </w:t>
      </w:r>
      <w:r w:rsidRPr="004E2D6E">
        <w:rPr>
          <w:rFonts w:asciiTheme="minorHAnsi" w:hAnsiTheme="minorHAnsi" w:cstheme="minorHAnsi"/>
        </w:rPr>
        <w:t>ze dne 17. srpna 2020 č. 846, o zajištění vakcíny proti COVID-19 prostřednictvím iniciativy Evropské unie</w:t>
      </w:r>
    </w:p>
    <w:p w14:paraId="37DF8951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UV 693/2021</w:t>
      </w:r>
      <w:r w:rsidRPr="00EE514D">
        <w:rPr>
          <w:rFonts w:asciiTheme="minorHAnsi" w:eastAsiaTheme="minorHAnsi" w:hAnsiTheme="minorHAnsi" w:cstheme="minorHAnsi"/>
        </w:rPr>
        <w:tab/>
        <w:t>u</w:t>
      </w:r>
      <w:r w:rsidRPr="004E2D6E">
        <w:rPr>
          <w:rFonts w:asciiTheme="minorHAnsi" w:hAnsiTheme="minorHAnsi" w:cstheme="minorHAnsi"/>
        </w:rPr>
        <w:t xml:space="preserve">snesení vlády </w:t>
      </w:r>
      <w:r w:rsidRPr="00EE514D">
        <w:rPr>
          <w:rFonts w:asciiTheme="minorHAnsi" w:hAnsiTheme="minorHAnsi" w:cstheme="minorHAnsi"/>
        </w:rPr>
        <w:t xml:space="preserve">ČR </w:t>
      </w:r>
      <w:r w:rsidRPr="004E2D6E">
        <w:rPr>
          <w:rFonts w:asciiTheme="minorHAnsi" w:hAnsiTheme="minorHAnsi" w:cstheme="minorHAnsi"/>
        </w:rPr>
        <w:t>ze dne 26. července 2021 č. 693, o možnosti darování a</w:t>
      </w:r>
      <w:r w:rsidR="00EE514D" w:rsidRPr="00EE514D">
        <w:rPr>
          <w:rFonts w:asciiTheme="minorHAnsi" w:hAnsiTheme="minorHAnsi" w:cstheme="minorHAnsi"/>
        </w:rPr>
        <w:t> </w:t>
      </w:r>
      <w:r w:rsidRPr="004E2D6E">
        <w:rPr>
          <w:rFonts w:asciiTheme="minorHAnsi" w:hAnsiTheme="minorHAnsi" w:cstheme="minorHAnsi"/>
        </w:rPr>
        <w:t>prodeje očkovacích látek proti covid-19</w:t>
      </w:r>
    </w:p>
    <w:p w14:paraId="15A3AA5E" w14:textId="2A388FF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ÚZ</w:t>
      </w:r>
      <w:r w:rsidRPr="00EE514D">
        <w:rPr>
          <w:rFonts w:asciiTheme="minorHAnsi" w:eastAsiaTheme="minorHAnsi" w:hAnsiTheme="minorHAnsi" w:cstheme="minorHAnsi"/>
        </w:rPr>
        <w:tab/>
        <w:t>účetní závěrka Ministerstva zdravotnictví sestavená k 31. prosinci 2021 s datem sestavení 13. dubna 2022</w:t>
      </w:r>
    </w:p>
    <w:p w14:paraId="42CB85A1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ÚZIS</w:t>
      </w:r>
      <w:r w:rsidRPr="00EE514D">
        <w:rPr>
          <w:rFonts w:asciiTheme="minorHAnsi" w:eastAsiaTheme="minorHAnsi" w:hAnsiTheme="minorHAnsi" w:cstheme="minorHAnsi"/>
        </w:rPr>
        <w:tab/>
        <w:t>Ústav zdravotnických informací a statistiky ČR</w:t>
      </w:r>
    </w:p>
    <w:p w14:paraId="14D25525" w14:textId="77777777" w:rsidR="00345BDA" w:rsidRPr="00EE514D" w:rsidRDefault="00345BDA" w:rsidP="004E2D6E">
      <w:pPr>
        <w:spacing w:after="80"/>
        <w:ind w:left="2268" w:hanging="2268"/>
        <w:rPr>
          <w:rFonts w:ascii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vakcíny</w:t>
      </w:r>
      <w:r w:rsidRPr="00EE514D">
        <w:rPr>
          <w:rFonts w:asciiTheme="minorHAnsi" w:eastAsiaTheme="minorHAnsi" w:hAnsiTheme="minorHAnsi" w:cstheme="minorHAnsi"/>
        </w:rPr>
        <w:tab/>
      </w:r>
      <w:r w:rsidRPr="004E2D6E">
        <w:rPr>
          <w:rFonts w:asciiTheme="minorHAnsi" w:hAnsiTheme="minorHAnsi" w:cstheme="minorHAnsi"/>
        </w:rPr>
        <w:t>léčivé přípravky pro očkování proti onemocnění covid-19</w:t>
      </w:r>
    </w:p>
    <w:p w14:paraId="6419363E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VKS</w:t>
      </w:r>
      <w:r w:rsidRPr="00EE514D">
        <w:rPr>
          <w:rFonts w:asciiTheme="minorHAnsi" w:eastAsiaTheme="minorHAnsi" w:hAnsiTheme="minorHAnsi" w:cstheme="minorHAnsi"/>
        </w:rPr>
        <w:tab/>
        <w:t>vnitřní kontrolní systém Ministerstva zdravotnictví</w:t>
      </w:r>
    </w:p>
    <w:p w14:paraId="3642E581" w14:textId="56F7B43F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lastRenderedPageBreak/>
        <w:t>výkaz FIN 1-12 OSS</w:t>
      </w:r>
      <w:r w:rsidRPr="00EE514D">
        <w:rPr>
          <w:rFonts w:asciiTheme="minorHAnsi" w:eastAsiaTheme="minorHAnsi" w:hAnsiTheme="minorHAnsi" w:cstheme="minorHAnsi"/>
        </w:rPr>
        <w:tab/>
        <w:t>„výkaz pro hodnocení plnění rozpočtu správců kapitol a organizačních složek státu“ Ministerstva zdravotnictví za rok 2021</w:t>
      </w:r>
    </w:p>
    <w:p w14:paraId="3F6B5ECE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VZZ</w:t>
      </w:r>
      <w:r w:rsidRPr="00EE514D">
        <w:rPr>
          <w:rFonts w:asciiTheme="minorHAnsi" w:eastAsiaTheme="minorHAnsi" w:hAnsiTheme="minorHAnsi" w:cstheme="minorHAnsi"/>
        </w:rPr>
        <w:tab/>
      </w:r>
      <w:r w:rsidR="00EE514D" w:rsidRPr="00EE514D">
        <w:rPr>
          <w:rFonts w:asciiTheme="minorHAnsi" w:eastAsiaTheme="minorHAnsi" w:hAnsiTheme="minorHAnsi" w:cstheme="minorHAnsi"/>
        </w:rPr>
        <w:t>účetní výkaz „</w:t>
      </w:r>
      <w:r w:rsidRPr="00EE514D">
        <w:rPr>
          <w:rFonts w:asciiTheme="minorHAnsi" w:eastAsiaTheme="minorHAnsi" w:hAnsiTheme="minorHAnsi" w:cstheme="minorHAnsi"/>
        </w:rPr>
        <w:t>výkaz zisku a ztráty</w:t>
      </w:r>
      <w:r w:rsidR="00EE514D" w:rsidRPr="00EE514D">
        <w:rPr>
          <w:rFonts w:asciiTheme="minorHAnsi" w:eastAsiaTheme="minorHAnsi" w:hAnsiTheme="minorHAnsi" w:cstheme="minorHAnsi"/>
        </w:rPr>
        <w:t>“</w:t>
      </w:r>
    </w:p>
    <w:p w14:paraId="1520CF9E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WHO</w:t>
      </w:r>
      <w:r w:rsidRPr="00EE514D">
        <w:rPr>
          <w:rFonts w:asciiTheme="minorHAnsi" w:eastAsiaTheme="minorHAnsi" w:hAnsiTheme="minorHAnsi" w:cstheme="minorHAnsi"/>
        </w:rPr>
        <w:tab/>
        <w:t>Světová zdravotnická organizace</w:t>
      </w:r>
    </w:p>
    <w:p w14:paraId="26C99E84" w14:textId="77777777" w:rsidR="00345BDA" w:rsidRPr="00EE514D" w:rsidRDefault="00345BDA" w:rsidP="004E2D6E">
      <w:pPr>
        <w:spacing w:after="80"/>
        <w:ind w:left="2268" w:hanging="2268"/>
        <w:rPr>
          <w:rFonts w:asciiTheme="minorHAnsi" w:eastAsia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ZP</w:t>
      </w:r>
      <w:r w:rsidRPr="00EE514D">
        <w:rPr>
          <w:rFonts w:asciiTheme="minorHAnsi" w:eastAsiaTheme="minorHAnsi" w:hAnsiTheme="minorHAnsi" w:cstheme="minorHAnsi"/>
        </w:rPr>
        <w:tab/>
        <w:t>zdravotní pojišťovny</w:t>
      </w:r>
    </w:p>
    <w:p w14:paraId="1FD2F7AF" w14:textId="77777777" w:rsidR="001530C7" w:rsidRPr="00EE514D" w:rsidRDefault="00345BDA" w:rsidP="004E2D6E">
      <w:pPr>
        <w:spacing w:after="80"/>
        <w:ind w:left="2268" w:hanging="2268"/>
        <w:rPr>
          <w:rFonts w:asciiTheme="minorHAnsi" w:hAnsiTheme="minorHAnsi" w:cstheme="minorHAnsi"/>
        </w:rPr>
      </w:pPr>
      <w:r w:rsidRPr="00EE514D">
        <w:rPr>
          <w:rFonts w:asciiTheme="minorHAnsi" w:eastAsiaTheme="minorHAnsi" w:hAnsiTheme="minorHAnsi" w:cstheme="minorHAnsi"/>
        </w:rPr>
        <w:t>ZÚ 2021</w:t>
      </w:r>
      <w:r w:rsidRPr="00EE514D">
        <w:rPr>
          <w:rFonts w:asciiTheme="minorHAnsi" w:eastAsiaTheme="minorHAnsi" w:hAnsiTheme="minorHAnsi" w:cstheme="minorHAnsi"/>
        </w:rPr>
        <w:tab/>
        <w:t xml:space="preserve">závěrečný účet kapitoly státního rozpočtu 335 – </w:t>
      </w:r>
      <w:r w:rsidRPr="00EE514D">
        <w:rPr>
          <w:rFonts w:asciiTheme="minorHAnsi" w:eastAsiaTheme="minorHAnsi" w:hAnsiTheme="minorHAnsi" w:cstheme="minorHAnsi"/>
          <w:i/>
        </w:rPr>
        <w:t>Ministerstvo zdravotnictví</w:t>
      </w:r>
      <w:r w:rsidRPr="00EE514D">
        <w:rPr>
          <w:rFonts w:asciiTheme="minorHAnsi" w:eastAsiaTheme="minorHAnsi" w:hAnsiTheme="minorHAnsi" w:cstheme="minorHAnsi"/>
        </w:rPr>
        <w:t xml:space="preserve"> za rok 2021</w:t>
      </w:r>
    </w:p>
    <w:p w14:paraId="7B74C438" w14:textId="77777777" w:rsidR="002F5988" w:rsidRDefault="002F5988">
      <w:pPr>
        <w:spacing w:after="60"/>
        <w:ind w:left="2268" w:hanging="2268"/>
        <w:rPr>
          <w:rFonts w:asciiTheme="minorHAnsi" w:eastAsiaTheme="minorHAnsi" w:hAnsiTheme="minorHAnsi" w:cstheme="minorHAnsi"/>
        </w:rPr>
      </w:pPr>
    </w:p>
    <w:p w14:paraId="49989BC5" w14:textId="77777777" w:rsidR="00EE514D" w:rsidRDefault="00EE514D">
      <w:pPr>
        <w:spacing w:after="60"/>
        <w:ind w:left="2268" w:hanging="2268"/>
        <w:rPr>
          <w:rFonts w:asciiTheme="minorHAnsi" w:eastAsiaTheme="minorHAnsi" w:hAnsiTheme="minorHAnsi" w:cstheme="minorHAnsi"/>
        </w:rPr>
        <w:sectPr w:rsidR="00EE514D" w:rsidSect="00B97C4B">
          <w:footerReference w:type="default" r:id="rId15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E9C9F1E" w14:textId="77777777" w:rsidR="002F5988" w:rsidRPr="002F5988" w:rsidRDefault="002F5988" w:rsidP="004E2D6E">
      <w:pPr>
        <w:spacing w:after="60"/>
        <w:ind w:left="2268" w:hanging="2268"/>
        <w:rPr>
          <w:rFonts w:asciiTheme="minorHAnsi" w:eastAsiaTheme="minorHAnsi" w:hAnsiTheme="minorHAnsi" w:cstheme="minorHAnsi"/>
        </w:rPr>
      </w:pPr>
    </w:p>
    <w:p w14:paraId="599137D6" w14:textId="77777777" w:rsidR="006D40B2" w:rsidRPr="000264EB" w:rsidRDefault="006D40B2" w:rsidP="002F5988">
      <w:pPr>
        <w:rPr>
          <w:rFonts w:eastAsia="Calibri" w:cs="Calibri"/>
          <w:b/>
        </w:rPr>
      </w:pPr>
      <w:r w:rsidRPr="000264EB">
        <w:rPr>
          <w:rFonts w:eastAsia="Calibri" w:cs="Calibri"/>
          <w:b/>
        </w:rPr>
        <w:t>Příloha č. 1</w:t>
      </w:r>
      <w:r>
        <w:rPr>
          <w:rFonts w:eastAsia="Calibri" w:cs="Calibri"/>
          <w:b/>
        </w:rPr>
        <w:t xml:space="preserve"> ke kontrolnímu závěru z kontrolní akce č. 21/24</w:t>
      </w:r>
    </w:p>
    <w:p w14:paraId="3317E2FC" w14:textId="77777777" w:rsidR="006D40B2" w:rsidRPr="000264EB" w:rsidRDefault="006D40B2" w:rsidP="006D40B2">
      <w:pPr>
        <w:jc w:val="center"/>
        <w:rPr>
          <w:rFonts w:cs="Calibri"/>
        </w:rPr>
      </w:pPr>
      <w:r w:rsidRPr="000264EB">
        <w:rPr>
          <w:rFonts w:eastAsia="Calibri" w:cs="Calibri"/>
          <w:b/>
        </w:rPr>
        <w:t>Souhrn ekonomických ukazatelů</w:t>
      </w:r>
    </w:p>
    <w:p w14:paraId="366BBA02" w14:textId="059DF1E3" w:rsidR="006D40B2" w:rsidRDefault="006D40B2" w:rsidP="006D40B2">
      <w:pPr>
        <w:spacing w:after="0"/>
        <w:jc w:val="both"/>
        <w:rPr>
          <w:rFonts w:cs="Calibri"/>
          <w:highlight w:val="yellow"/>
        </w:rPr>
      </w:pPr>
      <w:r w:rsidRPr="00AA15AA">
        <w:rPr>
          <w:rFonts w:cs="Calibri"/>
        </w:rPr>
        <w:t xml:space="preserve">Příloha obsahuje výsledky rozpočtového hospodaření za rok 2021 vykázané v rámci </w:t>
      </w:r>
      <w:r w:rsidR="0001056A">
        <w:rPr>
          <w:rFonts w:cs="Calibri"/>
        </w:rPr>
        <w:br/>
      </w:r>
      <w:r w:rsidRPr="00AA15AA">
        <w:rPr>
          <w:rFonts w:cs="Calibri"/>
        </w:rPr>
        <w:t>kapitoly 335 na peněžní a akruální bázi. Informace níže uvedené vycház</w:t>
      </w:r>
      <w:r w:rsidR="0001056A">
        <w:rPr>
          <w:rFonts w:cs="Calibri"/>
        </w:rPr>
        <w:t>ej</w:t>
      </w:r>
      <w:r w:rsidRPr="00AA15AA">
        <w:rPr>
          <w:rFonts w:cs="Calibri"/>
        </w:rPr>
        <w:t>í z finančních výkazů a</w:t>
      </w:r>
      <w:r>
        <w:rPr>
          <w:rFonts w:cs="Calibri"/>
        </w:rPr>
        <w:t> </w:t>
      </w:r>
      <w:r w:rsidRPr="00AA15AA">
        <w:rPr>
          <w:rFonts w:cs="Calibri"/>
        </w:rPr>
        <w:t>účetních závěrek za roky 2017–2021.</w:t>
      </w:r>
    </w:p>
    <w:p w14:paraId="5DCBBE1C" w14:textId="77777777" w:rsidR="006D40B2" w:rsidRPr="00D71C60" w:rsidRDefault="006D40B2" w:rsidP="006D40B2">
      <w:pPr>
        <w:spacing w:after="0"/>
        <w:rPr>
          <w:rFonts w:cs="Calibri"/>
          <w:b/>
          <w:highlight w:val="yellow"/>
        </w:rPr>
      </w:pPr>
    </w:p>
    <w:p w14:paraId="6C491AC6" w14:textId="3A76E36D" w:rsidR="006D40B2" w:rsidRPr="00AA15AA" w:rsidRDefault="006D40B2" w:rsidP="006D40B2">
      <w:pPr>
        <w:pStyle w:val="Nadpis1"/>
        <w:spacing w:after="120" w:line="240" w:lineRule="auto"/>
        <w:ind w:left="432" w:hanging="432"/>
        <w:rPr>
          <w:rFonts w:ascii="Calibri" w:hAnsi="Calibri" w:cs="Calibri"/>
          <w:sz w:val="24"/>
          <w:szCs w:val="24"/>
        </w:rPr>
      </w:pPr>
      <w:bookmarkStart w:id="9" w:name="_Toc519242396"/>
      <w:bookmarkStart w:id="10" w:name="_Toc17204900"/>
      <w:bookmarkStart w:id="11" w:name="_Toc71514615"/>
      <w:r w:rsidRPr="00AA15AA">
        <w:rPr>
          <w:rFonts w:ascii="Calibri" w:hAnsi="Calibri" w:cs="Calibri"/>
          <w:sz w:val="24"/>
          <w:szCs w:val="24"/>
        </w:rPr>
        <w:t xml:space="preserve">A. OSS rozpočtové kapitoly </w:t>
      </w:r>
      <w:bookmarkEnd w:id="9"/>
      <w:bookmarkEnd w:id="10"/>
      <w:bookmarkEnd w:id="11"/>
      <w:r w:rsidRPr="00AA15AA">
        <w:rPr>
          <w:rFonts w:ascii="Calibri" w:hAnsi="Calibri" w:cs="Calibri"/>
          <w:sz w:val="24"/>
          <w:szCs w:val="24"/>
        </w:rPr>
        <w:t>335</w:t>
      </w:r>
    </w:p>
    <w:p w14:paraId="4B951FA1" w14:textId="2D109566" w:rsidR="006D40B2" w:rsidRPr="00AA15AA" w:rsidRDefault="006D40B2" w:rsidP="006D40B2">
      <w:pPr>
        <w:pStyle w:val="Titulek1"/>
        <w:rPr>
          <w:sz w:val="24"/>
        </w:rPr>
      </w:pPr>
      <w:bookmarkStart w:id="12" w:name="_Toc520714310"/>
      <w:bookmarkStart w:id="13" w:name="_Toc8984517"/>
      <w:bookmarkStart w:id="14" w:name="_Toc72157453"/>
      <w:r w:rsidRPr="00AA15AA">
        <w:rPr>
          <w:sz w:val="24"/>
        </w:rPr>
        <w:t xml:space="preserve">Tabulka č. </w:t>
      </w:r>
      <w:r w:rsidRPr="00AA15AA">
        <w:rPr>
          <w:sz w:val="24"/>
        </w:rPr>
        <w:fldChar w:fldCharType="begin"/>
      </w:r>
      <w:r w:rsidRPr="00AA15AA">
        <w:rPr>
          <w:sz w:val="24"/>
        </w:rPr>
        <w:instrText xml:space="preserve"> SEQ Tabulka \* ARABIC </w:instrText>
      </w:r>
      <w:r w:rsidRPr="00AA15AA">
        <w:rPr>
          <w:sz w:val="24"/>
        </w:rPr>
        <w:fldChar w:fldCharType="separate"/>
      </w:r>
      <w:r w:rsidR="009A66D8">
        <w:rPr>
          <w:noProof/>
          <w:sz w:val="24"/>
        </w:rPr>
        <w:t>1</w:t>
      </w:r>
      <w:r w:rsidRPr="00AA15AA">
        <w:rPr>
          <w:noProof/>
          <w:sz w:val="24"/>
        </w:rPr>
        <w:fldChar w:fldCharType="end"/>
      </w:r>
      <w:r w:rsidRPr="00AA15AA">
        <w:rPr>
          <w:sz w:val="24"/>
        </w:rPr>
        <w:t xml:space="preserve">: OSS v rámci kapitoly </w:t>
      </w:r>
      <w:bookmarkEnd w:id="12"/>
      <w:bookmarkEnd w:id="13"/>
      <w:bookmarkEnd w:id="14"/>
      <w:r w:rsidRPr="00AA15AA">
        <w:rPr>
          <w:sz w:val="24"/>
        </w:rPr>
        <w:t>335</w:t>
      </w:r>
    </w:p>
    <w:tbl>
      <w:tblPr>
        <w:tblW w:w="91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804"/>
      </w:tblGrid>
      <w:tr w:rsidR="006D40B2" w:rsidRPr="00D71C60" w14:paraId="6DE41035" w14:textId="77777777" w:rsidTr="004E2D6E">
        <w:trPr>
          <w:trHeight w:val="255"/>
          <w:tblHeader/>
        </w:trPr>
        <w:tc>
          <w:tcPr>
            <w:tcW w:w="2338" w:type="dxa"/>
            <w:shd w:val="clear" w:color="DDEBF7" w:fill="DDEBF7"/>
            <w:noWrap/>
            <w:vAlign w:val="center"/>
            <w:hideMark/>
          </w:tcPr>
          <w:p w14:paraId="32EB4D83" w14:textId="77777777" w:rsidR="006D40B2" w:rsidRPr="00AA15AA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A15A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804" w:type="dxa"/>
            <w:shd w:val="clear" w:color="DDEBF7" w:fill="DDEBF7"/>
            <w:noWrap/>
            <w:vAlign w:val="center"/>
            <w:hideMark/>
          </w:tcPr>
          <w:p w14:paraId="08097542" w14:textId="77777777" w:rsidR="006D40B2" w:rsidRPr="00AA15AA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A15A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Účetní jednotka</w:t>
            </w:r>
          </w:p>
        </w:tc>
      </w:tr>
      <w:tr w:rsidR="006D40B2" w:rsidRPr="00D71C60" w14:paraId="5B8DDF8F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614EBA09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03009491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443E3FB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Agentura pro zdravotnický výzkum České republiky</w:t>
            </w:r>
          </w:p>
        </w:tc>
      </w:tr>
      <w:tr w:rsidR="006D40B2" w:rsidRPr="00D71C60" w14:paraId="7C511A94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6CC666CF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71009256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26308B1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Hygienická stanice hlavního města Prahy se sídlem v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Praze</w:t>
            </w:r>
          </w:p>
        </w:tc>
      </w:tr>
      <w:tr w:rsidR="006D40B2" w:rsidRPr="00D71C60" w14:paraId="149308C4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4E75AD61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71180397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8947C5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Koordinační středisko transplantací</w:t>
            </w:r>
          </w:p>
        </w:tc>
      </w:tr>
      <w:tr w:rsidR="006D40B2" w:rsidRPr="00D71C60" w14:paraId="410DA497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67C40385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71009345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C7E79F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Krajská hygienická stanice Jihočeského kraje se sídlem v Českých Budějovicích</w:t>
            </w:r>
          </w:p>
        </w:tc>
      </w:tr>
      <w:tr w:rsidR="006D40B2" w:rsidRPr="00D71C60" w14:paraId="4949A70D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437008ED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71009191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C133E4B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Krajská hygienická stanice Jihomoravského kraje se sídlem v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Brně</w:t>
            </w:r>
          </w:p>
        </w:tc>
      </w:tr>
      <w:tr w:rsidR="006D40B2" w:rsidRPr="00D71C60" w14:paraId="7F1E27FF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299A7577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71009281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599249B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Krajská hygienická stanice Karlovarského kraje se sídlem v Karlových Varech</w:t>
            </w:r>
          </w:p>
        </w:tc>
      </w:tr>
      <w:tr w:rsidR="006D40B2" w:rsidRPr="00D71C60" w14:paraId="39DB13F0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42F14BBC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71009311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F34CEE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Krajská hygienická stanice kraje Vysočina se sídlem v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Jihlavě</w:t>
            </w:r>
          </w:p>
        </w:tc>
      </w:tr>
      <w:tr w:rsidR="006D40B2" w:rsidRPr="00D71C60" w14:paraId="43F853A6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2498B0FC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71009213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0CA8260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Krajská hygienická stanice Královéhradeckého kraje se sídlem v Hradci Králové</w:t>
            </w:r>
          </w:p>
        </w:tc>
      </w:tr>
      <w:tr w:rsidR="006D40B2" w:rsidRPr="00D71C60" w14:paraId="2C18E648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28ADD8AE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71009302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05E48BA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Krajská hygienická stanice Libereckého kraje se sídlem v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Liberci</w:t>
            </w:r>
          </w:p>
        </w:tc>
      </w:tr>
      <w:tr w:rsidR="006D40B2" w:rsidRPr="00D71C60" w14:paraId="2EAF07D5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52472269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71009167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DFFF036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Krajská hygienická stanice Moravskoslezského kraje se sídlem v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Ostravě</w:t>
            </w:r>
          </w:p>
        </w:tc>
      </w:tr>
      <w:tr w:rsidR="006D40B2" w:rsidRPr="00D71C60" w14:paraId="3938258A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0BCC4369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71009248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642BC22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Krajská hygienická stanice Moravskoslezského kraje se sídlem v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Ostravě</w:t>
            </w:r>
          </w:p>
        </w:tc>
      </w:tr>
      <w:tr w:rsidR="006D40B2" w:rsidRPr="00D71C60" w14:paraId="362CA7D9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3A04FA06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71009264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BF87851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Krajská hygienická stanice Pardubického kraje se sídlem v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Pardubicích</w:t>
            </w:r>
          </w:p>
        </w:tc>
      </w:tr>
      <w:tr w:rsidR="006D40B2" w:rsidRPr="00D71C60" w14:paraId="10E9621C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6A300360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71009299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FE6805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Krajská hygienická stanice Plzeňského kraje se sídlem v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Plzni</w:t>
            </w:r>
          </w:p>
        </w:tc>
      </w:tr>
      <w:tr w:rsidR="006D40B2" w:rsidRPr="00D71C60" w14:paraId="70494518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64657AED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71009159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429BD20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Krajská hygienická stanice Středočeského kraje se sídlem v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Praze</w:t>
            </w:r>
          </w:p>
        </w:tc>
      </w:tr>
      <w:tr w:rsidR="006D40B2" w:rsidRPr="00D71C60" w14:paraId="70BD7272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45ECAD11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71009183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3B84F0D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Krajská hygienická stanice Ústeckého kraje se sídlem v Ústí nad Labem</w:t>
            </w:r>
          </w:p>
        </w:tc>
      </w:tr>
      <w:tr w:rsidR="006D40B2" w:rsidRPr="00D71C60" w14:paraId="381145CD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2EDC7F9E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71009221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C18A225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Krajská hygienická stanice Zlínského kraje se sídlem ve Zlíně</w:t>
            </w:r>
          </w:p>
        </w:tc>
      </w:tr>
      <w:tr w:rsidR="006D40B2" w:rsidRPr="00D71C60" w14:paraId="0F3AF9A6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09AF9395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00024341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FBD60E5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Ministerstvo zdravotnictví</w:t>
            </w:r>
          </w:p>
        </w:tc>
      </w:tr>
      <w:tr w:rsidR="006D40B2" w:rsidRPr="00D71C60" w14:paraId="3D6203B7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64882194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00023825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57D2785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Národní lékařská knihovna</w:t>
            </w:r>
          </w:p>
        </w:tc>
      </w:tr>
      <w:tr w:rsidR="006D40B2" w:rsidRPr="00D71C60" w14:paraId="31E77858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74355A9F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00023817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E2691E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Státní ústav pro kontrolu léčiv</w:t>
            </w:r>
          </w:p>
        </w:tc>
      </w:tr>
      <w:tr w:rsidR="006D40B2" w:rsidRPr="00D71C60" w14:paraId="3B3EC9B1" w14:textId="77777777" w:rsidTr="004E2D6E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14:paraId="180096A5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00023833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A00723" w14:textId="77777777" w:rsidR="006D40B2" w:rsidRPr="00D71C60" w:rsidRDefault="006D40B2" w:rsidP="006D40B2">
            <w:pPr>
              <w:spacing w:after="0"/>
              <w:rPr>
                <w:rFonts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Ústav zdravotnických informací a statistiky ČR</w:t>
            </w:r>
          </w:p>
        </w:tc>
      </w:tr>
    </w:tbl>
    <w:p w14:paraId="72CC6E6E" w14:textId="77777777" w:rsidR="006D40B2" w:rsidRPr="00AA15AA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AA15AA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AA15AA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27B557B7" w14:textId="77777777" w:rsidR="006D40B2" w:rsidRPr="00D71C60" w:rsidRDefault="006D40B2" w:rsidP="006D40B2">
      <w:pPr>
        <w:spacing w:after="0"/>
        <w:rPr>
          <w:rFonts w:asciiTheme="minorHAnsi" w:hAnsiTheme="minorHAnsi" w:cstheme="minorHAnsi"/>
          <w:b/>
          <w:highlight w:val="yellow"/>
        </w:rPr>
      </w:pPr>
    </w:p>
    <w:p w14:paraId="72F2D4BB" w14:textId="77777777" w:rsidR="006D40B2" w:rsidRPr="00AA15AA" w:rsidRDefault="006D40B2" w:rsidP="006D40B2">
      <w:pPr>
        <w:pStyle w:val="Nadpis2"/>
        <w:numPr>
          <w:ilvl w:val="0"/>
          <w:numId w:val="0"/>
        </w:numPr>
        <w:spacing w:after="120" w:line="240" w:lineRule="auto"/>
        <w:ind w:left="578" w:hanging="578"/>
        <w:contextualSpacing w:val="0"/>
        <w:jc w:val="center"/>
      </w:pPr>
      <w:bookmarkStart w:id="15" w:name="_Toc17204901"/>
      <w:bookmarkStart w:id="16" w:name="_Toc71514616"/>
      <w:r w:rsidRPr="00AA15AA">
        <w:t>Oddíl I. Příjmy v rozpočtové kapitole 335 v letech 2017–20</w:t>
      </w:r>
      <w:bookmarkEnd w:id="15"/>
      <w:r w:rsidRPr="00AA15AA">
        <w:t>2</w:t>
      </w:r>
      <w:bookmarkEnd w:id="16"/>
      <w:r w:rsidRPr="00AA15AA">
        <w:t>1</w:t>
      </w:r>
    </w:p>
    <w:p w14:paraId="68D7EE2F" w14:textId="505CC028" w:rsidR="006D40B2" w:rsidRPr="00AA15AA" w:rsidRDefault="006D40B2" w:rsidP="006D40B2">
      <w:pPr>
        <w:pStyle w:val="Titulek1"/>
        <w:tabs>
          <w:tab w:val="clear" w:pos="9356"/>
          <w:tab w:val="right" w:pos="9070"/>
        </w:tabs>
        <w:rPr>
          <w:sz w:val="24"/>
        </w:rPr>
      </w:pPr>
      <w:bookmarkStart w:id="17" w:name="_Toc520714311"/>
      <w:bookmarkStart w:id="18" w:name="_Toc8984518"/>
      <w:bookmarkStart w:id="19" w:name="_Toc72157454"/>
      <w:r w:rsidRPr="00AA15AA">
        <w:rPr>
          <w:sz w:val="24"/>
        </w:rPr>
        <w:t xml:space="preserve">Tabulka č. </w:t>
      </w:r>
      <w:r w:rsidRPr="00AA15AA">
        <w:rPr>
          <w:sz w:val="24"/>
        </w:rPr>
        <w:fldChar w:fldCharType="begin"/>
      </w:r>
      <w:r w:rsidRPr="00AA15AA">
        <w:rPr>
          <w:sz w:val="24"/>
        </w:rPr>
        <w:instrText xml:space="preserve"> SEQ Tabulka \* ARABIC </w:instrText>
      </w:r>
      <w:r w:rsidRPr="00AA15AA">
        <w:rPr>
          <w:sz w:val="24"/>
        </w:rPr>
        <w:fldChar w:fldCharType="separate"/>
      </w:r>
      <w:r w:rsidR="009A66D8">
        <w:rPr>
          <w:noProof/>
          <w:sz w:val="24"/>
        </w:rPr>
        <w:t>2</w:t>
      </w:r>
      <w:r w:rsidRPr="00AA15AA">
        <w:rPr>
          <w:noProof/>
          <w:sz w:val="24"/>
        </w:rPr>
        <w:fldChar w:fldCharType="end"/>
      </w:r>
      <w:r w:rsidRPr="00AA15AA">
        <w:rPr>
          <w:sz w:val="24"/>
        </w:rPr>
        <w:t xml:space="preserve">: Příjmy rozpočtové kapitoly </w:t>
      </w:r>
      <w:r>
        <w:rPr>
          <w:sz w:val="24"/>
        </w:rPr>
        <w:t>335</w:t>
      </w:r>
      <w:r w:rsidRPr="00AA15AA">
        <w:rPr>
          <w:sz w:val="24"/>
        </w:rPr>
        <w:t xml:space="preserve"> </w:t>
      </w:r>
      <w:r>
        <w:rPr>
          <w:sz w:val="24"/>
        </w:rPr>
        <w:tab/>
      </w:r>
      <w:r w:rsidRPr="00AA15AA">
        <w:rPr>
          <w:sz w:val="24"/>
        </w:rPr>
        <w:t>(v Kč)</w:t>
      </w:r>
      <w:bookmarkEnd w:id="17"/>
      <w:bookmarkEnd w:id="18"/>
      <w:bookmarkEnd w:id="19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1446"/>
        <w:gridCol w:w="1446"/>
        <w:gridCol w:w="1446"/>
        <w:gridCol w:w="1446"/>
        <w:gridCol w:w="1446"/>
      </w:tblGrid>
      <w:tr w:rsidR="006D40B2" w:rsidRPr="00D71C60" w14:paraId="639C5B6B" w14:textId="77777777" w:rsidTr="006D40B2">
        <w:trPr>
          <w:trHeight w:val="25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ED982C7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Rozpočet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97ACFE1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785BE6F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0E77E0B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DB3E0A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4E801DD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0DC8B599" w14:textId="77777777" w:rsidTr="006D40B2">
        <w:trPr>
          <w:trHeight w:val="255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F370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sz w:val="18"/>
                <w:szCs w:val="18"/>
              </w:rPr>
              <w:t>Schválený rozpočet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C1D0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1 092 520 000,00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3643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1 322 000 000,00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6448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932 445 061,00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03FC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1 946 800 000,00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5AE9D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6 859 800 000,00</w:t>
            </w:r>
          </w:p>
        </w:tc>
      </w:tr>
      <w:tr w:rsidR="006D40B2" w:rsidRPr="00D71C60" w14:paraId="64237769" w14:textId="77777777" w:rsidTr="006D40B2">
        <w:trPr>
          <w:trHeight w:val="255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6C19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sz w:val="18"/>
                <w:szCs w:val="18"/>
              </w:rPr>
              <w:t>Rozpočet po změnách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D9CA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1 923 047 508,00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0B00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1 322 000 000,00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D911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1 037 225 971,00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2163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1 943 352 550,00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C65B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6 859 111 463,00</w:t>
            </w:r>
          </w:p>
        </w:tc>
      </w:tr>
      <w:tr w:rsidR="006D40B2" w:rsidRPr="00D71C60" w14:paraId="40C686A5" w14:textId="77777777" w:rsidTr="006D40B2">
        <w:trPr>
          <w:trHeight w:val="255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D5A1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sz w:val="18"/>
                <w:szCs w:val="18"/>
              </w:rPr>
              <w:t>Skutečnost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5D33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901 079 831,41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53F5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1 464 593 564,89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9D18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1 523 722 459,79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794F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2 161 249 558,81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BDF7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7 210 413 282,95</w:t>
            </w:r>
          </w:p>
        </w:tc>
      </w:tr>
    </w:tbl>
    <w:p w14:paraId="1B284096" w14:textId="77777777" w:rsidR="006D40B2" w:rsidRPr="00AA15AA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AA15AA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AA15AA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72426965" w14:textId="50011558" w:rsidR="006D40B2" w:rsidRPr="00D71C60" w:rsidRDefault="006D40B2" w:rsidP="006D40B2">
      <w:pPr>
        <w:jc w:val="both"/>
        <w:rPr>
          <w:rFonts w:asciiTheme="minorHAnsi" w:hAnsiTheme="minorHAnsi" w:cstheme="minorHAnsi"/>
          <w:highlight w:val="yellow"/>
        </w:rPr>
      </w:pPr>
      <w:r w:rsidRPr="00AA15AA">
        <w:rPr>
          <w:rFonts w:asciiTheme="minorHAnsi" w:hAnsiTheme="minorHAnsi" w:cstheme="minorHAnsi"/>
        </w:rPr>
        <w:t xml:space="preserve">Příjmy (skutečnost) rozpočtové kapitoly 335 vykazují ve sledovaném období rostoucí tendenci, přičemž v roce 2021 překročily hranici 7 mld. Kč. V předchozích letech byla jejich nejvyšší hodnota 2,16 mld. Kč, nejnižší v roce 2017 v hodnotě 901,08 mil. Kč. V roce 2021 tvoří příjmy </w:t>
      </w:r>
      <w:proofErr w:type="spellStart"/>
      <w:r w:rsidRPr="00AA15AA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AA15AA">
        <w:rPr>
          <w:rFonts w:asciiTheme="minorHAnsi" w:hAnsiTheme="minorHAnsi" w:cstheme="minorHAnsi"/>
        </w:rPr>
        <w:t xml:space="preserve"> (skutečnost) většinu příjmů všech OSS rozpočtové kapitoly 335 (skutečnost). Procent</w:t>
      </w:r>
      <w:r>
        <w:rPr>
          <w:rFonts w:asciiTheme="minorHAnsi" w:hAnsiTheme="minorHAnsi" w:cstheme="minorHAnsi"/>
        </w:rPr>
        <w:t>uál</w:t>
      </w:r>
      <w:r w:rsidRPr="00AA15AA">
        <w:rPr>
          <w:rFonts w:asciiTheme="minorHAnsi" w:hAnsiTheme="minorHAnsi" w:cstheme="minorHAnsi"/>
        </w:rPr>
        <w:t xml:space="preserve">ně představují příjmy </w:t>
      </w:r>
      <w:proofErr w:type="spellStart"/>
      <w:r w:rsidRPr="00AA15AA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AA15AA">
        <w:rPr>
          <w:rFonts w:asciiTheme="minorHAnsi" w:hAnsiTheme="minorHAnsi" w:cstheme="minorHAnsi"/>
        </w:rPr>
        <w:t xml:space="preserve"> 90,65 % skutečných příjmů kapitoly 335 v roce 2021. V</w:t>
      </w:r>
      <w:r>
        <w:rPr>
          <w:rFonts w:asciiTheme="minorHAnsi" w:hAnsiTheme="minorHAnsi" w:cstheme="minorHAnsi"/>
        </w:rPr>
        <w:t> </w:t>
      </w:r>
      <w:r w:rsidRPr="00AA15AA">
        <w:rPr>
          <w:rFonts w:asciiTheme="minorHAnsi" w:hAnsiTheme="minorHAnsi" w:cstheme="minorHAnsi"/>
        </w:rPr>
        <w:t>roce 2017 to bylo 37,70 % příjmů všech OSS rozpočtové kapitoly 335 (skutečnost).</w:t>
      </w:r>
    </w:p>
    <w:p w14:paraId="78D23CA7" w14:textId="549CAACF" w:rsidR="006D40B2" w:rsidRPr="00D71C60" w:rsidRDefault="006D40B2" w:rsidP="006D40B2">
      <w:pPr>
        <w:jc w:val="both"/>
        <w:rPr>
          <w:rFonts w:asciiTheme="minorHAnsi" w:hAnsiTheme="minorHAnsi" w:cstheme="minorHAnsi"/>
          <w:highlight w:val="yellow"/>
        </w:rPr>
      </w:pPr>
      <w:r w:rsidRPr="00AA15AA">
        <w:rPr>
          <w:rFonts w:asciiTheme="minorHAnsi" w:hAnsiTheme="minorHAnsi" w:cstheme="minorHAnsi"/>
        </w:rPr>
        <w:lastRenderedPageBreak/>
        <w:t>Rozhodující část příjmů rozpočtové kapitoly 335 (79,33 %) v roce 2021 představovaly příjmy z</w:t>
      </w:r>
      <w:r>
        <w:rPr>
          <w:rFonts w:asciiTheme="minorHAnsi" w:hAnsiTheme="minorHAnsi" w:cstheme="minorHAnsi"/>
        </w:rPr>
        <w:t> </w:t>
      </w:r>
      <w:r w:rsidRPr="00AA15AA">
        <w:rPr>
          <w:rFonts w:asciiTheme="minorHAnsi" w:hAnsiTheme="minorHAnsi" w:cstheme="minorHAnsi"/>
        </w:rPr>
        <w:t>prodeje zboží (již nakoupeného za účelem prodeje). Růst skutečných příjmů byl v roce 2021 dále způsobe</w:t>
      </w:r>
      <w:r w:rsidR="0001056A">
        <w:rPr>
          <w:rFonts w:asciiTheme="minorHAnsi" w:hAnsiTheme="minorHAnsi" w:cstheme="minorHAnsi"/>
        </w:rPr>
        <w:t>n</w:t>
      </w:r>
      <w:r w:rsidRPr="00AA15AA">
        <w:rPr>
          <w:rFonts w:asciiTheme="minorHAnsi" w:hAnsiTheme="minorHAnsi" w:cstheme="minorHAnsi"/>
        </w:rPr>
        <w:t xml:space="preserve"> položkou 4118 – </w:t>
      </w:r>
      <w:r w:rsidRPr="00AA15AA">
        <w:rPr>
          <w:rFonts w:asciiTheme="minorHAnsi" w:hAnsiTheme="minorHAnsi" w:cstheme="minorHAnsi"/>
          <w:i/>
        </w:rPr>
        <w:t>Neinvestiční převody z Národního fondu</w:t>
      </w:r>
      <w:r w:rsidRPr="00AA15AA">
        <w:rPr>
          <w:rFonts w:asciiTheme="minorHAnsi" w:hAnsiTheme="minorHAnsi" w:cstheme="minorHAnsi"/>
        </w:rPr>
        <w:t xml:space="preserve"> (9,24 % z celkových příjmů rozpočtové kapitoly 335) a položkou 4135 – </w:t>
      </w:r>
      <w:r w:rsidRPr="00AA15AA">
        <w:rPr>
          <w:rFonts w:asciiTheme="minorHAnsi" w:hAnsiTheme="minorHAnsi" w:cstheme="minorHAnsi"/>
          <w:i/>
        </w:rPr>
        <w:t>Převody z rezervních fondů organizačních složek státu</w:t>
      </w:r>
      <w:r w:rsidRPr="00AA15AA">
        <w:rPr>
          <w:rFonts w:asciiTheme="minorHAnsi" w:hAnsiTheme="minorHAnsi" w:cstheme="minorHAnsi"/>
        </w:rPr>
        <w:t xml:space="preserve"> (7,42 % z celkových příjmů rozpočtové kapitoly 335).</w:t>
      </w:r>
    </w:p>
    <w:p w14:paraId="346DC157" w14:textId="17CAD7A3" w:rsidR="006D40B2" w:rsidRPr="007932D2" w:rsidRDefault="006D40B2" w:rsidP="006D40B2">
      <w:pPr>
        <w:pStyle w:val="Titulek1"/>
        <w:tabs>
          <w:tab w:val="clear" w:pos="1134"/>
          <w:tab w:val="clear" w:pos="9356"/>
          <w:tab w:val="right" w:pos="9070"/>
        </w:tabs>
        <w:rPr>
          <w:sz w:val="24"/>
        </w:rPr>
      </w:pPr>
      <w:bookmarkStart w:id="20" w:name="_Toc8984519"/>
      <w:bookmarkStart w:id="21" w:name="_Toc72157455"/>
      <w:r w:rsidRPr="007932D2">
        <w:rPr>
          <w:sz w:val="24"/>
        </w:rPr>
        <w:t xml:space="preserve">Tabulka č. </w:t>
      </w:r>
      <w:r w:rsidRPr="007932D2">
        <w:rPr>
          <w:sz w:val="24"/>
        </w:rPr>
        <w:fldChar w:fldCharType="begin"/>
      </w:r>
      <w:r w:rsidRPr="007932D2">
        <w:rPr>
          <w:sz w:val="24"/>
        </w:rPr>
        <w:instrText xml:space="preserve"> SEQ Tabulka \* ARABIC </w:instrText>
      </w:r>
      <w:r w:rsidRPr="007932D2">
        <w:rPr>
          <w:sz w:val="24"/>
        </w:rPr>
        <w:fldChar w:fldCharType="separate"/>
      </w:r>
      <w:r w:rsidR="009A66D8">
        <w:rPr>
          <w:noProof/>
          <w:sz w:val="24"/>
        </w:rPr>
        <w:t>3</w:t>
      </w:r>
      <w:r w:rsidRPr="007932D2">
        <w:rPr>
          <w:noProof/>
          <w:sz w:val="24"/>
        </w:rPr>
        <w:fldChar w:fldCharType="end"/>
      </w:r>
      <w:r w:rsidRPr="007932D2">
        <w:rPr>
          <w:sz w:val="24"/>
        </w:rPr>
        <w:t xml:space="preserve">: Příjmy </w:t>
      </w:r>
      <w:proofErr w:type="spellStart"/>
      <w:r w:rsidRPr="007932D2">
        <w:rPr>
          <w:sz w:val="24"/>
        </w:rPr>
        <w:t>M</w:t>
      </w:r>
      <w:r>
        <w:rPr>
          <w:sz w:val="24"/>
        </w:rPr>
        <w:t>Zd</w:t>
      </w:r>
      <w:proofErr w:type="spellEnd"/>
      <w:r w:rsidRPr="007932D2">
        <w:rPr>
          <w:sz w:val="24"/>
        </w:rPr>
        <w:t xml:space="preserve"> </w:t>
      </w:r>
      <w:r>
        <w:rPr>
          <w:sz w:val="24"/>
        </w:rPr>
        <w:tab/>
      </w:r>
      <w:r w:rsidRPr="007932D2">
        <w:rPr>
          <w:sz w:val="24"/>
        </w:rPr>
        <w:t>(v Kč)</w:t>
      </w:r>
      <w:bookmarkEnd w:id="20"/>
      <w:bookmarkEnd w:id="21"/>
    </w:p>
    <w:tbl>
      <w:tblPr>
        <w:tblW w:w="497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1446"/>
        <w:gridCol w:w="1446"/>
        <w:gridCol w:w="1446"/>
        <w:gridCol w:w="1446"/>
        <w:gridCol w:w="1446"/>
      </w:tblGrid>
      <w:tr w:rsidR="006D40B2" w:rsidRPr="007932D2" w14:paraId="13924B0E" w14:textId="77777777" w:rsidTr="006D40B2">
        <w:trPr>
          <w:trHeight w:val="25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19EE505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Rozpočet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7C4D66B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562AC66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57CA3B0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9A08096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D71D8AC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7932D2" w14:paraId="0FF01519" w14:textId="77777777" w:rsidTr="006D40B2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0245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sz w:val="18"/>
                <w:szCs w:val="18"/>
              </w:rPr>
              <w:t>Schválený rozpočet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F505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991 273 277,00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1A6A6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1 195 441 576,00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DC15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828 274 760,00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1128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1 836 358 617,00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0B38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6 760 867 969,00</w:t>
            </w:r>
          </w:p>
        </w:tc>
      </w:tr>
      <w:tr w:rsidR="006D40B2" w:rsidRPr="007932D2" w14:paraId="5EE68DAD" w14:textId="77777777" w:rsidTr="006D40B2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62AF1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sz w:val="18"/>
                <w:szCs w:val="18"/>
              </w:rPr>
              <w:t>Rozpočet po změnách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1546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1 815 425 697,00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0157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1 153 929 820,00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1117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933 055 670,00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378D2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1 713 004 687,00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E57B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6 764 832 854,00</w:t>
            </w:r>
          </w:p>
        </w:tc>
      </w:tr>
      <w:tr w:rsidR="006D40B2" w:rsidRPr="007932D2" w14:paraId="5AD133B6" w14:textId="77777777" w:rsidTr="006D40B2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1890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sz w:val="18"/>
                <w:szCs w:val="18"/>
              </w:rPr>
              <w:t>Skutečnost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29AD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339 723 483,98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91C3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914 326 408,95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BD5B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904 585 831,08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2BE5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1 422 420 309,47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AFE1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6 536 292 006,29</w:t>
            </w:r>
          </w:p>
        </w:tc>
      </w:tr>
    </w:tbl>
    <w:p w14:paraId="26B9B964" w14:textId="77777777" w:rsidR="006D40B2" w:rsidRPr="007932D2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7932D2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7932D2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3E09F6DD" w14:textId="77777777" w:rsidR="006D40B2" w:rsidRPr="007932D2" w:rsidRDefault="006D40B2" w:rsidP="006D40B2">
      <w:pPr>
        <w:jc w:val="both"/>
        <w:rPr>
          <w:rFonts w:asciiTheme="minorHAnsi" w:hAnsiTheme="minorHAnsi" w:cstheme="minorHAnsi"/>
        </w:rPr>
      </w:pPr>
      <w:r w:rsidRPr="007932D2">
        <w:rPr>
          <w:rFonts w:asciiTheme="minorHAnsi" w:hAnsiTheme="minorHAnsi" w:cstheme="minorHAnsi"/>
        </w:rPr>
        <w:t xml:space="preserve">Příjmy (skutečnost) rozpočtové kapitoly 335 vykazují ve sledovaném období rostoucí tendenci (vyjma roku 2019). Nejnižší byly příjmy v roce 2017 v hodnotě 339,72 mil. Kč, nejvyšší v roce 2021 v hodnotě 6,54 mld. Kč. </w:t>
      </w:r>
    </w:p>
    <w:p w14:paraId="1F504558" w14:textId="77777777" w:rsidR="006D40B2" w:rsidRPr="007932D2" w:rsidRDefault="006D40B2" w:rsidP="006D40B2">
      <w:pPr>
        <w:jc w:val="both"/>
        <w:rPr>
          <w:rFonts w:asciiTheme="minorHAnsi" w:hAnsiTheme="minorHAnsi" w:cstheme="minorHAnsi"/>
        </w:rPr>
      </w:pPr>
      <w:r w:rsidRPr="007932D2">
        <w:rPr>
          <w:rFonts w:asciiTheme="minorHAnsi" w:hAnsiTheme="minorHAnsi" w:cstheme="minorHAnsi"/>
        </w:rPr>
        <w:t xml:space="preserve">Nenaplněné příjmy (skutečnost) v roce 2017 se týkají převážně příjmů, které byly rozpočtovány jako příjem z rozpočtu EU a z finančních mechanismů a v rozpočtovém roce 2017 nebyly připsány na příjmový účet státního rozpočtu. Dle § 25 zákona č. 218/2000 Sb. nebylo </w:t>
      </w:r>
      <w:proofErr w:type="spellStart"/>
      <w:r w:rsidRPr="007932D2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7932D2">
        <w:rPr>
          <w:rFonts w:asciiTheme="minorHAnsi" w:hAnsiTheme="minorHAnsi" w:cstheme="minorHAnsi"/>
        </w:rPr>
        <w:t xml:space="preserve"> povinno vázat prostředky státního rozpočtu. </w:t>
      </w:r>
    </w:p>
    <w:p w14:paraId="6580F844" w14:textId="77777777" w:rsidR="006D40B2" w:rsidRPr="00D71C60" w:rsidRDefault="006D40B2" w:rsidP="006D40B2">
      <w:pPr>
        <w:jc w:val="both"/>
        <w:rPr>
          <w:rFonts w:asciiTheme="minorHAnsi" w:hAnsiTheme="minorHAnsi" w:cstheme="minorHAnsi"/>
          <w:b/>
          <w:highlight w:val="yellow"/>
        </w:rPr>
      </w:pPr>
      <w:r w:rsidRPr="007932D2">
        <w:rPr>
          <w:rFonts w:asciiTheme="minorHAnsi" w:hAnsiTheme="minorHAnsi" w:cstheme="minorHAnsi"/>
        </w:rPr>
        <w:t xml:space="preserve">V roce 2021 je položkou s největším podílem na celkových příjmech 2112 – </w:t>
      </w:r>
      <w:r w:rsidRPr="007932D2">
        <w:rPr>
          <w:rFonts w:asciiTheme="minorHAnsi" w:hAnsiTheme="minorHAnsi" w:cstheme="minorHAnsi"/>
          <w:i/>
        </w:rPr>
        <w:t>Příjmy z prodeje zboží (již nakoupeného za účelem prodeje)</w:t>
      </w:r>
      <w:r w:rsidRPr="007932D2">
        <w:rPr>
          <w:rFonts w:asciiTheme="minorHAnsi" w:hAnsiTheme="minorHAnsi" w:cstheme="minorHAnsi"/>
        </w:rPr>
        <w:t xml:space="preserve"> (87,41 %) a dále 4118 – </w:t>
      </w:r>
      <w:r w:rsidRPr="007932D2">
        <w:rPr>
          <w:rFonts w:asciiTheme="minorHAnsi" w:hAnsiTheme="minorHAnsi" w:cstheme="minorHAnsi"/>
          <w:i/>
        </w:rPr>
        <w:t>Neinvestiční převody z</w:t>
      </w:r>
      <w:r>
        <w:rPr>
          <w:rFonts w:asciiTheme="minorHAnsi" w:hAnsiTheme="minorHAnsi" w:cstheme="minorHAnsi"/>
          <w:i/>
        </w:rPr>
        <w:t> </w:t>
      </w:r>
      <w:r w:rsidRPr="007932D2">
        <w:rPr>
          <w:rFonts w:asciiTheme="minorHAnsi" w:hAnsiTheme="minorHAnsi" w:cstheme="minorHAnsi"/>
          <w:i/>
        </w:rPr>
        <w:t>Národního fondu</w:t>
      </w:r>
      <w:r w:rsidRPr="007932D2">
        <w:rPr>
          <w:rFonts w:asciiTheme="minorHAnsi" w:hAnsiTheme="minorHAnsi" w:cstheme="minorHAnsi"/>
        </w:rPr>
        <w:t xml:space="preserve"> (9,03 %).</w:t>
      </w:r>
    </w:p>
    <w:p w14:paraId="1FC1247E" w14:textId="468680B2" w:rsidR="006D40B2" w:rsidRPr="004E2D6E" w:rsidRDefault="006D40B2" w:rsidP="006D40B2">
      <w:pPr>
        <w:pStyle w:val="Titulek1"/>
        <w:tabs>
          <w:tab w:val="clear" w:pos="1134"/>
          <w:tab w:val="clear" w:pos="9356"/>
          <w:tab w:val="right" w:pos="9072"/>
        </w:tabs>
        <w:rPr>
          <w:sz w:val="24"/>
        </w:rPr>
      </w:pPr>
      <w:bookmarkStart w:id="22" w:name="_Toc8984520"/>
      <w:bookmarkStart w:id="23" w:name="_Toc72157456"/>
      <w:r w:rsidRPr="004E2D6E">
        <w:rPr>
          <w:sz w:val="24"/>
        </w:rPr>
        <w:t xml:space="preserve">Tabulka č. </w:t>
      </w:r>
      <w:r w:rsidRPr="004E2D6E">
        <w:rPr>
          <w:sz w:val="24"/>
        </w:rPr>
        <w:fldChar w:fldCharType="begin"/>
      </w:r>
      <w:r w:rsidRPr="004E2D6E">
        <w:rPr>
          <w:sz w:val="24"/>
        </w:rPr>
        <w:instrText xml:space="preserve"> SEQ Tabulka \* ARABIC </w:instrText>
      </w:r>
      <w:r w:rsidRPr="004E2D6E">
        <w:rPr>
          <w:sz w:val="24"/>
        </w:rPr>
        <w:fldChar w:fldCharType="separate"/>
      </w:r>
      <w:r w:rsidR="009A66D8">
        <w:rPr>
          <w:noProof/>
          <w:sz w:val="24"/>
        </w:rPr>
        <w:t>4</w:t>
      </w:r>
      <w:r w:rsidRPr="004E2D6E">
        <w:rPr>
          <w:noProof/>
          <w:sz w:val="24"/>
        </w:rPr>
        <w:fldChar w:fldCharType="end"/>
      </w:r>
      <w:r w:rsidRPr="004E2D6E">
        <w:rPr>
          <w:sz w:val="24"/>
        </w:rPr>
        <w:t xml:space="preserve">: Příjmy OSS rozpočtové kapitoly 335 (bez </w:t>
      </w:r>
      <w:proofErr w:type="spellStart"/>
      <w:r w:rsidRPr="004E2D6E">
        <w:rPr>
          <w:sz w:val="24"/>
        </w:rPr>
        <w:t>MZd</w:t>
      </w:r>
      <w:proofErr w:type="spellEnd"/>
      <w:r w:rsidR="008F3911">
        <w:rPr>
          <w:sz w:val="24"/>
        </w:rPr>
        <w:t>)</w:t>
      </w:r>
      <w:r w:rsidRPr="004E2D6E">
        <w:rPr>
          <w:sz w:val="24"/>
        </w:rPr>
        <w:t xml:space="preserve"> </w:t>
      </w:r>
      <w:r w:rsidR="008F3911">
        <w:rPr>
          <w:sz w:val="24"/>
        </w:rPr>
        <w:tab/>
        <w:t>(</w:t>
      </w:r>
      <w:r w:rsidRPr="004E2D6E">
        <w:rPr>
          <w:sz w:val="24"/>
        </w:rPr>
        <w:t>v Kč)</w:t>
      </w:r>
      <w:bookmarkEnd w:id="22"/>
      <w:bookmarkEnd w:id="2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1457"/>
        <w:gridCol w:w="1455"/>
        <w:gridCol w:w="1455"/>
        <w:gridCol w:w="1457"/>
        <w:gridCol w:w="1457"/>
      </w:tblGrid>
      <w:tr w:rsidR="006D40B2" w:rsidRPr="00D71C60" w14:paraId="368877CF" w14:textId="77777777" w:rsidTr="006D40B2">
        <w:trPr>
          <w:trHeight w:val="255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FA1BCCE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2D2">
              <w:rPr>
                <w:b/>
                <w:bCs/>
                <w:color w:val="000000"/>
                <w:sz w:val="18"/>
                <w:szCs w:val="18"/>
              </w:rPr>
              <w:t>Rozpočet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AD50C2C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A40A597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D1D4EC7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863CF42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812DBD5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932D2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3F323879" w14:textId="77777777" w:rsidTr="006D40B2">
        <w:trPr>
          <w:trHeight w:val="25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1C96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2D2">
              <w:rPr>
                <w:b/>
                <w:bCs/>
                <w:color w:val="000000"/>
                <w:sz w:val="18"/>
                <w:szCs w:val="18"/>
              </w:rPr>
              <w:t>Schválený rozpočet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7EE8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101 246 723,00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7103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126 558 424,00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334B1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104 170 301,00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3168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110 441 383,00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94B16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98 932 031,00</w:t>
            </w:r>
          </w:p>
        </w:tc>
      </w:tr>
      <w:tr w:rsidR="006D40B2" w:rsidRPr="00D71C60" w14:paraId="09704B68" w14:textId="77777777" w:rsidTr="006D40B2">
        <w:trPr>
          <w:trHeight w:val="25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5D9E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2D2">
              <w:rPr>
                <w:b/>
                <w:bCs/>
                <w:color w:val="000000"/>
                <w:sz w:val="18"/>
                <w:szCs w:val="18"/>
              </w:rPr>
              <w:t>Rozpočet po změnách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D19D8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107 621 811,00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23B8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168 070 180,00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84926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104 170 301,00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0196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230 347 863,00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8959C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94 278 609,00</w:t>
            </w:r>
          </w:p>
        </w:tc>
      </w:tr>
      <w:tr w:rsidR="006D40B2" w:rsidRPr="00D71C60" w14:paraId="020731E4" w14:textId="77777777" w:rsidTr="006D40B2">
        <w:trPr>
          <w:trHeight w:val="25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7E11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2D2">
              <w:rPr>
                <w:b/>
                <w:bCs/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62F3C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561 356 347,43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0191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550 267 155,94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D963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619 136 628,71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9045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738 829 249,34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70B8" w14:textId="77777777" w:rsidR="006D40B2" w:rsidRPr="007932D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7932D2">
              <w:rPr>
                <w:sz w:val="18"/>
                <w:szCs w:val="18"/>
              </w:rPr>
              <w:t>674 121 276,66</w:t>
            </w:r>
          </w:p>
        </w:tc>
      </w:tr>
    </w:tbl>
    <w:p w14:paraId="6911B2A5" w14:textId="77777777" w:rsidR="006D40B2" w:rsidRPr="007932D2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bookmarkStart w:id="24" w:name="_Toc520714925"/>
      <w:r w:rsidRPr="007932D2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7932D2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bookmarkEnd w:id="24"/>
    <w:p w14:paraId="66FF5456" w14:textId="77777777" w:rsidR="006D40B2" w:rsidRPr="007932D2" w:rsidRDefault="006D40B2" w:rsidP="006D40B2">
      <w:pPr>
        <w:jc w:val="both"/>
        <w:rPr>
          <w:rFonts w:eastAsia="Calibri" w:cs="Calibri"/>
          <w:szCs w:val="22"/>
        </w:rPr>
      </w:pPr>
      <w:r w:rsidRPr="007932D2">
        <w:rPr>
          <w:rFonts w:eastAsia="Calibri" w:cs="Calibri"/>
          <w:szCs w:val="22"/>
        </w:rPr>
        <w:t xml:space="preserve">Ve sledovaném období vykazují skutečné příjmy rostoucí tendenci, vyjma let 2018 a 2021. Skutečné příjmy OSS kapitoly 335 (bez </w:t>
      </w:r>
      <w:proofErr w:type="spellStart"/>
      <w:r w:rsidRPr="007932D2">
        <w:rPr>
          <w:rFonts w:eastAsia="Calibri" w:cs="Calibri"/>
          <w:szCs w:val="22"/>
        </w:rPr>
        <w:t>MZ</w:t>
      </w:r>
      <w:r>
        <w:rPr>
          <w:rFonts w:eastAsia="Calibri" w:cs="Calibri"/>
          <w:szCs w:val="22"/>
        </w:rPr>
        <w:t>d</w:t>
      </w:r>
      <w:proofErr w:type="spellEnd"/>
      <w:r w:rsidRPr="007932D2">
        <w:rPr>
          <w:rFonts w:eastAsia="Calibri" w:cs="Calibri"/>
          <w:szCs w:val="22"/>
        </w:rPr>
        <w:t xml:space="preserve">) jsou v celém sledovaném období vyšší než schválený rozpočet a rozpočet po změnách. </w:t>
      </w:r>
    </w:p>
    <w:p w14:paraId="6C534367" w14:textId="77777777" w:rsidR="006D40B2" w:rsidRPr="00D71C60" w:rsidRDefault="006D40B2" w:rsidP="006D40B2">
      <w:pPr>
        <w:spacing w:after="0"/>
        <w:jc w:val="both"/>
        <w:rPr>
          <w:rFonts w:eastAsia="Calibri" w:cs="Calibri"/>
          <w:szCs w:val="22"/>
          <w:highlight w:val="yellow"/>
        </w:rPr>
      </w:pPr>
      <w:r w:rsidRPr="007932D2">
        <w:rPr>
          <w:rFonts w:eastAsia="Calibri" w:cs="Calibri"/>
          <w:szCs w:val="22"/>
        </w:rPr>
        <w:t xml:space="preserve">Nejvyšších skutečných příjmů v roce 2021 dosáhla OSS SÚKL (574,01 mil. Kč). Rozhodující část příjmů SÚKL v roce 2021 představovaly položky 4135 </w:t>
      </w:r>
      <w:r w:rsidRPr="007932D2">
        <w:rPr>
          <w:rFonts w:asciiTheme="minorHAnsi" w:hAnsiTheme="minorHAnsi" w:cstheme="minorHAnsi"/>
        </w:rPr>
        <w:t>–</w:t>
      </w:r>
      <w:r w:rsidRPr="007932D2">
        <w:rPr>
          <w:rFonts w:eastAsia="Calibri" w:cs="Calibri"/>
          <w:szCs w:val="22"/>
        </w:rPr>
        <w:t xml:space="preserve"> </w:t>
      </w:r>
      <w:r w:rsidRPr="007932D2">
        <w:rPr>
          <w:rFonts w:eastAsia="Calibri" w:cs="Calibri"/>
          <w:i/>
          <w:szCs w:val="22"/>
        </w:rPr>
        <w:t>Převody z rezervních fondů organizačních složek státu</w:t>
      </w:r>
      <w:r w:rsidRPr="007932D2">
        <w:rPr>
          <w:rFonts w:eastAsia="Calibri" w:cs="Calibri"/>
          <w:szCs w:val="22"/>
        </w:rPr>
        <w:t xml:space="preserve"> ve výši 528,17 mil. Kč, 1361 </w:t>
      </w:r>
      <w:r w:rsidRPr="007932D2">
        <w:rPr>
          <w:rFonts w:asciiTheme="minorHAnsi" w:hAnsiTheme="minorHAnsi" w:cstheme="minorHAnsi"/>
        </w:rPr>
        <w:t>–</w:t>
      </w:r>
      <w:r w:rsidRPr="007932D2">
        <w:rPr>
          <w:rFonts w:eastAsia="Calibri" w:cs="Calibri"/>
          <w:szCs w:val="22"/>
        </w:rPr>
        <w:t xml:space="preserve"> </w:t>
      </w:r>
      <w:r w:rsidRPr="007932D2">
        <w:rPr>
          <w:rFonts w:eastAsia="Calibri" w:cs="Calibri"/>
          <w:i/>
          <w:szCs w:val="22"/>
        </w:rPr>
        <w:t>Správní poplatky</w:t>
      </w:r>
      <w:r w:rsidRPr="007932D2">
        <w:rPr>
          <w:rFonts w:eastAsia="Calibri" w:cs="Calibri"/>
          <w:szCs w:val="22"/>
        </w:rPr>
        <w:t xml:space="preserve"> ve výši 35,68 mil. Kč a 2112 </w:t>
      </w:r>
      <w:r w:rsidRPr="007932D2">
        <w:rPr>
          <w:rFonts w:asciiTheme="minorHAnsi" w:hAnsiTheme="minorHAnsi" w:cstheme="minorHAnsi"/>
        </w:rPr>
        <w:t>–</w:t>
      </w:r>
      <w:r w:rsidRPr="007932D2">
        <w:rPr>
          <w:rFonts w:eastAsia="Calibri" w:cs="Calibri"/>
          <w:szCs w:val="22"/>
        </w:rPr>
        <w:t xml:space="preserve"> </w:t>
      </w:r>
      <w:r w:rsidRPr="007932D2">
        <w:rPr>
          <w:rFonts w:eastAsia="Calibri" w:cs="Calibri"/>
          <w:i/>
          <w:szCs w:val="22"/>
        </w:rPr>
        <w:t>Příjmy z prodeje zboží (již nakoupeného za účelem prodeje)</w:t>
      </w:r>
      <w:r w:rsidRPr="007932D2">
        <w:rPr>
          <w:rFonts w:eastAsia="Calibri" w:cs="Calibri"/>
          <w:szCs w:val="22"/>
        </w:rPr>
        <w:t xml:space="preserve"> ve výši 6,40 mil. Kč.</w:t>
      </w:r>
    </w:p>
    <w:p w14:paraId="514DB04A" w14:textId="77777777" w:rsidR="006D40B2" w:rsidRPr="00D71C60" w:rsidRDefault="006D40B2" w:rsidP="006D40B2">
      <w:pPr>
        <w:spacing w:after="0"/>
        <w:rPr>
          <w:rFonts w:eastAsia="Calibri"/>
          <w:szCs w:val="22"/>
          <w:highlight w:val="yellow"/>
        </w:rPr>
      </w:pPr>
    </w:p>
    <w:p w14:paraId="2C70FA0D" w14:textId="77777777" w:rsidR="006D40B2" w:rsidRPr="00AA15AA" w:rsidRDefault="006D40B2" w:rsidP="006D40B2">
      <w:pPr>
        <w:pStyle w:val="Nadpis2"/>
        <w:numPr>
          <w:ilvl w:val="0"/>
          <w:numId w:val="0"/>
        </w:numPr>
        <w:ind w:left="576" w:hanging="576"/>
        <w:jc w:val="center"/>
      </w:pPr>
      <w:bookmarkStart w:id="25" w:name="_Toc519242398"/>
      <w:bookmarkStart w:id="26" w:name="_Toc17204902"/>
      <w:bookmarkStart w:id="27" w:name="_Toc71514618"/>
      <w:r w:rsidRPr="00AA15AA">
        <w:t xml:space="preserve">Oddíl II. Výdaje v rozpočtové kapitole </w:t>
      </w:r>
      <w:r>
        <w:t>335</w:t>
      </w:r>
      <w:r w:rsidRPr="00AA15AA">
        <w:t xml:space="preserve"> v letech 201</w:t>
      </w:r>
      <w:r>
        <w:t>7</w:t>
      </w:r>
      <w:r w:rsidRPr="00AA15AA">
        <w:t>–20</w:t>
      </w:r>
      <w:bookmarkEnd w:id="25"/>
      <w:bookmarkEnd w:id="26"/>
      <w:r w:rsidRPr="00AA15AA">
        <w:t>2</w:t>
      </w:r>
      <w:bookmarkEnd w:id="27"/>
      <w:r>
        <w:t>1</w:t>
      </w:r>
    </w:p>
    <w:p w14:paraId="05357F2C" w14:textId="4423FE84" w:rsidR="006D40B2" w:rsidRPr="007932D2" w:rsidRDefault="006D40B2" w:rsidP="006D40B2">
      <w:pPr>
        <w:pStyle w:val="Titulek1"/>
        <w:tabs>
          <w:tab w:val="clear" w:pos="1134"/>
          <w:tab w:val="clear" w:pos="9356"/>
          <w:tab w:val="right" w:pos="9070"/>
        </w:tabs>
        <w:rPr>
          <w:sz w:val="24"/>
        </w:rPr>
      </w:pPr>
      <w:bookmarkStart w:id="28" w:name="_Toc520714314"/>
      <w:bookmarkStart w:id="29" w:name="_Toc8984521"/>
      <w:bookmarkStart w:id="30" w:name="_Toc72157460"/>
      <w:r w:rsidRPr="007932D2">
        <w:rPr>
          <w:sz w:val="24"/>
        </w:rPr>
        <w:t xml:space="preserve">Tabulka č. </w:t>
      </w:r>
      <w:r w:rsidRPr="007932D2">
        <w:rPr>
          <w:sz w:val="24"/>
        </w:rPr>
        <w:fldChar w:fldCharType="begin"/>
      </w:r>
      <w:r w:rsidRPr="007932D2">
        <w:rPr>
          <w:sz w:val="24"/>
        </w:rPr>
        <w:instrText xml:space="preserve"> SEQ Tabulka \* ARABIC </w:instrText>
      </w:r>
      <w:r w:rsidRPr="007932D2">
        <w:rPr>
          <w:sz w:val="24"/>
        </w:rPr>
        <w:fldChar w:fldCharType="separate"/>
      </w:r>
      <w:r w:rsidR="009A66D8">
        <w:rPr>
          <w:noProof/>
          <w:sz w:val="24"/>
        </w:rPr>
        <w:t>5</w:t>
      </w:r>
      <w:r w:rsidRPr="007932D2">
        <w:rPr>
          <w:noProof/>
          <w:sz w:val="24"/>
        </w:rPr>
        <w:fldChar w:fldCharType="end"/>
      </w:r>
      <w:r w:rsidRPr="007932D2">
        <w:rPr>
          <w:sz w:val="24"/>
        </w:rPr>
        <w:t xml:space="preserve">: Výdaje rozpočtové kapitoly 335 </w:t>
      </w:r>
      <w:r>
        <w:rPr>
          <w:sz w:val="24"/>
        </w:rPr>
        <w:tab/>
      </w:r>
      <w:r w:rsidRPr="007932D2">
        <w:rPr>
          <w:sz w:val="24"/>
        </w:rPr>
        <w:t>(v Kč)</w:t>
      </w:r>
      <w:bookmarkEnd w:id="28"/>
      <w:bookmarkEnd w:id="29"/>
      <w:bookmarkEnd w:id="30"/>
    </w:p>
    <w:tbl>
      <w:tblPr>
        <w:tblW w:w="49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1447"/>
        <w:gridCol w:w="1447"/>
        <w:gridCol w:w="1447"/>
        <w:gridCol w:w="1447"/>
        <w:gridCol w:w="1443"/>
      </w:tblGrid>
      <w:tr w:rsidR="006D40B2" w:rsidRPr="00D71C60" w14:paraId="5DDE472D" w14:textId="77777777" w:rsidTr="006D40B2">
        <w:trPr>
          <w:trHeight w:val="255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5C622B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2D2">
              <w:rPr>
                <w:b/>
                <w:bCs/>
                <w:color w:val="000000"/>
                <w:sz w:val="18"/>
                <w:szCs w:val="18"/>
              </w:rPr>
              <w:t>Rozpočet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32F0BC0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7932D2">
              <w:rPr>
                <w:b/>
                <w:sz w:val="17"/>
                <w:szCs w:val="17"/>
              </w:rPr>
              <w:t>2017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EE28F9A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7932D2">
              <w:rPr>
                <w:b/>
                <w:sz w:val="17"/>
                <w:szCs w:val="17"/>
              </w:rPr>
              <w:t>2018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4ABF265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7932D2">
              <w:rPr>
                <w:b/>
                <w:sz w:val="17"/>
                <w:szCs w:val="17"/>
              </w:rPr>
              <w:t>2019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37ED24D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7932D2">
              <w:rPr>
                <w:b/>
                <w:sz w:val="17"/>
                <w:szCs w:val="17"/>
              </w:rPr>
              <w:t>2020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356A3FE" w14:textId="77777777" w:rsidR="006D40B2" w:rsidRPr="007932D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7932D2">
              <w:rPr>
                <w:b/>
                <w:sz w:val="17"/>
                <w:szCs w:val="17"/>
              </w:rPr>
              <w:t>2021</w:t>
            </w:r>
          </w:p>
        </w:tc>
      </w:tr>
      <w:tr w:rsidR="006D40B2" w:rsidRPr="00D71C60" w14:paraId="3B10BD07" w14:textId="77777777" w:rsidTr="006D40B2">
        <w:trPr>
          <w:trHeight w:val="25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6596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2D2">
              <w:rPr>
                <w:b/>
                <w:bCs/>
                <w:color w:val="000000"/>
                <w:sz w:val="18"/>
                <w:szCs w:val="18"/>
              </w:rPr>
              <w:t>Schválený rozpočet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F5F9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7 286 341 404,00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1A10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8 034 018 059,00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7B207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8 203 095 540,00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84B1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11 000 443 374,00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6573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18 038 349 373,00</w:t>
            </w:r>
          </w:p>
        </w:tc>
      </w:tr>
      <w:tr w:rsidR="006D40B2" w:rsidRPr="00D71C60" w14:paraId="74C4C435" w14:textId="77777777" w:rsidTr="006D40B2">
        <w:trPr>
          <w:trHeight w:val="25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7DA1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2D2">
              <w:rPr>
                <w:b/>
                <w:bCs/>
                <w:color w:val="000000"/>
                <w:sz w:val="18"/>
                <w:szCs w:val="18"/>
              </w:rPr>
              <w:t>Rozpočet po změnách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32ED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8 652 801 768,00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72BC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7 760 153 034,00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5876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8 473 061 355,00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26941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34 228 117 660,00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B9E8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31 919 608 158,00</w:t>
            </w:r>
          </w:p>
        </w:tc>
      </w:tr>
      <w:tr w:rsidR="006D40B2" w:rsidRPr="00D71C60" w14:paraId="20F2E729" w14:textId="77777777" w:rsidTr="006D40B2">
        <w:trPr>
          <w:trHeight w:val="25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17AC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2D2">
              <w:rPr>
                <w:b/>
                <w:bCs/>
                <w:color w:val="000000"/>
                <w:sz w:val="18"/>
                <w:szCs w:val="18"/>
              </w:rPr>
              <w:t>Konečný rozpočet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E30C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14 767 932 111,56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31ABA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14 931 258 696,89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52377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13 854 971832,39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7A87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39 335 383 405,82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4EE8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39 792 958 645,17</w:t>
            </w:r>
          </w:p>
        </w:tc>
      </w:tr>
      <w:tr w:rsidR="006D40B2" w:rsidRPr="00D71C60" w14:paraId="541BE940" w14:textId="77777777" w:rsidTr="006D40B2">
        <w:trPr>
          <w:trHeight w:val="255"/>
        </w:trPr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D14F" w14:textId="77777777" w:rsidR="006D40B2" w:rsidRPr="007932D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2D2">
              <w:rPr>
                <w:b/>
                <w:bCs/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8D21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7 980 709 618,35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F0521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8 888 187 179,24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8A2C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9 094 519 045,06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82E4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32 060 294 456,66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348E" w14:textId="77777777" w:rsidR="006D40B2" w:rsidRPr="007932D2" w:rsidRDefault="006D40B2" w:rsidP="006D40B2">
            <w:pPr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31 685 094 899,57</w:t>
            </w:r>
          </w:p>
        </w:tc>
      </w:tr>
    </w:tbl>
    <w:p w14:paraId="4DD028E5" w14:textId="77777777" w:rsidR="006D40B2" w:rsidRPr="007932D2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7932D2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7932D2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45BDC191" w14:textId="51131A60" w:rsidR="006D40B2" w:rsidRPr="007932D2" w:rsidRDefault="006D40B2" w:rsidP="006D40B2">
      <w:pPr>
        <w:spacing w:before="40"/>
        <w:jc w:val="both"/>
        <w:rPr>
          <w:rFonts w:asciiTheme="minorHAnsi" w:hAnsiTheme="minorHAnsi" w:cstheme="minorHAnsi"/>
        </w:rPr>
      </w:pPr>
      <w:r w:rsidRPr="007932D2">
        <w:rPr>
          <w:rFonts w:asciiTheme="minorHAnsi" w:hAnsiTheme="minorHAnsi" w:cstheme="minorHAnsi"/>
        </w:rPr>
        <w:t xml:space="preserve">Výdaje (skutečnost) rozpočtové kapitoly 335 vykazují ve sledovaném období rostoucí tendenci, vyjma roku 2021. Mezi rokem </w:t>
      </w:r>
      <w:r w:rsidR="0001056A" w:rsidRPr="007932D2">
        <w:rPr>
          <w:rFonts w:asciiTheme="minorHAnsi" w:hAnsiTheme="minorHAnsi" w:cstheme="minorHAnsi"/>
        </w:rPr>
        <w:t xml:space="preserve">2017 a </w:t>
      </w:r>
      <w:r w:rsidRPr="007932D2">
        <w:rPr>
          <w:rFonts w:asciiTheme="minorHAnsi" w:hAnsiTheme="minorHAnsi" w:cstheme="minorHAnsi"/>
        </w:rPr>
        <w:t xml:space="preserve">2021 došlo k nárůstu skutečných výdajů </w:t>
      </w:r>
      <w:r w:rsidRPr="007932D2">
        <w:rPr>
          <w:rFonts w:asciiTheme="minorHAnsi" w:hAnsiTheme="minorHAnsi" w:cstheme="minorHAnsi"/>
        </w:rPr>
        <w:lastRenderedPageBreak/>
        <w:t>o</w:t>
      </w:r>
      <w:r>
        <w:rPr>
          <w:rFonts w:asciiTheme="minorHAnsi" w:hAnsiTheme="minorHAnsi" w:cstheme="minorHAnsi"/>
        </w:rPr>
        <w:t> </w:t>
      </w:r>
      <w:r w:rsidRPr="007932D2">
        <w:rPr>
          <w:rFonts w:asciiTheme="minorHAnsi" w:hAnsiTheme="minorHAnsi" w:cstheme="minorHAnsi"/>
        </w:rPr>
        <w:t xml:space="preserve">23,70 mld. Kč, tj. o 297,02 %. Stejně jako u příjmů tvoří v celém sledovaném období výdaje </w:t>
      </w:r>
      <w:proofErr w:type="spellStart"/>
      <w:r w:rsidRPr="007932D2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7932D2">
        <w:rPr>
          <w:rFonts w:asciiTheme="minorHAnsi" w:hAnsiTheme="minorHAnsi" w:cstheme="minorHAnsi"/>
        </w:rPr>
        <w:t xml:space="preserve"> (skutečnost) většinu výdajů všech OSS rozpočtové kapitoly 335 (skutečnost). Procent</w:t>
      </w:r>
      <w:r>
        <w:rPr>
          <w:rFonts w:asciiTheme="minorHAnsi" w:hAnsiTheme="minorHAnsi" w:cstheme="minorHAnsi"/>
        </w:rPr>
        <w:t>uál</w:t>
      </w:r>
      <w:r w:rsidRPr="007932D2">
        <w:rPr>
          <w:rFonts w:asciiTheme="minorHAnsi" w:hAnsiTheme="minorHAnsi" w:cstheme="minorHAnsi"/>
        </w:rPr>
        <w:t xml:space="preserve">ně představují výdaje </w:t>
      </w:r>
      <w:proofErr w:type="spellStart"/>
      <w:r w:rsidRPr="007932D2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7932D2">
        <w:rPr>
          <w:rFonts w:asciiTheme="minorHAnsi" w:hAnsiTheme="minorHAnsi" w:cstheme="minorHAnsi"/>
        </w:rPr>
        <w:t xml:space="preserve"> 90,29 % skutečných výdajů kapitoly 335 v roce 2021.</w:t>
      </w:r>
    </w:p>
    <w:p w14:paraId="1BB7B27E" w14:textId="77777777" w:rsidR="006D40B2" w:rsidRPr="007932D2" w:rsidRDefault="006D40B2" w:rsidP="006D40B2">
      <w:pPr>
        <w:spacing w:before="40"/>
        <w:jc w:val="both"/>
        <w:rPr>
          <w:rFonts w:asciiTheme="minorHAnsi" w:hAnsiTheme="minorHAnsi" w:cstheme="minorHAnsi"/>
        </w:rPr>
      </w:pPr>
      <w:r w:rsidRPr="007932D2">
        <w:rPr>
          <w:rFonts w:asciiTheme="minorHAnsi" w:hAnsiTheme="minorHAnsi" w:cstheme="minorHAnsi"/>
        </w:rPr>
        <w:t>Konečný rozpočet výdajů v rozpočtové kapitole 335 byl ve sledovaném období vyšší než schválený rozpočet. Skutečné čerpání výdajů bylo po celé sledované období nižší než konečný rozpočet.</w:t>
      </w:r>
    </w:p>
    <w:p w14:paraId="714744F1" w14:textId="77777777" w:rsidR="006D40B2" w:rsidRPr="00D71C60" w:rsidRDefault="006D40B2" w:rsidP="006D40B2">
      <w:pPr>
        <w:spacing w:before="40"/>
        <w:jc w:val="both"/>
        <w:rPr>
          <w:rFonts w:cs="Calibri"/>
          <w:color w:val="000000"/>
          <w:szCs w:val="20"/>
          <w:highlight w:val="yellow"/>
          <w:lang w:eastAsia="cs-CZ"/>
        </w:rPr>
      </w:pPr>
      <w:r w:rsidRPr="007932D2">
        <w:rPr>
          <w:rFonts w:asciiTheme="minorHAnsi" w:hAnsiTheme="minorHAnsi" w:cstheme="minorHAnsi"/>
        </w:rPr>
        <w:t xml:space="preserve">Převážnou většinu (91,42 %) skutečných výdajů kapitoly 335 v roce 2021 představovaly běžné výdaje v částce 28,97 mld. Kč, přičemž nejvíce z nich bylo vynaloženo v rámci rozpočtové položky 5331 – </w:t>
      </w:r>
      <w:r w:rsidRPr="007932D2">
        <w:rPr>
          <w:rFonts w:asciiTheme="minorHAnsi" w:hAnsiTheme="minorHAnsi" w:cstheme="minorHAnsi"/>
          <w:i/>
        </w:rPr>
        <w:t>Neinvestiční příspěvky zřízeným příspěvkovým organizacím</w:t>
      </w:r>
      <w:r w:rsidRPr="007932D2">
        <w:rPr>
          <w:rFonts w:asciiTheme="minorHAnsi" w:hAnsiTheme="minorHAnsi" w:cstheme="minorHAnsi"/>
        </w:rPr>
        <w:t>, a to</w:t>
      </w:r>
      <w:r>
        <w:rPr>
          <w:rFonts w:asciiTheme="minorHAnsi" w:hAnsiTheme="minorHAnsi" w:cstheme="minorHAnsi"/>
        </w:rPr>
        <w:t xml:space="preserve"> </w:t>
      </w:r>
      <w:r w:rsidRPr="007932D2">
        <w:rPr>
          <w:rFonts w:asciiTheme="minorHAnsi" w:hAnsiTheme="minorHAnsi" w:cstheme="minorHAnsi"/>
        </w:rPr>
        <w:t>6,58 mld. Kč.</w:t>
      </w:r>
      <w:r>
        <w:rPr>
          <w:rFonts w:asciiTheme="minorHAnsi" w:hAnsiTheme="minorHAnsi" w:cstheme="minorHAnsi"/>
        </w:rPr>
        <w:t xml:space="preserve"> Dalších 6,5 mld. Kč bylo vynaloženo v rámci rozpočtové položky 5133 – </w:t>
      </w:r>
      <w:r w:rsidRPr="0066297E">
        <w:rPr>
          <w:rFonts w:asciiTheme="minorHAnsi" w:hAnsiTheme="minorHAnsi" w:cstheme="minorHAnsi"/>
          <w:i/>
        </w:rPr>
        <w:t>Léky a zdravotnický materiál</w:t>
      </w:r>
      <w:r>
        <w:rPr>
          <w:rFonts w:asciiTheme="minorHAnsi" w:hAnsiTheme="minorHAnsi" w:cstheme="minorHAnsi"/>
        </w:rPr>
        <w:t xml:space="preserve"> na nákup vakcín.</w:t>
      </w:r>
      <w:r w:rsidRPr="007932D2">
        <w:rPr>
          <w:rFonts w:asciiTheme="minorHAnsi" w:hAnsiTheme="minorHAnsi" w:cstheme="minorHAnsi"/>
        </w:rPr>
        <w:t xml:space="preserve"> Kapitálové výdaje činily 2,72 mld. Kč a z nich nejvýznamnější byla rozpočtová položka 6351 – </w:t>
      </w:r>
      <w:r w:rsidRPr="007932D2">
        <w:rPr>
          <w:rFonts w:asciiTheme="minorHAnsi" w:hAnsiTheme="minorHAnsi" w:cstheme="minorHAnsi"/>
          <w:i/>
        </w:rPr>
        <w:t>Investiční transfery zřízeným příspěvkovým organizacím</w:t>
      </w:r>
      <w:r w:rsidRPr="007932D2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 </w:t>
      </w:r>
      <w:r w:rsidRPr="007932D2">
        <w:rPr>
          <w:rFonts w:asciiTheme="minorHAnsi" w:hAnsiTheme="minorHAnsi" w:cstheme="minorHAnsi"/>
        </w:rPr>
        <w:t>hodnotou 2,59 mld. Kč.</w:t>
      </w:r>
    </w:p>
    <w:p w14:paraId="562CC218" w14:textId="72375898" w:rsidR="006D40B2" w:rsidRPr="007932D2" w:rsidRDefault="006D40B2" w:rsidP="006D40B2">
      <w:pPr>
        <w:pStyle w:val="Titulek1"/>
        <w:tabs>
          <w:tab w:val="clear" w:pos="1134"/>
          <w:tab w:val="clear" w:pos="9356"/>
          <w:tab w:val="right" w:pos="9070"/>
        </w:tabs>
        <w:rPr>
          <w:sz w:val="24"/>
        </w:rPr>
      </w:pPr>
      <w:bookmarkStart w:id="31" w:name="_Toc520714315"/>
      <w:bookmarkStart w:id="32" w:name="_Toc8984522"/>
      <w:bookmarkStart w:id="33" w:name="_Toc72157461"/>
      <w:r w:rsidRPr="007932D2">
        <w:rPr>
          <w:sz w:val="24"/>
        </w:rPr>
        <w:t xml:space="preserve">Tabulka č. </w:t>
      </w:r>
      <w:r w:rsidRPr="007932D2">
        <w:rPr>
          <w:sz w:val="24"/>
        </w:rPr>
        <w:fldChar w:fldCharType="begin"/>
      </w:r>
      <w:r w:rsidRPr="007932D2">
        <w:rPr>
          <w:sz w:val="24"/>
        </w:rPr>
        <w:instrText xml:space="preserve"> SEQ Tabulka \* ARABIC </w:instrText>
      </w:r>
      <w:r w:rsidRPr="007932D2">
        <w:rPr>
          <w:sz w:val="24"/>
        </w:rPr>
        <w:fldChar w:fldCharType="separate"/>
      </w:r>
      <w:r w:rsidR="009A66D8">
        <w:rPr>
          <w:noProof/>
          <w:sz w:val="24"/>
        </w:rPr>
        <w:t>6</w:t>
      </w:r>
      <w:r w:rsidRPr="007932D2">
        <w:rPr>
          <w:noProof/>
          <w:sz w:val="24"/>
        </w:rPr>
        <w:fldChar w:fldCharType="end"/>
      </w:r>
      <w:r w:rsidRPr="007932D2">
        <w:rPr>
          <w:sz w:val="24"/>
        </w:rPr>
        <w:t xml:space="preserve">: Výdaje </w:t>
      </w:r>
      <w:proofErr w:type="spellStart"/>
      <w:r>
        <w:rPr>
          <w:sz w:val="24"/>
        </w:rPr>
        <w:t>MZd</w:t>
      </w:r>
      <w:proofErr w:type="spellEnd"/>
      <w:r w:rsidRPr="007932D2">
        <w:rPr>
          <w:sz w:val="24"/>
        </w:rPr>
        <w:t xml:space="preserve"> </w:t>
      </w:r>
      <w:r>
        <w:rPr>
          <w:sz w:val="24"/>
        </w:rPr>
        <w:tab/>
      </w:r>
      <w:r w:rsidRPr="007932D2">
        <w:rPr>
          <w:sz w:val="24"/>
        </w:rPr>
        <w:t>(v Kč)</w:t>
      </w:r>
      <w:bookmarkEnd w:id="31"/>
      <w:bookmarkEnd w:id="32"/>
      <w:bookmarkEnd w:id="33"/>
    </w:p>
    <w:tbl>
      <w:tblPr>
        <w:tblW w:w="4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1446"/>
        <w:gridCol w:w="1446"/>
        <w:gridCol w:w="1446"/>
        <w:gridCol w:w="1445"/>
        <w:gridCol w:w="1445"/>
      </w:tblGrid>
      <w:tr w:rsidR="006D40B2" w:rsidRPr="00D71C60" w14:paraId="3835449E" w14:textId="77777777" w:rsidTr="006D40B2">
        <w:trPr>
          <w:trHeight w:val="25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E1EE5F8" w14:textId="77777777" w:rsidR="006D40B2" w:rsidRPr="007932D2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2D2">
              <w:rPr>
                <w:b/>
                <w:bCs/>
                <w:color w:val="000000"/>
                <w:sz w:val="18"/>
                <w:szCs w:val="18"/>
              </w:rPr>
              <w:t>Rozpočet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2690700" w14:textId="77777777" w:rsidR="006D40B2" w:rsidRPr="007932D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7932D2">
              <w:rPr>
                <w:b/>
                <w:sz w:val="17"/>
                <w:szCs w:val="17"/>
              </w:rPr>
              <w:t>2017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23E75C6" w14:textId="77777777" w:rsidR="006D40B2" w:rsidRPr="007932D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7932D2">
              <w:rPr>
                <w:b/>
                <w:sz w:val="17"/>
                <w:szCs w:val="17"/>
              </w:rPr>
              <w:t>2018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139008D" w14:textId="77777777" w:rsidR="006D40B2" w:rsidRPr="007932D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7932D2">
              <w:rPr>
                <w:b/>
                <w:sz w:val="17"/>
                <w:szCs w:val="17"/>
              </w:rPr>
              <w:t>2019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2D6EFFA" w14:textId="77777777" w:rsidR="006D40B2" w:rsidRPr="007932D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7932D2">
              <w:rPr>
                <w:b/>
                <w:sz w:val="17"/>
                <w:szCs w:val="17"/>
              </w:rPr>
              <w:t>2020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AC0F9A0" w14:textId="77777777" w:rsidR="006D40B2" w:rsidRPr="007932D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7932D2">
              <w:rPr>
                <w:b/>
                <w:sz w:val="17"/>
                <w:szCs w:val="17"/>
              </w:rPr>
              <w:t>2021</w:t>
            </w:r>
          </w:p>
        </w:tc>
      </w:tr>
      <w:tr w:rsidR="006D40B2" w:rsidRPr="00D71C60" w14:paraId="77670C7E" w14:textId="77777777" w:rsidTr="006D40B2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44E7" w14:textId="77777777" w:rsidR="006D40B2" w:rsidRPr="007932D2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2D2">
              <w:rPr>
                <w:b/>
                <w:bCs/>
                <w:color w:val="000000"/>
                <w:sz w:val="18"/>
                <w:szCs w:val="18"/>
              </w:rPr>
              <w:t>Schválený rozpočet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3427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5 470 139 986,00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74BE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5 902 501 650,00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55D2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6 077 592 975,00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326FD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8 844 313 040,00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9F9C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15 680 128 883,00</w:t>
            </w:r>
          </w:p>
        </w:tc>
      </w:tr>
      <w:tr w:rsidR="006D40B2" w:rsidRPr="00D71C60" w14:paraId="65C2A4FD" w14:textId="77777777" w:rsidTr="006D40B2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4265" w14:textId="77777777" w:rsidR="006D40B2" w:rsidRPr="007932D2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2D2">
              <w:rPr>
                <w:b/>
                <w:bCs/>
                <w:color w:val="000000"/>
                <w:sz w:val="18"/>
                <w:szCs w:val="18"/>
              </w:rPr>
              <w:t>Rozpočet po změnách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B0A02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6 665 634 795,00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EF74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5 584 813 455,00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E1160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6 300 949 100,00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D80B8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31 627 472 729,25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DB73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29 310 691 573,00</w:t>
            </w:r>
          </w:p>
        </w:tc>
      </w:tr>
      <w:tr w:rsidR="006D40B2" w:rsidRPr="00D71C60" w14:paraId="6890CFEC" w14:textId="77777777" w:rsidTr="006D40B2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726C" w14:textId="77777777" w:rsidR="006D40B2" w:rsidRPr="007932D2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2D2">
              <w:rPr>
                <w:b/>
                <w:bCs/>
                <w:color w:val="000000"/>
                <w:sz w:val="18"/>
                <w:szCs w:val="18"/>
              </w:rPr>
              <w:t>Konečný rozpočet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28461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12 197 694 842,44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73DA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12 050 599 976,25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23A5A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10 806 422 509,00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6576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35 659 963 505,16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246BF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36 164 043 219,23</w:t>
            </w:r>
          </w:p>
        </w:tc>
      </w:tr>
      <w:tr w:rsidR="006D40B2" w:rsidRPr="00D71C60" w14:paraId="5C22F814" w14:textId="77777777" w:rsidTr="006D40B2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75F7" w14:textId="77777777" w:rsidR="006D40B2" w:rsidRPr="007932D2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2D2">
              <w:rPr>
                <w:b/>
                <w:bCs/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476B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5 730 579 316,32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A0AC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6 464 494 698,21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C74B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6 529 890 187,13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55CD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28 954 520 672,89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54CDF" w14:textId="77777777" w:rsidR="006D40B2" w:rsidRPr="007932D2" w:rsidRDefault="006D40B2" w:rsidP="006D40B2">
            <w:pPr>
              <w:keepNext/>
              <w:spacing w:after="0"/>
              <w:jc w:val="right"/>
              <w:rPr>
                <w:rFonts w:eastAsia="Calibri"/>
                <w:color w:val="000000"/>
                <w:sz w:val="17"/>
                <w:szCs w:val="17"/>
                <w:highlight w:val="yellow"/>
              </w:rPr>
            </w:pPr>
            <w:r w:rsidRPr="007932D2">
              <w:rPr>
                <w:sz w:val="17"/>
                <w:szCs w:val="17"/>
              </w:rPr>
              <w:t>28 608 731 150,24</w:t>
            </w:r>
          </w:p>
        </w:tc>
      </w:tr>
    </w:tbl>
    <w:p w14:paraId="4493F4DA" w14:textId="77777777" w:rsidR="006D40B2" w:rsidRPr="007932D2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7932D2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7932D2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7B252403" w14:textId="06E05F8E" w:rsidR="006D40B2" w:rsidRPr="00237FA9" w:rsidRDefault="006D40B2" w:rsidP="006D40B2">
      <w:pPr>
        <w:jc w:val="both"/>
        <w:rPr>
          <w:rFonts w:asciiTheme="minorHAnsi" w:hAnsiTheme="minorHAnsi" w:cstheme="minorHAnsi"/>
        </w:rPr>
      </w:pPr>
      <w:r w:rsidRPr="00237FA9">
        <w:rPr>
          <w:rFonts w:asciiTheme="minorHAnsi" w:hAnsiTheme="minorHAnsi" w:cstheme="minorHAnsi"/>
        </w:rPr>
        <w:t xml:space="preserve">Vývoj skutečných výdajů </w:t>
      </w:r>
      <w:proofErr w:type="spellStart"/>
      <w:r w:rsidRPr="00237FA9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237FA9">
        <w:rPr>
          <w:rFonts w:asciiTheme="minorHAnsi" w:hAnsiTheme="minorHAnsi" w:cstheme="minorHAnsi"/>
        </w:rPr>
        <w:t xml:space="preserve"> ve sledovaném období v podstatě kopíruje vývoj výdajů celé kapitoly. Při porovnání skutečných výdajů v roce 2020 s rozpočtem po změnách lze vidět, že skutečné výdaje jsou nižší o 2,67 mld. Kč</w:t>
      </w:r>
      <w:r>
        <w:rPr>
          <w:rFonts w:asciiTheme="minorHAnsi" w:hAnsiTheme="minorHAnsi" w:cstheme="minorHAnsi"/>
        </w:rPr>
        <w:t>,</w:t>
      </w:r>
      <w:r w:rsidRPr="00237FA9">
        <w:rPr>
          <w:rFonts w:asciiTheme="minorHAnsi" w:hAnsiTheme="minorHAnsi" w:cstheme="minorHAnsi"/>
        </w:rPr>
        <w:t xml:space="preserve"> </w:t>
      </w:r>
      <w:r w:rsidR="0001056A">
        <w:rPr>
          <w:rFonts w:asciiTheme="minorHAnsi" w:hAnsiTheme="minorHAnsi" w:cstheme="minorHAnsi"/>
        </w:rPr>
        <w:t>zatímco</w:t>
      </w:r>
      <w:r w:rsidRPr="00237FA9">
        <w:rPr>
          <w:rFonts w:asciiTheme="minorHAnsi" w:hAnsiTheme="minorHAnsi" w:cstheme="minorHAnsi"/>
        </w:rPr>
        <w:t xml:space="preserve"> v roce 2021 při porovnání skutečných výdajů s</w:t>
      </w:r>
      <w:r>
        <w:rPr>
          <w:rFonts w:asciiTheme="minorHAnsi" w:hAnsiTheme="minorHAnsi" w:cstheme="minorHAnsi"/>
        </w:rPr>
        <w:t> </w:t>
      </w:r>
      <w:r w:rsidRPr="00237FA9">
        <w:rPr>
          <w:rFonts w:asciiTheme="minorHAnsi" w:hAnsiTheme="minorHAnsi" w:cstheme="minorHAnsi"/>
        </w:rPr>
        <w:t xml:space="preserve">rozpočtem po změnách </w:t>
      </w:r>
      <w:r>
        <w:rPr>
          <w:rFonts w:asciiTheme="minorHAnsi" w:hAnsiTheme="minorHAnsi" w:cstheme="minorHAnsi"/>
        </w:rPr>
        <w:t xml:space="preserve">jsou </w:t>
      </w:r>
      <w:r w:rsidR="0001056A">
        <w:rPr>
          <w:rFonts w:asciiTheme="minorHAnsi" w:hAnsiTheme="minorHAnsi" w:cstheme="minorHAnsi"/>
        </w:rPr>
        <w:t xml:space="preserve">skutečné výdaje </w:t>
      </w:r>
      <w:r w:rsidRPr="00237FA9">
        <w:rPr>
          <w:rFonts w:asciiTheme="minorHAnsi" w:hAnsiTheme="minorHAnsi" w:cstheme="minorHAnsi"/>
        </w:rPr>
        <w:t xml:space="preserve">nižší o 701,96 mil. Kč. </w:t>
      </w:r>
    </w:p>
    <w:p w14:paraId="5AE3789B" w14:textId="7027AFC6" w:rsidR="006D40B2" w:rsidRPr="00237FA9" w:rsidRDefault="006D40B2" w:rsidP="006D40B2">
      <w:pPr>
        <w:jc w:val="both"/>
        <w:rPr>
          <w:rFonts w:asciiTheme="minorHAnsi" w:hAnsiTheme="minorHAnsi" w:cstheme="minorHAnsi"/>
        </w:rPr>
      </w:pPr>
      <w:r w:rsidRPr="00237FA9">
        <w:rPr>
          <w:rFonts w:asciiTheme="minorHAnsi" w:hAnsiTheme="minorHAnsi" w:cstheme="minorHAnsi"/>
        </w:rPr>
        <w:t>Ve sledovaném období dochází ve vývoji výdajů k výrazným skokům v letech 2020 a 2021. Růst v roce 2020 byl zapříčiněn především rozpočtov</w:t>
      </w:r>
      <w:r>
        <w:rPr>
          <w:rFonts w:asciiTheme="minorHAnsi" w:hAnsiTheme="minorHAnsi" w:cstheme="minorHAnsi"/>
        </w:rPr>
        <w:t>ými</w:t>
      </w:r>
      <w:r w:rsidRPr="00237FA9">
        <w:rPr>
          <w:rFonts w:asciiTheme="minorHAnsi" w:hAnsiTheme="minorHAnsi" w:cstheme="minorHAnsi"/>
        </w:rPr>
        <w:t xml:space="preserve"> položk</w:t>
      </w:r>
      <w:r>
        <w:rPr>
          <w:rFonts w:asciiTheme="minorHAnsi" w:hAnsiTheme="minorHAnsi" w:cstheme="minorHAnsi"/>
        </w:rPr>
        <w:t>ami</w:t>
      </w:r>
      <w:r w:rsidRPr="00237FA9">
        <w:rPr>
          <w:rFonts w:asciiTheme="minorHAnsi" w:hAnsiTheme="minorHAnsi" w:cstheme="minorHAnsi"/>
        </w:rPr>
        <w:t>:</w:t>
      </w:r>
    </w:p>
    <w:p w14:paraId="6396B357" w14:textId="512DB6BE" w:rsidR="006D40B2" w:rsidRPr="004E2D6E" w:rsidRDefault="006D40B2" w:rsidP="004E2D6E">
      <w:pPr>
        <w:pStyle w:val="Odstavecseseznamem"/>
        <w:numPr>
          <w:ilvl w:val="0"/>
          <w:numId w:val="3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Fonts w:asciiTheme="minorHAnsi" w:hAnsiTheme="minorHAnsi" w:cstheme="minorHAnsi"/>
        </w:rPr>
        <w:t xml:space="preserve">5132 – </w:t>
      </w:r>
      <w:r w:rsidRPr="004E2D6E">
        <w:rPr>
          <w:rFonts w:asciiTheme="minorHAnsi" w:hAnsiTheme="minorHAnsi" w:cstheme="minorHAnsi"/>
          <w:i/>
        </w:rPr>
        <w:t>Ochranné pomůcky</w:t>
      </w:r>
      <w:r w:rsidR="0001056A" w:rsidRPr="004E2D6E">
        <w:rPr>
          <w:rFonts w:asciiTheme="minorHAnsi" w:hAnsiTheme="minorHAnsi" w:cstheme="minorHAnsi"/>
        </w:rPr>
        <w:t>,</w:t>
      </w:r>
      <w:r w:rsidRPr="004E2D6E">
        <w:rPr>
          <w:rFonts w:asciiTheme="minorHAnsi" w:hAnsiTheme="minorHAnsi" w:cstheme="minorHAnsi"/>
        </w:rPr>
        <w:t xml:space="preserve"> růst o 2,40 mld. Kč</w:t>
      </w:r>
      <w:r w:rsidR="0001056A" w:rsidRPr="004E2D6E">
        <w:rPr>
          <w:rFonts w:asciiTheme="minorHAnsi" w:hAnsiTheme="minorHAnsi" w:cstheme="minorHAnsi"/>
        </w:rPr>
        <w:t>;</w:t>
      </w:r>
    </w:p>
    <w:p w14:paraId="276AF310" w14:textId="6D95E5EF" w:rsidR="006D40B2" w:rsidRPr="004E2D6E" w:rsidRDefault="006D40B2" w:rsidP="004E2D6E">
      <w:pPr>
        <w:pStyle w:val="Odstavecseseznamem"/>
        <w:numPr>
          <w:ilvl w:val="1"/>
          <w:numId w:val="3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Fonts w:asciiTheme="minorHAnsi" w:hAnsiTheme="minorHAnsi" w:cstheme="minorHAnsi"/>
        </w:rPr>
        <w:t xml:space="preserve">5321 – </w:t>
      </w:r>
      <w:r w:rsidRPr="004E2D6E">
        <w:rPr>
          <w:rFonts w:asciiTheme="minorHAnsi" w:hAnsiTheme="minorHAnsi" w:cstheme="minorHAnsi"/>
          <w:i/>
        </w:rPr>
        <w:t>Neinvestiční transfery obcím</w:t>
      </w:r>
      <w:r w:rsidR="0001056A" w:rsidRPr="004E2D6E">
        <w:rPr>
          <w:rFonts w:asciiTheme="minorHAnsi" w:hAnsiTheme="minorHAnsi" w:cstheme="minorHAnsi"/>
        </w:rPr>
        <w:t>,</w:t>
      </w:r>
      <w:r w:rsidRPr="004E2D6E">
        <w:rPr>
          <w:rFonts w:asciiTheme="minorHAnsi" w:hAnsiTheme="minorHAnsi" w:cstheme="minorHAnsi"/>
        </w:rPr>
        <w:t xml:space="preserve"> růst o 649,45 mil. Kč</w:t>
      </w:r>
      <w:r w:rsidR="0001056A" w:rsidRPr="004E2D6E">
        <w:rPr>
          <w:rFonts w:asciiTheme="minorHAnsi" w:hAnsiTheme="minorHAnsi" w:cstheme="minorHAnsi"/>
        </w:rPr>
        <w:t>;</w:t>
      </w:r>
      <w:r w:rsidRPr="004E2D6E">
        <w:rPr>
          <w:rFonts w:asciiTheme="minorHAnsi" w:hAnsiTheme="minorHAnsi" w:cstheme="minorHAnsi"/>
        </w:rPr>
        <w:t xml:space="preserve"> </w:t>
      </w:r>
    </w:p>
    <w:p w14:paraId="4CFB7A37" w14:textId="744676B6" w:rsidR="006D40B2" w:rsidRPr="004E2D6E" w:rsidRDefault="006D40B2" w:rsidP="004E2D6E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Fonts w:asciiTheme="minorHAnsi" w:hAnsiTheme="minorHAnsi" w:cstheme="minorHAnsi"/>
        </w:rPr>
        <w:t xml:space="preserve">5133 – </w:t>
      </w:r>
      <w:r w:rsidRPr="004E2D6E">
        <w:rPr>
          <w:rFonts w:asciiTheme="minorHAnsi" w:hAnsiTheme="minorHAnsi" w:cstheme="minorHAnsi"/>
          <w:i/>
        </w:rPr>
        <w:t>Léky a zdravotnický materiál</w:t>
      </w:r>
      <w:r w:rsidR="0001056A" w:rsidRPr="004E2D6E">
        <w:rPr>
          <w:rFonts w:asciiTheme="minorHAnsi" w:hAnsiTheme="minorHAnsi" w:cstheme="minorHAnsi"/>
        </w:rPr>
        <w:t>,</w:t>
      </w:r>
      <w:r w:rsidRPr="004E2D6E">
        <w:rPr>
          <w:rFonts w:asciiTheme="minorHAnsi" w:hAnsiTheme="minorHAnsi" w:cstheme="minorHAnsi"/>
        </w:rPr>
        <w:t xml:space="preserve"> růst </w:t>
      </w:r>
      <w:r w:rsidR="0001056A" w:rsidRPr="004E2D6E">
        <w:rPr>
          <w:rFonts w:asciiTheme="minorHAnsi" w:hAnsiTheme="minorHAnsi" w:cstheme="minorHAnsi"/>
        </w:rPr>
        <w:t xml:space="preserve">o </w:t>
      </w:r>
      <w:r w:rsidRPr="004E2D6E">
        <w:rPr>
          <w:rFonts w:asciiTheme="minorHAnsi" w:hAnsiTheme="minorHAnsi" w:cstheme="minorHAnsi"/>
        </w:rPr>
        <w:t>277,60 mil. Kč</w:t>
      </w:r>
      <w:r w:rsidR="0001056A" w:rsidRPr="004E2D6E">
        <w:rPr>
          <w:rFonts w:asciiTheme="minorHAnsi" w:hAnsiTheme="minorHAnsi" w:cstheme="minorHAnsi"/>
        </w:rPr>
        <w:t>;</w:t>
      </w:r>
      <w:r w:rsidRPr="004E2D6E">
        <w:rPr>
          <w:rFonts w:asciiTheme="minorHAnsi" w:hAnsiTheme="minorHAnsi" w:cstheme="minorHAnsi"/>
        </w:rPr>
        <w:t xml:space="preserve"> </w:t>
      </w:r>
    </w:p>
    <w:p w14:paraId="668C5BCE" w14:textId="38787428" w:rsidR="006D40B2" w:rsidRPr="004E2D6E" w:rsidRDefault="006D40B2" w:rsidP="004E2D6E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Fonts w:asciiTheme="minorHAnsi" w:hAnsiTheme="minorHAnsi" w:cstheme="minorHAnsi"/>
        </w:rPr>
        <w:t xml:space="preserve">5168 – </w:t>
      </w:r>
      <w:r w:rsidRPr="004E2D6E">
        <w:rPr>
          <w:rFonts w:asciiTheme="minorHAnsi" w:hAnsiTheme="minorHAnsi" w:cstheme="minorHAnsi"/>
          <w:i/>
        </w:rPr>
        <w:t>Zpracování dat a služby související s informačními a komunikačními technologiemi</w:t>
      </w:r>
      <w:r w:rsidR="0001056A" w:rsidRPr="004E2D6E">
        <w:rPr>
          <w:rFonts w:asciiTheme="minorHAnsi" w:hAnsiTheme="minorHAnsi" w:cstheme="minorHAnsi"/>
        </w:rPr>
        <w:t>,</w:t>
      </w:r>
      <w:r w:rsidRPr="004E2D6E">
        <w:rPr>
          <w:rFonts w:asciiTheme="minorHAnsi" w:hAnsiTheme="minorHAnsi" w:cstheme="minorHAnsi"/>
        </w:rPr>
        <w:t xml:space="preserve"> růst o 47,95 mil. Kč</w:t>
      </w:r>
      <w:r w:rsidR="0001056A" w:rsidRPr="004E2D6E">
        <w:rPr>
          <w:rFonts w:asciiTheme="minorHAnsi" w:hAnsiTheme="minorHAnsi" w:cstheme="minorHAnsi"/>
        </w:rPr>
        <w:t>;</w:t>
      </w:r>
    </w:p>
    <w:p w14:paraId="31AAE725" w14:textId="0E0990E0" w:rsidR="006D40B2" w:rsidRPr="004E2D6E" w:rsidRDefault="006D40B2" w:rsidP="004E2D6E">
      <w:pPr>
        <w:pStyle w:val="Odstavecseseznamem"/>
        <w:numPr>
          <w:ilvl w:val="0"/>
          <w:numId w:val="33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Fonts w:asciiTheme="minorHAnsi" w:hAnsiTheme="minorHAnsi" w:cstheme="minorHAnsi"/>
        </w:rPr>
        <w:t xml:space="preserve">6122 – </w:t>
      </w:r>
      <w:r w:rsidRPr="004E2D6E">
        <w:rPr>
          <w:rFonts w:asciiTheme="minorHAnsi" w:hAnsiTheme="minorHAnsi" w:cstheme="minorHAnsi"/>
          <w:i/>
        </w:rPr>
        <w:t>Stroje, přístroje a zařízení</w:t>
      </w:r>
      <w:r w:rsidR="0001056A" w:rsidRPr="004E2D6E">
        <w:rPr>
          <w:rFonts w:asciiTheme="minorHAnsi" w:hAnsiTheme="minorHAnsi" w:cstheme="minorHAnsi"/>
        </w:rPr>
        <w:t>,</w:t>
      </w:r>
      <w:r w:rsidRPr="004E2D6E">
        <w:rPr>
          <w:rFonts w:asciiTheme="minorHAnsi" w:hAnsiTheme="minorHAnsi" w:cstheme="minorHAnsi"/>
        </w:rPr>
        <w:t xml:space="preserve"> růst o 197,35 mil. Kč.</w:t>
      </w:r>
    </w:p>
    <w:p w14:paraId="04725335" w14:textId="77777777" w:rsidR="006D40B2" w:rsidRPr="00237FA9" w:rsidRDefault="006D40B2" w:rsidP="006D40B2">
      <w:pPr>
        <w:spacing w:after="0"/>
        <w:jc w:val="both"/>
        <w:rPr>
          <w:rFonts w:asciiTheme="minorHAnsi" w:hAnsiTheme="minorHAnsi" w:cstheme="minorHAnsi"/>
        </w:rPr>
      </w:pPr>
    </w:p>
    <w:p w14:paraId="30EEC6C9" w14:textId="5F5BFDB5" w:rsidR="006D40B2" w:rsidRPr="00237FA9" w:rsidRDefault="006D40B2" w:rsidP="006D40B2">
      <w:pPr>
        <w:spacing w:after="0"/>
        <w:jc w:val="both"/>
        <w:rPr>
          <w:rFonts w:asciiTheme="minorHAnsi" w:hAnsiTheme="minorHAnsi" w:cstheme="minorHAnsi"/>
        </w:rPr>
      </w:pPr>
      <w:r w:rsidRPr="00237FA9">
        <w:rPr>
          <w:rFonts w:asciiTheme="minorHAnsi" w:hAnsiTheme="minorHAnsi" w:cstheme="minorHAnsi"/>
        </w:rPr>
        <w:t>Růst v roce 2021 byl zapříčiněn především rozpočtov</w:t>
      </w:r>
      <w:r>
        <w:rPr>
          <w:rFonts w:asciiTheme="minorHAnsi" w:hAnsiTheme="minorHAnsi" w:cstheme="minorHAnsi"/>
        </w:rPr>
        <w:t>ými</w:t>
      </w:r>
      <w:r w:rsidRPr="00237FA9">
        <w:rPr>
          <w:rFonts w:asciiTheme="minorHAnsi" w:hAnsiTheme="minorHAnsi" w:cstheme="minorHAnsi"/>
        </w:rPr>
        <w:t xml:space="preserve"> položk</w:t>
      </w:r>
      <w:r>
        <w:rPr>
          <w:rFonts w:asciiTheme="minorHAnsi" w:hAnsiTheme="minorHAnsi" w:cstheme="minorHAnsi"/>
        </w:rPr>
        <w:t>ami</w:t>
      </w:r>
      <w:r w:rsidRPr="00237FA9">
        <w:rPr>
          <w:rFonts w:asciiTheme="minorHAnsi" w:hAnsiTheme="minorHAnsi" w:cstheme="minorHAnsi"/>
        </w:rPr>
        <w:t>:</w:t>
      </w:r>
    </w:p>
    <w:p w14:paraId="534CDF24" w14:textId="06D86721" w:rsidR="006D40B2" w:rsidRPr="004E2D6E" w:rsidRDefault="006D40B2" w:rsidP="004E2D6E">
      <w:pPr>
        <w:pStyle w:val="Odstavecseseznamem"/>
        <w:numPr>
          <w:ilvl w:val="1"/>
          <w:numId w:val="3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Fonts w:asciiTheme="minorHAnsi" w:hAnsiTheme="minorHAnsi" w:cstheme="minorHAnsi"/>
        </w:rPr>
        <w:t xml:space="preserve">5216 – </w:t>
      </w:r>
      <w:r w:rsidRPr="004E2D6E">
        <w:rPr>
          <w:rFonts w:asciiTheme="minorHAnsi" w:hAnsiTheme="minorHAnsi" w:cstheme="minorHAnsi"/>
          <w:i/>
        </w:rPr>
        <w:t>Neinvestiční transfery obecním a krajským nemocnicím – obchodním společnostem</w:t>
      </w:r>
      <w:r w:rsidR="00536BCC">
        <w:rPr>
          <w:rFonts w:asciiTheme="minorHAnsi" w:hAnsiTheme="minorHAnsi" w:cstheme="minorHAnsi"/>
        </w:rPr>
        <w:t>,</w:t>
      </w:r>
      <w:r w:rsidRPr="004E2D6E">
        <w:rPr>
          <w:rFonts w:asciiTheme="minorHAnsi" w:hAnsiTheme="minorHAnsi" w:cstheme="minorHAnsi"/>
        </w:rPr>
        <w:t xml:space="preserve"> růst o 3,97 mld. Kč</w:t>
      </w:r>
      <w:r w:rsidR="00536BCC">
        <w:rPr>
          <w:rFonts w:asciiTheme="minorHAnsi" w:hAnsiTheme="minorHAnsi" w:cstheme="minorHAnsi"/>
        </w:rPr>
        <w:t>;</w:t>
      </w:r>
    </w:p>
    <w:p w14:paraId="471944EA" w14:textId="706D887E" w:rsidR="006D40B2" w:rsidRPr="004E2D6E" w:rsidRDefault="006D40B2" w:rsidP="004E2D6E">
      <w:pPr>
        <w:pStyle w:val="Odstavecseseznamem"/>
        <w:numPr>
          <w:ilvl w:val="1"/>
          <w:numId w:val="3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Fonts w:asciiTheme="minorHAnsi" w:hAnsiTheme="minorHAnsi" w:cstheme="minorHAnsi"/>
        </w:rPr>
        <w:t xml:space="preserve">6351 – </w:t>
      </w:r>
      <w:r w:rsidRPr="004E2D6E">
        <w:rPr>
          <w:rFonts w:asciiTheme="minorHAnsi" w:hAnsiTheme="minorHAnsi" w:cstheme="minorHAnsi"/>
          <w:i/>
        </w:rPr>
        <w:t>Investiční transfery zřízeným příspěvkovým organizacím</w:t>
      </w:r>
      <w:r w:rsidR="00536BCC" w:rsidRPr="004E2D6E">
        <w:rPr>
          <w:rFonts w:asciiTheme="minorHAnsi" w:hAnsiTheme="minorHAnsi" w:cstheme="minorHAnsi"/>
        </w:rPr>
        <w:t>,</w:t>
      </w:r>
      <w:r w:rsidRPr="004E2D6E">
        <w:rPr>
          <w:rFonts w:asciiTheme="minorHAnsi" w:hAnsiTheme="minorHAnsi" w:cstheme="minorHAnsi"/>
        </w:rPr>
        <w:t xml:space="preserve"> růst o 813,94 mil. Kč</w:t>
      </w:r>
      <w:r w:rsidR="00536BCC">
        <w:rPr>
          <w:rFonts w:asciiTheme="minorHAnsi" w:hAnsiTheme="minorHAnsi" w:cstheme="minorHAnsi"/>
        </w:rPr>
        <w:t>;</w:t>
      </w:r>
      <w:r w:rsidRPr="004E2D6E">
        <w:rPr>
          <w:rFonts w:asciiTheme="minorHAnsi" w:hAnsiTheme="minorHAnsi" w:cstheme="minorHAnsi"/>
        </w:rPr>
        <w:t xml:space="preserve"> </w:t>
      </w:r>
    </w:p>
    <w:p w14:paraId="2F75A0DF" w14:textId="037D170F" w:rsidR="006D40B2" w:rsidRPr="004E2D6E" w:rsidRDefault="006D40B2" w:rsidP="004E2D6E">
      <w:pPr>
        <w:pStyle w:val="Odstavecseseznamem"/>
        <w:numPr>
          <w:ilvl w:val="1"/>
          <w:numId w:val="3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Fonts w:asciiTheme="minorHAnsi" w:hAnsiTheme="minorHAnsi" w:cstheme="minorHAnsi"/>
        </w:rPr>
        <w:t xml:space="preserve">5168 – </w:t>
      </w:r>
      <w:r w:rsidRPr="004E2D6E">
        <w:rPr>
          <w:rFonts w:asciiTheme="minorHAnsi" w:hAnsiTheme="minorHAnsi" w:cstheme="minorHAnsi"/>
          <w:i/>
        </w:rPr>
        <w:t>Zpracování dat a služby související s informačními a komunikačními technologiemi</w:t>
      </w:r>
      <w:r w:rsidR="00536BCC">
        <w:rPr>
          <w:rFonts w:asciiTheme="minorHAnsi" w:hAnsiTheme="minorHAnsi" w:cstheme="minorHAnsi"/>
        </w:rPr>
        <w:t>,</w:t>
      </w:r>
      <w:r w:rsidRPr="004E2D6E">
        <w:rPr>
          <w:rFonts w:asciiTheme="minorHAnsi" w:hAnsiTheme="minorHAnsi" w:cstheme="minorHAnsi"/>
        </w:rPr>
        <w:t xml:space="preserve"> růst o 351,08 mil. Kč</w:t>
      </w:r>
      <w:r w:rsidR="00536BCC">
        <w:rPr>
          <w:rFonts w:asciiTheme="minorHAnsi" w:hAnsiTheme="minorHAnsi" w:cstheme="minorHAnsi"/>
        </w:rPr>
        <w:t>;</w:t>
      </w:r>
    </w:p>
    <w:p w14:paraId="4EA95903" w14:textId="78E9065E" w:rsidR="006D40B2" w:rsidRPr="004E2D6E" w:rsidRDefault="006D40B2" w:rsidP="004E2D6E">
      <w:pPr>
        <w:pStyle w:val="Odstavecseseznamem"/>
        <w:numPr>
          <w:ilvl w:val="1"/>
          <w:numId w:val="3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Fonts w:asciiTheme="minorHAnsi" w:hAnsiTheme="minorHAnsi" w:cstheme="minorHAnsi"/>
        </w:rPr>
        <w:t xml:space="preserve">5169 – </w:t>
      </w:r>
      <w:r w:rsidRPr="004E2D6E">
        <w:rPr>
          <w:rFonts w:asciiTheme="minorHAnsi" w:hAnsiTheme="minorHAnsi" w:cstheme="minorHAnsi"/>
          <w:i/>
        </w:rPr>
        <w:t>Nákup ostatních služeb</w:t>
      </w:r>
      <w:r w:rsidR="00536BCC">
        <w:rPr>
          <w:rFonts w:asciiTheme="minorHAnsi" w:hAnsiTheme="minorHAnsi" w:cstheme="minorHAnsi"/>
        </w:rPr>
        <w:t>,</w:t>
      </w:r>
      <w:r w:rsidRPr="004E2D6E">
        <w:rPr>
          <w:rFonts w:asciiTheme="minorHAnsi" w:hAnsiTheme="minorHAnsi" w:cstheme="minorHAnsi"/>
        </w:rPr>
        <w:t xml:space="preserve"> růst o 202,55 mil. Kč</w:t>
      </w:r>
      <w:r w:rsidR="00536BCC">
        <w:rPr>
          <w:rFonts w:asciiTheme="minorHAnsi" w:hAnsiTheme="minorHAnsi" w:cstheme="minorHAnsi"/>
        </w:rPr>
        <w:t>;</w:t>
      </w:r>
    </w:p>
    <w:p w14:paraId="51C8A54D" w14:textId="67E74D10" w:rsidR="006D40B2" w:rsidRPr="004E2D6E" w:rsidRDefault="006D40B2" w:rsidP="004E2D6E">
      <w:pPr>
        <w:pStyle w:val="Odstavecseseznamem"/>
        <w:numPr>
          <w:ilvl w:val="1"/>
          <w:numId w:val="3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Fonts w:asciiTheme="minorHAnsi" w:hAnsiTheme="minorHAnsi" w:cstheme="minorHAnsi"/>
        </w:rPr>
        <w:t xml:space="preserve">5336 – </w:t>
      </w:r>
      <w:r w:rsidRPr="004E2D6E">
        <w:rPr>
          <w:rFonts w:asciiTheme="minorHAnsi" w:hAnsiTheme="minorHAnsi" w:cstheme="minorHAnsi"/>
          <w:i/>
        </w:rPr>
        <w:t>Neinvestiční transfery zřízeným příspěvkovým organizacím</w:t>
      </w:r>
      <w:r w:rsidR="00536BCC">
        <w:rPr>
          <w:rFonts w:asciiTheme="minorHAnsi" w:hAnsiTheme="minorHAnsi" w:cstheme="minorHAnsi"/>
        </w:rPr>
        <w:t>,</w:t>
      </w:r>
      <w:r w:rsidRPr="004E2D6E">
        <w:rPr>
          <w:rFonts w:asciiTheme="minorHAnsi" w:hAnsiTheme="minorHAnsi" w:cstheme="minorHAnsi"/>
        </w:rPr>
        <w:t xml:space="preserve"> růst o 126,72 mil. Kč.</w:t>
      </w:r>
    </w:p>
    <w:p w14:paraId="197A5351" w14:textId="77777777" w:rsidR="006D40B2" w:rsidRDefault="006D40B2" w:rsidP="006D40B2">
      <w:pPr>
        <w:spacing w:after="0"/>
        <w:jc w:val="both"/>
        <w:rPr>
          <w:rFonts w:cs="Calibri"/>
          <w:color w:val="212529"/>
          <w:highlight w:val="yellow"/>
          <w:shd w:val="clear" w:color="auto" w:fill="FFFFFF"/>
        </w:rPr>
      </w:pPr>
    </w:p>
    <w:p w14:paraId="04DB03D3" w14:textId="77777777" w:rsidR="002F5988" w:rsidRDefault="002F5988" w:rsidP="006D40B2">
      <w:pPr>
        <w:spacing w:after="0"/>
        <w:jc w:val="both"/>
        <w:rPr>
          <w:rFonts w:cs="Calibri"/>
          <w:color w:val="212529"/>
          <w:highlight w:val="yellow"/>
          <w:shd w:val="clear" w:color="auto" w:fill="FFFFFF"/>
        </w:rPr>
      </w:pPr>
    </w:p>
    <w:p w14:paraId="612E6E5F" w14:textId="77777777" w:rsidR="002F5988" w:rsidRPr="00D71C60" w:rsidRDefault="002F5988" w:rsidP="006D40B2">
      <w:pPr>
        <w:spacing w:after="0"/>
        <w:jc w:val="both"/>
        <w:rPr>
          <w:rFonts w:cs="Calibri"/>
          <w:color w:val="212529"/>
          <w:highlight w:val="yellow"/>
          <w:shd w:val="clear" w:color="auto" w:fill="FFFFFF"/>
        </w:rPr>
      </w:pPr>
    </w:p>
    <w:p w14:paraId="4D4D1F9B" w14:textId="01239446" w:rsidR="006D40B2" w:rsidRPr="000F6340" w:rsidRDefault="006D40B2" w:rsidP="006D40B2">
      <w:pPr>
        <w:pStyle w:val="Titulek1"/>
        <w:tabs>
          <w:tab w:val="clear" w:pos="1134"/>
          <w:tab w:val="clear" w:pos="9356"/>
          <w:tab w:val="right" w:pos="9070"/>
        </w:tabs>
        <w:rPr>
          <w:sz w:val="24"/>
        </w:rPr>
      </w:pPr>
      <w:r w:rsidRPr="000F6340">
        <w:rPr>
          <w:sz w:val="24"/>
        </w:rPr>
        <w:lastRenderedPageBreak/>
        <w:t xml:space="preserve">Tabulka č. </w:t>
      </w:r>
      <w:r w:rsidRPr="000F6340">
        <w:rPr>
          <w:sz w:val="24"/>
        </w:rPr>
        <w:fldChar w:fldCharType="begin"/>
      </w:r>
      <w:r w:rsidRPr="000F6340">
        <w:rPr>
          <w:sz w:val="24"/>
        </w:rPr>
        <w:instrText xml:space="preserve"> SEQ Tabulka \* ARABIC </w:instrText>
      </w:r>
      <w:r w:rsidRPr="000F6340">
        <w:rPr>
          <w:sz w:val="24"/>
        </w:rPr>
        <w:fldChar w:fldCharType="separate"/>
      </w:r>
      <w:r w:rsidR="009A66D8">
        <w:rPr>
          <w:noProof/>
          <w:sz w:val="24"/>
        </w:rPr>
        <w:t>7</w:t>
      </w:r>
      <w:r w:rsidRPr="000F6340">
        <w:rPr>
          <w:noProof/>
          <w:sz w:val="24"/>
        </w:rPr>
        <w:fldChar w:fldCharType="end"/>
      </w:r>
      <w:r w:rsidRPr="000F6340">
        <w:rPr>
          <w:sz w:val="24"/>
        </w:rPr>
        <w:t xml:space="preserve">: Výdaje OSS rozpočtové kapitoly 335 (bez </w:t>
      </w:r>
      <w:proofErr w:type="spellStart"/>
      <w:r w:rsidRPr="000F6340">
        <w:rPr>
          <w:sz w:val="24"/>
        </w:rPr>
        <w:t>MZ</w:t>
      </w:r>
      <w:r>
        <w:rPr>
          <w:sz w:val="24"/>
        </w:rPr>
        <w:t>d</w:t>
      </w:r>
      <w:proofErr w:type="spellEnd"/>
      <w:r w:rsidR="00536BCC">
        <w:rPr>
          <w:sz w:val="24"/>
        </w:rPr>
        <w:t>)</w:t>
      </w:r>
      <w:r w:rsidRPr="000F6340">
        <w:rPr>
          <w:sz w:val="24"/>
        </w:rPr>
        <w:t xml:space="preserve"> </w:t>
      </w:r>
      <w:r w:rsidR="00536BCC">
        <w:rPr>
          <w:sz w:val="24"/>
        </w:rPr>
        <w:tab/>
        <w:t>(</w:t>
      </w:r>
      <w:r w:rsidRPr="000F6340">
        <w:rPr>
          <w:sz w:val="24"/>
        </w:rPr>
        <w:t>v Kč)</w:t>
      </w:r>
    </w:p>
    <w:tbl>
      <w:tblPr>
        <w:tblW w:w="49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47"/>
        <w:gridCol w:w="1447"/>
        <w:gridCol w:w="1447"/>
        <w:gridCol w:w="1445"/>
        <w:gridCol w:w="1443"/>
      </w:tblGrid>
      <w:tr w:rsidR="006D40B2" w:rsidRPr="00D71C60" w14:paraId="69CE902D" w14:textId="77777777" w:rsidTr="006D40B2">
        <w:trPr>
          <w:trHeight w:val="255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2C26922" w14:textId="77777777" w:rsidR="006D40B2" w:rsidRPr="000F6340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F6340">
              <w:rPr>
                <w:b/>
                <w:bCs/>
                <w:color w:val="000000"/>
                <w:sz w:val="18"/>
                <w:szCs w:val="18"/>
              </w:rPr>
              <w:t>Rozpočet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747FF71" w14:textId="77777777" w:rsidR="006D40B2" w:rsidRPr="000F6340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F6340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01F4D78" w14:textId="77777777" w:rsidR="006D40B2" w:rsidRPr="000F6340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F6340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BEBD003" w14:textId="77777777" w:rsidR="006D40B2" w:rsidRPr="000F6340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F6340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097A747" w14:textId="77777777" w:rsidR="006D40B2" w:rsidRPr="000F6340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F6340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4F944BC" w14:textId="77777777" w:rsidR="006D40B2" w:rsidRPr="000F6340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F6340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4D8BFA57" w14:textId="77777777" w:rsidTr="006D40B2">
        <w:trPr>
          <w:trHeight w:val="255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EACF" w14:textId="77777777" w:rsidR="006D40B2" w:rsidRPr="000F6340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F6340">
              <w:rPr>
                <w:b/>
                <w:bCs/>
                <w:color w:val="000000"/>
                <w:sz w:val="18"/>
                <w:szCs w:val="18"/>
              </w:rPr>
              <w:t>Schválený rozpočet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E695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1 816 201 418,00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C4BC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2 131 516 409,00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73BA2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2 125 502 565,00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79FCD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2 156 130 334,00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4F2B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2 358 220 490,00</w:t>
            </w:r>
          </w:p>
        </w:tc>
      </w:tr>
      <w:tr w:rsidR="006D40B2" w:rsidRPr="00D71C60" w14:paraId="6A97302F" w14:textId="77777777" w:rsidTr="006D40B2">
        <w:trPr>
          <w:trHeight w:val="255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ADA8" w14:textId="77777777" w:rsidR="006D40B2" w:rsidRPr="000F6340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F6340">
              <w:rPr>
                <w:b/>
                <w:bCs/>
                <w:color w:val="000000"/>
                <w:sz w:val="18"/>
                <w:szCs w:val="18"/>
              </w:rPr>
              <w:t>Rozpočet po změnách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B58A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1 987 166 973,00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28C1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2 175 339 579,00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41BD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2 172 112 255,00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D064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2 600 644 930,75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77959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2 608 916 585,00</w:t>
            </w:r>
          </w:p>
        </w:tc>
      </w:tr>
      <w:tr w:rsidR="006D40B2" w:rsidRPr="00D71C60" w14:paraId="78CF19B5" w14:textId="77777777" w:rsidTr="006D40B2">
        <w:trPr>
          <w:trHeight w:val="255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67A5" w14:textId="77777777" w:rsidR="006D40B2" w:rsidRPr="000F6340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F6340">
              <w:rPr>
                <w:b/>
                <w:bCs/>
                <w:color w:val="000000"/>
                <w:sz w:val="18"/>
                <w:szCs w:val="18"/>
              </w:rPr>
              <w:t>Konečný rozpočet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065A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2 570 237 269,12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6345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2 880 658 720,64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06DD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3 048 549 323,39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19FD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3 675 419 900,66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FC03F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3 628 915 425,94</w:t>
            </w:r>
          </w:p>
        </w:tc>
      </w:tr>
      <w:tr w:rsidR="006D40B2" w:rsidRPr="00D71C60" w14:paraId="35F59059" w14:textId="77777777" w:rsidTr="006D40B2">
        <w:trPr>
          <w:trHeight w:val="255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3974" w14:textId="77777777" w:rsidR="006D40B2" w:rsidRPr="000F6340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F6340">
              <w:rPr>
                <w:b/>
                <w:bCs/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AE4FD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2 250 130 302,03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FB38D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2 423 692 481,03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E271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2 564 628 857,93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E80F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3 105 773 783,77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16D93" w14:textId="77777777" w:rsidR="006D40B2" w:rsidRPr="000F634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0F6340">
              <w:rPr>
                <w:sz w:val="18"/>
                <w:szCs w:val="18"/>
              </w:rPr>
              <w:t>3 076 363 749,33</w:t>
            </w:r>
          </w:p>
        </w:tc>
      </w:tr>
    </w:tbl>
    <w:p w14:paraId="28AF6832" w14:textId="77777777" w:rsidR="006D40B2" w:rsidRPr="000F6340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bookmarkStart w:id="34" w:name="_Toc520714928"/>
      <w:r w:rsidRPr="000F6340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0F6340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bookmarkEnd w:id="34"/>
    <w:p w14:paraId="6C3D130A" w14:textId="77777777" w:rsidR="006D40B2" w:rsidRPr="000F6340" w:rsidRDefault="006D40B2" w:rsidP="006D40B2">
      <w:pPr>
        <w:jc w:val="both"/>
        <w:rPr>
          <w:rFonts w:eastAsia="Calibri" w:cs="Calibri"/>
          <w:szCs w:val="22"/>
        </w:rPr>
      </w:pPr>
      <w:r w:rsidRPr="000F6340">
        <w:rPr>
          <w:rFonts w:eastAsia="Calibri" w:cs="Calibri"/>
          <w:szCs w:val="22"/>
        </w:rPr>
        <w:t xml:space="preserve">Ve sledovaném období byly skutečné výdaje u OSS (bez </w:t>
      </w:r>
      <w:proofErr w:type="spellStart"/>
      <w:r w:rsidRPr="000F6340">
        <w:rPr>
          <w:rFonts w:eastAsia="Calibri" w:cs="Calibri"/>
          <w:szCs w:val="22"/>
        </w:rPr>
        <w:t>MZ</w:t>
      </w:r>
      <w:r>
        <w:rPr>
          <w:rFonts w:eastAsia="Calibri" w:cs="Calibri"/>
          <w:szCs w:val="22"/>
        </w:rPr>
        <w:t>d</w:t>
      </w:r>
      <w:proofErr w:type="spellEnd"/>
      <w:r w:rsidRPr="000F6340">
        <w:rPr>
          <w:rFonts w:eastAsia="Calibri" w:cs="Calibri"/>
          <w:szCs w:val="22"/>
        </w:rPr>
        <w:t xml:space="preserve">) vždy vyšší než rozpočet po změnách. Ve sledovaném období (vyjma roku 2021) vykazují skutečné výdaje rostoucí tendenci. Mezi roky 2017 a 2021 došlo k jejich nárůstu o 826 mil. Kč. </w:t>
      </w:r>
    </w:p>
    <w:p w14:paraId="7E104E68" w14:textId="77777777" w:rsidR="006D40B2" w:rsidRPr="00D71C60" w:rsidRDefault="006D40B2" w:rsidP="006D40B2">
      <w:pPr>
        <w:spacing w:after="0"/>
        <w:jc w:val="both"/>
        <w:rPr>
          <w:rFonts w:eastAsia="Calibri" w:cs="Calibri"/>
          <w:szCs w:val="22"/>
          <w:highlight w:val="yellow"/>
        </w:rPr>
      </w:pPr>
      <w:r w:rsidRPr="000F6340">
        <w:rPr>
          <w:rFonts w:eastAsia="Calibri" w:cs="Calibri"/>
          <w:szCs w:val="22"/>
        </w:rPr>
        <w:t>Nejvyšších skutečných výdajů v roce 2021 dosáhla OSS SÚKL (684,34 mil. Kč) a OSS ÚZIS (351,34 mil. Kč). Nejnižších výdajů v kapitole dosáhla OSS KST (12,14 mil. Kč).</w:t>
      </w:r>
    </w:p>
    <w:p w14:paraId="529CDBA6" w14:textId="77777777" w:rsidR="006D40B2" w:rsidRPr="00D71C60" w:rsidRDefault="006D40B2" w:rsidP="006D40B2">
      <w:pPr>
        <w:spacing w:after="0"/>
        <w:jc w:val="both"/>
        <w:rPr>
          <w:rFonts w:cs="Calibri"/>
          <w:color w:val="212529"/>
          <w:highlight w:val="yellow"/>
          <w:shd w:val="clear" w:color="auto" w:fill="FFFFFF"/>
        </w:rPr>
      </w:pPr>
    </w:p>
    <w:p w14:paraId="66A3507C" w14:textId="77777777" w:rsidR="006D40B2" w:rsidRPr="00AA15AA" w:rsidRDefault="006D40B2" w:rsidP="006D40B2">
      <w:pPr>
        <w:pStyle w:val="Nadpis3"/>
        <w:numPr>
          <w:ilvl w:val="0"/>
          <w:numId w:val="0"/>
        </w:numPr>
        <w:spacing w:after="120"/>
        <w:ind w:left="720" w:hanging="720"/>
        <w:contextualSpacing w:val="0"/>
        <w:jc w:val="center"/>
      </w:pPr>
      <w:bookmarkStart w:id="35" w:name="_Toc519242399"/>
      <w:bookmarkStart w:id="36" w:name="_Toc17204903"/>
      <w:bookmarkStart w:id="37" w:name="_Toc71514617"/>
      <w:bookmarkStart w:id="38" w:name="_Toc8984523"/>
      <w:bookmarkStart w:id="39" w:name="_Toc72157462"/>
      <w:r w:rsidRPr="00AA15AA">
        <w:t xml:space="preserve">Oddíl III. Porovnání příjmů a výnosů v rozpočtové kapitole </w:t>
      </w:r>
      <w:bookmarkEnd w:id="35"/>
      <w:bookmarkEnd w:id="36"/>
      <w:bookmarkEnd w:id="37"/>
      <w:r>
        <w:t>335</w:t>
      </w:r>
      <w:r w:rsidRPr="00AA15AA">
        <w:t xml:space="preserve"> v letech 201</w:t>
      </w:r>
      <w:r>
        <w:t>7</w:t>
      </w:r>
      <w:r w:rsidRPr="00AA15AA">
        <w:t>–202</w:t>
      </w:r>
      <w:r>
        <w:t>1</w:t>
      </w:r>
    </w:p>
    <w:p w14:paraId="22539571" w14:textId="05205A23" w:rsidR="00536BCC" w:rsidRDefault="006D40B2" w:rsidP="0070153D">
      <w:pPr>
        <w:pStyle w:val="Titulek1"/>
        <w:tabs>
          <w:tab w:val="clear" w:pos="1134"/>
          <w:tab w:val="clear" w:pos="9356"/>
          <w:tab w:val="right" w:pos="9072"/>
        </w:tabs>
        <w:ind w:left="1304" w:hanging="1304"/>
        <w:rPr>
          <w:sz w:val="24"/>
        </w:rPr>
      </w:pPr>
      <w:bookmarkStart w:id="40" w:name="_Toc520714317"/>
      <w:bookmarkStart w:id="41" w:name="_Toc8984524"/>
      <w:bookmarkStart w:id="42" w:name="_Toc72157457"/>
      <w:r w:rsidRPr="000F6340">
        <w:rPr>
          <w:sz w:val="24"/>
        </w:rPr>
        <w:t xml:space="preserve">Tabulka č. </w:t>
      </w:r>
      <w:r w:rsidRPr="000F6340">
        <w:rPr>
          <w:sz w:val="24"/>
        </w:rPr>
        <w:fldChar w:fldCharType="begin"/>
      </w:r>
      <w:r w:rsidRPr="000F6340">
        <w:rPr>
          <w:sz w:val="24"/>
        </w:rPr>
        <w:instrText xml:space="preserve"> SEQ Tabulka \* ARABIC </w:instrText>
      </w:r>
      <w:r w:rsidRPr="000F6340">
        <w:rPr>
          <w:sz w:val="24"/>
        </w:rPr>
        <w:fldChar w:fldCharType="separate"/>
      </w:r>
      <w:r w:rsidR="009A66D8">
        <w:rPr>
          <w:noProof/>
          <w:sz w:val="24"/>
        </w:rPr>
        <w:t>8</w:t>
      </w:r>
      <w:r w:rsidRPr="000F6340">
        <w:rPr>
          <w:noProof/>
          <w:sz w:val="24"/>
        </w:rPr>
        <w:fldChar w:fldCharType="end"/>
      </w:r>
      <w:r w:rsidRPr="000F6340">
        <w:rPr>
          <w:sz w:val="24"/>
        </w:rPr>
        <w:t xml:space="preserve">: </w:t>
      </w:r>
      <w:r w:rsidRPr="000F6340">
        <w:rPr>
          <w:sz w:val="24"/>
        </w:rPr>
        <w:tab/>
        <w:t xml:space="preserve">Porovnání příjmů a výnosů za všechny OSS v rozpočtové kapitole 335 vč. </w:t>
      </w:r>
      <w:proofErr w:type="spellStart"/>
      <w:r w:rsidRPr="000F6340">
        <w:rPr>
          <w:sz w:val="24"/>
        </w:rPr>
        <w:t>MZ</w:t>
      </w:r>
      <w:r>
        <w:rPr>
          <w:sz w:val="24"/>
        </w:rPr>
        <w:t>d</w:t>
      </w:r>
      <w:proofErr w:type="spellEnd"/>
      <w:r w:rsidRPr="000F6340">
        <w:rPr>
          <w:sz w:val="24"/>
        </w:rPr>
        <w:t xml:space="preserve"> </w:t>
      </w:r>
    </w:p>
    <w:p w14:paraId="7B98D535" w14:textId="77777777" w:rsidR="006D40B2" w:rsidRPr="000F6340" w:rsidRDefault="00536BCC" w:rsidP="004E2D6E">
      <w:pPr>
        <w:pStyle w:val="Titulek1"/>
        <w:tabs>
          <w:tab w:val="clear" w:pos="1134"/>
          <w:tab w:val="clear" w:pos="9356"/>
          <w:tab w:val="right" w:pos="9072"/>
        </w:tabs>
        <w:rPr>
          <w:sz w:val="24"/>
        </w:rPr>
      </w:pPr>
      <w:r>
        <w:rPr>
          <w:sz w:val="24"/>
        </w:rPr>
        <w:tab/>
      </w:r>
      <w:r w:rsidR="006D40B2" w:rsidRPr="000F6340">
        <w:rPr>
          <w:sz w:val="24"/>
        </w:rPr>
        <w:t>(v Kč)</w:t>
      </w:r>
      <w:bookmarkEnd w:id="40"/>
      <w:bookmarkEnd w:id="41"/>
      <w:bookmarkEnd w:id="42"/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1474"/>
        <w:gridCol w:w="1474"/>
        <w:gridCol w:w="1474"/>
        <w:gridCol w:w="1474"/>
        <w:gridCol w:w="1474"/>
      </w:tblGrid>
      <w:tr w:rsidR="006D40B2" w:rsidRPr="00D71C60" w14:paraId="478ED038" w14:textId="77777777" w:rsidTr="006D40B2">
        <w:trPr>
          <w:trHeight w:val="255"/>
        </w:trPr>
        <w:tc>
          <w:tcPr>
            <w:tcW w:w="925" w:type="pct"/>
            <w:shd w:val="clear" w:color="auto" w:fill="E5F1FF"/>
            <w:noWrap/>
            <w:vAlign w:val="center"/>
            <w:hideMark/>
          </w:tcPr>
          <w:p w14:paraId="31384532" w14:textId="77777777" w:rsidR="006D40B2" w:rsidRPr="00520B3D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0B3D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15" w:type="pct"/>
            <w:shd w:val="clear" w:color="auto" w:fill="E5F1FF"/>
            <w:noWrap/>
            <w:vAlign w:val="center"/>
          </w:tcPr>
          <w:p w14:paraId="56C35B37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15" w:type="pct"/>
            <w:shd w:val="clear" w:color="auto" w:fill="E5F1FF"/>
            <w:noWrap/>
            <w:vAlign w:val="center"/>
          </w:tcPr>
          <w:p w14:paraId="1F8F34D5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15" w:type="pct"/>
            <w:shd w:val="clear" w:color="auto" w:fill="E5F1FF"/>
            <w:noWrap/>
            <w:vAlign w:val="center"/>
          </w:tcPr>
          <w:p w14:paraId="53EA9FC7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15" w:type="pct"/>
            <w:shd w:val="clear" w:color="auto" w:fill="E5F1FF"/>
            <w:noWrap/>
            <w:vAlign w:val="center"/>
          </w:tcPr>
          <w:p w14:paraId="6B006B4F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15" w:type="pct"/>
            <w:shd w:val="clear" w:color="auto" w:fill="E5F1FF"/>
            <w:vAlign w:val="center"/>
          </w:tcPr>
          <w:p w14:paraId="0A21A39F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09B4A021" w14:textId="77777777" w:rsidTr="006D40B2">
        <w:trPr>
          <w:trHeight w:val="255"/>
        </w:trPr>
        <w:tc>
          <w:tcPr>
            <w:tcW w:w="925" w:type="pct"/>
            <w:shd w:val="clear" w:color="auto" w:fill="auto"/>
            <w:noWrap/>
            <w:vAlign w:val="center"/>
          </w:tcPr>
          <w:p w14:paraId="4CD6DCCB" w14:textId="77777777" w:rsidR="006D40B2" w:rsidRPr="00520B3D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0B3D">
              <w:rPr>
                <w:b/>
                <w:bCs/>
                <w:color w:val="000000"/>
                <w:sz w:val="18"/>
                <w:szCs w:val="18"/>
              </w:rPr>
              <w:t>Příjmy (skutečnost)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14:paraId="69E13986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901 079 831,41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14:paraId="0068CB76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1 464 593 564,89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14:paraId="4F52120F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1 523 722 459,79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14:paraId="1A8B9907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2 161 249 558,81</w:t>
            </w:r>
          </w:p>
        </w:tc>
        <w:tc>
          <w:tcPr>
            <w:tcW w:w="815" w:type="pct"/>
            <w:vAlign w:val="center"/>
          </w:tcPr>
          <w:p w14:paraId="787A5FA8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7 210 413 282,95</w:t>
            </w:r>
          </w:p>
        </w:tc>
      </w:tr>
      <w:tr w:rsidR="006D40B2" w:rsidRPr="00D71C60" w14:paraId="01CC4E41" w14:textId="77777777" w:rsidTr="006D40B2">
        <w:trPr>
          <w:trHeight w:val="255"/>
        </w:trPr>
        <w:tc>
          <w:tcPr>
            <w:tcW w:w="925" w:type="pct"/>
            <w:shd w:val="clear" w:color="auto" w:fill="auto"/>
            <w:noWrap/>
            <w:vAlign w:val="center"/>
          </w:tcPr>
          <w:p w14:paraId="716FBB45" w14:textId="77777777" w:rsidR="006D40B2" w:rsidRPr="00520B3D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0B3D">
              <w:rPr>
                <w:b/>
                <w:bCs/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14:paraId="6670497D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905 221 282,45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14:paraId="7CC03153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1 507 782 205,75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14:paraId="74313316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1 488 436 145,01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14:paraId="1E81CF9A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2 626 378 370,95</w:t>
            </w:r>
          </w:p>
        </w:tc>
        <w:tc>
          <w:tcPr>
            <w:tcW w:w="815" w:type="pct"/>
            <w:vAlign w:val="center"/>
          </w:tcPr>
          <w:p w14:paraId="7505FD1E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9 003 080 115,25</w:t>
            </w:r>
          </w:p>
        </w:tc>
      </w:tr>
    </w:tbl>
    <w:p w14:paraId="15E2CBE3" w14:textId="77777777" w:rsidR="006D40B2" w:rsidRPr="00520B3D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520B3D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520B3D">
        <w:rPr>
          <w:rFonts w:cs="Calibri"/>
          <w:color w:val="000000"/>
          <w:sz w:val="20"/>
          <w:szCs w:val="20"/>
          <w:lang w:eastAsia="cs-CZ"/>
        </w:rPr>
        <w:t xml:space="preserve">informační </w:t>
      </w:r>
      <w:r w:rsidRPr="00427755">
        <w:rPr>
          <w:rFonts w:cs="Calibri"/>
          <w:color w:val="000000"/>
          <w:sz w:val="20"/>
          <w:szCs w:val="20"/>
          <w:lang w:eastAsia="cs-CZ"/>
        </w:rPr>
        <w:t xml:space="preserve">portál </w:t>
      </w:r>
      <w:r w:rsidRPr="0066297E">
        <w:rPr>
          <w:rFonts w:cs="Calibri"/>
          <w:color w:val="000000"/>
          <w:sz w:val="20"/>
          <w:szCs w:val="20"/>
          <w:lang w:eastAsia="cs-CZ"/>
        </w:rPr>
        <w:t>MONITOR, informace zjištěné v průběhu kontroly</w:t>
      </w:r>
      <w:r w:rsidRPr="000C6002">
        <w:rPr>
          <w:rFonts w:cs="Calibri"/>
          <w:color w:val="000000"/>
          <w:sz w:val="20"/>
          <w:szCs w:val="20"/>
          <w:lang w:eastAsia="cs-CZ"/>
        </w:rPr>
        <w:t>.</w:t>
      </w:r>
    </w:p>
    <w:p w14:paraId="38B486C1" w14:textId="5F7C7F08" w:rsidR="006D40B2" w:rsidRPr="00520B3D" w:rsidRDefault="006D40B2" w:rsidP="006D40B2">
      <w:pPr>
        <w:jc w:val="both"/>
        <w:rPr>
          <w:rFonts w:asciiTheme="minorHAnsi" w:hAnsiTheme="minorHAnsi" w:cstheme="minorHAnsi"/>
        </w:rPr>
      </w:pPr>
      <w:r w:rsidRPr="00520B3D">
        <w:rPr>
          <w:rFonts w:asciiTheme="minorHAnsi" w:hAnsiTheme="minorHAnsi" w:cstheme="minorHAnsi"/>
        </w:rPr>
        <w:t>Příjmy a výnosy kapitoly 335 se ve sledovaném období vyvíjely vel</w:t>
      </w:r>
      <w:r w:rsidR="00536BCC">
        <w:rPr>
          <w:rFonts w:asciiTheme="minorHAnsi" w:hAnsiTheme="minorHAnsi" w:cstheme="minorHAnsi"/>
        </w:rPr>
        <w:t>mi</w:t>
      </w:r>
      <w:r w:rsidRPr="00520B3D">
        <w:rPr>
          <w:rFonts w:asciiTheme="minorHAnsi" w:hAnsiTheme="minorHAnsi" w:cstheme="minorHAnsi"/>
        </w:rPr>
        <w:t xml:space="preserve"> </w:t>
      </w:r>
      <w:r w:rsidR="00536BCC">
        <w:rPr>
          <w:rFonts w:asciiTheme="minorHAnsi" w:hAnsiTheme="minorHAnsi" w:cstheme="minorHAnsi"/>
        </w:rPr>
        <w:t>podobně</w:t>
      </w:r>
      <w:r w:rsidRPr="00520B3D">
        <w:rPr>
          <w:rFonts w:asciiTheme="minorHAnsi" w:hAnsiTheme="minorHAnsi" w:cstheme="minorHAnsi"/>
        </w:rPr>
        <w:t xml:space="preserve">, vyjma roku 2021. V roce 2021 převyšovaly výrazně výnosy nad příjmy o 1,79 mld. Kč. V ostatních letech vykazují příjmy a výdaje za rozpočtovou kapitolu 335 obdobný vývoj. </w:t>
      </w:r>
    </w:p>
    <w:p w14:paraId="00A268F1" w14:textId="46224BB2" w:rsidR="006D40B2" w:rsidRPr="00520B3D" w:rsidRDefault="006D40B2" w:rsidP="006D40B2">
      <w:pPr>
        <w:jc w:val="both"/>
        <w:rPr>
          <w:rFonts w:asciiTheme="minorHAnsi" w:hAnsiTheme="minorHAnsi" w:cstheme="minorHAnsi"/>
        </w:rPr>
      </w:pPr>
      <w:r w:rsidRPr="00520B3D">
        <w:rPr>
          <w:rFonts w:asciiTheme="minorHAnsi" w:hAnsiTheme="minorHAnsi" w:cstheme="minorHAnsi"/>
        </w:rPr>
        <w:t xml:space="preserve">Největší podíl výnosů (90,05 %) tvořily v roce 2021 výnosy z činnosti, a to zejména zůstatek účtu 604 – </w:t>
      </w:r>
      <w:r w:rsidRPr="00520B3D">
        <w:rPr>
          <w:rFonts w:asciiTheme="minorHAnsi" w:hAnsiTheme="minorHAnsi" w:cstheme="minorHAnsi"/>
          <w:i/>
        </w:rPr>
        <w:t>Výnosy z prodaného zboží</w:t>
      </w:r>
      <w:r w:rsidRPr="00520B3D">
        <w:rPr>
          <w:rFonts w:asciiTheme="minorHAnsi" w:hAnsiTheme="minorHAnsi" w:cstheme="minorHAnsi"/>
        </w:rPr>
        <w:t>, který zaujímal částku ve výši 7 350 109 735,82 Kč, tj.</w:t>
      </w:r>
      <w:r>
        <w:rPr>
          <w:rFonts w:asciiTheme="minorHAnsi" w:hAnsiTheme="minorHAnsi" w:cstheme="minorHAnsi"/>
        </w:rPr>
        <w:t> </w:t>
      </w:r>
      <w:r w:rsidRPr="00520B3D">
        <w:rPr>
          <w:rFonts w:asciiTheme="minorHAnsi" w:hAnsiTheme="minorHAnsi" w:cstheme="minorHAnsi"/>
        </w:rPr>
        <w:t xml:space="preserve">81,64 % celkových výnosů. Další významný výnos byl vykázán na účtu 648 – </w:t>
      </w:r>
      <w:r w:rsidRPr="00520B3D">
        <w:rPr>
          <w:rFonts w:asciiTheme="minorHAnsi" w:hAnsiTheme="minorHAnsi" w:cstheme="minorHAnsi"/>
          <w:i/>
        </w:rPr>
        <w:t>Čerpání fondů</w:t>
      </w:r>
      <w:r w:rsidRPr="00520B3D">
        <w:rPr>
          <w:rFonts w:asciiTheme="minorHAnsi" w:hAnsiTheme="minorHAnsi" w:cstheme="minorHAnsi"/>
        </w:rPr>
        <w:t>, a</w:t>
      </w:r>
      <w:r>
        <w:rPr>
          <w:rFonts w:asciiTheme="minorHAnsi" w:hAnsiTheme="minorHAnsi" w:cstheme="minorHAnsi"/>
        </w:rPr>
        <w:t> </w:t>
      </w:r>
      <w:r w:rsidRPr="00520B3D">
        <w:rPr>
          <w:rFonts w:asciiTheme="minorHAnsi" w:hAnsiTheme="minorHAnsi" w:cstheme="minorHAnsi"/>
        </w:rPr>
        <w:t>to ve výši 533 995 505,58 Kč, tj. 5,93 % celkových výnosů.</w:t>
      </w:r>
    </w:p>
    <w:p w14:paraId="71A09C52" w14:textId="77777777" w:rsidR="006D40B2" w:rsidRPr="00D71C60" w:rsidRDefault="006D40B2" w:rsidP="006D40B2">
      <w:pPr>
        <w:jc w:val="both"/>
        <w:rPr>
          <w:rFonts w:asciiTheme="minorHAnsi" w:hAnsiTheme="minorHAnsi" w:cstheme="minorHAnsi"/>
          <w:highlight w:val="yellow"/>
        </w:rPr>
      </w:pPr>
      <w:r w:rsidRPr="00520B3D">
        <w:rPr>
          <w:rFonts w:asciiTheme="minorHAnsi" w:hAnsiTheme="minorHAnsi" w:cstheme="minorHAnsi"/>
        </w:rPr>
        <w:t xml:space="preserve">Na snížení výnosů v roce 2017 se nejvíce podílel účet 675 – </w:t>
      </w:r>
      <w:r w:rsidRPr="00520B3D">
        <w:rPr>
          <w:rFonts w:asciiTheme="minorHAnsi" w:hAnsiTheme="minorHAnsi" w:cstheme="minorHAnsi"/>
          <w:i/>
        </w:rPr>
        <w:t>Výnosy vybraných ústředních vládních institucí z předfinancování transferů</w:t>
      </w:r>
      <w:r w:rsidRPr="00520B3D">
        <w:rPr>
          <w:rFonts w:asciiTheme="minorHAnsi" w:hAnsiTheme="minorHAnsi" w:cstheme="minorHAnsi"/>
        </w:rPr>
        <w:t>, a to poklesem o 2,31 mld. Kč.</w:t>
      </w:r>
    </w:p>
    <w:p w14:paraId="3999ED87" w14:textId="3C07BFE0" w:rsidR="006D40B2" w:rsidRPr="00520B3D" w:rsidRDefault="006D40B2" w:rsidP="006D40B2">
      <w:pPr>
        <w:pStyle w:val="Titulek1"/>
        <w:tabs>
          <w:tab w:val="clear" w:pos="1134"/>
          <w:tab w:val="clear" w:pos="9356"/>
          <w:tab w:val="right" w:pos="9072"/>
        </w:tabs>
        <w:rPr>
          <w:sz w:val="24"/>
        </w:rPr>
      </w:pPr>
      <w:bookmarkStart w:id="43" w:name="_Toc8984525"/>
      <w:bookmarkStart w:id="44" w:name="_Toc72157458"/>
      <w:r w:rsidRPr="00520B3D">
        <w:rPr>
          <w:sz w:val="24"/>
        </w:rPr>
        <w:t xml:space="preserve">Tabulka č. </w:t>
      </w:r>
      <w:r w:rsidRPr="00520B3D">
        <w:rPr>
          <w:sz w:val="24"/>
        </w:rPr>
        <w:fldChar w:fldCharType="begin"/>
      </w:r>
      <w:r w:rsidRPr="00520B3D">
        <w:rPr>
          <w:sz w:val="24"/>
        </w:rPr>
        <w:instrText xml:space="preserve"> SEQ Tabulka \* ARABIC </w:instrText>
      </w:r>
      <w:r w:rsidRPr="00520B3D">
        <w:rPr>
          <w:sz w:val="24"/>
        </w:rPr>
        <w:fldChar w:fldCharType="separate"/>
      </w:r>
      <w:r w:rsidR="009A66D8">
        <w:rPr>
          <w:noProof/>
          <w:sz w:val="24"/>
        </w:rPr>
        <w:t>9</w:t>
      </w:r>
      <w:r w:rsidRPr="00520B3D">
        <w:rPr>
          <w:noProof/>
          <w:sz w:val="24"/>
        </w:rPr>
        <w:fldChar w:fldCharType="end"/>
      </w:r>
      <w:r w:rsidRPr="00520B3D">
        <w:rPr>
          <w:sz w:val="24"/>
        </w:rPr>
        <w:t xml:space="preserve">: Porovnání příjmů a výnosů za </w:t>
      </w:r>
      <w:proofErr w:type="spellStart"/>
      <w:r w:rsidRPr="00520B3D">
        <w:rPr>
          <w:sz w:val="24"/>
        </w:rPr>
        <w:t>MZ</w:t>
      </w:r>
      <w:r>
        <w:rPr>
          <w:sz w:val="24"/>
        </w:rPr>
        <w:t>d</w:t>
      </w:r>
      <w:proofErr w:type="spellEnd"/>
      <w:r w:rsidRPr="00520B3D">
        <w:rPr>
          <w:sz w:val="24"/>
        </w:rPr>
        <w:t xml:space="preserve"> </w:t>
      </w:r>
      <w:r>
        <w:rPr>
          <w:sz w:val="24"/>
        </w:rPr>
        <w:tab/>
      </w:r>
      <w:r w:rsidRPr="00520B3D">
        <w:rPr>
          <w:sz w:val="24"/>
        </w:rPr>
        <w:t>(v Kč)</w:t>
      </w:r>
      <w:bookmarkEnd w:id="43"/>
      <w:bookmarkEnd w:id="4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1493"/>
        <w:gridCol w:w="1493"/>
        <w:gridCol w:w="1493"/>
        <w:gridCol w:w="1402"/>
        <w:gridCol w:w="1493"/>
      </w:tblGrid>
      <w:tr w:rsidR="006D40B2" w:rsidRPr="00D71C60" w14:paraId="2C0B00DE" w14:textId="77777777" w:rsidTr="006D40B2">
        <w:trPr>
          <w:trHeight w:val="255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13A1D19" w14:textId="77777777" w:rsidR="006D40B2" w:rsidRPr="00520B3D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0B3D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D7B25BF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863C5CF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6A88398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9CD3F8C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20BDC30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637BD576" w14:textId="77777777" w:rsidTr="006D40B2">
        <w:trPr>
          <w:trHeight w:val="255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D1FE9" w14:textId="77777777" w:rsidR="006D40B2" w:rsidRPr="00520B3D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0B3D">
              <w:rPr>
                <w:b/>
                <w:bCs/>
                <w:color w:val="000000"/>
                <w:sz w:val="18"/>
                <w:szCs w:val="18"/>
              </w:rPr>
              <w:t>Příjmy (skutečnost)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10A1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339 723 483,98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A1F2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914 326 408,95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6FE6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904 585 831,08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79C2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 xml:space="preserve">1 422 420 309,47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F1F2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6 536 292 006,29</w:t>
            </w:r>
          </w:p>
        </w:tc>
      </w:tr>
      <w:tr w:rsidR="006D40B2" w:rsidRPr="00D71C60" w14:paraId="03D53EA9" w14:textId="77777777" w:rsidTr="006D40B2">
        <w:trPr>
          <w:trHeight w:val="255"/>
        </w:trPr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8F626" w14:textId="77777777" w:rsidR="006D40B2" w:rsidRPr="00520B3D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0B3D">
              <w:rPr>
                <w:b/>
                <w:bCs/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C0F4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340 276 384,69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56D6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933 664 883,48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35DF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869 434 110,38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175AB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1 821 237 393,25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E9CE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8 303 927 937,94</w:t>
            </w:r>
          </w:p>
        </w:tc>
      </w:tr>
    </w:tbl>
    <w:p w14:paraId="26D17D10" w14:textId="77777777" w:rsidR="006D40B2" w:rsidRPr="00520B3D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520B3D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520B3D">
        <w:rPr>
          <w:rFonts w:cs="Calibri"/>
          <w:color w:val="000000"/>
          <w:sz w:val="20"/>
          <w:szCs w:val="20"/>
          <w:lang w:eastAsia="cs-CZ"/>
        </w:rPr>
        <w:t>informační portál</w:t>
      </w:r>
      <w:r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Pr="00247616">
        <w:rPr>
          <w:rFonts w:cs="Calibri"/>
          <w:color w:val="000000"/>
          <w:sz w:val="20"/>
          <w:szCs w:val="20"/>
          <w:lang w:eastAsia="cs-CZ"/>
        </w:rPr>
        <w:t>MONITOR, informace zjištěné v průběhu kontroly.</w:t>
      </w:r>
    </w:p>
    <w:p w14:paraId="4DB793F9" w14:textId="77777777" w:rsidR="006D40B2" w:rsidRPr="00520B3D" w:rsidRDefault="006D40B2" w:rsidP="006D40B2">
      <w:pPr>
        <w:jc w:val="both"/>
        <w:rPr>
          <w:rFonts w:asciiTheme="minorHAnsi" w:hAnsiTheme="minorHAnsi" w:cstheme="minorHAnsi"/>
        </w:rPr>
      </w:pPr>
      <w:r w:rsidRPr="00520B3D">
        <w:rPr>
          <w:rFonts w:asciiTheme="minorHAnsi" w:hAnsiTheme="minorHAnsi" w:cstheme="minorHAnsi"/>
        </w:rPr>
        <w:t xml:space="preserve">Vývoj příjmů a výnosů </w:t>
      </w:r>
      <w:proofErr w:type="spellStart"/>
      <w:r w:rsidRPr="00520B3D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520B3D">
        <w:rPr>
          <w:rFonts w:asciiTheme="minorHAnsi" w:hAnsiTheme="minorHAnsi" w:cstheme="minorHAnsi"/>
        </w:rPr>
        <w:t xml:space="preserve"> byl ve sledovaném období podobný vývoji příjmů a výnosů celé kapitoly 335.</w:t>
      </w:r>
    </w:p>
    <w:p w14:paraId="16B48409" w14:textId="14F97296" w:rsidR="006D40B2" w:rsidRPr="00520B3D" w:rsidRDefault="006D40B2" w:rsidP="006D40B2">
      <w:pPr>
        <w:pStyle w:val="Titulek1"/>
        <w:tabs>
          <w:tab w:val="clear" w:pos="1134"/>
          <w:tab w:val="clear" w:pos="9356"/>
          <w:tab w:val="right" w:pos="9072"/>
        </w:tabs>
        <w:rPr>
          <w:sz w:val="24"/>
        </w:rPr>
      </w:pPr>
      <w:bookmarkStart w:id="45" w:name="_Toc8984526"/>
      <w:bookmarkStart w:id="46" w:name="_Toc72157459"/>
      <w:r w:rsidRPr="00520B3D">
        <w:rPr>
          <w:sz w:val="24"/>
        </w:rPr>
        <w:t xml:space="preserve">Tabulka č. </w:t>
      </w:r>
      <w:r w:rsidRPr="00520B3D">
        <w:rPr>
          <w:sz w:val="24"/>
        </w:rPr>
        <w:fldChar w:fldCharType="begin"/>
      </w:r>
      <w:r w:rsidRPr="00520B3D">
        <w:rPr>
          <w:sz w:val="24"/>
        </w:rPr>
        <w:instrText xml:space="preserve"> SEQ Tabulka \* ARABIC </w:instrText>
      </w:r>
      <w:r w:rsidRPr="00520B3D">
        <w:rPr>
          <w:sz w:val="24"/>
        </w:rPr>
        <w:fldChar w:fldCharType="separate"/>
      </w:r>
      <w:r w:rsidR="009A66D8">
        <w:rPr>
          <w:noProof/>
          <w:sz w:val="24"/>
        </w:rPr>
        <w:t>10</w:t>
      </w:r>
      <w:r w:rsidRPr="00520B3D">
        <w:rPr>
          <w:noProof/>
          <w:sz w:val="24"/>
        </w:rPr>
        <w:fldChar w:fldCharType="end"/>
      </w:r>
      <w:r w:rsidRPr="00520B3D">
        <w:rPr>
          <w:sz w:val="24"/>
        </w:rPr>
        <w:t xml:space="preserve">: Porovnání příjmů a výnosů OSS v rozpočtové kapitole 335 (bez </w:t>
      </w:r>
      <w:proofErr w:type="spellStart"/>
      <w:r w:rsidRPr="00520B3D">
        <w:rPr>
          <w:sz w:val="24"/>
        </w:rPr>
        <w:t>MZ</w:t>
      </w:r>
      <w:r>
        <w:rPr>
          <w:sz w:val="24"/>
        </w:rPr>
        <w:t>d</w:t>
      </w:r>
      <w:proofErr w:type="spellEnd"/>
      <w:r w:rsidR="00536BCC">
        <w:rPr>
          <w:sz w:val="24"/>
        </w:rPr>
        <w:t>)</w:t>
      </w:r>
      <w:r w:rsidRPr="00520B3D">
        <w:rPr>
          <w:sz w:val="24"/>
        </w:rPr>
        <w:t xml:space="preserve"> </w:t>
      </w:r>
      <w:r w:rsidR="00536BCC">
        <w:rPr>
          <w:sz w:val="24"/>
        </w:rPr>
        <w:tab/>
        <w:t>(</w:t>
      </w:r>
      <w:r w:rsidRPr="00520B3D">
        <w:rPr>
          <w:sz w:val="24"/>
        </w:rPr>
        <w:t>v Kč)</w:t>
      </w:r>
      <w:bookmarkEnd w:id="45"/>
      <w:bookmarkEnd w:id="4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5"/>
        <w:gridCol w:w="1459"/>
        <w:gridCol w:w="1457"/>
        <w:gridCol w:w="1457"/>
        <w:gridCol w:w="1457"/>
        <w:gridCol w:w="1455"/>
      </w:tblGrid>
      <w:tr w:rsidR="006D40B2" w:rsidRPr="00D71C60" w14:paraId="5BBFFD40" w14:textId="77777777" w:rsidTr="006D40B2">
        <w:trPr>
          <w:trHeight w:val="255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63A192C" w14:textId="77777777" w:rsidR="006D40B2" w:rsidRPr="00520B3D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0B3D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DE486E7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317FE31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A7F996F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C2E05EC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CA61D55" w14:textId="77777777" w:rsidR="006D40B2" w:rsidRPr="00520B3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520B3D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24F58E1E" w14:textId="77777777" w:rsidTr="006D40B2">
        <w:trPr>
          <w:trHeight w:val="255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6301" w14:textId="77777777" w:rsidR="006D40B2" w:rsidRPr="00520B3D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0B3D">
              <w:rPr>
                <w:b/>
                <w:bCs/>
                <w:color w:val="000000"/>
                <w:sz w:val="18"/>
                <w:szCs w:val="18"/>
              </w:rPr>
              <w:t>Příjmy (skutečnost)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06A3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561 356 347,43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7D00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550 267 155,94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1E0C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619 136 628,71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A348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738 829 249,3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AA71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674 121 276,66</w:t>
            </w:r>
          </w:p>
        </w:tc>
      </w:tr>
      <w:tr w:rsidR="006D40B2" w:rsidRPr="00D71C60" w14:paraId="5A164097" w14:textId="77777777" w:rsidTr="006D40B2">
        <w:trPr>
          <w:trHeight w:val="255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CFF0" w14:textId="77777777" w:rsidR="006D40B2" w:rsidRPr="00520B3D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20B3D">
              <w:rPr>
                <w:b/>
                <w:bCs/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B2F7C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564 944 897,76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8748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574 117 322,27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A9D3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619 002 034,63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E73C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805 140 977,7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ABA3" w14:textId="77777777" w:rsidR="006D40B2" w:rsidRPr="00520B3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520B3D">
              <w:rPr>
                <w:sz w:val="18"/>
                <w:szCs w:val="18"/>
              </w:rPr>
              <w:t>699 152 177,31</w:t>
            </w:r>
          </w:p>
        </w:tc>
      </w:tr>
    </w:tbl>
    <w:p w14:paraId="22B8B96C" w14:textId="77777777" w:rsidR="006D40B2" w:rsidRPr="00520B3D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520B3D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520B3D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23AE3289" w14:textId="77777777" w:rsidR="006D40B2" w:rsidRPr="00520B3D" w:rsidRDefault="006D40B2" w:rsidP="006D40B2">
      <w:pPr>
        <w:spacing w:before="40"/>
        <w:jc w:val="both"/>
        <w:rPr>
          <w:rFonts w:cs="Calibri"/>
          <w:color w:val="000000"/>
          <w:szCs w:val="20"/>
          <w:lang w:eastAsia="cs-CZ"/>
        </w:rPr>
      </w:pPr>
      <w:r w:rsidRPr="00520B3D">
        <w:rPr>
          <w:rFonts w:cs="Calibri"/>
          <w:color w:val="000000"/>
          <w:szCs w:val="20"/>
          <w:lang w:eastAsia="cs-CZ"/>
        </w:rPr>
        <w:t xml:space="preserve">Příjmy a výnosy se ve sledovaném období u ostatních OSS (bez </w:t>
      </w:r>
      <w:proofErr w:type="spellStart"/>
      <w:r w:rsidRPr="00520B3D">
        <w:rPr>
          <w:rFonts w:cs="Calibri"/>
          <w:color w:val="000000"/>
          <w:szCs w:val="20"/>
          <w:lang w:eastAsia="cs-CZ"/>
        </w:rPr>
        <w:t>MZ</w:t>
      </w:r>
      <w:r>
        <w:rPr>
          <w:rFonts w:cs="Calibri"/>
          <w:color w:val="000000"/>
          <w:szCs w:val="20"/>
          <w:lang w:eastAsia="cs-CZ"/>
        </w:rPr>
        <w:t>d</w:t>
      </w:r>
      <w:proofErr w:type="spellEnd"/>
      <w:r w:rsidRPr="00520B3D">
        <w:rPr>
          <w:rFonts w:cs="Calibri"/>
          <w:color w:val="000000"/>
          <w:szCs w:val="20"/>
          <w:lang w:eastAsia="cs-CZ"/>
        </w:rPr>
        <w:t>) vyvíjely obdobně až na rok 2020, kdy výnosy výrazně převýšily příjmy o 66,31 mil. Kč.</w:t>
      </w:r>
    </w:p>
    <w:p w14:paraId="6CD5847D" w14:textId="77777777" w:rsidR="006D40B2" w:rsidRPr="00520B3D" w:rsidRDefault="006D40B2" w:rsidP="006D40B2">
      <w:pPr>
        <w:spacing w:before="40"/>
        <w:jc w:val="both"/>
        <w:rPr>
          <w:rFonts w:cs="Calibri"/>
          <w:color w:val="000000"/>
          <w:szCs w:val="20"/>
          <w:lang w:eastAsia="cs-CZ"/>
        </w:rPr>
      </w:pPr>
      <w:r w:rsidRPr="00520B3D">
        <w:rPr>
          <w:rFonts w:cs="Calibri"/>
          <w:color w:val="000000"/>
          <w:szCs w:val="20"/>
          <w:lang w:eastAsia="cs-CZ"/>
        </w:rPr>
        <w:lastRenderedPageBreak/>
        <w:t xml:space="preserve">Výnosy z činnosti v roce 2021 činily 601 189 215,67 Kč, tj. 85,99 % celkových výnosů. </w:t>
      </w:r>
    </w:p>
    <w:p w14:paraId="56489DA1" w14:textId="77777777" w:rsidR="006D40B2" w:rsidRPr="00D71C60" w:rsidRDefault="006D40B2" w:rsidP="002F5988">
      <w:pPr>
        <w:spacing w:before="40" w:after="0"/>
        <w:jc w:val="both"/>
        <w:rPr>
          <w:rFonts w:cs="Calibri"/>
          <w:bCs/>
          <w:color w:val="000000"/>
          <w:szCs w:val="20"/>
          <w:highlight w:val="yellow"/>
          <w:lang w:eastAsia="cs-CZ"/>
        </w:rPr>
      </w:pPr>
      <w:r w:rsidRPr="00520B3D">
        <w:rPr>
          <w:rFonts w:cs="Calibri"/>
          <w:color w:val="000000"/>
          <w:szCs w:val="20"/>
          <w:lang w:eastAsia="cs-CZ"/>
        </w:rPr>
        <w:t xml:space="preserve">Nejvýznamnějšími výnosovými účty byly 605 – </w:t>
      </w:r>
      <w:r w:rsidRPr="00520B3D">
        <w:rPr>
          <w:rFonts w:cs="Calibri"/>
          <w:i/>
          <w:color w:val="000000"/>
          <w:szCs w:val="20"/>
          <w:lang w:eastAsia="cs-CZ"/>
        </w:rPr>
        <w:t>Výnosy ze správních poplatků</w:t>
      </w:r>
      <w:r w:rsidRPr="00520B3D">
        <w:rPr>
          <w:rFonts w:cs="Calibri"/>
          <w:color w:val="000000"/>
          <w:szCs w:val="20"/>
          <w:lang w:eastAsia="cs-CZ"/>
        </w:rPr>
        <w:t xml:space="preserve"> (35</w:t>
      </w:r>
      <w:r>
        <w:rPr>
          <w:rFonts w:cs="Calibri"/>
          <w:color w:val="000000"/>
          <w:szCs w:val="20"/>
          <w:lang w:eastAsia="cs-CZ"/>
        </w:rPr>
        <w:t> </w:t>
      </w:r>
      <w:r w:rsidRPr="00520B3D">
        <w:rPr>
          <w:rFonts w:cs="Calibri"/>
          <w:color w:val="000000"/>
          <w:szCs w:val="20"/>
          <w:lang w:eastAsia="cs-CZ"/>
        </w:rPr>
        <w:t>518</w:t>
      </w:r>
      <w:r>
        <w:rPr>
          <w:rFonts w:cs="Calibri"/>
          <w:color w:val="000000"/>
          <w:szCs w:val="20"/>
          <w:lang w:eastAsia="cs-CZ"/>
        </w:rPr>
        <w:t> </w:t>
      </w:r>
      <w:r w:rsidRPr="00520B3D">
        <w:rPr>
          <w:rFonts w:cs="Calibri"/>
          <w:color w:val="000000"/>
          <w:szCs w:val="20"/>
          <w:lang w:eastAsia="cs-CZ"/>
        </w:rPr>
        <w:t>436,49</w:t>
      </w:r>
      <w:r>
        <w:rPr>
          <w:rFonts w:cs="Calibri"/>
          <w:color w:val="000000"/>
          <w:szCs w:val="20"/>
          <w:lang w:eastAsia="cs-CZ"/>
        </w:rPr>
        <w:t> </w:t>
      </w:r>
      <w:r w:rsidRPr="00520B3D">
        <w:rPr>
          <w:rFonts w:cs="Calibri"/>
          <w:color w:val="000000"/>
          <w:szCs w:val="20"/>
          <w:lang w:eastAsia="cs-CZ"/>
        </w:rPr>
        <w:t xml:space="preserve">Kč), 649 – </w:t>
      </w:r>
      <w:r w:rsidRPr="00520B3D">
        <w:rPr>
          <w:rFonts w:cs="Calibri"/>
          <w:i/>
          <w:color w:val="000000"/>
          <w:szCs w:val="20"/>
          <w:lang w:eastAsia="cs-CZ"/>
        </w:rPr>
        <w:t>Ostatní výnosy z činnosti</w:t>
      </w:r>
      <w:r w:rsidRPr="00520B3D">
        <w:rPr>
          <w:rFonts w:cs="Calibri"/>
          <w:color w:val="000000"/>
          <w:szCs w:val="20"/>
          <w:lang w:eastAsia="cs-CZ"/>
        </w:rPr>
        <w:t xml:space="preserve"> (9 544 280,80 Kč) a 642 – </w:t>
      </w:r>
      <w:r w:rsidRPr="00520B3D">
        <w:rPr>
          <w:rFonts w:cs="Calibri"/>
          <w:i/>
          <w:color w:val="000000"/>
          <w:szCs w:val="20"/>
          <w:lang w:eastAsia="cs-CZ"/>
        </w:rPr>
        <w:t>Jiné pokuty a</w:t>
      </w:r>
      <w:r>
        <w:rPr>
          <w:rFonts w:cs="Calibri"/>
          <w:i/>
          <w:color w:val="000000"/>
          <w:szCs w:val="20"/>
          <w:lang w:eastAsia="cs-CZ"/>
        </w:rPr>
        <w:t> </w:t>
      </w:r>
      <w:r w:rsidRPr="00520B3D">
        <w:rPr>
          <w:rFonts w:cs="Calibri"/>
          <w:i/>
          <w:color w:val="000000"/>
          <w:szCs w:val="20"/>
          <w:lang w:eastAsia="cs-CZ"/>
        </w:rPr>
        <w:t>penále</w:t>
      </w:r>
      <w:r w:rsidRPr="00520B3D">
        <w:rPr>
          <w:rFonts w:cs="Calibri"/>
          <w:color w:val="000000"/>
          <w:szCs w:val="20"/>
          <w:lang w:eastAsia="cs-CZ"/>
        </w:rPr>
        <w:t xml:space="preserve"> (9</w:t>
      </w:r>
      <w:r>
        <w:rPr>
          <w:rFonts w:cs="Calibri"/>
          <w:color w:val="000000"/>
          <w:szCs w:val="20"/>
          <w:lang w:eastAsia="cs-CZ"/>
        </w:rPr>
        <w:t> </w:t>
      </w:r>
      <w:r w:rsidRPr="00520B3D">
        <w:rPr>
          <w:rFonts w:cs="Calibri"/>
          <w:color w:val="000000"/>
          <w:szCs w:val="20"/>
          <w:lang w:eastAsia="cs-CZ"/>
        </w:rPr>
        <w:t>230</w:t>
      </w:r>
      <w:r>
        <w:rPr>
          <w:rFonts w:cs="Calibri"/>
          <w:color w:val="000000"/>
          <w:szCs w:val="20"/>
          <w:lang w:eastAsia="cs-CZ"/>
        </w:rPr>
        <w:t> </w:t>
      </w:r>
      <w:r w:rsidRPr="00520B3D">
        <w:rPr>
          <w:rFonts w:cs="Calibri"/>
          <w:color w:val="000000"/>
          <w:szCs w:val="20"/>
          <w:lang w:eastAsia="cs-CZ"/>
        </w:rPr>
        <w:t>791,96 Kč).</w:t>
      </w:r>
    </w:p>
    <w:p w14:paraId="3AD40AD2" w14:textId="77777777" w:rsidR="006D40B2" w:rsidRPr="00D71C60" w:rsidRDefault="006D40B2" w:rsidP="006D40B2">
      <w:pPr>
        <w:spacing w:after="0"/>
        <w:rPr>
          <w:highlight w:val="yellow"/>
        </w:rPr>
      </w:pPr>
    </w:p>
    <w:p w14:paraId="73AFF241" w14:textId="77777777" w:rsidR="006D40B2" w:rsidRPr="00AA15AA" w:rsidRDefault="006D40B2" w:rsidP="006D40B2">
      <w:pPr>
        <w:pStyle w:val="Nadpis3"/>
        <w:numPr>
          <w:ilvl w:val="0"/>
          <w:numId w:val="0"/>
        </w:numPr>
        <w:spacing w:after="120"/>
        <w:ind w:left="720" w:hanging="720"/>
        <w:contextualSpacing w:val="0"/>
        <w:jc w:val="center"/>
      </w:pPr>
      <w:bookmarkStart w:id="47" w:name="_Toc519242400"/>
      <w:bookmarkStart w:id="48" w:name="_Toc17204904"/>
      <w:bookmarkStart w:id="49" w:name="_Toc71514619"/>
      <w:bookmarkEnd w:id="38"/>
      <w:bookmarkEnd w:id="39"/>
      <w:r w:rsidRPr="00AA15AA">
        <w:t xml:space="preserve">Oddíl IV. Porovnání výdajů a nákladů v rozpočtové kapitole </w:t>
      </w:r>
      <w:bookmarkEnd w:id="47"/>
      <w:bookmarkEnd w:id="48"/>
      <w:bookmarkEnd w:id="49"/>
      <w:r>
        <w:t>335</w:t>
      </w:r>
      <w:r w:rsidRPr="00AA15AA">
        <w:t xml:space="preserve"> v letech 201</w:t>
      </w:r>
      <w:r>
        <w:t>7</w:t>
      </w:r>
      <w:r w:rsidRPr="00AA15AA">
        <w:t>–202</w:t>
      </w:r>
      <w:r>
        <w:t>1</w:t>
      </w:r>
    </w:p>
    <w:p w14:paraId="3FED8AE5" w14:textId="1210807E" w:rsidR="006D40B2" w:rsidRPr="006568B2" w:rsidRDefault="006D40B2" w:rsidP="006D40B2">
      <w:pPr>
        <w:pStyle w:val="Titulek1"/>
        <w:tabs>
          <w:tab w:val="clear" w:pos="1134"/>
          <w:tab w:val="clear" w:pos="9356"/>
          <w:tab w:val="right" w:pos="9072"/>
        </w:tabs>
        <w:rPr>
          <w:sz w:val="24"/>
        </w:rPr>
      </w:pPr>
      <w:bookmarkStart w:id="50" w:name="_Toc520714320"/>
      <w:bookmarkStart w:id="51" w:name="_Toc8984527"/>
      <w:bookmarkStart w:id="52" w:name="_Toc72157463"/>
      <w:r w:rsidRPr="006568B2">
        <w:rPr>
          <w:sz w:val="24"/>
        </w:rPr>
        <w:t xml:space="preserve">Tabulka č. </w:t>
      </w:r>
      <w:r w:rsidRPr="006568B2">
        <w:rPr>
          <w:sz w:val="24"/>
        </w:rPr>
        <w:fldChar w:fldCharType="begin"/>
      </w:r>
      <w:r w:rsidRPr="006568B2">
        <w:rPr>
          <w:sz w:val="24"/>
        </w:rPr>
        <w:instrText xml:space="preserve"> SEQ Tabulka \* ARABIC </w:instrText>
      </w:r>
      <w:r w:rsidRPr="006568B2">
        <w:rPr>
          <w:sz w:val="24"/>
        </w:rPr>
        <w:fldChar w:fldCharType="separate"/>
      </w:r>
      <w:r w:rsidR="009A66D8">
        <w:rPr>
          <w:noProof/>
          <w:sz w:val="24"/>
        </w:rPr>
        <w:t>11</w:t>
      </w:r>
      <w:r w:rsidRPr="006568B2">
        <w:rPr>
          <w:noProof/>
          <w:sz w:val="24"/>
        </w:rPr>
        <w:fldChar w:fldCharType="end"/>
      </w:r>
      <w:r w:rsidRPr="006568B2">
        <w:rPr>
          <w:sz w:val="24"/>
        </w:rPr>
        <w:t>: Porovnání výdajů a nákladů za všechny OSS v </w:t>
      </w:r>
      <w:proofErr w:type="spellStart"/>
      <w:r w:rsidRPr="006568B2">
        <w:rPr>
          <w:sz w:val="24"/>
        </w:rPr>
        <w:t>rozp</w:t>
      </w:r>
      <w:proofErr w:type="spellEnd"/>
      <w:r w:rsidRPr="006568B2">
        <w:rPr>
          <w:sz w:val="24"/>
        </w:rPr>
        <w:t xml:space="preserve">. kap. 335 vč. </w:t>
      </w:r>
      <w:proofErr w:type="spellStart"/>
      <w:r w:rsidRPr="006568B2">
        <w:rPr>
          <w:sz w:val="24"/>
        </w:rPr>
        <w:t>MZ</w:t>
      </w:r>
      <w:r>
        <w:rPr>
          <w:sz w:val="24"/>
        </w:rPr>
        <w:t>d</w:t>
      </w:r>
      <w:proofErr w:type="spellEnd"/>
      <w:r w:rsidRPr="006568B2">
        <w:rPr>
          <w:sz w:val="24"/>
        </w:rPr>
        <w:t xml:space="preserve"> </w:t>
      </w:r>
      <w:r>
        <w:rPr>
          <w:sz w:val="24"/>
        </w:rPr>
        <w:tab/>
      </w:r>
      <w:r w:rsidRPr="006568B2">
        <w:rPr>
          <w:sz w:val="24"/>
        </w:rPr>
        <w:t>(v Kč)</w:t>
      </w:r>
      <w:bookmarkEnd w:id="50"/>
      <w:bookmarkEnd w:id="51"/>
      <w:bookmarkEnd w:id="52"/>
    </w:p>
    <w:tbl>
      <w:tblPr>
        <w:tblW w:w="49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1474"/>
        <w:gridCol w:w="1474"/>
        <w:gridCol w:w="1474"/>
        <w:gridCol w:w="1474"/>
        <w:gridCol w:w="1474"/>
      </w:tblGrid>
      <w:tr w:rsidR="006D40B2" w:rsidRPr="00D71C60" w14:paraId="043C9C5D" w14:textId="77777777" w:rsidTr="006D40B2">
        <w:trPr>
          <w:trHeight w:val="255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6F64098" w14:textId="77777777" w:rsidR="006D40B2" w:rsidRPr="0085449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018D30D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854492">
              <w:rPr>
                <w:b/>
                <w:sz w:val="17"/>
                <w:szCs w:val="17"/>
              </w:rPr>
              <w:t>2017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365464E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854492">
              <w:rPr>
                <w:b/>
                <w:sz w:val="17"/>
                <w:szCs w:val="17"/>
              </w:rPr>
              <w:t>2018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F46FB19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854492">
              <w:rPr>
                <w:b/>
                <w:sz w:val="17"/>
                <w:szCs w:val="17"/>
              </w:rPr>
              <w:t>2019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11BD09E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854492">
              <w:rPr>
                <w:b/>
                <w:sz w:val="17"/>
                <w:szCs w:val="17"/>
              </w:rPr>
              <w:t>2020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31EEB7A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854492">
              <w:rPr>
                <w:b/>
                <w:sz w:val="17"/>
                <w:szCs w:val="17"/>
              </w:rPr>
              <w:t>2021</w:t>
            </w:r>
          </w:p>
        </w:tc>
      </w:tr>
      <w:tr w:rsidR="006D40B2" w:rsidRPr="00D71C60" w14:paraId="69A90008" w14:textId="77777777" w:rsidTr="006D40B2">
        <w:trPr>
          <w:trHeight w:val="255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44C6" w14:textId="77777777" w:rsidR="006D40B2" w:rsidRPr="0085449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Výdaje (skutečnost)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211E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7 980 709 618,35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156CA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8 888 187 179,24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4385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9 094 519 045,06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A31BD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32 060 294 456,66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F335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31 685 094 899,57</w:t>
            </w:r>
          </w:p>
        </w:tc>
      </w:tr>
      <w:tr w:rsidR="006D40B2" w:rsidRPr="00D71C60" w14:paraId="482F1AB0" w14:textId="77777777" w:rsidTr="006D40B2">
        <w:trPr>
          <w:trHeight w:val="255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3390" w14:textId="77777777" w:rsidR="006D40B2" w:rsidRPr="0085449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CA11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6 842 826 151,59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D533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7 153 117 293,66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FC5D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8 145 397 063,00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658ED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30 520 037 185,21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271C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31 576 892 593,63</w:t>
            </w:r>
          </w:p>
        </w:tc>
      </w:tr>
    </w:tbl>
    <w:p w14:paraId="521FB0A5" w14:textId="77777777" w:rsidR="006D40B2" w:rsidRPr="00854492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854492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854492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24C89A90" w14:textId="77777777" w:rsidR="006D40B2" w:rsidRPr="00854492" w:rsidRDefault="006D40B2" w:rsidP="006D40B2">
      <w:pPr>
        <w:spacing w:before="40"/>
        <w:jc w:val="both"/>
        <w:rPr>
          <w:rFonts w:asciiTheme="minorHAnsi" w:hAnsiTheme="minorHAnsi" w:cstheme="minorHAnsi"/>
        </w:rPr>
      </w:pPr>
      <w:r w:rsidRPr="00854492">
        <w:rPr>
          <w:rFonts w:asciiTheme="minorHAnsi" w:hAnsiTheme="minorHAnsi" w:cstheme="minorHAnsi"/>
        </w:rPr>
        <w:t>Vývoj výdajů kapitoly 335 ve sledovaném období téměř kopíroval vývoj nákladů s tím, že ve sledovaných letech převyšovaly výdaje (skutečnost) náklady v roce 2017 o 1,19 mld.</w:t>
      </w:r>
      <w:r w:rsidR="00536BCC">
        <w:rPr>
          <w:rFonts w:asciiTheme="minorHAnsi" w:hAnsiTheme="minorHAnsi" w:cstheme="minorHAnsi"/>
        </w:rPr>
        <w:t xml:space="preserve"> Kč</w:t>
      </w:r>
      <w:r w:rsidRPr="00854492">
        <w:rPr>
          <w:rFonts w:asciiTheme="minorHAnsi" w:hAnsiTheme="minorHAnsi" w:cstheme="minorHAnsi"/>
        </w:rPr>
        <w:t>, v roce 2018 o 1,72 mld. Kč, v roce 2019 o 998,38 mil. Kč, v roce 2020 o 1,47 mld. Kč a v roce 2021 o</w:t>
      </w:r>
      <w:r>
        <w:rPr>
          <w:rFonts w:asciiTheme="minorHAnsi" w:hAnsiTheme="minorHAnsi" w:cstheme="minorHAnsi"/>
        </w:rPr>
        <w:t> </w:t>
      </w:r>
      <w:r w:rsidRPr="00854492">
        <w:rPr>
          <w:rFonts w:asciiTheme="minorHAnsi" w:hAnsiTheme="minorHAnsi" w:cstheme="minorHAnsi"/>
        </w:rPr>
        <w:t>174,71 mil. Kč.</w:t>
      </w:r>
    </w:p>
    <w:p w14:paraId="3EDE3A03" w14:textId="5D23D8A1" w:rsidR="006D40B2" w:rsidRPr="00854492" w:rsidRDefault="006D40B2" w:rsidP="006D40B2">
      <w:pPr>
        <w:spacing w:before="40"/>
        <w:jc w:val="both"/>
        <w:rPr>
          <w:rFonts w:asciiTheme="minorHAnsi" w:hAnsiTheme="minorHAnsi" w:cstheme="minorHAnsi"/>
        </w:rPr>
      </w:pPr>
      <w:r w:rsidRPr="00854492">
        <w:rPr>
          <w:rFonts w:asciiTheme="minorHAnsi" w:hAnsiTheme="minorHAnsi" w:cstheme="minorHAnsi"/>
        </w:rPr>
        <w:t>Největší podíl nákladů tvořily v roce 2021 náklady na transfery, a to zejména zůstatek účtu 571</w:t>
      </w:r>
      <w:r>
        <w:rPr>
          <w:rFonts w:asciiTheme="minorHAnsi" w:hAnsiTheme="minorHAnsi" w:cstheme="minorHAnsi"/>
        </w:rPr>
        <w:t> </w:t>
      </w:r>
      <w:r w:rsidRPr="00520B3D">
        <w:rPr>
          <w:rFonts w:cs="Calibri"/>
          <w:color w:val="000000"/>
          <w:szCs w:val="20"/>
          <w:lang w:eastAsia="cs-CZ"/>
        </w:rPr>
        <w:t>–</w:t>
      </w:r>
      <w:r w:rsidRPr="00854492">
        <w:rPr>
          <w:rFonts w:asciiTheme="minorHAnsi" w:hAnsiTheme="minorHAnsi" w:cstheme="minorHAnsi"/>
        </w:rPr>
        <w:t xml:space="preserve"> </w:t>
      </w:r>
      <w:r w:rsidRPr="00854492">
        <w:rPr>
          <w:rFonts w:asciiTheme="minorHAnsi" w:hAnsiTheme="minorHAnsi" w:cstheme="minorHAnsi"/>
          <w:i/>
        </w:rPr>
        <w:t>Náklady vybraných ústředních vládních institucí na transfery</w:t>
      </w:r>
      <w:r w:rsidRPr="00854492">
        <w:rPr>
          <w:rFonts w:asciiTheme="minorHAnsi" w:hAnsiTheme="minorHAnsi" w:cstheme="minorHAnsi"/>
        </w:rPr>
        <w:t xml:space="preserve">, který zaujímal částku ve výši 16 985 471 363,98 Kč, tj. 53,79 % celkových nákladů. Zbylou část nákladů na transfery tvořil zůstatek účtu 575 </w:t>
      </w:r>
      <w:r w:rsidRPr="00520B3D">
        <w:rPr>
          <w:rFonts w:cs="Calibri"/>
          <w:color w:val="000000"/>
          <w:szCs w:val="20"/>
          <w:lang w:eastAsia="cs-CZ"/>
        </w:rPr>
        <w:t>–</w:t>
      </w:r>
      <w:r>
        <w:rPr>
          <w:rFonts w:cs="Calibri"/>
          <w:color w:val="000000"/>
          <w:szCs w:val="20"/>
          <w:lang w:eastAsia="cs-CZ"/>
        </w:rPr>
        <w:t xml:space="preserve"> </w:t>
      </w:r>
      <w:r w:rsidRPr="00854492">
        <w:rPr>
          <w:rFonts w:asciiTheme="minorHAnsi" w:hAnsiTheme="minorHAnsi" w:cstheme="minorHAnsi"/>
          <w:i/>
        </w:rPr>
        <w:t>Náklady vybraných ústředních vládních institucí na předfinancování transferů</w:t>
      </w:r>
      <w:r w:rsidRPr="00854492">
        <w:rPr>
          <w:rFonts w:asciiTheme="minorHAnsi" w:hAnsiTheme="minorHAnsi" w:cstheme="minorHAnsi"/>
        </w:rPr>
        <w:t xml:space="preserve"> ve výši 1 782 570 178,09 Kč, tj. 5,65 % celkových nákladů. </w:t>
      </w:r>
    </w:p>
    <w:p w14:paraId="6E646BAA" w14:textId="3424137B" w:rsidR="006D40B2" w:rsidRPr="00D71C60" w:rsidRDefault="006D40B2" w:rsidP="006D40B2">
      <w:pPr>
        <w:spacing w:before="40"/>
        <w:jc w:val="both"/>
        <w:rPr>
          <w:rFonts w:asciiTheme="minorHAnsi" w:hAnsiTheme="minorHAnsi" w:cstheme="minorHAnsi"/>
          <w:bCs/>
          <w:color w:val="000000"/>
          <w:szCs w:val="20"/>
          <w:highlight w:val="yellow"/>
          <w:lang w:eastAsia="cs-CZ"/>
        </w:rPr>
      </w:pPr>
      <w:r w:rsidRPr="00854492">
        <w:rPr>
          <w:rFonts w:asciiTheme="minorHAnsi" w:hAnsiTheme="minorHAnsi" w:cstheme="minorHAnsi"/>
        </w:rPr>
        <w:t>Většina výdajů v roce 2021 proběhla v rámci paragrafu 3522</w:t>
      </w:r>
      <w:r>
        <w:rPr>
          <w:rFonts w:asciiTheme="minorHAnsi" w:hAnsiTheme="minorHAnsi" w:cstheme="minorHAnsi"/>
        </w:rPr>
        <w:t xml:space="preserve"> </w:t>
      </w:r>
      <w:r w:rsidRPr="00520B3D">
        <w:rPr>
          <w:rFonts w:cs="Calibri"/>
          <w:color w:val="000000"/>
          <w:szCs w:val="20"/>
          <w:lang w:eastAsia="cs-CZ"/>
        </w:rPr>
        <w:t>–</w:t>
      </w:r>
      <w:r w:rsidRPr="00854492">
        <w:rPr>
          <w:rFonts w:asciiTheme="minorHAnsi" w:hAnsiTheme="minorHAnsi" w:cstheme="minorHAnsi"/>
        </w:rPr>
        <w:t xml:space="preserve"> </w:t>
      </w:r>
      <w:r w:rsidRPr="00854492">
        <w:rPr>
          <w:rFonts w:asciiTheme="minorHAnsi" w:hAnsiTheme="minorHAnsi" w:cstheme="minorHAnsi"/>
          <w:i/>
        </w:rPr>
        <w:t>Ostatní nemocnice</w:t>
      </w:r>
      <w:r w:rsidRPr="00854492">
        <w:rPr>
          <w:rFonts w:asciiTheme="minorHAnsi" w:hAnsiTheme="minorHAnsi" w:cstheme="minorHAnsi"/>
        </w:rPr>
        <w:t xml:space="preserve"> v hodnotě 7,23 mld. Kč, 3531 </w:t>
      </w:r>
      <w:r w:rsidRPr="00520B3D">
        <w:rPr>
          <w:rFonts w:cs="Calibri"/>
          <w:color w:val="000000"/>
          <w:szCs w:val="20"/>
          <w:lang w:eastAsia="cs-CZ"/>
        </w:rPr>
        <w:t>–</w:t>
      </w:r>
      <w:r>
        <w:rPr>
          <w:rFonts w:cs="Calibri"/>
          <w:color w:val="000000"/>
          <w:szCs w:val="20"/>
          <w:lang w:eastAsia="cs-CZ"/>
        </w:rPr>
        <w:t xml:space="preserve"> </w:t>
      </w:r>
      <w:r w:rsidRPr="00854492">
        <w:rPr>
          <w:rFonts w:asciiTheme="minorHAnsi" w:hAnsiTheme="minorHAnsi" w:cstheme="minorHAnsi"/>
          <w:i/>
        </w:rPr>
        <w:t>Hygienická služba a ochrana veřejného zdraví</w:t>
      </w:r>
      <w:r w:rsidRPr="00854492">
        <w:rPr>
          <w:rFonts w:asciiTheme="minorHAnsi" w:hAnsiTheme="minorHAnsi" w:cstheme="minorHAnsi"/>
        </w:rPr>
        <w:t xml:space="preserve"> v hodnotě 7 mld. Kč a</w:t>
      </w:r>
      <w:r>
        <w:rPr>
          <w:rFonts w:asciiTheme="minorHAnsi" w:hAnsiTheme="minorHAnsi" w:cstheme="minorHAnsi"/>
        </w:rPr>
        <w:t> </w:t>
      </w:r>
      <w:r w:rsidRPr="00854492">
        <w:rPr>
          <w:rFonts w:asciiTheme="minorHAnsi" w:hAnsiTheme="minorHAnsi" w:cstheme="minorHAnsi"/>
        </w:rPr>
        <w:t>3521</w:t>
      </w:r>
      <w:r>
        <w:rPr>
          <w:rFonts w:asciiTheme="minorHAnsi" w:hAnsiTheme="minorHAnsi" w:cstheme="minorHAnsi"/>
        </w:rPr>
        <w:t> </w:t>
      </w:r>
      <w:r w:rsidRPr="00520B3D">
        <w:rPr>
          <w:rFonts w:cs="Calibri"/>
          <w:color w:val="000000"/>
          <w:szCs w:val="20"/>
          <w:lang w:eastAsia="cs-CZ"/>
        </w:rPr>
        <w:t>–</w:t>
      </w:r>
      <w:r w:rsidRPr="00854492">
        <w:rPr>
          <w:rFonts w:asciiTheme="minorHAnsi" w:hAnsiTheme="minorHAnsi" w:cstheme="minorHAnsi"/>
        </w:rPr>
        <w:t xml:space="preserve"> </w:t>
      </w:r>
      <w:r w:rsidRPr="00854492">
        <w:rPr>
          <w:rFonts w:asciiTheme="minorHAnsi" w:hAnsiTheme="minorHAnsi" w:cstheme="minorHAnsi"/>
          <w:i/>
        </w:rPr>
        <w:t>Fakultní nemocnice</w:t>
      </w:r>
      <w:r w:rsidRPr="00854492">
        <w:rPr>
          <w:rFonts w:asciiTheme="minorHAnsi" w:hAnsiTheme="minorHAnsi" w:cstheme="minorHAnsi"/>
        </w:rPr>
        <w:t xml:space="preserve"> v hodnotě 5,27 mld. Kč.</w:t>
      </w:r>
    </w:p>
    <w:p w14:paraId="1D834C26" w14:textId="1B9A052F" w:rsidR="006D40B2" w:rsidRPr="00854492" w:rsidRDefault="006D40B2" w:rsidP="006D40B2">
      <w:pPr>
        <w:pStyle w:val="Titulek1"/>
        <w:tabs>
          <w:tab w:val="clear" w:pos="1134"/>
          <w:tab w:val="clear" w:pos="9356"/>
          <w:tab w:val="right" w:pos="9072"/>
        </w:tabs>
        <w:rPr>
          <w:sz w:val="24"/>
        </w:rPr>
      </w:pPr>
      <w:bookmarkStart w:id="53" w:name="_Toc8984528"/>
      <w:bookmarkStart w:id="54" w:name="_Toc72157464"/>
      <w:r w:rsidRPr="00854492">
        <w:rPr>
          <w:sz w:val="24"/>
        </w:rPr>
        <w:t xml:space="preserve">Tabulka č. </w:t>
      </w:r>
      <w:r w:rsidRPr="00854492">
        <w:rPr>
          <w:sz w:val="24"/>
        </w:rPr>
        <w:fldChar w:fldCharType="begin"/>
      </w:r>
      <w:r w:rsidRPr="00854492">
        <w:rPr>
          <w:sz w:val="24"/>
        </w:rPr>
        <w:instrText xml:space="preserve"> SEQ Tabulka \* ARABIC </w:instrText>
      </w:r>
      <w:r w:rsidRPr="00854492">
        <w:rPr>
          <w:sz w:val="24"/>
        </w:rPr>
        <w:fldChar w:fldCharType="separate"/>
      </w:r>
      <w:r w:rsidR="009A66D8">
        <w:rPr>
          <w:noProof/>
          <w:sz w:val="24"/>
        </w:rPr>
        <w:t>12</w:t>
      </w:r>
      <w:r w:rsidRPr="00854492">
        <w:rPr>
          <w:noProof/>
          <w:sz w:val="24"/>
        </w:rPr>
        <w:fldChar w:fldCharType="end"/>
      </w:r>
      <w:r w:rsidRPr="00854492">
        <w:rPr>
          <w:sz w:val="24"/>
        </w:rPr>
        <w:t xml:space="preserve">: Porovnání výdajů a nákladů za </w:t>
      </w:r>
      <w:proofErr w:type="spellStart"/>
      <w:r w:rsidRPr="00854492">
        <w:rPr>
          <w:sz w:val="24"/>
        </w:rPr>
        <w:t>MZ</w:t>
      </w:r>
      <w:r>
        <w:rPr>
          <w:sz w:val="24"/>
        </w:rPr>
        <w:t>d</w:t>
      </w:r>
      <w:proofErr w:type="spellEnd"/>
      <w:r w:rsidRPr="00854492">
        <w:rPr>
          <w:sz w:val="24"/>
        </w:rPr>
        <w:t xml:space="preserve"> </w:t>
      </w:r>
      <w:r>
        <w:rPr>
          <w:sz w:val="24"/>
        </w:rPr>
        <w:tab/>
      </w:r>
      <w:r w:rsidRPr="00854492">
        <w:rPr>
          <w:sz w:val="24"/>
        </w:rPr>
        <w:t>(v Kč)</w:t>
      </w:r>
      <w:bookmarkEnd w:id="53"/>
      <w:bookmarkEnd w:id="54"/>
    </w:p>
    <w:tbl>
      <w:tblPr>
        <w:tblW w:w="49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1474"/>
        <w:gridCol w:w="1474"/>
        <w:gridCol w:w="1474"/>
        <w:gridCol w:w="1474"/>
        <w:gridCol w:w="1474"/>
      </w:tblGrid>
      <w:tr w:rsidR="006D40B2" w:rsidRPr="00D71C60" w14:paraId="0EFE31F1" w14:textId="77777777" w:rsidTr="006D40B2">
        <w:trPr>
          <w:trHeight w:val="255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10D1D27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F2448B7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E0695BC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DAB0D83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632279E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D26A7BF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112E890A" w14:textId="77777777" w:rsidTr="006D40B2">
        <w:trPr>
          <w:trHeight w:val="255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9F13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Výdaje (skutečnost)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8268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5 730 579 316,32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95D7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6 464 494 698,21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D2C93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6 529 890 187,13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EA93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28 954 520 672,89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B0E41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28 608 731 150,24</w:t>
            </w:r>
          </w:p>
        </w:tc>
      </w:tr>
      <w:tr w:rsidR="006D40B2" w:rsidRPr="00D71C60" w14:paraId="7888EB5D" w14:textId="77777777" w:rsidTr="006D40B2">
        <w:trPr>
          <w:trHeight w:val="255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0BAA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5A18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4 545 251 475,34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FC52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4 743 055 440,47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B912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5 531 511 405,32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B4DD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27 488 627 668,98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6D82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854492">
              <w:rPr>
                <w:sz w:val="17"/>
                <w:szCs w:val="17"/>
              </w:rPr>
              <w:t>28 434 018 541,04</w:t>
            </w:r>
          </w:p>
        </w:tc>
      </w:tr>
    </w:tbl>
    <w:p w14:paraId="37BA5881" w14:textId="77777777" w:rsidR="006D40B2" w:rsidRPr="00854492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854492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854492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02E22150" w14:textId="77777777" w:rsidR="006D40B2" w:rsidRPr="00854492" w:rsidRDefault="006D40B2" w:rsidP="006D40B2">
      <w:pPr>
        <w:jc w:val="both"/>
        <w:rPr>
          <w:rFonts w:asciiTheme="minorHAnsi" w:hAnsiTheme="minorHAnsi" w:cstheme="minorHAnsi"/>
        </w:rPr>
      </w:pPr>
      <w:r w:rsidRPr="00854492">
        <w:rPr>
          <w:rFonts w:asciiTheme="minorHAnsi" w:hAnsiTheme="minorHAnsi" w:cstheme="minorHAnsi"/>
        </w:rPr>
        <w:t xml:space="preserve">Vývoj výdajů a nákladů </w:t>
      </w:r>
      <w:proofErr w:type="spellStart"/>
      <w:r w:rsidRPr="00854492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854492">
        <w:rPr>
          <w:rFonts w:asciiTheme="minorHAnsi" w:hAnsiTheme="minorHAnsi" w:cstheme="minorHAnsi"/>
        </w:rPr>
        <w:t xml:space="preserve"> byl ve sledovaném období podobný vývoji výdajů a nákladů celé kapitoly 335.</w:t>
      </w:r>
    </w:p>
    <w:p w14:paraId="3824A260" w14:textId="62AD756E" w:rsidR="006D40B2" w:rsidRPr="00854492" w:rsidRDefault="006D40B2" w:rsidP="006D40B2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55" w:name="_Toc8984529"/>
      <w:bookmarkStart w:id="56" w:name="_Toc72157465"/>
      <w:r w:rsidRPr="00854492">
        <w:rPr>
          <w:sz w:val="24"/>
        </w:rPr>
        <w:t xml:space="preserve">Tabulka č. </w:t>
      </w:r>
      <w:r w:rsidRPr="00854492">
        <w:rPr>
          <w:sz w:val="24"/>
        </w:rPr>
        <w:fldChar w:fldCharType="begin"/>
      </w:r>
      <w:r w:rsidRPr="00854492">
        <w:rPr>
          <w:sz w:val="24"/>
        </w:rPr>
        <w:instrText xml:space="preserve"> SEQ Tabulka \* ARABIC </w:instrText>
      </w:r>
      <w:r w:rsidRPr="00854492">
        <w:rPr>
          <w:sz w:val="24"/>
        </w:rPr>
        <w:fldChar w:fldCharType="separate"/>
      </w:r>
      <w:r w:rsidR="009A66D8">
        <w:rPr>
          <w:noProof/>
          <w:sz w:val="24"/>
        </w:rPr>
        <w:t>13</w:t>
      </w:r>
      <w:r w:rsidRPr="00854492">
        <w:rPr>
          <w:noProof/>
          <w:sz w:val="24"/>
        </w:rPr>
        <w:fldChar w:fldCharType="end"/>
      </w:r>
      <w:r w:rsidRPr="00854492">
        <w:rPr>
          <w:sz w:val="24"/>
        </w:rPr>
        <w:t>: Porovnání výdajů a nákladů OSS v rozpočt</w:t>
      </w:r>
      <w:r>
        <w:rPr>
          <w:sz w:val="24"/>
        </w:rPr>
        <w:t>ové</w:t>
      </w:r>
      <w:r w:rsidRPr="00854492">
        <w:rPr>
          <w:sz w:val="24"/>
        </w:rPr>
        <w:t xml:space="preserve"> kapitole 335 (bez </w:t>
      </w:r>
      <w:proofErr w:type="spellStart"/>
      <w:r w:rsidRPr="00854492">
        <w:rPr>
          <w:sz w:val="24"/>
        </w:rPr>
        <w:t>MZ</w:t>
      </w:r>
      <w:r>
        <w:rPr>
          <w:sz w:val="24"/>
        </w:rPr>
        <w:t>d</w:t>
      </w:r>
      <w:proofErr w:type="spellEnd"/>
      <w:r w:rsidR="00536BCC">
        <w:rPr>
          <w:sz w:val="24"/>
        </w:rPr>
        <w:t>)</w:t>
      </w:r>
      <w:r w:rsidRPr="00854492">
        <w:rPr>
          <w:sz w:val="24"/>
        </w:rPr>
        <w:t xml:space="preserve"> </w:t>
      </w:r>
      <w:r w:rsidR="00536BCC">
        <w:rPr>
          <w:sz w:val="24"/>
        </w:rPr>
        <w:tab/>
        <w:t>(</w:t>
      </w:r>
      <w:r w:rsidRPr="00854492">
        <w:rPr>
          <w:sz w:val="24"/>
        </w:rPr>
        <w:t>v Kč)</w:t>
      </w:r>
      <w:bookmarkEnd w:id="55"/>
      <w:bookmarkEnd w:id="56"/>
    </w:p>
    <w:tbl>
      <w:tblPr>
        <w:tblW w:w="49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5"/>
        <w:gridCol w:w="1418"/>
        <w:gridCol w:w="1457"/>
        <w:gridCol w:w="1457"/>
        <w:gridCol w:w="1457"/>
        <w:gridCol w:w="1454"/>
      </w:tblGrid>
      <w:tr w:rsidR="006D40B2" w:rsidRPr="00D71C60" w14:paraId="51EFC987" w14:textId="77777777" w:rsidTr="006D40B2">
        <w:trPr>
          <w:trHeight w:val="255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760C13" w14:textId="77777777" w:rsidR="006D40B2" w:rsidRPr="0085449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BBA2584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F3E3975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12F04C4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3D67CB8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67B4415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2249DD59" w14:textId="77777777" w:rsidTr="006D40B2">
        <w:trPr>
          <w:trHeight w:val="25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3035" w14:textId="77777777" w:rsidR="006D40B2" w:rsidRPr="0085449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Výdaje (skutečnost)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5E3C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2 250 130 302,03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4FCBE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2 423 692 481,03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0A970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2 564 628 857,93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1122B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3 105 773 783,77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2C559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3 076 363 749,33</w:t>
            </w:r>
          </w:p>
        </w:tc>
      </w:tr>
      <w:tr w:rsidR="006D40B2" w:rsidRPr="00D71C60" w14:paraId="4D9F951A" w14:textId="77777777" w:rsidTr="006D40B2">
        <w:trPr>
          <w:trHeight w:val="25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D5609" w14:textId="77777777" w:rsidR="006D40B2" w:rsidRPr="0085449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3B50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2 297 574 676,25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22DB3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2 410 061 853,19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0A5C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2 613 885 657,68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5F90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3 031 409 516,23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DF9F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3 142 874 052,59</w:t>
            </w:r>
          </w:p>
        </w:tc>
      </w:tr>
    </w:tbl>
    <w:p w14:paraId="7E27E514" w14:textId="77777777" w:rsidR="006D40B2" w:rsidRPr="00854492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854492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854492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5B8C19EA" w14:textId="3E99BF5F" w:rsidR="006D40B2" w:rsidRPr="00854492" w:rsidRDefault="006D40B2" w:rsidP="006D40B2">
      <w:pPr>
        <w:spacing w:before="40"/>
        <w:jc w:val="both"/>
        <w:rPr>
          <w:rFonts w:cs="Calibri"/>
          <w:color w:val="000000"/>
          <w:szCs w:val="20"/>
          <w:lang w:eastAsia="cs-CZ"/>
        </w:rPr>
      </w:pPr>
      <w:r w:rsidRPr="00854492">
        <w:rPr>
          <w:rFonts w:cs="Calibri"/>
          <w:color w:val="000000"/>
          <w:szCs w:val="20"/>
          <w:lang w:eastAsia="cs-CZ"/>
        </w:rPr>
        <w:t xml:space="preserve">Výdaje a náklady se ve sledovaném období u ostatních OSS (bez </w:t>
      </w:r>
      <w:proofErr w:type="spellStart"/>
      <w:r w:rsidRPr="00854492">
        <w:rPr>
          <w:rFonts w:cs="Calibri"/>
          <w:color w:val="000000"/>
          <w:szCs w:val="20"/>
          <w:lang w:eastAsia="cs-CZ"/>
        </w:rPr>
        <w:t>MZ</w:t>
      </w:r>
      <w:r>
        <w:rPr>
          <w:rFonts w:cs="Calibri"/>
          <w:color w:val="000000"/>
          <w:szCs w:val="20"/>
          <w:lang w:eastAsia="cs-CZ"/>
        </w:rPr>
        <w:t>d</w:t>
      </w:r>
      <w:proofErr w:type="spellEnd"/>
      <w:r w:rsidRPr="00854492">
        <w:rPr>
          <w:rFonts w:cs="Calibri"/>
          <w:color w:val="000000"/>
          <w:szCs w:val="20"/>
          <w:lang w:eastAsia="cs-CZ"/>
        </w:rPr>
        <w:t xml:space="preserve">) vyvíjely obdobně až na rok 2020, kdy výdaje převýšily nad </w:t>
      </w:r>
      <w:r w:rsidR="00536BCC">
        <w:rPr>
          <w:rFonts w:cs="Calibri"/>
          <w:color w:val="000000"/>
          <w:szCs w:val="20"/>
          <w:lang w:eastAsia="cs-CZ"/>
        </w:rPr>
        <w:t>náklady</w:t>
      </w:r>
      <w:r w:rsidRPr="00854492">
        <w:rPr>
          <w:rFonts w:cs="Calibri"/>
          <w:color w:val="000000"/>
          <w:szCs w:val="20"/>
          <w:lang w:eastAsia="cs-CZ"/>
        </w:rPr>
        <w:t xml:space="preserve"> o 74,36 mil. Kč. </w:t>
      </w:r>
    </w:p>
    <w:p w14:paraId="28CB0458" w14:textId="21349749" w:rsidR="006D40B2" w:rsidRPr="00D71C60" w:rsidRDefault="006D40B2" w:rsidP="006D40B2">
      <w:pPr>
        <w:spacing w:after="0"/>
        <w:jc w:val="both"/>
        <w:rPr>
          <w:rFonts w:cs="Calibri"/>
          <w:color w:val="000000"/>
          <w:szCs w:val="20"/>
          <w:highlight w:val="yellow"/>
          <w:lang w:eastAsia="cs-CZ"/>
        </w:rPr>
      </w:pPr>
      <w:r w:rsidRPr="00854492">
        <w:rPr>
          <w:rFonts w:cs="Calibri"/>
          <w:color w:val="000000"/>
          <w:szCs w:val="20"/>
          <w:lang w:eastAsia="cs-CZ"/>
        </w:rPr>
        <w:t xml:space="preserve">Náklady z činnosti v roce 2021 činily 3 141 751 844,72 Kč, tj. 99,96 % celkových nákladů. Nejvýznamnějšími nákladovými účty byly 521 </w:t>
      </w:r>
      <w:r w:rsidRPr="00520B3D">
        <w:rPr>
          <w:rFonts w:cs="Calibri"/>
          <w:color w:val="000000"/>
          <w:szCs w:val="20"/>
          <w:lang w:eastAsia="cs-CZ"/>
        </w:rPr>
        <w:t>–</w:t>
      </w:r>
      <w:r w:rsidRPr="00854492">
        <w:rPr>
          <w:rFonts w:cs="Calibri"/>
          <w:color w:val="000000"/>
          <w:szCs w:val="20"/>
          <w:lang w:eastAsia="cs-CZ"/>
        </w:rPr>
        <w:t xml:space="preserve"> </w:t>
      </w:r>
      <w:r w:rsidRPr="00854492">
        <w:rPr>
          <w:rFonts w:cs="Calibri"/>
          <w:i/>
          <w:color w:val="000000"/>
          <w:szCs w:val="20"/>
          <w:lang w:eastAsia="cs-CZ"/>
        </w:rPr>
        <w:t>Mzdové náklady</w:t>
      </w:r>
      <w:r w:rsidRPr="00854492">
        <w:rPr>
          <w:rFonts w:cs="Calibri"/>
          <w:color w:val="000000"/>
          <w:szCs w:val="20"/>
          <w:lang w:eastAsia="cs-CZ"/>
        </w:rPr>
        <w:t xml:space="preserve"> (1 784 363 627 Kč)</w:t>
      </w:r>
      <w:r>
        <w:rPr>
          <w:rFonts w:cs="Calibri"/>
          <w:color w:val="000000"/>
          <w:szCs w:val="20"/>
          <w:lang w:eastAsia="cs-CZ"/>
        </w:rPr>
        <w:t xml:space="preserve"> </w:t>
      </w:r>
      <w:r>
        <w:rPr>
          <w:rFonts w:cs="Calibri"/>
          <w:color w:val="000000"/>
          <w:szCs w:val="20"/>
          <w:lang w:eastAsia="cs-CZ"/>
        </w:rPr>
        <w:br/>
      </w:r>
      <w:r w:rsidRPr="00854492">
        <w:rPr>
          <w:rFonts w:cs="Calibri"/>
          <w:color w:val="000000"/>
          <w:szCs w:val="20"/>
          <w:lang w:eastAsia="cs-CZ"/>
        </w:rPr>
        <w:t>a</w:t>
      </w:r>
      <w:r>
        <w:rPr>
          <w:rFonts w:cs="Calibri"/>
          <w:color w:val="000000"/>
          <w:szCs w:val="20"/>
          <w:lang w:eastAsia="cs-CZ"/>
        </w:rPr>
        <w:t> </w:t>
      </w:r>
      <w:r w:rsidRPr="00854492">
        <w:rPr>
          <w:rFonts w:cs="Calibri"/>
          <w:color w:val="000000"/>
          <w:szCs w:val="20"/>
          <w:lang w:eastAsia="cs-CZ"/>
        </w:rPr>
        <w:t>524</w:t>
      </w:r>
      <w:r>
        <w:rPr>
          <w:rFonts w:cs="Calibri"/>
          <w:color w:val="000000"/>
          <w:szCs w:val="20"/>
          <w:lang w:eastAsia="cs-CZ"/>
        </w:rPr>
        <w:t> </w:t>
      </w:r>
      <w:r w:rsidRPr="00520B3D">
        <w:rPr>
          <w:rFonts w:cs="Calibri"/>
          <w:color w:val="000000"/>
          <w:szCs w:val="20"/>
          <w:lang w:eastAsia="cs-CZ"/>
        </w:rPr>
        <w:t>–</w:t>
      </w:r>
      <w:r w:rsidRPr="00854492">
        <w:rPr>
          <w:rFonts w:cs="Calibri"/>
          <w:i/>
          <w:color w:val="000000"/>
          <w:szCs w:val="20"/>
          <w:lang w:eastAsia="cs-CZ"/>
        </w:rPr>
        <w:t>Zákonné sociální pojištění</w:t>
      </w:r>
      <w:r w:rsidRPr="00854492">
        <w:rPr>
          <w:rFonts w:cs="Calibri"/>
          <w:color w:val="000000"/>
          <w:szCs w:val="20"/>
          <w:lang w:eastAsia="cs-CZ"/>
        </w:rPr>
        <w:t xml:space="preserve"> (589 406 751 Kč).</w:t>
      </w:r>
    </w:p>
    <w:p w14:paraId="0F7271BF" w14:textId="77777777" w:rsidR="002F5988" w:rsidRDefault="002F5988">
      <w:pPr>
        <w:spacing w:after="160" w:line="259" w:lineRule="auto"/>
        <w:rPr>
          <w:rFonts w:cs="Calibri"/>
          <w:bCs/>
          <w:color w:val="000000"/>
          <w:szCs w:val="20"/>
          <w:highlight w:val="yellow"/>
          <w:lang w:eastAsia="cs-CZ"/>
        </w:rPr>
      </w:pPr>
      <w:r>
        <w:rPr>
          <w:rFonts w:cs="Calibri"/>
          <w:bCs/>
          <w:color w:val="000000"/>
          <w:szCs w:val="20"/>
          <w:highlight w:val="yellow"/>
          <w:lang w:eastAsia="cs-CZ"/>
        </w:rPr>
        <w:br w:type="page"/>
      </w:r>
    </w:p>
    <w:p w14:paraId="348274B2" w14:textId="77777777" w:rsidR="006D40B2" w:rsidRPr="00AA15AA" w:rsidRDefault="006D40B2" w:rsidP="006D40B2">
      <w:pPr>
        <w:pStyle w:val="Nadpis3"/>
        <w:numPr>
          <w:ilvl w:val="0"/>
          <w:numId w:val="0"/>
        </w:numPr>
        <w:spacing w:after="120"/>
        <w:ind w:left="720" w:hanging="720"/>
        <w:contextualSpacing w:val="0"/>
        <w:jc w:val="center"/>
      </w:pPr>
      <w:bookmarkStart w:id="57" w:name="_Toc71514624"/>
      <w:bookmarkStart w:id="58" w:name="_Toc71514623"/>
      <w:r w:rsidRPr="00AA15AA">
        <w:lastRenderedPageBreak/>
        <w:t>Oddíl V. Tempa růstu příjmů a výnosů / výdajů a nákladů</w:t>
      </w:r>
      <w:bookmarkEnd w:id="57"/>
      <w:r w:rsidRPr="00AA15AA">
        <w:t xml:space="preserve"> v rozpočtové kapitole </w:t>
      </w:r>
      <w:r>
        <w:t>335</w:t>
      </w:r>
    </w:p>
    <w:p w14:paraId="0BC38F02" w14:textId="3E8C691E" w:rsidR="006D40B2" w:rsidRPr="00854492" w:rsidRDefault="006D40B2" w:rsidP="006D40B2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59" w:name="_Toc520714323"/>
      <w:bookmarkStart w:id="60" w:name="_Toc8984530"/>
      <w:bookmarkStart w:id="61" w:name="_Toc72157471"/>
      <w:bookmarkEnd w:id="58"/>
      <w:r w:rsidRPr="00854492">
        <w:rPr>
          <w:sz w:val="24"/>
        </w:rPr>
        <w:t xml:space="preserve">Tabulka č. </w:t>
      </w:r>
      <w:r w:rsidRPr="00854492">
        <w:rPr>
          <w:sz w:val="24"/>
        </w:rPr>
        <w:fldChar w:fldCharType="begin"/>
      </w:r>
      <w:r w:rsidRPr="00854492">
        <w:rPr>
          <w:sz w:val="24"/>
        </w:rPr>
        <w:instrText xml:space="preserve"> SEQ Tabulka \* ARABIC </w:instrText>
      </w:r>
      <w:r w:rsidRPr="00854492">
        <w:rPr>
          <w:sz w:val="24"/>
        </w:rPr>
        <w:fldChar w:fldCharType="separate"/>
      </w:r>
      <w:r w:rsidR="009A66D8">
        <w:rPr>
          <w:noProof/>
          <w:sz w:val="24"/>
        </w:rPr>
        <w:t>14</w:t>
      </w:r>
      <w:r w:rsidRPr="00854492">
        <w:rPr>
          <w:noProof/>
          <w:sz w:val="24"/>
        </w:rPr>
        <w:fldChar w:fldCharType="end"/>
      </w:r>
      <w:r w:rsidRPr="00854492">
        <w:rPr>
          <w:sz w:val="24"/>
        </w:rPr>
        <w:t xml:space="preserve">: Příjmy a výdaje OSS v rozpočtové kapitole 335 vč. </w:t>
      </w:r>
      <w:proofErr w:type="spellStart"/>
      <w:r w:rsidRPr="00854492">
        <w:rPr>
          <w:sz w:val="24"/>
        </w:rPr>
        <w:t>MZ</w:t>
      </w:r>
      <w:r>
        <w:rPr>
          <w:sz w:val="24"/>
        </w:rPr>
        <w:t>d</w:t>
      </w:r>
      <w:proofErr w:type="spellEnd"/>
      <w:r w:rsidRPr="00854492">
        <w:rPr>
          <w:sz w:val="24"/>
        </w:rPr>
        <w:t xml:space="preserve"> </w:t>
      </w:r>
      <w:r>
        <w:rPr>
          <w:sz w:val="24"/>
        </w:rPr>
        <w:tab/>
      </w:r>
      <w:r w:rsidRPr="00854492">
        <w:rPr>
          <w:sz w:val="24"/>
        </w:rPr>
        <w:t>(v Kč)</w:t>
      </w:r>
      <w:bookmarkEnd w:id="59"/>
      <w:bookmarkEnd w:id="60"/>
      <w:bookmarkEnd w:id="61"/>
    </w:p>
    <w:tbl>
      <w:tblPr>
        <w:tblW w:w="49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530"/>
        <w:gridCol w:w="1530"/>
        <w:gridCol w:w="1530"/>
        <w:gridCol w:w="1527"/>
        <w:gridCol w:w="1523"/>
      </w:tblGrid>
      <w:tr w:rsidR="006D40B2" w:rsidRPr="00D71C60" w14:paraId="00A21237" w14:textId="77777777" w:rsidTr="006D40B2">
        <w:trPr>
          <w:trHeight w:val="25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851F7FF" w14:textId="77777777" w:rsidR="006D40B2" w:rsidRPr="0085449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BA3DB4A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8205DB4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CB7A898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CCB9FC4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ABD0628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177F7582" w14:textId="77777777" w:rsidTr="006D40B2">
        <w:trPr>
          <w:trHeight w:val="25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67C0" w14:textId="77777777" w:rsidR="006D40B2" w:rsidRPr="00854492" w:rsidRDefault="006D40B2" w:rsidP="006D40B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Příjmy celkem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0B31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901 079 831,41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1EF5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1 464 593 564,89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73C5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1 523 722 459,79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E3371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2 161 249 558,81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5EF3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7 210 413 282,95</w:t>
            </w:r>
          </w:p>
        </w:tc>
      </w:tr>
      <w:tr w:rsidR="006D40B2" w:rsidRPr="00D71C60" w14:paraId="0771D042" w14:textId="77777777" w:rsidTr="006D40B2">
        <w:trPr>
          <w:trHeight w:val="25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BEEA" w14:textId="77777777" w:rsidR="006D40B2" w:rsidRPr="00854492" w:rsidRDefault="006D40B2" w:rsidP="006D40B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Výdaje celkem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7E3D0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7 980 709 618,35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5D02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8 888 187 179,24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E348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9 094 519 045,06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F48E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32 060 294 456,66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4DCA8" w14:textId="77777777" w:rsidR="006D40B2" w:rsidRPr="00854492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31 685 094 899,57</w:t>
            </w:r>
          </w:p>
        </w:tc>
      </w:tr>
    </w:tbl>
    <w:p w14:paraId="344F226F" w14:textId="77777777" w:rsidR="006D40B2" w:rsidRPr="00854492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854492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854492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5AE8C77A" w14:textId="61CBF20A" w:rsidR="006D40B2" w:rsidRPr="00854492" w:rsidRDefault="006D40B2" w:rsidP="006D40B2">
      <w:pPr>
        <w:pStyle w:val="Titulek1"/>
        <w:rPr>
          <w:sz w:val="24"/>
        </w:rPr>
      </w:pPr>
      <w:bookmarkStart w:id="62" w:name="_Toc8984531"/>
      <w:bookmarkStart w:id="63" w:name="_Toc72157472"/>
      <w:r w:rsidRPr="00854492">
        <w:rPr>
          <w:sz w:val="24"/>
        </w:rPr>
        <w:t xml:space="preserve">Tabulka č. </w:t>
      </w:r>
      <w:r w:rsidRPr="00854492">
        <w:rPr>
          <w:sz w:val="24"/>
        </w:rPr>
        <w:fldChar w:fldCharType="begin"/>
      </w:r>
      <w:r w:rsidRPr="00854492">
        <w:rPr>
          <w:sz w:val="24"/>
        </w:rPr>
        <w:instrText xml:space="preserve"> SEQ Tabulka \* ARABIC </w:instrText>
      </w:r>
      <w:r w:rsidRPr="00854492">
        <w:rPr>
          <w:sz w:val="24"/>
        </w:rPr>
        <w:fldChar w:fldCharType="separate"/>
      </w:r>
      <w:r w:rsidR="009A66D8">
        <w:rPr>
          <w:noProof/>
          <w:sz w:val="24"/>
        </w:rPr>
        <w:t>15</w:t>
      </w:r>
      <w:r w:rsidRPr="00854492">
        <w:rPr>
          <w:noProof/>
          <w:sz w:val="24"/>
        </w:rPr>
        <w:fldChar w:fldCharType="end"/>
      </w:r>
      <w:r w:rsidRPr="00854492">
        <w:rPr>
          <w:sz w:val="24"/>
        </w:rPr>
        <w:t xml:space="preserve">: Tempo růstu příjmů a výdajů OSS v rozpočtové kapitole 335 vč. </w:t>
      </w:r>
      <w:proofErr w:type="spellStart"/>
      <w:r w:rsidRPr="00854492">
        <w:rPr>
          <w:sz w:val="24"/>
        </w:rPr>
        <w:t>M</w:t>
      </w:r>
      <w:bookmarkEnd w:id="62"/>
      <w:bookmarkEnd w:id="63"/>
      <w:r w:rsidRPr="00854492">
        <w:rPr>
          <w:sz w:val="24"/>
        </w:rPr>
        <w:t>Z</w:t>
      </w:r>
      <w:r>
        <w:rPr>
          <w:sz w:val="24"/>
        </w:rPr>
        <w:t>d</w:t>
      </w:r>
      <w:proofErr w:type="spellEnd"/>
    </w:p>
    <w:tbl>
      <w:tblPr>
        <w:tblW w:w="90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59"/>
        <w:gridCol w:w="1559"/>
        <w:gridCol w:w="1560"/>
        <w:gridCol w:w="1560"/>
      </w:tblGrid>
      <w:tr w:rsidR="006D40B2" w:rsidRPr="00D71C60" w14:paraId="3A83D3F2" w14:textId="77777777" w:rsidTr="006D40B2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F397447" w14:textId="77777777" w:rsidR="006D40B2" w:rsidRPr="0085449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Tempo růstu (absolutní změna)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A2EA348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85449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A3AD2AD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2019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85449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B128AA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2020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85449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071D84D" w14:textId="77777777" w:rsidR="006D40B2" w:rsidRPr="00854492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2021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85449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2020</w:t>
            </w:r>
          </w:p>
        </w:tc>
      </w:tr>
      <w:tr w:rsidR="006D40B2" w:rsidRPr="00D71C60" w14:paraId="6B20193A" w14:textId="77777777" w:rsidTr="006D40B2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B9D0" w14:textId="77777777" w:rsidR="006D40B2" w:rsidRPr="00854492" w:rsidRDefault="006D40B2" w:rsidP="006D40B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Příjmy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44AA" w14:textId="77777777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563 513 733,48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E2160" w14:textId="77777777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59 128 894,90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1DD8" w14:textId="77777777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637 527 099,02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A342" w14:textId="77777777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5 049 163 724,14</w:t>
            </w:r>
          </w:p>
        </w:tc>
      </w:tr>
      <w:tr w:rsidR="006D40B2" w:rsidRPr="00D71C60" w14:paraId="7ED58BB8" w14:textId="77777777" w:rsidTr="006D40B2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C8BF" w14:textId="77777777" w:rsidR="006D40B2" w:rsidRPr="00854492" w:rsidRDefault="006D40B2" w:rsidP="006D40B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Výdaje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618D6" w14:textId="77777777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907 477 560,89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8E3A" w14:textId="77777777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206 331 865,82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421A9" w14:textId="77777777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22 965 775 411,60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C1B05" w14:textId="31035FDD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375 199 557,09</w:t>
            </w:r>
          </w:p>
        </w:tc>
      </w:tr>
      <w:tr w:rsidR="006D40B2" w:rsidRPr="00D71C60" w14:paraId="607DF6FE" w14:textId="77777777" w:rsidTr="006D40B2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15E0A40" w14:textId="698177AD" w:rsidR="006D40B2" w:rsidRPr="00854492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Tempo růstu v % (relativní změna) (((x+</w:t>
            </w:r>
            <w:proofErr w:type="gramStart"/>
            <w:r w:rsidRPr="00854492">
              <w:rPr>
                <w:b/>
                <w:bCs/>
                <w:color w:val="000000"/>
                <w:sz w:val="18"/>
                <w:szCs w:val="18"/>
              </w:rPr>
              <w:t>1)</w:t>
            </w:r>
            <w:r w:rsidRPr="00854492">
              <w:rPr>
                <w:rFonts w:cs="Calibri"/>
                <w:b/>
                <w:bCs/>
                <w:color w:val="000000"/>
                <w:sz w:val="18"/>
                <w:szCs w:val="18"/>
              </w:rPr>
              <w:t>−</w:t>
            </w:r>
            <w:proofErr w:type="gramEnd"/>
            <w:r w:rsidRPr="00854492">
              <w:rPr>
                <w:b/>
                <w:bCs/>
                <w:color w:val="000000"/>
                <w:sz w:val="18"/>
                <w:szCs w:val="18"/>
              </w:rPr>
              <w:t>x)/x)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×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FBC358E" w14:textId="77777777" w:rsidR="006D40B2" w:rsidRPr="00D71C60" w:rsidRDefault="006D40B2" w:rsidP="006D40B2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2018/2017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25F6F8A" w14:textId="77777777" w:rsidR="006D40B2" w:rsidRPr="00D71C60" w:rsidRDefault="006D40B2" w:rsidP="006D40B2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2019/2018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246CACA" w14:textId="77777777" w:rsidR="006D40B2" w:rsidRPr="00D71C60" w:rsidRDefault="006D40B2" w:rsidP="006D40B2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2020/2019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0DE7011" w14:textId="77777777" w:rsidR="006D40B2" w:rsidRPr="00D71C60" w:rsidRDefault="006D40B2" w:rsidP="006D40B2">
            <w:pPr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2021/2020</w:t>
            </w:r>
          </w:p>
        </w:tc>
      </w:tr>
      <w:tr w:rsidR="006D40B2" w:rsidRPr="00D71C60" w14:paraId="1E8BAEB1" w14:textId="77777777" w:rsidTr="006D40B2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5EAA" w14:textId="77777777" w:rsidR="006D40B2" w:rsidRPr="00854492" w:rsidRDefault="006D40B2" w:rsidP="006D40B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18B47" w14:textId="77777777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62,54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15BC" w14:textId="77777777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4,04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9934" w14:textId="77777777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41,84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91371" w14:textId="77777777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233,62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</w:tr>
      <w:tr w:rsidR="006D40B2" w:rsidRPr="00D71C60" w14:paraId="09D4C33F" w14:textId="77777777" w:rsidTr="006D40B2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9191" w14:textId="77777777" w:rsidR="006D40B2" w:rsidRPr="00854492" w:rsidRDefault="006D40B2" w:rsidP="006D40B2">
            <w:pPr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25CA4" w14:textId="77777777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11,37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C7E3" w14:textId="77777777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2,32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0DCF" w14:textId="77777777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252,52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37679" w14:textId="26D9123F" w:rsidR="006D40B2" w:rsidRPr="00D71C60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1,17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</w:tr>
    </w:tbl>
    <w:p w14:paraId="4252FFB5" w14:textId="77777777" w:rsidR="006D40B2" w:rsidRPr="00854492" w:rsidRDefault="006D40B2" w:rsidP="006D40B2">
      <w:pPr>
        <w:spacing w:before="40"/>
        <w:rPr>
          <w:rFonts w:cs="Calibri"/>
          <w:bCs/>
          <w:color w:val="000000"/>
          <w:sz w:val="20"/>
          <w:szCs w:val="20"/>
          <w:lang w:eastAsia="cs-CZ"/>
        </w:rPr>
      </w:pPr>
      <w:r w:rsidRPr="00854492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854492">
        <w:rPr>
          <w:rFonts w:cs="Calibri"/>
          <w:color w:val="000000"/>
          <w:sz w:val="20"/>
          <w:szCs w:val="20"/>
          <w:lang w:eastAsia="cs-CZ"/>
        </w:rPr>
        <w:t>výpočet vypracoval NKÚ.</w:t>
      </w:r>
    </w:p>
    <w:p w14:paraId="0528A8F6" w14:textId="77777777" w:rsidR="006D40B2" w:rsidRPr="00854492" w:rsidRDefault="006D40B2" w:rsidP="006D40B2">
      <w:pPr>
        <w:jc w:val="both"/>
        <w:rPr>
          <w:rFonts w:cs="Calibri"/>
        </w:rPr>
      </w:pPr>
      <w:bookmarkStart w:id="64" w:name="_Toc520714325"/>
      <w:bookmarkStart w:id="65" w:name="_Toc8984532"/>
      <w:r w:rsidRPr="00854492">
        <w:rPr>
          <w:rFonts w:cs="Calibri"/>
        </w:rPr>
        <w:t>K největší relativní změně příjmů ve sledovaném období došlo v kapitole 335 mezi rokem 2020 a 2021, a to k nárůstu o 233,62 %.</w:t>
      </w:r>
    </w:p>
    <w:p w14:paraId="03E68F8E" w14:textId="77777777" w:rsidR="006D40B2" w:rsidRPr="00D71C60" w:rsidRDefault="006D40B2" w:rsidP="006D40B2">
      <w:pPr>
        <w:jc w:val="both"/>
        <w:rPr>
          <w:rFonts w:cs="Calibri"/>
          <w:highlight w:val="yellow"/>
        </w:rPr>
      </w:pPr>
      <w:r w:rsidRPr="00854492">
        <w:rPr>
          <w:rFonts w:cs="Calibri"/>
        </w:rPr>
        <w:t>K největší relativní změně výdajů ve sledovaném období došlo v kapitole 335 mezi rokem 2019 a 2020, a to k nárůstu o 252,52 %.</w:t>
      </w:r>
    </w:p>
    <w:p w14:paraId="3F1DF82D" w14:textId="2042B2D9" w:rsidR="006D40B2" w:rsidRPr="00854492" w:rsidRDefault="006D40B2" w:rsidP="006D40B2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66" w:name="_Toc72157473"/>
      <w:r w:rsidRPr="00854492">
        <w:rPr>
          <w:sz w:val="24"/>
        </w:rPr>
        <w:t xml:space="preserve">Tabulka č. </w:t>
      </w:r>
      <w:r w:rsidRPr="00854492">
        <w:rPr>
          <w:sz w:val="24"/>
        </w:rPr>
        <w:fldChar w:fldCharType="begin"/>
      </w:r>
      <w:r w:rsidRPr="00854492">
        <w:rPr>
          <w:sz w:val="24"/>
        </w:rPr>
        <w:instrText xml:space="preserve"> SEQ Tabulka \* ARABIC </w:instrText>
      </w:r>
      <w:r w:rsidRPr="00854492">
        <w:rPr>
          <w:sz w:val="24"/>
        </w:rPr>
        <w:fldChar w:fldCharType="separate"/>
      </w:r>
      <w:r w:rsidR="009A66D8">
        <w:rPr>
          <w:noProof/>
          <w:sz w:val="24"/>
        </w:rPr>
        <w:t>16</w:t>
      </w:r>
      <w:r w:rsidRPr="00854492">
        <w:rPr>
          <w:noProof/>
          <w:sz w:val="24"/>
        </w:rPr>
        <w:fldChar w:fldCharType="end"/>
      </w:r>
      <w:r w:rsidRPr="00854492">
        <w:rPr>
          <w:sz w:val="24"/>
        </w:rPr>
        <w:t xml:space="preserve">: Příjmy a výdaje </w:t>
      </w:r>
      <w:proofErr w:type="spellStart"/>
      <w:r w:rsidRPr="00854492">
        <w:rPr>
          <w:sz w:val="24"/>
        </w:rPr>
        <w:t>MZ</w:t>
      </w:r>
      <w:r>
        <w:rPr>
          <w:sz w:val="24"/>
        </w:rPr>
        <w:t>d</w:t>
      </w:r>
      <w:proofErr w:type="spellEnd"/>
      <w:r w:rsidRPr="00854492">
        <w:rPr>
          <w:sz w:val="24"/>
        </w:rPr>
        <w:t xml:space="preserve"> </w:t>
      </w:r>
      <w:r>
        <w:rPr>
          <w:sz w:val="24"/>
        </w:rPr>
        <w:tab/>
      </w:r>
      <w:r w:rsidRPr="00854492">
        <w:rPr>
          <w:sz w:val="24"/>
        </w:rPr>
        <w:t>(v Kč)</w:t>
      </w:r>
      <w:bookmarkEnd w:id="64"/>
      <w:bookmarkEnd w:id="65"/>
      <w:bookmarkEnd w:id="6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1553"/>
        <w:gridCol w:w="1553"/>
        <w:gridCol w:w="1553"/>
        <w:gridCol w:w="1553"/>
        <w:gridCol w:w="1549"/>
      </w:tblGrid>
      <w:tr w:rsidR="006D40B2" w:rsidRPr="00D71C60" w14:paraId="7122B535" w14:textId="77777777" w:rsidTr="006D40B2">
        <w:trPr>
          <w:trHeight w:val="255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BC6BC06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2281EAE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82DAD4A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B5DAC92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3B26230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D6D9CBB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512A8C08" w14:textId="77777777" w:rsidTr="006D40B2">
        <w:trPr>
          <w:trHeight w:val="255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9515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Příjmy celkem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A36F3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339 723 483,98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C678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914 326 408,95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BA4B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904 585 831,08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39AC7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1 422 420 309,47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57B5E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6 536 292 006,29</w:t>
            </w:r>
          </w:p>
        </w:tc>
      </w:tr>
      <w:tr w:rsidR="006D40B2" w:rsidRPr="00D71C60" w14:paraId="7E81659C" w14:textId="77777777" w:rsidTr="006D40B2">
        <w:trPr>
          <w:trHeight w:val="255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E24D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Výdaje celkem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842F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5 730 579 316,32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BB3E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6 464 494 698,21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0DE5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6 529 890 187,13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D1E7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28 954 520 672,89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937E0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28 608 731 150,24</w:t>
            </w:r>
          </w:p>
        </w:tc>
      </w:tr>
    </w:tbl>
    <w:p w14:paraId="45241EB0" w14:textId="77777777" w:rsidR="006D40B2" w:rsidRPr="00854492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bookmarkStart w:id="67" w:name="_Toc520714326"/>
      <w:r w:rsidRPr="00854492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854492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15BA1A16" w14:textId="5259BE45" w:rsidR="006D40B2" w:rsidRPr="00854492" w:rsidRDefault="006D40B2" w:rsidP="006D40B2">
      <w:pPr>
        <w:pStyle w:val="Titulek1"/>
        <w:rPr>
          <w:sz w:val="24"/>
        </w:rPr>
      </w:pPr>
      <w:bookmarkStart w:id="68" w:name="_Toc8984533"/>
      <w:bookmarkStart w:id="69" w:name="_Toc72157474"/>
      <w:r w:rsidRPr="00854492">
        <w:rPr>
          <w:sz w:val="24"/>
        </w:rPr>
        <w:t xml:space="preserve">Tabulka č. </w:t>
      </w:r>
      <w:r w:rsidRPr="00854492">
        <w:rPr>
          <w:sz w:val="24"/>
        </w:rPr>
        <w:fldChar w:fldCharType="begin"/>
      </w:r>
      <w:r w:rsidRPr="00854492">
        <w:rPr>
          <w:sz w:val="24"/>
        </w:rPr>
        <w:instrText xml:space="preserve"> SEQ Tabulka \* ARABIC </w:instrText>
      </w:r>
      <w:r w:rsidRPr="00854492">
        <w:rPr>
          <w:sz w:val="24"/>
        </w:rPr>
        <w:fldChar w:fldCharType="separate"/>
      </w:r>
      <w:r w:rsidR="009A66D8">
        <w:rPr>
          <w:noProof/>
          <w:sz w:val="24"/>
        </w:rPr>
        <w:t>17</w:t>
      </w:r>
      <w:r w:rsidRPr="00854492">
        <w:rPr>
          <w:noProof/>
          <w:sz w:val="24"/>
        </w:rPr>
        <w:fldChar w:fldCharType="end"/>
      </w:r>
      <w:r w:rsidRPr="00854492">
        <w:rPr>
          <w:sz w:val="24"/>
        </w:rPr>
        <w:t xml:space="preserve">: Tempo růstu příjmů a výdajů </w:t>
      </w:r>
      <w:bookmarkEnd w:id="67"/>
      <w:bookmarkEnd w:id="68"/>
      <w:bookmarkEnd w:id="69"/>
      <w:proofErr w:type="spellStart"/>
      <w:r w:rsidRPr="00854492">
        <w:rPr>
          <w:sz w:val="24"/>
        </w:rPr>
        <w:t>MZ</w:t>
      </w:r>
      <w:r>
        <w:rPr>
          <w:sz w:val="24"/>
        </w:rPr>
        <w:t>d</w:t>
      </w:r>
      <w:proofErr w:type="spellEnd"/>
    </w:p>
    <w:tbl>
      <w:tblPr>
        <w:tblW w:w="90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559"/>
        <w:gridCol w:w="1559"/>
        <w:gridCol w:w="1560"/>
        <w:gridCol w:w="1560"/>
      </w:tblGrid>
      <w:tr w:rsidR="006D40B2" w:rsidRPr="00D71C60" w14:paraId="110BC6F2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F8770CC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Tempo růstu (absolutní změna)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9FEFB6E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2018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854492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6008314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2019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854492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CB1611E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2020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854492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BE7A758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2021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854492">
              <w:rPr>
                <w:b/>
                <w:sz w:val="18"/>
                <w:szCs w:val="18"/>
              </w:rPr>
              <w:t>2020</w:t>
            </w:r>
          </w:p>
        </w:tc>
      </w:tr>
      <w:tr w:rsidR="006D40B2" w:rsidRPr="00D71C60" w14:paraId="160885D8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DB94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Příjmy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36FF2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574 602 924,97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A4CB7" w14:textId="2D3EBC0E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Pr="00854492">
              <w:rPr>
                <w:sz w:val="18"/>
                <w:szCs w:val="18"/>
              </w:rPr>
              <w:t>9 740 577,87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DCBFD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517 834 478,39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79C01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5 113 871 696,82</w:t>
            </w:r>
          </w:p>
        </w:tc>
      </w:tr>
      <w:tr w:rsidR="006D40B2" w:rsidRPr="00D71C60" w14:paraId="1C19CA3F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5AC7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Výdaje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E5DAE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733 915 381,89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D0CC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65 395 488,92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31439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22 424 630 485,76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BC10D" w14:textId="5AC140F2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Pr="00854492">
              <w:rPr>
                <w:sz w:val="18"/>
                <w:szCs w:val="18"/>
              </w:rPr>
              <w:t>345 789 522,65</w:t>
            </w:r>
          </w:p>
        </w:tc>
      </w:tr>
      <w:tr w:rsidR="006D40B2" w:rsidRPr="00D71C60" w14:paraId="180E2522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470810B" w14:textId="42E57847" w:rsidR="006D40B2" w:rsidRPr="00854492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Tempo růstu v % (relativní změna) (((x+</w:t>
            </w:r>
            <w:proofErr w:type="gramStart"/>
            <w:r w:rsidRPr="00854492">
              <w:rPr>
                <w:b/>
                <w:bCs/>
                <w:color w:val="000000"/>
                <w:sz w:val="18"/>
                <w:szCs w:val="18"/>
              </w:rPr>
              <w:t>1)</w:t>
            </w:r>
            <w:r w:rsidRPr="00854492">
              <w:rPr>
                <w:rFonts w:cs="Calibri"/>
                <w:b/>
                <w:bCs/>
                <w:color w:val="000000"/>
                <w:sz w:val="18"/>
                <w:szCs w:val="18"/>
              </w:rPr>
              <w:t>−</w:t>
            </w:r>
            <w:proofErr w:type="gramEnd"/>
            <w:r w:rsidRPr="00854492">
              <w:rPr>
                <w:b/>
                <w:bCs/>
                <w:color w:val="000000"/>
                <w:sz w:val="18"/>
                <w:szCs w:val="18"/>
              </w:rPr>
              <w:t>x)/x)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×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B1358A5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b/>
                <w:sz w:val="18"/>
                <w:szCs w:val="18"/>
              </w:rPr>
              <w:t>2018/2017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03C56A9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b/>
                <w:sz w:val="18"/>
                <w:szCs w:val="18"/>
              </w:rPr>
              <w:t>2019/2018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5D54506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b/>
                <w:sz w:val="18"/>
                <w:szCs w:val="18"/>
              </w:rPr>
              <w:t>2020/2019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1C5B06E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b/>
                <w:sz w:val="18"/>
                <w:szCs w:val="18"/>
              </w:rPr>
              <w:t>2021/2020</w:t>
            </w:r>
          </w:p>
        </w:tc>
      </w:tr>
      <w:tr w:rsidR="006D40B2" w:rsidRPr="00D71C60" w14:paraId="11002BF3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5388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87282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169,14</w:t>
            </w:r>
            <w:r>
              <w:rPr>
                <w:sz w:val="18"/>
                <w:szCs w:val="18"/>
              </w:rPr>
              <w:t xml:space="preserve"> </w:t>
            </w:r>
            <w:r w:rsidRPr="00854492"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DA07E" w14:textId="78441900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Pr="00854492">
              <w:rPr>
                <w:sz w:val="18"/>
                <w:szCs w:val="18"/>
              </w:rPr>
              <w:t>1,07</w:t>
            </w:r>
            <w:r>
              <w:rPr>
                <w:sz w:val="18"/>
                <w:szCs w:val="18"/>
              </w:rPr>
              <w:t xml:space="preserve"> </w:t>
            </w:r>
            <w:r w:rsidRPr="00854492">
              <w:rPr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2F59D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57,25</w:t>
            </w:r>
            <w:r>
              <w:rPr>
                <w:sz w:val="18"/>
                <w:szCs w:val="18"/>
              </w:rPr>
              <w:t xml:space="preserve"> </w:t>
            </w:r>
            <w:r w:rsidRPr="00854492">
              <w:rPr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55AFB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359,52</w:t>
            </w:r>
            <w:r>
              <w:rPr>
                <w:sz w:val="18"/>
                <w:szCs w:val="18"/>
              </w:rPr>
              <w:t xml:space="preserve"> </w:t>
            </w:r>
            <w:r w:rsidRPr="00854492">
              <w:rPr>
                <w:sz w:val="18"/>
                <w:szCs w:val="18"/>
              </w:rPr>
              <w:t>%</w:t>
            </w:r>
          </w:p>
        </w:tc>
      </w:tr>
      <w:tr w:rsidR="006D40B2" w:rsidRPr="00D71C60" w14:paraId="4E732FDB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2B7CF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25252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12,81</w:t>
            </w:r>
            <w:r>
              <w:rPr>
                <w:sz w:val="18"/>
                <w:szCs w:val="18"/>
              </w:rPr>
              <w:t xml:space="preserve"> </w:t>
            </w:r>
            <w:r w:rsidRPr="00854492"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CF0A0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1,01</w:t>
            </w:r>
            <w:r>
              <w:rPr>
                <w:sz w:val="18"/>
                <w:szCs w:val="18"/>
              </w:rPr>
              <w:t xml:space="preserve"> </w:t>
            </w:r>
            <w:r w:rsidRPr="00854492">
              <w:rPr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805FD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343,42</w:t>
            </w:r>
            <w:r>
              <w:rPr>
                <w:sz w:val="18"/>
                <w:szCs w:val="18"/>
              </w:rPr>
              <w:t xml:space="preserve"> </w:t>
            </w:r>
            <w:r w:rsidRPr="00854492">
              <w:rPr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A88EA" w14:textId="678013B4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Pr="00854492">
              <w:rPr>
                <w:sz w:val="18"/>
                <w:szCs w:val="18"/>
              </w:rPr>
              <w:t>1,19</w:t>
            </w:r>
            <w:r>
              <w:rPr>
                <w:sz w:val="18"/>
                <w:szCs w:val="18"/>
              </w:rPr>
              <w:t xml:space="preserve"> </w:t>
            </w:r>
            <w:r w:rsidRPr="00854492">
              <w:rPr>
                <w:sz w:val="18"/>
                <w:szCs w:val="18"/>
              </w:rPr>
              <w:t>%</w:t>
            </w:r>
          </w:p>
        </w:tc>
      </w:tr>
    </w:tbl>
    <w:p w14:paraId="33FFBCE6" w14:textId="77777777" w:rsidR="006D40B2" w:rsidRPr="00854492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854492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854492">
        <w:rPr>
          <w:rFonts w:cs="Calibri"/>
          <w:color w:val="000000"/>
          <w:sz w:val="20"/>
          <w:szCs w:val="20"/>
          <w:lang w:eastAsia="cs-CZ"/>
        </w:rPr>
        <w:t>výpočet vypracoval NKÚ.</w:t>
      </w:r>
    </w:p>
    <w:p w14:paraId="74FEA34F" w14:textId="77777777" w:rsidR="006D40B2" w:rsidRPr="00854492" w:rsidRDefault="006D40B2" w:rsidP="006D40B2">
      <w:pPr>
        <w:jc w:val="both"/>
        <w:rPr>
          <w:rFonts w:cs="Calibri"/>
        </w:rPr>
      </w:pPr>
      <w:r w:rsidRPr="00854492">
        <w:rPr>
          <w:rFonts w:cs="Calibri"/>
        </w:rPr>
        <w:t xml:space="preserve">K největší relativní změně příjmů ve sledovaném období došlo u </w:t>
      </w:r>
      <w:proofErr w:type="spellStart"/>
      <w:r w:rsidRPr="00854492">
        <w:rPr>
          <w:rFonts w:cs="Calibri"/>
        </w:rPr>
        <w:t>MZ</w:t>
      </w:r>
      <w:r>
        <w:rPr>
          <w:rFonts w:cs="Calibri"/>
        </w:rPr>
        <w:t>d</w:t>
      </w:r>
      <w:proofErr w:type="spellEnd"/>
      <w:r w:rsidRPr="00854492">
        <w:rPr>
          <w:rFonts w:cs="Calibri"/>
        </w:rPr>
        <w:t xml:space="preserve"> mezi rokem 2020 a 2021, a to k nárůstu o 359,52 %. </w:t>
      </w:r>
    </w:p>
    <w:p w14:paraId="67CC1325" w14:textId="77777777" w:rsidR="006D40B2" w:rsidRPr="00D71C60" w:rsidRDefault="006D40B2" w:rsidP="006D40B2">
      <w:pPr>
        <w:jc w:val="both"/>
        <w:rPr>
          <w:rFonts w:cs="Calibri"/>
          <w:highlight w:val="yellow"/>
        </w:rPr>
      </w:pPr>
      <w:r w:rsidRPr="00854492">
        <w:rPr>
          <w:rFonts w:cs="Calibri"/>
        </w:rPr>
        <w:t xml:space="preserve">K největší relativní změně výdajů ve sledovaném období došlo u </w:t>
      </w:r>
      <w:proofErr w:type="spellStart"/>
      <w:r w:rsidRPr="00854492">
        <w:rPr>
          <w:rFonts w:cs="Calibri"/>
        </w:rPr>
        <w:t>MZ</w:t>
      </w:r>
      <w:r>
        <w:rPr>
          <w:rFonts w:cs="Calibri"/>
        </w:rPr>
        <w:t>d</w:t>
      </w:r>
      <w:proofErr w:type="spellEnd"/>
      <w:r w:rsidRPr="00854492">
        <w:rPr>
          <w:rFonts w:cs="Calibri"/>
        </w:rPr>
        <w:t xml:space="preserve"> mezi rokem 2019 a 2020, a to k nárůstu o 343,42 %.</w:t>
      </w:r>
    </w:p>
    <w:p w14:paraId="1B075F9D" w14:textId="32AA60E7" w:rsidR="006D40B2" w:rsidRPr="00854492" w:rsidRDefault="006D40B2" w:rsidP="006D40B2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70" w:name="_Toc520714327"/>
      <w:bookmarkStart w:id="71" w:name="_Toc8984534"/>
      <w:bookmarkStart w:id="72" w:name="_Toc72157475"/>
      <w:r w:rsidRPr="00854492">
        <w:rPr>
          <w:sz w:val="24"/>
        </w:rPr>
        <w:t xml:space="preserve">Tabulka č. </w:t>
      </w:r>
      <w:r w:rsidRPr="00854492">
        <w:rPr>
          <w:sz w:val="24"/>
        </w:rPr>
        <w:fldChar w:fldCharType="begin"/>
      </w:r>
      <w:r w:rsidRPr="00854492">
        <w:rPr>
          <w:sz w:val="24"/>
        </w:rPr>
        <w:instrText xml:space="preserve"> SEQ Tabulka \* ARABIC </w:instrText>
      </w:r>
      <w:r w:rsidRPr="00854492">
        <w:rPr>
          <w:sz w:val="24"/>
        </w:rPr>
        <w:fldChar w:fldCharType="separate"/>
      </w:r>
      <w:r w:rsidR="009A66D8">
        <w:rPr>
          <w:noProof/>
          <w:sz w:val="24"/>
        </w:rPr>
        <w:t>18</w:t>
      </w:r>
      <w:r w:rsidRPr="00854492">
        <w:rPr>
          <w:noProof/>
          <w:sz w:val="24"/>
        </w:rPr>
        <w:fldChar w:fldCharType="end"/>
      </w:r>
      <w:r w:rsidRPr="00854492">
        <w:rPr>
          <w:sz w:val="24"/>
        </w:rPr>
        <w:t xml:space="preserve">: Příjmy a výdaje OSS v rozpočtové kapitole </w:t>
      </w:r>
      <w:r>
        <w:rPr>
          <w:sz w:val="24"/>
        </w:rPr>
        <w:t>335</w:t>
      </w:r>
      <w:r w:rsidRPr="00854492">
        <w:rPr>
          <w:sz w:val="24"/>
        </w:rPr>
        <w:t xml:space="preserve"> (bez </w:t>
      </w:r>
      <w:proofErr w:type="spellStart"/>
      <w:r>
        <w:rPr>
          <w:sz w:val="24"/>
        </w:rPr>
        <w:t>MZd</w:t>
      </w:r>
      <w:proofErr w:type="spellEnd"/>
      <w:r w:rsidRPr="00854492">
        <w:rPr>
          <w:sz w:val="24"/>
        </w:rPr>
        <w:t xml:space="preserve">) </w:t>
      </w:r>
      <w:r w:rsidR="00536BCC">
        <w:rPr>
          <w:sz w:val="24"/>
        </w:rPr>
        <w:tab/>
      </w:r>
      <w:r w:rsidRPr="00854492">
        <w:rPr>
          <w:sz w:val="24"/>
        </w:rPr>
        <w:t>(v Kč)</w:t>
      </w:r>
      <w:bookmarkEnd w:id="70"/>
      <w:bookmarkEnd w:id="71"/>
      <w:bookmarkEnd w:id="72"/>
    </w:p>
    <w:tbl>
      <w:tblPr>
        <w:tblW w:w="49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530"/>
        <w:gridCol w:w="1530"/>
        <w:gridCol w:w="1530"/>
        <w:gridCol w:w="1527"/>
        <w:gridCol w:w="1523"/>
      </w:tblGrid>
      <w:tr w:rsidR="006D40B2" w:rsidRPr="00D71C60" w14:paraId="23DFED7A" w14:textId="77777777" w:rsidTr="006D40B2">
        <w:trPr>
          <w:trHeight w:val="25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4EBD677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68F5132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32ACD52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C139AAE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721E186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9D5A320" w14:textId="77777777" w:rsidR="006D40B2" w:rsidRPr="00854492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854492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39BC51B6" w14:textId="77777777" w:rsidTr="006D40B2">
        <w:trPr>
          <w:trHeight w:val="25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158B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Příjmy celkem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667D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561 356 347,43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9FF4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550 267 155,94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259D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619 136 628,71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C6EF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738 829 249,34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9A2EE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674 121 276,66</w:t>
            </w:r>
          </w:p>
        </w:tc>
      </w:tr>
      <w:tr w:rsidR="006D40B2" w:rsidRPr="00D71C60" w14:paraId="70B431A3" w14:textId="77777777" w:rsidTr="006D40B2">
        <w:trPr>
          <w:trHeight w:val="25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9760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Výdaje celkem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F2B3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2 250 130 302,03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9990A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2 423 692 481,03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092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2 564 628 857,93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E602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3 105 773 783,77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9B3D0" w14:textId="77777777" w:rsidR="006D40B2" w:rsidRPr="00854492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854492">
              <w:rPr>
                <w:sz w:val="18"/>
                <w:szCs w:val="18"/>
              </w:rPr>
              <w:t>3 076 363 749,33</w:t>
            </w:r>
          </w:p>
        </w:tc>
      </w:tr>
    </w:tbl>
    <w:p w14:paraId="4BE13CD1" w14:textId="77777777" w:rsidR="006D40B2" w:rsidRPr="00854492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bookmarkStart w:id="73" w:name="_Toc520714328"/>
      <w:r w:rsidRPr="00854492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854492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1AE6E87B" w14:textId="2987E78F" w:rsidR="006D40B2" w:rsidRPr="00854492" w:rsidRDefault="006D40B2" w:rsidP="006D40B2">
      <w:pPr>
        <w:pStyle w:val="Titulek1"/>
        <w:rPr>
          <w:sz w:val="24"/>
        </w:rPr>
      </w:pPr>
      <w:bookmarkStart w:id="74" w:name="_Toc8984535"/>
      <w:bookmarkStart w:id="75" w:name="_Toc72157476"/>
      <w:r w:rsidRPr="00854492">
        <w:rPr>
          <w:sz w:val="24"/>
        </w:rPr>
        <w:lastRenderedPageBreak/>
        <w:t xml:space="preserve">Tabulka č. </w:t>
      </w:r>
      <w:r w:rsidRPr="00854492">
        <w:rPr>
          <w:sz w:val="24"/>
        </w:rPr>
        <w:fldChar w:fldCharType="begin"/>
      </w:r>
      <w:r w:rsidRPr="00854492">
        <w:rPr>
          <w:sz w:val="24"/>
        </w:rPr>
        <w:instrText xml:space="preserve"> SEQ Tabulka \* ARABIC </w:instrText>
      </w:r>
      <w:r w:rsidRPr="00854492">
        <w:rPr>
          <w:sz w:val="24"/>
        </w:rPr>
        <w:fldChar w:fldCharType="separate"/>
      </w:r>
      <w:r w:rsidR="009A66D8">
        <w:rPr>
          <w:noProof/>
          <w:sz w:val="24"/>
        </w:rPr>
        <w:t>19</w:t>
      </w:r>
      <w:r w:rsidRPr="00854492">
        <w:rPr>
          <w:noProof/>
          <w:sz w:val="24"/>
        </w:rPr>
        <w:fldChar w:fldCharType="end"/>
      </w:r>
      <w:r w:rsidRPr="00854492">
        <w:rPr>
          <w:sz w:val="24"/>
        </w:rPr>
        <w:t xml:space="preserve">: Tempo růstu příjmů a výdajů OSS v rozpočtové kapitole 335 (bez </w:t>
      </w:r>
      <w:proofErr w:type="spellStart"/>
      <w:r w:rsidRPr="00854492">
        <w:rPr>
          <w:sz w:val="24"/>
        </w:rPr>
        <w:t>MZ</w:t>
      </w:r>
      <w:r>
        <w:rPr>
          <w:sz w:val="24"/>
        </w:rPr>
        <w:t>d</w:t>
      </w:r>
      <w:proofErr w:type="spellEnd"/>
      <w:r w:rsidRPr="00854492">
        <w:rPr>
          <w:sz w:val="24"/>
        </w:rPr>
        <w:t>)</w:t>
      </w:r>
      <w:bookmarkEnd w:id="73"/>
      <w:bookmarkEnd w:id="74"/>
      <w:bookmarkEnd w:id="75"/>
    </w:p>
    <w:tbl>
      <w:tblPr>
        <w:tblW w:w="90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524"/>
        <w:gridCol w:w="1524"/>
        <w:gridCol w:w="1524"/>
        <w:gridCol w:w="1524"/>
      </w:tblGrid>
      <w:tr w:rsidR="006D40B2" w:rsidRPr="00D71C60" w14:paraId="49FB5B07" w14:textId="77777777" w:rsidTr="006D40B2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7718642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Tempo růstu (absolutní změna)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9386812" w14:textId="77777777" w:rsidR="006D40B2" w:rsidRPr="00D71C60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3FD4911" w14:textId="77777777" w:rsidR="006D40B2" w:rsidRPr="00D71C60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2019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6E8D26F" w14:textId="77777777" w:rsidR="006D40B2" w:rsidRPr="00D71C60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2020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CDDF48B" w14:textId="77777777" w:rsidR="006D40B2" w:rsidRPr="00D71C60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2021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2020</w:t>
            </w:r>
          </w:p>
        </w:tc>
      </w:tr>
      <w:tr w:rsidR="006D40B2" w:rsidRPr="00D71C60" w14:paraId="2C590490" w14:textId="77777777" w:rsidTr="006D40B2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EFE9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Příjmy (v Kč)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3ABB8" w14:textId="3721FDCC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11 089 191,49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5ECE" w14:textId="77777777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68 869 472,77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B7B7" w14:textId="77777777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119 692 620,63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A7C6" w14:textId="2E123D7F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64 707 972,68</w:t>
            </w:r>
          </w:p>
        </w:tc>
      </w:tr>
      <w:tr w:rsidR="006D40B2" w:rsidRPr="00D71C60" w14:paraId="23FB508F" w14:textId="77777777" w:rsidTr="006D40B2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D38A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Výdaje (v Kč)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3D10" w14:textId="77777777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173 562 179,00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3FE4" w14:textId="77777777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140 936 376,90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E6B1" w14:textId="77777777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541 144 925,84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CFE7A" w14:textId="0CCE086E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29 410 034,44</w:t>
            </w:r>
          </w:p>
        </w:tc>
      </w:tr>
      <w:tr w:rsidR="006D40B2" w:rsidRPr="00D71C60" w14:paraId="515EB413" w14:textId="77777777" w:rsidTr="006D40B2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B4E474D" w14:textId="57262EE3" w:rsidR="006D40B2" w:rsidRPr="00854492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b/>
                <w:bCs/>
                <w:color w:val="000000"/>
                <w:sz w:val="18"/>
                <w:szCs w:val="18"/>
              </w:rPr>
              <w:t>Tempo růstu v % (relativní změna) (((x+</w:t>
            </w:r>
            <w:proofErr w:type="gramStart"/>
            <w:r w:rsidRPr="00854492">
              <w:rPr>
                <w:b/>
                <w:bCs/>
                <w:color w:val="000000"/>
                <w:sz w:val="18"/>
                <w:szCs w:val="18"/>
              </w:rPr>
              <w:t>1)</w:t>
            </w:r>
            <w:r w:rsidRPr="00854492">
              <w:rPr>
                <w:rFonts w:cs="Calibri"/>
                <w:b/>
                <w:bCs/>
                <w:color w:val="000000"/>
                <w:sz w:val="18"/>
                <w:szCs w:val="18"/>
              </w:rPr>
              <w:t>−</w:t>
            </w:r>
            <w:proofErr w:type="gramEnd"/>
            <w:r w:rsidRPr="00854492">
              <w:rPr>
                <w:b/>
                <w:bCs/>
                <w:color w:val="000000"/>
                <w:sz w:val="18"/>
                <w:szCs w:val="18"/>
              </w:rPr>
              <w:t>x)/x)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×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5124E83" w14:textId="77777777" w:rsidR="006D40B2" w:rsidRPr="00D71C60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2018/2017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A5A9CAE" w14:textId="77777777" w:rsidR="006D40B2" w:rsidRPr="00D71C60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2019/2018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13995AD" w14:textId="77777777" w:rsidR="006D40B2" w:rsidRPr="00D71C60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2020/2019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92FFF37" w14:textId="77777777" w:rsidR="006D40B2" w:rsidRPr="00D71C60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/</w:t>
            </w:r>
            <w:r w:rsidRPr="00E635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2020</w:t>
            </w:r>
          </w:p>
        </w:tc>
      </w:tr>
      <w:tr w:rsidR="006D40B2" w:rsidRPr="00D71C60" w14:paraId="37AC58DA" w14:textId="77777777" w:rsidTr="006D40B2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F279A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F0B98" w14:textId="6EE1ACE1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1,98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F75" w14:textId="77777777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12,52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9AEF" w14:textId="77777777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19,33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99BD7" w14:textId="62B21B96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8,76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</w:tr>
      <w:tr w:rsidR="006D40B2" w:rsidRPr="00D71C60" w14:paraId="7368EF11" w14:textId="77777777" w:rsidTr="006D40B2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838D" w14:textId="77777777" w:rsidR="006D40B2" w:rsidRPr="00854492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854492">
              <w:rPr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A8B0" w14:textId="77777777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7,71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5A6D" w14:textId="77777777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5,81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F66A" w14:textId="77777777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21,10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B3339" w14:textId="65D94067" w:rsidR="006D40B2" w:rsidRPr="00D71C60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0,95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</w:tr>
    </w:tbl>
    <w:p w14:paraId="1BA84575" w14:textId="77777777" w:rsidR="006D40B2" w:rsidRPr="00854492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854492">
        <w:rPr>
          <w:rFonts w:cs="Calibri"/>
          <w:b/>
          <w:color w:val="000000"/>
          <w:sz w:val="20"/>
          <w:szCs w:val="20"/>
          <w:lang w:eastAsia="cs-CZ"/>
        </w:rPr>
        <w:t>Zdroj:</w:t>
      </w:r>
      <w:r w:rsidRPr="00854492">
        <w:rPr>
          <w:rFonts w:cs="Calibri"/>
          <w:color w:val="000000"/>
          <w:sz w:val="20"/>
          <w:szCs w:val="20"/>
          <w:lang w:eastAsia="cs-CZ"/>
        </w:rPr>
        <w:t xml:space="preserve"> výpočet vypracoval NKÚ.</w:t>
      </w:r>
    </w:p>
    <w:p w14:paraId="217D4ABC" w14:textId="5A88935F" w:rsidR="006D40B2" w:rsidRPr="002D5BDC" w:rsidRDefault="006D40B2" w:rsidP="006D40B2">
      <w:pPr>
        <w:jc w:val="both"/>
        <w:rPr>
          <w:rFonts w:cs="Calibri"/>
        </w:rPr>
      </w:pPr>
      <w:r w:rsidRPr="002D5BDC">
        <w:rPr>
          <w:rFonts w:cs="Calibri"/>
        </w:rPr>
        <w:t xml:space="preserve">K největší relativní změně příjmů ve sledovaném období došlo u OSS (bez </w:t>
      </w:r>
      <w:proofErr w:type="spellStart"/>
      <w:r w:rsidRPr="002D5BDC">
        <w:rPr>
          <w:rFonts w:cs="Calibri"/>
        </w:rPr>
        <w:t>MZ</w:t>
      </w:r>
      <w:r>
        <w:rPr>
          <w:rFonts w:cs="Calibri"/>
        </w:rPr>
        <w:t>d</w:t>
      </w:r>
      <w:proofErr w:type="spellEnd"/>
      <w:r w:rsidRPr="002D5BDC">
        <w:rPr>
          <w:rFonts w:cs="Calibri"/>
        </w:rPr>
        <w:t xml:space="preserve">) mezi rokem 2019 a 2020, a to k </w:t>
      </w:r>
      <w:r w:rsidR="009078DD">
        <w:rPr>
          <w:rFonts w:cs="Calibri"/>
        </w:rPr>
        <w:t>růstu</w:t>
      </w:r>
      <w:r w:rsidRPr="002D5BDC">
        <w:rPr>
          <w:rFonts w:cs="Calibri"/>
        </w:rPr>
        <w:t xml:space="preserve"> o 19,33 %. </w:t>
      </w:r>
    </w:p>
    <w:p w14:paraId="5EA8CEBC" w14:textId="77777777" w:rsidR="006D40B2" w:rsidRPr="00D71C60" w:rsidRDefault="006D40B2" w:rsidP="006D40B2">
      <w:pPr>
        <w:jc w:val="both"/>
        <w:rPr>
          <w:rFonts w:cs="Calibri"/>
          <w:highlight w:val="yellow"/>
        </w:rPr>
      </w:pPr>
      <w:r w:rsidRPr="002D5BDC">
        <w:rPr>
          <w:rFonts w:cs="Calibri"/>
        </w:rPr>
        <w:t xml:space="preserve">K největší relativní změně výdajů ve sledovaném období došlo u OSS (bez </w:t>
      </w:r>
      <w:proofErr w:type="spellStart"/>
      <w:r w:rsidRPr="002D5BDC">
        <w:rPr>
          <w:rFonts w:cs="Calibri"/>
        </w:rPr>
        <w:t>MZ</w:t>
      </w:r>
      <w:r>
        <w:rPr>
          <w:rFonts w:cs="Calibri"/>
        </w:rPr>
        <w:t>d</w:t>
      </w:r>
      <w:proofErr w:type="spellEnd"/>
      <w:r w:rsidRPr="002D5BDC">
        <w:rPr>
          <w:rFonts w:cs="Calibri"/>
        </w:rPr>
        <w:t>) mezi rokem 2019 a 2020, a to k nárůstu o 21,10 %.</w:t>
      </w:r>
    </w:p>
    <w:p w14:paraId="0D0FE43B" w14:textId="0441806E" w:rsidR="006D40B2" w:rsidRPr="002D5BDC" w:rsidRDefault="006D40B2" w:rsidP="006D40B2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76" w:name="_Toc520714329"/>
      <w:bookmarkStart w:id="77" w:name="_Toc8984536"/>
      <w:bookmarkStart w:id="78" w:name="_Toc72157477"/>
      <w:r w:rsidRPr="002D5BDC">
        <w:rPr>
          <w:sz w:val="24"/>
        </w:rPr>
        <w:t xml:space="preserve">Tabulka č. </w:t>
      </w:r>
      <w:r w:rsidRPr="002D5BDC">
        <w:rPr>
          <w:sz w:val="24"/>
        </w:rPr>
        <w:fldChar w:fldCharType="begin"/>
      </w:r>
      <w:r w:rsidRPr="002D5BDC">
        <w:rPr>
          <w:sz w:val="24"/>
        </w:rPr>
        <w:instrText xml:space="preserve"> SEQ Tabulka \* ARABIC </w:instrText>
      </w:r>
      <w:r w:rsidRPr="002D5BDC">
        <w:rPr>
          <w:sz w:val="24"/>
        </w:rPr>
        <w:fldChar w:fldCharType="separate"/>
      </w:r>
      <w:r w:rsidR="009A66D8">
        <w:rPr>
          <w:noProof/>
          <w:sz w:val="24"/>
        </w:rPr>
        <w:t>20</w:t>
      </w:r>
      <w:r w:rsidRPr="002D5BDC">
        <w:rPr>
          <w:noProof/>
          <w:sz w:val="24"/>
        </w:rPr>
        <w:fldChar w:fldCharType="end"/>
      </w:r>
      <w:r w:rsidRPr="002D5BDC">
        <w:rPr>
          <w:sz w:val="24"/>
        </w:rPr>
        <w:t xml:space="preserve">: Výnosy a náklady OSS v rozpočtové kapitole 335 vč. </w:t>
      </w:r>
      <w:proofErr w:type="spellStart"/>
      <w:r w:rsidRPr="002D5BDC">
        <w:rPr>
          <w:sz w:val="24"/>
        </w:rPr>
        <w:t>MZ</w:t>
      </w:r>
      <w:r>
        <w:rPr>
          <w:sz w:val="24"/>
        </w:rPr>
        <w:t>d</w:t>
      </w:r>
      <w:proofErr w:type="spellEnd"/>
      <w:r w:rsidRPr="002D5BDC">
        <w:rPr>
          <w:sz w:val="24"/>
        </w:rPr>
        <w:t xml:space="preserve"> </w:t>
      </w:r>
      <w:r>
        <w:rPr>
          <w:sz w:val="24"/>
        </w:rPr>
        <w:tab/>
      </w:r>
      <w:r w:rsidRPr="002D5BDC">
        <w:rPr>
          <w:sz w:val="24"/>
        </w:rPr>
        <w:t>(v Kč)</w:t>
      </w:r>
      <w:bookmarkEnd w:id="76"/>
      <w:bookmarkEnd w:id="77"/>
      <w:bookmarkEnd w:id="7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1568"/>
        <w:gridCol w:w="1568"/>
        <w:gridCol w:w="1567"/>
        <w:gridCol w:w="1493"/>
        <w:gridCol w:w="1569"/>
      </w:tblGrid>
      <w:tr w:rsidR="006D40B2" w:rsidRPr="00D71C60" w14:paraId="168F66DE" w14:textId="77777777" w:rsidTr="006D40B2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5B36E6C" w14:textId="77777777" w:rsidR="006D40B2" w:rsidRPr="002D5BDC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D5BDC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F9FE78C" w14:textId="77777777" w:rsidR="006D40B2" w:rsidRPr="002D5BD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2D5BDC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482B62E" w14:textId="77777777" w:rsidR="006D40B2" w:rsidRPr="002D5BD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2D5BDC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593F81F" w14:textId="77777777" w:rsidR="006D40B2" w:rsidRPr="002D5BD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2D5BDC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8A2AF61" w14:textId="77777777" w:rsidR="006D40B2" w:rsidRPr="002D5BD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2D5BDC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42EE838" w14:textId="77777777" w:rsidR="006D40B2" w:rsidRPr="002D5BD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2D5BDC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139EF6D0" w14:textId="77777777" w:rsidTr="006D40B2">
        <w:trPr>
          <w:trHeight w:val="25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A00CF" w14:textId="77777777" w:rsidR="006D40B2" w:rsidRPr="002D5BDC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2D5BDC">
              <w:rPr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B47A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sz w:val="18"/>
                <w:szCs w:val="18"/>
              </w:rPr>
              <w:t>905 221 282,45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9DC3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sz w:val="18"/>
                <w:szCs w:val="18"/>
              </w:rPr>
              <w:t>1 507 782 205,75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E1BFB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sz w:val="18"/>
                <w:szCs w:val="18"/>
              </w:rPr>
              <w:t>1 488 436 145,01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335E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sz w:val="18"/>
                <w:szCs w:val="18"/>
              </w:rPr>
              <w:t>2 626 378 370,95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3660F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sz w:val="18"/>
                <w:szCs w:val="18"/>
              </w:rPr>
              <w:t>9 003 080 115,25</w:t>
            </w:r>
          </w:p>
        </w:tc>
      </w:tr>
      <w:tr w:rsidR="006D40B2" w:rsidRPr="00D71C60" w14:paraId="5D83132C" w14:textId="77777777" w:rsidTr="006D40B2">
        <w:trPr>
          <w:trHeight w:val="25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473A" w14:textId="77777777" w:rsidR="006D40B2" w:rsidRPr="002D5BDC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2D5BDC">
              <w:rPr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C68B7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sz w:val="18"/>
                <w:szCs w:val="18"/>
              </w:rPr>
              <w:t>6 842 826 151,59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1CDC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sz w:val="18"/>
                <w:szCs w:val="18"/>
              </w:rPr>
              <w:t>7 153 117 293,66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D85F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sz w:val="18"/>
                <w:szCs w:val="18"/>
              </w:rPr>
              <w:t>8 145 397 063,00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940B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sz w:val="18"/>
                <w:szCs w:val="18"/>
              </w:rPr>
              <w:t>30 520 037 185,21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A5A9D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sz w:val="18"/>
                <w:szCs w:val="18"/>
              </w:rPr>
              <w:t>31 576 892 593,63</w:t>
            </w:r>
          </w:p>
        </w:tc>
      </w:tr>
    </w:tbl>
    <w:p w14:paraId="08836C89" w14:textId="77777777" w:rsidR="006D40B2" w:rsidRPr="002D5BDC" w:rsidRDefault="006D40B2" w:rsidP="006D40B2">
      <w:pPr>
        <w:spacing w:before="40"/>
        <w:rPr>
          <w:rFonts w:cs="Calibri"/>
          <w:bCs/>
          <w:color w:val="000000"/>
          <w:sz w:val="20"/>
          <w:szCs w:val="20"/>
          <w:lang w:eastAsia="cs-CZ"/>
        </w:rPr>
      </w:pPr>
      <w:bookmarkStart w:id="79" w:name="_Toc520714330"/>
      <w:r w:rsidRPr="002D5BDC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2D5BDC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 w:rsidRPr="00247616">
        <w:rPr>
          <w:rFonts w:cs="Calibri"/>
          <w:color w:val="000000"/>
          <w:sz w:val="20"/>
          <w:szCs w:val="20"/>
          <w:lang w:eastAsia="cs-CZ"/>
        </w:rPr>
        <w:t>MONITOR, informace zjištěné v průběhu kontroly.</w:t>
      </w:r>
    </w:p>
    <w:p w14:paraId="34E76650" w14:textId="29C59545" w:rsidR="006D40B2" w:rsidRPr="002D5BDC" w:rsidRDefault="006D40B2" w:rsidP="006D40B2">
      <w:pPr>
        <w:pStyle w:val="Titulek1"/>
        <w:rPr>
          <w:sz w:val="24"/>
        </w:rPr>
      </w:pPr>
      <w:bookmarkStart w:id="80" w:name="_Toc8984537"/>
      <w:bookmarkStart w:id="81" w:name="_Toc72157478"/>
      <w:r w:rsidRPr="002D5BDC">
        <w:rPr>
          <w:sz w:val="24"/>
        </w:rPr>
        <w:t xml:space="preserve">Tabulka č. </w:t>
      </w:r>
      <w:r w:rsidRPr="002D5BDC">
        <w:rPr>
          <w:sz w:val="24"/>
        </w:rPr>
        <w:fldChar w:fldCharType="begin"/>
      </w:r>
      <w:r w:rsidRPr="002D5BDC">
        <w:rPr>
          <w:sz w:val="24"/>
        </w:rPr>
        <w:instrText xml:space="preserve"> SEQ Tabulka \* ARABIC </w:instrText>
      </w:r>
      <w:r w:rsidRPr="002D5BDC">
        <w:rPr>
          <w:sz w:val="24"/>
        </w:rPr>
        <w:fldChar w:fldCharType="separate"/>
      </w:r>
      <w:r w:rsidR="009A66D8">
        <w:rPr>
          <w:noProof/>
          <w:sz w:val="24"/>
        </w:rPr>
        <w:t>21</w:t>
      </w:r>
      <w:r w:rsidRPr="002D5BDC">
        <w:rPr>
          <w:noProof/>
          <w:sz w:val="24"/>
        </w:rPr>
        <w:fldChar w:fldCharType="end"/>
      </w:r>
      <w:r w:rsidRPr="002D5BDC">
        <w:rPr>
          <w:sz w:val="24"/>
        </w:rPr>
        <w:t xml:space="preserve">: Tempo růstu výnosů a nákladů OSS v rozpočtové kapitole 335 vč. </w:t>
      </w:r>
      <w:proofErr w:type="spellStart"/>
      <w:r w:rsidRPr="002D5BDC">
        <w:rPr>
          <w:sz w:val="24"/>
        </w:rPr>
        <w:t>M</w:t>
      </w:r>
      <w:bookmarkEnd w:id="79"/>
      <w:bookmarkEnd w:id="80"/>
      <w:bookmarkEnd w:id="81"/>
      <w:r w:rsidRPr="002D5BDC">
        <w:rPr>
          <w:sz w:val="24"/>
        </w:rPr>
        <w:t>Z</w:t>
      </w:r>
      <w:r>
        <w:rPr>
          <w:sz w:val="24"/>
        </w:rPr>
        <w:t>d</w:t>
      </w:r>
      <w:proofErr w:type="spellEnd"/>
    </w:p>
    <w:tbl>
      <w:tblPr>
        <w:tblW w:w="90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559"/>
        <w:gridCol w:w="1559"/>
        <w:gridCol w:w="1560"/>
        <w:gridCol w:w="1560"/>
      </w:tblGrid>
      <w:tr w:rsidR="006D40B2" w:rsidRPr="00D71C60" w14:paraId="66BA3A7D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C4CDACA" w14:textId="77777777" w:rsidR="006D40B2" w:rsidRPr="002D5BDC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D5BDC">
              <w:rPr>
                <w:b/>
                <w:bCs/>
                <w:color w:val="000000"/>
                <w:sz w:val="18"/>
                <w:szCs w:val="18"/>
              </w:rPr>
              <w:t>Tempo růstu (absolutní změna)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B72350D" w14:textId="77777777" w:rsidR="006D40B2" w:rsidRPr="002D5BD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2D5B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2D5B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769FA02" w14:textId="77777777" w:rsidR="006D40B2" w:rsidRPr="002D5BD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2D5B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2019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2D5B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7A8E0BE" w14:textId="77777777" w:rsidR="006D40B2" w:rsidRPr="002D5BD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2D5B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2020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2D5B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4C28D78" w14:textId="77777777" w:rsidR="006D40B2" w:rsidRPr="002D5BD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2D5B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2021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2D5B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2020</w:t>
            </w:r>
          </w:p>
        </w:tc>
      </w:tr>
      <w:tr w:rsidR="006D40B2" w:rsidRPr="00D71C60" w14:paraId="4F733ED0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BE08" w14:textId="77777777" w:rsidR="006D40B2" w:rsidRPr="002D5BDC" w:rsidRDefault="006D40B2" w:rsidP="006D40B2">
            <w:pPr>
              <w:keepNext/>
              <w:spacing w:after="0"/>
              <w:rPr>
                <w:bCs/>
                <w:color w:val="000000"/>
                <w:sz w:val="18"/>
                <w:szCs w:val="18"/>
              </w:rPr>
            </w:pPr>
            <w:r w:rsidRPr="002D5BDC">
              <w:rPr>
                <w:color w:val="000000"/>
                <w:sz w:val="18"/>
                <w:szCs w:val="18"/>
              </w:rPr>
              <w:t>Výnosy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EC9C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602 560 923,30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DCE3" w14:textId="14D8A961" w:rsidR="006D40B2" w:rsidRPr="002D5BDC" w:rsidRDefault="006D40B2" w:rsidP="006D40B2">
            <w:pPr>
              <w:keepNext/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19 346 060,74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BD7F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1 137 942 225,94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5A1F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C9712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6 376 701 744,30</w:t>
            </w:r>
          </w:p>
        </w:tc>
      </w:tr>
      <w:tr w:rsidR="006D40B2" w:rsidRPr="00D71C60" w14:paraId="3C550FCB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D8C74" w14:textId="77777777" w:rsidR="006D40B2" w:rsidRPr="002D5BDC" w:rsidRDefault="006D40B2" w:rsidP="006D40B2">
            <w:pPr>
              <w:keepNext/>
              <w:spacing w:after="0"/>
              <w:rPr>
                <w:bCs/>
                <w:color w:val="000000"/>
                <w:sz w:val="18"/>
                <w:szCs w:val="18"/>
              </w:rPr>
            </w:pPr>
            <w:r w:rsidRPr="002D5BDC">
              <w:rPr>
                <w:color w:val="000000"/>
                <w:sz w:val="18"/>
                <w:szCs w:val="18"/>
              </w:rPr>
              <w:t>Náklady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1FE48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310 291 142,07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D636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992 279 769,34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CF74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22 374 640 122,21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561B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C9712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1 056 855 408,42</w:t>
            </w:r>
          </w:p>
        </w:tc>
      </w:tr>
      <w:tr w:rsidR="006D40B2" w:rsidRPr="00D71C60" w14:paraId="21DD7A87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64BAB40" w14:textId="56E6A05D" w:rsidR="006D40B2" w:rsidRPr="002D5BDC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D5BDC">
              <w:rPr>
                <w:b/>
                <w:bCs/>
                <w:color w:val="000000"/>
                <w:sz w:val="18"/>
                <w:szCs w:val="18"/>
              </w:rPr>
              <w:t>Tempo růstu v % (relativní změna) (((x+</w:t>
            </w:r>
            <w:proofErr w:type="gramStart"/>
            <w:r w:rsidRPr="002D5BDC">
              <w:rPr>
                <w:b/>
                <w:bCs/>
                <w:color w:val="000000"/>
                <w:sz w:val="18"/>
                <w:szCs w:val="18"/>
              </w:rPr>
              <w:t>1)</w:t>
            </w:r>
            <w:r w:rsidRPr="002D5BDC">
              <w:rPr>
                <w:rFonts w:cs="Calibri"/>
                <w:b/>
                <w:bCs/>
                <w:color w:val="000000"/>
                <w:sz w:val="18"/>
                <w:szCs w:val="18"/>
              </w:rPr>
              <w:t>−</w:t>
            </w:r>
            <w:proofErr w:type="gramEnd"/>
            <w:r w:rsidRPr="002D5BDC">
              <w:rPr>
                <w:b/>
                <w:bCs/>
                <w:color w:val="000000"/>
                <w:sz w:val="18"/>
                <w:szCs w:val="18"/>
              </w:rPr>
              <w:t>x)/x)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×</w:t>
            </w:r>
            <w:r w:rsidRPr="002D5BDC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FF57B2F" w14:textId="77777777" w:rsidR="006D40B2" w:rsidRPr="002D5BDC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2018/2017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783981C" w14:textId="77777777" w:rsidR="006D40B2" w:rsidRPr="002D5BDC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2019/2018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E6F4271" w14:textId="77777777" w:rsidR="006D40B2" w:rsidRPr="002D5BDC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2020/2019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D549B7B" w14:textId="77777777" w:rsidR="006D40B2" w:rsidRPr="002D5BDC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2021/2020</w:t>
            </w:r>
          </w:p>
        </w:tc>
      </w:tr>
      <w:tr w:rsidR="006D40B2" w:rsidRPr="00D71C60" w14:paraId="6419A272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5367" w14:textId="77777777" w:rsidR="006D40B2" w:rsidRPr="002D5BDC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2D5BDC">
              <w:rPr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5F65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66,57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A2BF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-1,28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595F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76,45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5F24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242,79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</w:tr>
      <w:tr w:rsidR="006D40B2" w:rsidRPr="00D71C60" w14:paraId="67D3ED9A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DC5D" w14:textId="77777777" w:rsidR="006D40B2" w:rsidRPr="002D5BDC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2D5BDC">
              <w:rPr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AA4F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4,53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D8053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13,87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D202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274,69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791C" w14:textId="77777777" w:rsidR="006D40B2" w:rsidRPr="002D5BD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3,46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D5B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</w:tr>
    </w:tbl>
    <w:p w14:paraId="484F2342" w14:textId="77777777" w:rsidR="006D40B2" w:rsidRPr="002D5BDC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2D5BDC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2D5BDC">
        <w:rPr>
          <w:rFonts w:cs="Calibri"/>
          <w:color w:val="000000"/>
          <w:sz w:val="20"/>
          <w:szCs w:val="20"/>
          <w:lang w:eastAsia="cs-CZ"/>
        </w:rPr>
        <w:t>výpočet vypracoval NKÚ.</w:t>
      </w:r>
    </w:p>
    <w:p w14:paraId="1F086D8D" w14:textId="77777777" w:rsidR="006D40B2" w:rsidRPr="00D71C60" w:rsidRDefault="006D40B2" w:rsidP="006D40B2">
      <w:pPr>
        <w:jc w:val="both"/>
        <w:rPr>
          <w:rFonts w:cs="Calibri"/>
          <w:highlight w:val="yellow"/>
        </w:rPr>
      </w:pPr>
      <w:r w:rsidRPr="002D5BDC">
        <w:rPr>
          <w:rFonts w:cs="Calibri"/>
        </w:rPr>
        <w:t>K největší relativní změně výnosů ve sledovaném období došlo v kapitole 335 mezi rokem 2020 a 2021, a to k nárůstu o 242,79 %. K největší relativní změně nákladů ve sledovaném období došlo v kapitole 335 mezi rokem 2019 a 2020, a to k nárůstu o 274,69 %.</w:t>
      </w:r>
    </w:p>
    <w:p w14:paraId="215F7425" w14:textId="5261356E" w:rsidR="006D40B2" w:rsidRPr="00F670D4" w:rsidRDefault="006D40B2" w:rsidP="006D40B2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82" w:name="_Toc520714331"/>
      <w:bookmarkStart w:id="83" w:name="_Toc8984538"/>
      <w:bookmarkStart w:id="84" w:name="_Toc72157479"/>
      <w:r w:rsidRPr="00F670D4">
        <w:rPr>
          <w:sz w:val="24"/>
        </w:rPr>
        <w:t xml:space="preserve">Tabulka č. </w:t>
      </w:r>
      <w:r w:rsidRPr="00F670D4">
        <w:rPr>
          <w:sz w:val="24"/>
        </w:rPr>
        <w:fldChar w:fldCharType="begin"/>
      </w:r>
      <w:r w:rsidRPr="00F670D4">
        <w:rPr>
          <w:sz w:val="24"/>
        </w:rPr>
        <w:instrText xml:space="preserve"> SEQ Tabulka \* ARABIC </w:instrText>
      </w:r>
      <w:r w:rsidRPr="00F670D4">
        <w:rPr>
          <w:sz w:val="24"/>
        </w:rPr>
        <w:fldChar w:fldCharType="separate"/>
      </w:r>
      <w:r w:rsidR="009A66D8">
        <w:rPr>
          <w:noProof/>
          <w:sz w:val="24"/>
        </w:rPr>
        <w:t>22</w:t>
      </w:r>
      <w:r w:rsidRPr="00F670D4">
        <w:rPr>
          <w:noProof/>
          <w:sz w:val="24"/>
        </w:rPr>
        <w:fldChar w:fldCharType="end"/>
      </w:r>
      <w:r w:rsidRPr="00F670D4">
        <w:rPr>
          <w:sz w:val="24"/>
        </w:rPr>
        <w:t xml:space="preserve">: Výnosy a náklady </w:t>
      </w:r>
      <w:proofErr w:type="spellStart"/>
      <w:r w:rsidRPr="00F670D4">
        <w:rPr>
          <w:sz w:val="24"/>
        </w:rPr>
        <w:t>MZ</w:t>
      </w:r>
      <w:r>
        <w:rPr>
          <w:sz w:val="24"/>
        </w:rPr>
        <w:t>d</w:t>
      </w:r>
      <w:proofErr w:type="spellEnd"/>
      <w:r w:rsidRPr="00F670D4">
        <w:rPr>
          <w:sz w:val="24"/>
        </w:rPr>
        <w:t xml:space="preserve"> </w:t>
      </w:r>
      <w:r>
        <w:rPr>
          <w:sz w:val="24"/>
        </w:rPr>
        <w:tab/>
      </w:r>
      <w:r w:rsidRPr="00F670D4">
        <w:rPr>
          <w:sz w:val="24"/>
        </w:rPr>
        <w:t>(v Kč)</w:t>
      </w:r>
      <w:bookmarkEnd w:id="82"/>
      <w:bookmarkEnd w:id="83"/>
      <w:bookmarkEnd w:id="8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1567"/>
        <w:gridCol w:w="1567"/>
        <w:gridCol w:w="1568"/>
        <w:gridCol w:w="1493"/>
        <w:gridCol w:w="1570"/>
      </w:tblGrid>
      <w:tr w:rsidR="006D40B2" w:rsidRPr="00D71C60" w14:paraId="33A8EB5E" w14:textId="77777777" w:rsidTr="006D40B2">
        <w:trPr>
          <w:trHeight w:val="25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5F77293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0F36803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4EA2988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6483C91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C4871C0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2409BE1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733FF95D" w14:textId="77777777" w:rsidTr="006D40B2">
        <w:trPr>
          <w:trHeight w:val="255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4CE3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49535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340 276 384,69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C5BB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933 664 883,48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A689B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869 434 110,38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BDBB4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1 821 237 393,25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83041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8 303 927 937,94</w:t>
            </w:r>
          </w:p>
        </w:tc>
      </w:tr>
      <w:tr w:rsidR="006D40B2" w:rsidRPr="00D71C60" w14:paraId="59B4513A" w14:textId="77777777" w:rsidTr="006D40B2">
        <w:trPr>
          <w:trHeight w:val="255"/>
        </w:trPr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E571F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147A8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4 545 251 475,34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6DA90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4 743 055 440,47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B9AC3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5 531 511 405,32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CD326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27 488 627 668,98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D4E5E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28 434 018 541,04</w:t>
            </w:r>
          </w:p>
        </w:tc>
      </w:tr>
    </w:tbl>
    <w:p w14:paraId="759CF92E" w14:textId="77777777" w:rsidR="006D40B2" w:rsidRPr="00D71C60" w:rsidRDefault="006D40B2" w:rsidP="006D40B2">
      <w:pPr>
        <w:spacing w:before="40"/>
        <w:rPr>
          <w:rFonts w:cs="Calibri"/>
          <w:bCs/>
          <w:color w:val="000000"/>
          <w:sz w:val="20"/>
          <w:szCs w:val="20"/>
          <w:highlight w:val="yellow"/>
          <w:lang w:eastAsia="cs-CZ"/>
        </w:rPr>
      </w:pPr>
      <w:bookmarkStart w:id="85" w:name="_Toc520714332"/>
      <w:r w:rsidRPr="00F670D4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F670D4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 w:rsidRPr="00247616">
        <w:rPr>
          <w:rFonts w:cs="Calibri"/>
          <w:color w:val="000000"/>
          <w:sz w:val="20"/>
          <w:szCs w:val="20"/>
          <w:lang w:eastAsia="cs-CZ"/>
        </w:rPr>
        <w:t>MONITOR, informace zjištěné v průběhu kontroly.</w:t>
      </w:r>
    </w:p>
    <w:p w14:paraId="2210551F" w14:textId="6B013184" w:rsidR="006D40B2" w:rsidRPr="00F670D4" w:rsidRDefault="006D40B2" w:rsidP="006D40B2">
      <w:pPr>
        <w:pStyle w:val="Titulek1"/>
        <w:rPr>
          <w:sz w:val="24"/>
        </w:rPr>
      </w:pPr>
      <w:bookmarkStart w:id="86" w:name="_Toc8984539"/>
      <w:bookmarkStart w:id="87" w:name="_Toc72157480"/>
      <w:r w:rsidRPr="00F670D4">
        <w:rPr>
          <w:sz w:val="24"/>
        </w:rPr>
        <w:t xml:space="preserve">Tabulka č. </w:t>
      </w:r>
      <w:r w:rsidRPr="00F670D4">
        <w:rPr>
          <w:sz w:val="24"/>
        </w:rPr>
        <w:fldChar w:fldCharType="begin"/>
      </w:r>
      <w:r w:rsidRPr="00F670D4">
        <w:rPr>
          <w:sz w:val="24"/>
        </w:rPr>
        <w:instrText xml:space="preserve"> SEQ Tabulka \* ARABIC </w:instrText>
      </w:r>
      <w:r w:rsidRPr="00F670D4">
        <w:rPr>
          <w:sz w:val="24"/>
        </w:rPr>
        <w:fldChar w:fldCharType="separate"/>
      </w:r>
      <w:r w:rsidR="009A66D8">
        <w:rPr>
          <w:noProof/>
          <w:sz w:val="24"/>
        </w:rPr>
        <w:t>23</w:t>
      </w:r>
      <w:r w:rsidRPr="00F670D4">
        <w:rPr>
          <w:noProof/>
          <w:sz w:val="24"/>
        </w:rPr>
        <w:fldChar w:fldCharType="end"/>
      </w:r>
      <w:r w:rsidRPr="00F670D4">
        <w:rPr>
          <w:sz w:val="24"/>
        </w:rPr>
        <w:t xml:space="preserve">: Tempo růstu výnosů a nákladů </w:t>
      </w:r>
      <w:bookmarkEnd w:id="85"/>
      <w:bookmarkEnd w:id="86"/>
      <w:proofErr w:type="spellStart"/>
      <w:r w:rsidRPr="00F670D4">
        <w:rPr>
          <w:sz w:val="24"/>
        </w:rPr>
        <w:t>M</w:t>
      </w:r>
      <w:bookmarkEnd w:id="87"/>
      <w:r w:rsidRPr="00F670D4">
        <w:rPr>
          <w:sz w:val="24"/>
        </w:rPr>
        <w:t>Z</w:t>
      </w:r>
      <w:r>
        <w:rPr>
          <w:sz w:val="24"/>
        </w:rPr>
        <w:t>d</w:t>
      </w:r>
      <w:proofErr w:type="spellEnd"/>
    </w:p>
    <w:tbl>
      <w:tblPr>
        <w:tblW w:w="90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559"/>
        <w:gridCol w:w="1559"/>
        <w:gridCol w:w="1560"/>
        <w:gridCol w:w="1560"/>
      </w:tblGrid>
      <w:tr w:rsidR="006D40B2" w:rsidRPr="00D71C60" w14:paraId="7A42291E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79E4008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b/>
                <w:bCs/>
                <w:color w:val="000000"/>
                <w:sz w:val="18"/>
                <w:szCs w:val="18"/>
              </w:rPr>
              <w:t>Tempo růstu (absolutní změna)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D0B4E78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2018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F670D4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5CE2A15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2019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F670D4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1315554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2020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F670D4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CA327FE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2021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F670D4">
              <w:rPr>
                <w:b/>
                <w:sz w:val="18"/>
                <w:szCs w:val="18"/>
              </w:rPr>
              <w:t>2020</w:t>
            </w:r>
          </w:p>
        </w:tc>
      </w:tr>
      <w:tr w:rsidR="006D40B2" w:rsidRPr="00D71C60" w14:paraId="6F137064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5424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color w:val="000000"/>
                <w:sz w:val="18"/>
                <w:szCs w:val="18"/>
              </w:rPr>
              <w:t>Výnosy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C6D0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593 388 498,79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FC51" w14:textId="4A4ABBC1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64 230 773,10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98DA" w14:textId="77777777" w:rsidR="006D40B2" w:rsidRPr="00F670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951 803 282,87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7AC8D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D70062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6 482 690 544,69</w:t>
            </w:r>
          </w:p>
        </w:tc>
      </w:tr>
      <w:tr w:rsidR="006D40B2" w:rsidRPr="00D71C60" w14:paraId="2D33924D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B9DFE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color w:val="000000"/>
                <w:sz w:val="18"/>
                <w:szCs w:val="18"/>
              </w:rPr>
              <w:t>Náklady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083E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197 803 965,13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E0CBC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788 455 964,85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7CD0" w14:textId="77777777" w:rsidR="006D40B2" w:rsidRPr="00F670D4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21 957 116 263,66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FFC6C" w14:textId="77777777" w:rsidR="006D40B2" w:rsidRPr="00F670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945 390 872,06</w:t>
            </w:r>
          </w:p>
        </w:tc>
      </w:tr>
      <w:tr w:rsidR="006D40B2" w:rsidRPr="00D71C60" w14:paraId="4BDB4163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E80705C" w14:textId="3011B9E6" w:rsidR="006D40B2" w:rsidRPr="00F670D4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b/>
                <w:bCs/>
                <w:color w:val="000000"/>
                <w:sz w:val="18"/>
                <w:szCs w:val="18"/>
              </w:rPr>
              <w:t>Tempo růstu v % (relativní změna) (((x+</w:t>
            </w:r>
            <w:proofErr w:type="gramStart"/>
            <w:r w:rsidRPr="00F670D4">
              <w:rPr>
                <w:b/>
                <w:bCs/>
                <w:color w:val="000000"/>
                <w:sz w:val="18"/>
                <w:szCs w:val="18"/>
              </w:rPr>
              <w:t>1)</w:t>
            </w:r>
            <w:r w:rsidRPr="00F670D4">
              <w:rPr>
                <w:rFonts w:cs="Calibri"/>
                <w:b/>
                <w:bCs/>
                <w:color w:val="000000"/>
                <w:sz w:val="18"/>
                <w:szCs w:val="18"/>
              </w:rPr>
              <w:t>−</w:t>
            </w:r>
            <w:proofErr w:type="gramEnd"/>
            <w:r w:rsidRPr="00F670D4">
              <w:rPr>
                <w:b/>
                <w:bCs/>
                <w:color w:val="000000"/>
                <w:sz w:val="18"/>
                <w:szCs w:val="18"/>
              </w:rPr>
              <w:t>x)/x)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×</w:t>
            </w:r>
            <w:r w:rsidRPr="00F670D4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06351D7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b/>
                <w:sz w:val="18"/>
                <w:szCs w:val="18"/>
              </w:rPr>
              <w:t>2018/2017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D476578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b/>
                <w:sz w:val="18"/>
                <w:szCs w:val="18"/>
              </w:rPr>
              <w:t>2019/2018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70C878E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b/>
                <w:sz w:val="18"/>
                <w:szCs w:val="18"/>
              </w:rPr>
              <w:t>2020/2019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6B9400E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b/>
                <w:sz w:val="18"/>
                <w:szCs w:val="18"/>
              </w:rPr>
              <w:t>2021/2020</w:t>
            </w:r>
          </w:p>
        </w:tc>
      </w:tr>
      <w:tr w:rsidR="006D40B2" w:rsidRPr="00D71C60" w14:paraId="37A7D918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846D0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56DA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174,38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DD95D" w14:textId="33157DC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6,88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9B7A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109,47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773A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355,95 </w:t>
            </w:r>
            <w:r w:rsidRPr="00D70062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</w:tr>
      <w:tr w:rsidR="006D40B2" w:rsidRPr="00D71C60" w14:paraId="47361672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C49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FB9B2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4,35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BEF3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16,62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14F96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396,95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0921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3,44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%</w:t>
            </w:r>
          </w:p>
        </w:tc>
      </w:tr>
    </w:tbl>
    <w:p w14:paraId="0107FCFE" w14:textId="77777777" w:rsidR="006D40B2" w:rsidRPr="00F670D4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bookmarkStart w:id="88" w:name="_Toc520714941"/>
      <w:r w:rsidRPr="00F670D4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F670D4">
        <w:rPr>
          <w:rFonts w:cs="Calibri"/>
          <w:color w:val="000000"/>
          <w:sz w:val="20"/>
          <w:szCs w:val="20"/>
          <w:lang w:eastAsia="cs-CZ"/>
        </w:rPr>
        <w:t>výpočet vypracoval NKÚ.</w:t>
      </w:r>
    </w:p>
    <w:bookmarkEnd w:id="88"/>
    <w:p w14:paraId="2A814D21" w14:textId="77777777" w:rsidR="006D40B2" w:rsidRPr="00F670D4" w:rsidRDefault="006D40B2" w:rsidP="006D40B2">
      <w:pPr>
        <w:jc w:val="both"/>
        <w:rPr>
          <w:rFonts w:cs="Calibri"/>
        </w:rPr>
      </w:pPr>
      <w:r w:rsidRPr="00F670D4">
        <w:rPr>
          <w:rFonts w:cs="Calibri"/>
        </w:rPr>
        <w:t xml:space="preserve">K největší relativní změně výnosů ve sledovaném období došlo u </w:t>
      </w:r>
      <w:proofErr w:type="spellStart"/>
      <w:r w:rsidRPr="00F670D4">
        <w:rPr>
          <w:rFonts w:cs="Calibri"/>
        </w:rPr>
        <w:t>MZ</w:t>
      </w:r>
      <w:r>
        <w:rPr>
          <w:rFonts w:cs="Calibri"/>
        </w:rPr>
        <w:t>d</w:t>
      </w:r>
      <w:proofErr w:type="spellEnd"/>
      <w:r w:rsidRPr="00F670D4">
        <w:rPr>
          <w:rFonts w:cs="Calibri"/>
        </w:rPr>
        <w:t xml:space="preserve"> mezi rokem 2020 a 2021, a to k nárůstu o 355,95 %.</w:t>
      </w:r>
    </w:p>
    <w:p w14:paraId="3D78AEF3" w14:textId="77777777" w:rsidR="006D40B2" w:rsidRPr="00D71C60" w:rsidRDefault="006D40B2" w:rsidP="006D40B2">
      <w:pPr>
        <w:jc w:val="both"/>
        <w:rPr>
          <w:rFonts w:cs="Calibri"/>
          <w:highlight w:val="yellow"/>
        </w:rPr>
      </w:pPr>
      <w:r w:rsidRPr="00F670D4">
        <w:rPr>
          <w:rFonts w:cs="Calibri"/>
        </w:rPr>
        <w:lastRenderedPageBreak/>
        <w:t xml:space="preserve">K největší relativní změně nákladů ve sledovaném období došlo u </w:t>
      </w:r>
      <w:proofErr w:type="spellStart"/>
      <w:r w:rsidRPr="00F670D4">
        <w:rPr>
          <w:rFonts w:cs="Calibri"/>
        </w:rPr>
        <w:t>MZ</w:t>
      </w:r>
      <w:r>
        <w:rPr>
          <w:rFonts w:cs="Calibri"/>
        </w:rPr>
        <w:t>d</w:t>
      </w:r>
      <w:proofErr w:type="spellEnd"/>
      <w:r w:rsidRPr="00F670D4">
        <w:rPr>
          <w:rFonts w:cs="Calibri"/>
        </w:rPr>
        <w:t xml:space="preserve"> mezi rokem 2019 a</w:t>
      </w:r>
      <w:r>
        <w:rPr>
          <w:rFonts w:cs="Calibri"/>
        </w:rPr>
        <w:t> </w:t>
      </w:r>
      <w:r w:rsidRPr="00F670D4">
        <w:rPr>
          <w:rFonts w:cs="Calibri"/>
        </w:rPr>
        <w:t>2020, a to k nárůstu o 396,95 %.</w:t>
      </w:r>
    </w:p>
    <w:p w14:paraId="59DC7BF3" w14:textId="7B7726C2" w:rsidR="006D40B2" w:rsidRPr="00F670D4" w:rsidRDefault="006D40B2" w:rsidP="006D40B2">
      <w:pPr>
        <w:pStyle w:val="Titulek1"/>
        <w:tabs>
          <w:tab w:val="clear" w:pos="9356"/>
          <w:tab w:val="right" w:pos="9072"/>
        </w:tabs>
        <w:rPr>
          <w:sz w:val="24"/>
        </w:rPr>
      </w:pPr>
      <w:bookmarkStart w:id="89" w:name="_Toc520714333"/>
      <w:bookmarkStart w:id="90" w:name="_Toc8984540"/>
      <w:bookmarkStart w:id="91" w:name="_Toc72157481"/>
      <w:r w:rsidRPr="00F670D4">
        <w:rPr>
          <w:sz w:val="24"/>
        </w:rPr>
        <w:t xml:space="preserve">Tabulka č. </w:t>
      </w:r>
      <w:r w:rsidRPr="00F670D4">
        <w:rPr>
          <w:sz w:val="24"/>
        </w:rPr>
        <w:fldChar w:fldCharType="begin"/>
      </w:r>
      <w:r w:rsidRPr="00F670D4">
        <w:rPr>
          <w:sz w:val="24"/>
        </w:rPr>
        <w:instrText xml:space="preserve"> SEQ Tabulka \* ARABIC </w:instrText>
      </w:r>
      <w:r w:rsidRPr="00F670D4">
        <w:rPr>
          <w:sz w:val="24"/>
        </w:rPr>
        <w:fldChar w:fldCharType="separate"/>
      </w:r>
      <w:r w:rsidR="009A66D8">
        <w:rPr>
          <w:noProof/>
          <w:sz w:val="24"/>
        </w:rPr>
        <w:t>24</w:t>
      </w:r>
      <w:r w:rsidRPr="00F670D4">
        <w:rPr>
          <w:noProof/>
          <w:sz w:val="24"/>
        </w:rPr>
        <w:fldChar w:fldCharType="end"/>
      </w:r>
      <w:r w:rsidRPr="00F670D4">
        <w:rPr>
          <w:sz w:val="24"/>
        </w:rPr>
        <w:t xml:space="preserve">: Výnosy a náklady OSS v rozpočtové kapitole 335 (bez </w:t>
      </w:r>
      <w:proofErr w:type="spellStart"/>
      <w:r w:rsidRPr="00F670D4">
        <w:rPr>
          <w:sz w:val="24"/>
        </w:rPr>
        <w:t>MZ</w:t>
      </w:r>
      <w:r>
        <w:rPr>
          <w:sz w:val="24"/>
        </w:rPr>
        <w:t>d</w:t>
      </w:r>
      <w:proofErr w:type="spellEnd"/>
      <w:r w:rsidR="009078DD">
        <w:rPr>
          <w:sz w:val="24"/>
        </w:rPr>
        <w:t>)</w:t>
      </w:r>
      <w:r w:rsidRPr="00F670D4">
        <w:rPr>
          <w:sz w:val="24"/>
        </w:rPr>
        <w:t xml:space="preserve"> </w:t>
      </w:r>
      <w:r w:rsidR="009078DD">
        <w:rPr>
          <w:sz w:val="24"/>
        </w:rPr>
        <w:tab/>
        <w:t>(</w:t>
      </w:r>
      <w:r w:rsidRPr="00F670D4">
        <w:rPr>
          <w:sz w:val="24"/>
        </w:rPr>
        <w:t>v Kč)</w:t>
      </w:r>
      <w:bookmarkEnd w:id="89"/>
      <w:bookmarkEnd w:id="90"/>
      <w:bookmarkEnd w:id="91"/>
    </w:p>
    <w:tbl>
      <w:tblPr>
        <w:tblW w:w="495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1571"/>
        <w:gridCol w:w="1571"/>
        <w:gridCol w:w="1571"/>
        <w:gridCol w:w="1485"/>
        <w:gridCol w:w="1483"/>
      </w:tblGrid>
      <w:tr w:rsidR="006D40B2" w:rsidRPr="00D71C60" w14:paraId="57CBF7C6" w14:textId="77777777" w:rsidTr="006D40B2">
        <w:trPr>
          <w:trHeight w:val="25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A8C0F5C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A3646D0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F478649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5F76780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F4A7031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5BEE7B6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2CE1C231" w14:textId="77777777" w:rsidTr="006D40B2">
        <w:trPr>
          <w:trHeight w:val="255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D4BC8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1243B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564 944 897,76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A67B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574 117 322,27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7542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619 002 034,63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1DC6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805 140 977,70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02A1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699 152 177,31</w:t>
            </w:r>
          </w:p>
        </w:tc>
      </w:tr>
      <w:tr w:rsidR="006D40B2" w:rsidRPr="00D71C60" w14:paraId="753F3D75" w14:textId="77777777" w:rsidTr="006D40B2">
        <w:trPr>
          <w:trHeight w:val="255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39443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AC9A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2 297 574 676,25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56E6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2 410 061 853,19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B647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2 613 885 657,68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C465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3 031 409 516,23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32140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3 142 874 052,59</w:t>
            </w:r>
          </w:p>
        </w:tc>
      </w:tr>
    </w:tbl>
    <w:p w14:paraId="1625ADF6" w14:textId="77777777" w:rsidR="006D40B2" w:rsidRPr="00F670D4" w:rsidRDefault="006D40B2" w:rsidP="006D40B2">
      <w:pPr>
        <w:spacing w:before="40"/>
        <w:rPr>
          <w:rFonts w:cs="Calibri"/>
          <w:bCs/>
          <w:color w:val="000000"/>
          <w:sz w:val="20"/>
          <w:szCs w:val="20"/>
          <w:lang w:eastAsia="cs-CZ"/>
        </w:rPr>
      </w:pPr>
      <w:bookmarkStart w:id="92" w:name="_Toc520714334"/>
      <w:r w:rsidRPr="00F670D4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F670D4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3E8F84F8" w14:textId="0D6F054F" w:rsidR="006D40B2" w:rsidRPr="00F670D4" w:rsidRDefault="006D40B2" w:rsidP="006D40B2">
      <w:pPr>
        <w:pStyle w:val="Titulek1"/>
        <w:rPr>
          <w:sz w:val="24"/>
        </w:rPr>
      </w:pPr>
      <w:bookmarkStart w:id="93" w:name="_Toc8984541"/>
      <w:bookmarkStart w:id="94" w:name="_Toc72157482"/>
      <w:r w:rsidRPr="00F670D4">
        <w:rPr>
          <w:sz w:val="24"/>
        </w:rPr>
        <w:t xml:space="preserve">Tabulka č. </w:t>
      </w:r>
      <w:r w:rsidRPr="00F670D4">
        <w:rPr>
          <w:sz w:val="24"/>
        </w:rPr>
        <w:fldChar w:fldCharType="begin"/>
      </w:r>
      <w:r w:rsidRPr="00F670D4">
        <w:rPr>
          <w:sz w:val="24"/>
        </w:rPr>
        <w:instrText xml:space="preserve"> SEQ Tabulka \* ARABIC </w:instrText>
      </w:r>
      <w:r w:rsidRPr="00F670D4">
        <w:rPr>
          <w:sz w:val="24"/>
        </w:rPr>
        <w:fldChar w:fldCharType="separate"/>
      </w:r>
      <w:r w:rsidR="009A66D8">
        <w:rPr>
          <w:noProof/>
          <w:sz w:val="24"/>
        </w:rPr>
        <w:t>25</w:t>
      </w:r>
      <w:r w:rsidRPr="00F670D4">
        <w:rPr>
          <w:noProof/>
          <w:sz w:val="24"/>
        </w:rPr>
        <w:fldChar w:fldCharType="end"/>
      </w:r>
      <w:r w:rsidRPr="00F670D4">
        <w:rPr>
          <w:sz w:val="24"/>
        </w:rPr>
        <w:t xml:space="preserve">: Tempo růstu výnosů a nákladů OSS v rozpočtové kapitole 335 (bez </w:t>
      </w:r>
      <w:proofErr w:type="spellStart"/>
      <w:r w:rsidRPr="00F670D4">
        <w:rPr>
          <w:sz w:val="24"/>
        </w:rPr>
        <w:t>MZ</w:t>
      </w:r>
      <w:r>
        <w:rPr>
          <w:sz w:val="24"/>
        </w:rPr>
        <w:t>d</w:t>
      </w:r>
      <w:proofErr w:type="spellEnd"/>
      <w:r w:rsidRPr="00F670D4">
        <w:rPr>
          <w:sz w:val="24"/>
        </w:rPr>
        <w:t>)</w:t>
      </w:r>
      <w:bookmarkEnd w:id="92"/>
      <w:bookmarkEnd w:id="93"/>
      <w:bookmarkEnd w:id="94"/>
    </w:p>
    <w:tbl>
      <w:tblPr>
        <w:tblW w:w="90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559"/>
        <w:gridCol w:w="1559"/>
        <w:gridCol w:w="1560"/>
        <w:gridCol w:w="1560"/>
      </w:tblGrid>
      <w:tr w:rsidR="006D40B2" w:rsidRPr="00D71C60" w14:paraId="52F06A09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2ECE654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b/>
                <w:bCs/>
                <w:color w:val="000000"/>
                <w:sz w:val="18"/>
                <w:szCs w:val="18"/>
              </w:rPr>
              <w:t>Tempo růstu (absolutní změna)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54CDBE2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2018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F670D4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09C7639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2019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F670D4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D702BC5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2020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F670D4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34BEDD9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F670D4">
              <w:rPr>
                <w:b/>
                <w:sz w:val="18"/>
                <w:szCs w:val="18"/>
              </w:rPr>
              <w:t>2021</w:t>
            </w:r>
            <w:r w:rsidRPr="00854492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Pr="00F670D4">
              <w:rPr>
                <w:b/>
                <w:sz w:val="18"/>
                <w:szCs w:val="18"/>
              </w:rPr>
              <w:t>2020</w:t>
            </w:r>
          </w:p>
        </w:tc>
      </w:tr>
      <w:tr w:rsidR="006D40B2" w:rsidRPr="00D71C60" w14:paraId="65722C22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AAB1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color w:val="000000"/>
                <w:sz w:val="18"/>
                <w:szCs w:val="18"/>
              </w:rPr>
              <w:t>Výnosy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136D2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9 172 424,51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0ED22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44 884 712,36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5F8D5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186 138 943,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7E829" w14:textId="7553BDA3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Pr="00F670D4">
              <w:rPr>
                <w:sz w:val="18"/>
                <w:szCs w:val="18"/>
              </w:rPr>
              <w:t>105 988 800,</w:t>
            </w:r>
            <w:r>
              <w:rPr>
                <w:sz w:val="18"/>
                <w:szCs w:val="18"/>
              </w:rPr>
              <w:t>39</w:t>
            </w:r>
          </w:p>
        </w:tc>
      </w:tr>
      <w:tr w:rsidR="006D40B2" w:rsidRPr="00D71C60" w14:paraId="4F5A39C6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F9E1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color w:val="000000"/>
                <w:sz w:val="18"/>
                <w:szCs w:val="18"/>
              </w:rPr>
              <w:t>Náklady celkem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60B4C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112 487 176,94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C454B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203 823 804,49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B0A31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417 523 858,</w:t>
            </w:r>
            <w:r>
              <w:rPr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2B944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111 464 536,</w:t>
            </w:r>
            <w:r>
              <w:rPr>
                <w:sz w:val="18"/>
                <w:szCs w:val="18"/>
              </w:rPr>
              <w:t>36</w:t>
            </w:r>
          </w:p>
        </w:tc>
      </w:tr>
      <w:tr w:rsidR="006D40B2" w:rsidRPr="00D71C60" w14:paraId="013D6101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3673320" w14:textId="289EFE97" w:rsidR="006D40B2" w:rsidRPr="00F670D4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b/>
                <w:bCs/>
                <w:color w:val="000000"/>
                <w:sz w:val="18"/>
                <w:szCs w:val="18"/>
              </w:rPr>
              <w:t>Tempo růstu v % (relativní změna) (((x+</w:t>
            </w:r>
            <w:proofErr w:type="gramStart"/>
            <w:r w:rsidRPr="00F670D4">
              <w:rPr>
                <w:b/>
                <w:bCs/>
                <w:color w:val="000000"/>
                <w:sz w:val="18"/>
                <w:szCs w:val="18"/>
              </w:rPr>
              <w:t>1)</w:t>
            </w:r>
            <w:r w:rsidRPr="00F670D4">
              <w:rPr>
                <w:rFonts w:cs="Calibri"/>
                <w:b/>
                <w:bCs/>
                <w:color w:val="000000"/>
                <w:sz w:val="18"/>
                <w:szCs w:val="18"/>
              </w:rPr>
              <w:t>−</w:t>
            </w:r>
            <w:proofErr w:type="gramEnd"/>
            <w:r w:rsidRPr="00F670D4">
              <w:rPr>
                <w:b/>
                <w:bCs/>
                <w:color w:val="000000"/>
                <w:sz w:val="18"/>
                <w:szCs w:val="18"/>
              </w:rPr>
              <w:t>x)/x)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×</w:t>
            </w:r>
            <w:r w:rsidRPr="00F670D4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921366E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b/>
                <w:sz w:val="18"/>
                <w:szCs w:val="18"/>
              </w:rPr>
              <w:t>2018/2017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A31F1B4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b/>
                <w:sz w:val="18"/>
                <w:szCs w:val="18"/>
              </w:rPr>
              <w:t>2019/2018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91254C3" w14:textId="77777777" w:rsidR="006D40B2" w:rsidRPr="00F670D4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b/>
                <w:sz w:val="18"/>
                <w:szCs w:val="18"/>
              </w:rPr>
              <w:t>2020/2019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F4ABCE4" w14:textId="7699C1BE" w:rsidR="006D40B2" w:rsidRPr="00F670D4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b/>
                <w:sz w:val="18"/>
                <w:szCs w:val="18"/>
              </w:rPr>
              <w:t>2021</w:t>
            </w:r>
            <w:r w:rsidR="009078DD">
              <w:rPr>
                <w:b/>
                <w:sz w:val="18"/>
                <w:szCs w:val="18"/>
              </w:rPr>
              <w:t>/</w:t>
            </w:r>
            <w:r w:rsidRPr="00F670D4">
              <w:rPr>
                <w:b/>
                <w:sz w:val="18"/>
                <w:szCs w:val="18"/>
              </w:rPr>
              <w:t>2020</w:t>
            </w:r>
          </w:p>
        </w:tc>
      </w:tr>
      <w:tr w:rsidR="006D40B2" w:rsidRPr="00D71C60" w14:paraId="56920A13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259A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color w:val="000000"/>
                <w:sz w:val="18"/>
                <w:szCs w:val="18"/>
              </w:rPr>
              <w:t>Výnosy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24E4E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1,62</w:t>
            </w:r>
            <w:r>
              <w:rPr>
                <w:sz w:val="18"/>
                <w:szCs w:val="18"/>
              </w:rPr>
              <w:t xml:space="preserve"> </w:t>
            </w:r>
            <w:r w:rsidRPr="00F670D4"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2BEA6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7,82</w:t>
            </w:r>
            <w:r>
              <w:rPr>
                <w:sz w:val="18"/>
                <w:szCs w:val="18"/>
              </w:rPr>
              <w:t xml:space="preserve"> </w:t>
            </w:r>
            <w:r w:rsidRPr="00F670D4">
              <w:rPr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899E5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30,07</w:t>
            </w:r>
            <w:r>
              <w:rPr>
                <w:sz w:val="18"/>
                <w:szCs w:val="18"/>
              </w:rPr>
              <w:t xml:space="preserve"> </w:t>
            </w:r>
            <w:r w:rsidRPr="00F670D4">
              <w:rPr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4C624" w14:textId="03AA7C88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sz w:val="18"/>
                <w:szCs w:val="18"/>
              </w:rPr>
              <w:t>−</w:t>
            </w:r>
            <w:r w:rsidRPr="00F670D4">
              <w:rPr>
                <w:sz w:val="18"/>
                <w:szCs w:val="18"/>
              </w:rPr>
              <w:t>13,16</w:t>
            </w:r>
            <w:r>
              <w:rPr>
                <w:sz w:val="18"/>
                <w:szCs w:val="18"/>
              </w:rPr>
              <w:t xml:space="preserve"> </w:t>
            </w:r>
            <w:r w:rsidRPr="00F670D4">
              <w:rPr>
                <w:sz w:val="18"/>
                <w:szCs w:val="18"/>
              </w:rPr>
              <w:t>%</w:t>
            </w:r>
          </w:p>
        </w:tc>
      </w:tr>
      <w:tr w:rsidR="006D40B2" w:rsidRPr="00D71C60" w14:paraId="6DFE535F" w14:textId="77777777" w:rsidTr="006D40B2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9612E" w14:textId="77777777" w:rsidR="006D40B2" w:rsidRPr="00F670D4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8"/>
                <w:szCs w:val="18"/>
                <w:lang w:eastAsia="cs-CZ"/>
              </w:rPr>
            </w:pPr>
            <w:r w:rsidRPr="00F670D4">
              <w:rPr>
                <w:color w:val="000000"/>
                <w:sz w:val="18"/>
                <w:szCs w:val="18"/>
              </w:rPr>
              <w:t>Náklady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1F93B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4,90</w:t>
            </w:r>
            <w:r>
              <w:rPr>
                <w:sz w:val="18"/>
                <w:szCs w:val="18"/>
              </w:rPr>
              <w:t xml:space="preserve"> </w:t>
            </w:r>
            <w:r w:rsidRPr="00F670D4"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305E7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8,46</w:t>
            </w:r>
            <w:r>
              <w:rPr>
                <w:sz w:val="18"/>
                <w:szCs w:val="18"/>
              </w:rPr>
              <w:t xml:space="preserve"> </w:t>
            </w:r>
            <w:r w:rsidRPr="00F670D4">
              <w:rPr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654F9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15,97</w:t>
            </w:r>
            <w:r>
              <w:rPr>
                <w:sz w:val="18"/>
                <w:szCs w:val="18"/>
              </w:rPr>
              <w:t xml:space="preserve"> </w:t>
            </w:r>
            <w:r w:rsidRPr="00F670D4">
              <w:rPr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69712" w14:textId="77777777" w:rsidR="006D40B2" w:rsidRPr="00F670D4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F670D4">
              <w:rPr>
                <w:sz w:val="18"/>
                <w:szCs w:val="18"/>
              </w:rPr>
              <w:t>3,68</w:t>
            </w:r>
            <w:r>
              <w:rPr>
                <w:sz w:val="18"/>
                <w:szCs w:val="18"/>
              </w:rPr>
              <w:t xml:space="preserve"> </w:t>
            </w:r>
            <w:r w:rsidRPr="00F670D4">
              <w:rPr>
                <w:sz w:val="18"/>
                <w:szCs w:val="18"/>
              </w:rPr>
              <w:t>%</w:t>
            </w:r>
          </w:p>
        </w:tc>
      </w:tr>
    </w:tbl>
    <w:p w14:paraId="50D14870" w14:textId="77777777" w:rsidR="006D40B2" w:rsidRPr="00FC3830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FC3830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FC3830">
        <w:rPr>
          <w:rFonts w:cs="Calibri"/>
          <w:color w:val="000000"/>
          <w:sz w:val="20"/>
          <w:szCs w:val="20"/>
          <w:lang w:eastAsia="cs-CZ"/>
        </w:rPr>
        <w:t>výpočet vypracoval NKÚ.</w:t>
      </w:r>
    </w:p>
    <w:p w14:paraId="07D4E44E" w14:textId="3E780D1A" w:rsidR="006D40B2" w:rsidRPr="00FC3830" w:rsidRDefault="006D40B2" w:rsidP="006D40B2">
      <w:pPr>
        <w:jc w:val="both"/>
        <w:rPr>
          <w:rFonts w:cs="Calibri"/>
        </w:rPr>
      </w:pPr>
      <w:r w:rsidRPr="00FC3830">
        <w:rPr>
          <w:rFonts w:cs="Calibri"/>
        </w:rPr>
        <w:t xml:space="preserve">K největší relativní změně výnosů ve sledovaném období došlo u OSS (bez </w:t>
      </w:r>
      <w:proofErr w:type="spellStart"/>
      <w:r w:rsidRPr="00FC3830">
        <w:rPr>
          <w:rFonts w:cs="Calibri"/>
        </w:rPr>
        <w:t>MZ</w:t>
      </w:r>
      <w:r>
        <w:rPr>
          <w:rFonts w:cs="Calibri"/>
        </w:rPr>
        <w:t>d</w:t>
      </w:r>
      <w:proofErr w:type="spellEnd"/>
      <w:r w:rsidRPr="00FC3830">
        <w:rPr>
          <w:rFonts w:cs="Calibri"/>
        </w:rPr>
        <w:t xml:space="preserve">) mezi rokem 2019 a 2020, a to k </w:t>
      </w:r>
      <w:r w:rsidR="009078DD">
        <w:rPr>
          <w:rFonts w:cs="Calibri"/>
        </w:rPr>
        <w:t>růstu</w:t>
      </w:r>
      <w:r w:rsidRPr="00FC3830">
        <w:rPr>
          <w:rFonts w:cs="Calibri"/>
        </w:rPr>
        <w:t xml:space="preserve"> o 30,07 %.</w:t>
      </w:r>
    </w:p>
    <w:p w14:paraId="0D47423B" w14:textId="77777777" w:rsidR="006D40B2" w:rsidRPr="00D71C60" w:rsidRDefault="006D40B2" w:rsidP="006D40B2">
      <w:pPr>
        <w:spacing w:after="0"/>
        <w:jc w:val="both"/>
        <w:rPr>
          <w:rFonts w:cs="Calibri"/>
          <w:highlight w:val="yellow"/>
        </w:rPr>
      </w:pPr>
      <w:r w:rsidRPr="00FC3830">
        <w:rPr>
          <w:rFonts w:cs="Calibri"/>
        </w:rPr>
        <w:t xml:space="preserve">K největší relativní změně nákladů ve sledovaném období došlo u OSS (bez </w:t>
      </w:r>
      <w:proofErr w:type="spellStart"/>
      <w:r w:rsidRPr="00FC3830">
        <w:rPr>
          <w:rFonts w:cs="Calibri"/>
        </w:rPr>
        <w:t>MZ</w:t>
      </w:r>
      <w:r>
        <w:rPr>
          <w:rFonts w:cs="Calibri"/>
        </w:rPr>
        <w:t>d</w:t>
      </w:r>
      <w:proofErr w:type="spellEnd"/>
      <w:r w:rsidRPr="00FC3830">
        <w:rPr>
          <w:rFonts w:cs="Calibri"/>
        </w:rPr>
        <w:t>) mezi rokem 2019 a 2020, a to k nárůstu o 15,97 %.</w:t>
      </w:r>
    </w:p>
    <w:p w14:paraId="01C48643" w14:textId="77777777" w:rsidR="006D40B2" w:rsidRPr="00D71C60" w:rsidRDefault="006D40B2" w:rsidP="006D40B2">
      <w:pPr>
        <w:spacing w:after="0"/>
        <w:jc w:val="both"/>
        <w:rPr>
          <w:rFonts w:cs="Calibri"/>
          <w:highlight w:val="yellow"/>
        </w:rPr>
      </w:pPr>
    </w:p>
    <w:p w14:paraId="6B5F6DFC" w14:textId="1E9B71EB" w:rsidR="006D40B2" w:rsidRPr="00AA15AA" w:rsidRDefault="006D40B2" w:rsidP="006D40B2">
      <w:pPr>
        <w:pStyle w:val="Nadpis3"/>
        <w:numPr>
          <w:ilvl w:val="0"/>
          <w:numId w:val="0"/>
        </w:numPr>
        <w:spacing w:after="120"/>
        <w:ind w:left="720" w:hanging="720"/>
        <w:contextualSpacing w:val="0"/>
        <w:jc w:val="center"/>
      </w:pPr>
      <w:r w:rsidRPr="00AA15AA">
        <w:t xml:space="preserve">Oddíl VI. Náklady z činnosti, náklady na transfery a výnosy z transferů vykázané </w:t>
      </w:r>
      <w:r w:rsidR="009078DD">
        <w:t>Ministerstvem zdravotnictví</w:t>
      </w:r>
    </w:p>
    <w:p w14:paraId="470B5ED9" w14:textId="23E8A008" w:rsidR="006D40B2" w:rsidRPr="00FC3830" w:rsidRDefault="006D40B2" w:rsidP="006D40B2">
      <w:pPr>
        <w:pStyle w:val="Titulek1"/>
        <w:rPr>
          <w:sz w:val="24"/>
        </w:rPr>
      </w:pPr>
      <w:bookmarkStart w:id="95" w:name="_Toc520714335"/>
      <w:bookmarkStart w:id="96" w:name="_Toc8984542"/>
      <w:bookmarkStart w:id="97" w:name="_Toc72157466"/>
      <w:r w:rsidRPr="00FC3830">
        <w:rPr>
          <w:sz w:val="24"/>
        </w:rPr>
        <w:t xml:space="preserve">Tabulka č. </w:t>
      </w:r>
      <w:r w:rsidRPr="00FC3830">
        <w:rPr>
          <w:sz w:val="24"/>
        </w:rPr>
        <w:fldChar w:fldCharType="begin"/>
      </w:r>
      <w:r w:rsidRPr="00FC3830">
        <w:rPr>
          <w:sz w:val="24"/>
        </w:rPr>
        <w:instrText xml:space="preserve"> SEQ Tabulka \* ARABIC </w:instrText>
      </w:r>
      <w:r w:rsidRPr="00FC3830">
        <w:rPr>
          <w:sz w:val="24"/>
        </w:rPr>
        <w:fldChar w:fldCharType="separate"/>
      </w:r>
      <w:r w:rsidR="009A66D8">
        <w:rPr>
          <w:noProof/>
          <w:sz w:val="24"/>
        </w:rPr>
        <w:t>26</w:t>
      </w:r>
      <w:r w:rsidRPr="00FC3830">
        <w:rPr>
          <w:noProof/>
          <w:sz w:val="24"/>
        </w:rPr>
        <w:fldChar w:fldCharType="end"/>
      </w:r>
      <w:r w:rsidRPr="00FC3830">
        <w:rPr>
          <w:sz w:val="24"/>
        </w:rPr>
        <w:t>: Průměrný přepočtený počet zaměstnanců</w:t>
      </w:r>
      <w:bookmarkEnd w:id="95"/>
      <w:bookmarkEnd w:id="96"/>
      <w:bookmarkEnd w:id="9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247"/>
        <w:gridCol w:w="1247"/>
        <w:gridCol w:w="1247"/>
        <w:gridCol w:w="1247"/>
        <w:gridCol w:w="1247"/>
      </w:tblGrid>
      <w:tr w:rsidR="006D40B2" w:rsidRPr="00D71C60" w14:paraId="1F17626C" w14:textId="77777777" w:rsidTr="006D40B2">
        <w:trPr>
          <w:trHeight w:val="255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A4296CE" w14:textId="77777777" w:rsidR="006D40B2" w:rsidRPr="00FC3830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3830">
              <w:rPr>
                <w:rFonts w:cs="Calibri"/>
                <w:b/>
                <w:bCs/>
                <w:color w:val="000000"/>
                <w:sz w:val="20"/>
                <w:szCs w:val="20"/>
              </w:rPr>
              <w:t>Organizace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7A02CDD" w14:textId="77777777" w:rsidR="006D40B2" w:rsidRPr="00FC3830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C3830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6E5CD77" w14:textId="77777777" w:rsidR="006D40B2" w:rsidRPr="00FC3830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C3830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9080407" w14:textId="77777777" w:rsidR="006D40B2" w:rsidRPr="00FC3830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C3830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38F6A6B" w14:textId="77777777" w:rsidR="006D40B2" w:rsidRPr="00FC3830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C3830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FF25799" w14:textId="77777777" w:rsidR="006D40B2" w:rsidRPr="00FC3830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C3830">
              <w:rPr>
                <w:b/>
                <w:sz w:val="20"/>
                <w:szCs w:val="20"/>
              </w:rPr>
              <w:t>2021</w:t>
            </w:r>
          </w:p>
        </w:tc>
      </w:tr>
      <w:tr w:rsidR="006D40B2" w:rsidRPr="00D71C60" w14:paraId="203A9444" w14:textId="77777777" w:rsidTr="006D40B2">
        <w:trPr>
          <w:trHeight w:val="25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9AE8" w14:textId="77777777" w:rsidR="006D40B2" w:rsidRPr="00FC3830" w:rsidRDefault="006D40B2" w:rsidP="006D40B2">
            <w:pPr>
              <w:spacing w:after="0"/>
              <w:rPr>
                <w:rFonts w:eastAsia="Calibri" w:cs="Calibri"/>
                <w:color w:val="000000"/>
                <w:sz w:val="20"/>
                <w:szCs w:val="20"/>
              </w:rPr>
            </w:pPr>
            <w:proofErr w:type="spellStart"/>
            <w:r w:rsidRPr="00FC3830">
              <w:rPr>
                <w:rFonts w:cs="Calibri"/>
                <w:color w:val="000000"/>
                <w:sz w:val="20"/>
                <w:szCs w:val="20"/>
              </w:rPr>
              <w:t>MZ</w:t>
            </w:r>
            <w:r>
              <w:rPr>
                <w:rFonts w:cs="Calibri"/>
                <w:color w:val="000000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8FAD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385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87B5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411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51CDF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437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62FE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438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64CA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470</w:t>
            </w:r>
          </w:p>
        </w:tc>
      </w:tr>
      <w:tr w:rsidR="006D40B2" w:rsidRPr="00D71C60" w14:paraId="7695B34F" w14:textId="77777777" w:rsidTr="006D40B2">
        <w:trPr>
          <w:trHeight w:val="25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CA5A" w14:textId="77777777" w:rsidR="006D40B2" w:rsidRPr="00FC3830" w:rsidRDefault="006D40B2" w:rsidP="006D40B2">
            <w:pPr>
              <w:spacing w:after="0"/>
              <w:rPr>
                <w:rFonts w:eastAsia="Calibri" w:cs="Calibri"/>
                <w:color w:val="000000"/>
                <w:sz w:val="20"/>
                <w:szCs w:val="20"/>
              </w:rPr>
            </w:pPr>
            <w:r w:rsidRPr="00FC3830">
              <w:rPr>
                <w:rFonts w:cs="Calibri"/>
                <w:color w:val="000000"/>
                <w:sz w:val="20"/>
                <w:szCs w:val="20"/>
              </w:rPr>
              <w:t xml:space="preserve">OSS vč. </w:t>
            </w:r>
            <w:proofErr w:type="spellStart"/>
            <w:r w:rsidRPr="00FC3830">
              <w:rPr>
                <w:rFonts w:cs="Calibri"/>
                <w:color w:val="000000"/>
                <w:sz w:val="20"/>
                <w:szCs w:val="20"/>
              </w:rPr>
              <w:t>MZ</w:t>
            </w:r>
            <w:r>
              <w:rPr>
                <w:rFonts w:cs="Calibri"/>
                <w:color w:val="000000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D8369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3 130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72D22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3 203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B67F7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3 262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36E3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3 309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793B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3 449</w:t>
            </w:r>
          </w:p>
        </w:tc>
      </w:tr>
      <w:tr w:rsidR="006D40B2" w:rsidRPr="00D71C60" w14:paraId="202DF3C5" w14:textId="77777777" w:rsidTr="006D40B2">
        <w:trPr>
          <w:trHeight w:val="25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CC699" w14:textId="77777777" w:rsidR="006D40B2" w:rsidRPr="00FC3830" w:rsidRDefault="006D40B2" w:rsidP="006D40B2">
            <w:pPr>
              <w:spacing w:after="0"/>
              <w:rPr>
                <w:rFonts w:eastAsia="Calibri" w:cs="Calibri"/>
                <w:color w:val="000000"/>
                <w:sz w:val="20"/>
                <w:szCs w:val="20"/>
              </w:rPr>
            </w:pPr>
            <w:r w:rsidRPr="00FC3830">
              <w:rPr>
                <w:rFonts w:cs="Calibri"/>
                <w:color w:val="000000"/>
                <w:sz w:val="20"/>
                <w:szCs w:val="20"/>
              </w:rPr>
              <w:t xml:space="preserve">OSS bez </w:t>
            </w:r>
            <w:proofErr w:type="spellStart"/>
            <w:r w:rsidRPr="00FC3830">
              <w:rPr>
                <w:rFonts w:cs="Calibri"/>
                <w:color w:val="000000"/>
                <w:sz w:val="20"/>
                <w:szCs w:val="20"/>
              </w:rPr>
              <w:t>MZ</w:t>
            </w:r>
            <w:r>
              <w:rPr>
                <w:rFonts w:cs="Calibri"/>
                <w:color w:val="000000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C0CF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2 745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AE40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2 791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9A0E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2 825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C589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2 871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BFF5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2 979</w:t>
            </w:r>
          </w:p>
        </w:tc>
      </w:tr>
      <w:tr w:rsidR="006D40B2" w:rsidRPr="00D71C60" w14:paraId="417213FC" w14:textId="77777777" w:rsidTr="006D40B2">
        <w:trPr>
          <w:trHeight w:val="25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9746" w14:textId="77777777" w:rsidR="006D40B2" w:rsidRPr="00FC3830" w:rsidRDefault="006D40B2" w:rsidP="006D40B2">
            <w:pPr>
              <w:spacing w:after="0"/>
              <w:rPr>
                <w:rFonts w:eastAsia="Calibri" w:cs="Calibri"/>
                <w:color w:val="000000"/>
                <w:sz w:val="20"/>
                <w:szCs w:val="20"/>
              </w:rPr>
            </w:pPr>
            <w:r w:rsidRPr="00FC3830">
              <w:rPr>
                <w:rFonts w:cs="Calibri"/>
                <w:color w:val="000000"/>
                <w:sz w:val="20"/>
                <w:szCs w:val="20"/>
              </w:rPr>
              <w:t>PO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0F94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451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6E9D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464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72AD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494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1138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506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57ED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sz w:val="20"/>
                <w:szCs w:val="20"/>
              </w:rPr>
              <w:t>514</w:t>
            </w:r>
          </w:p>
        </w:tc>
      </w:tr>
      <w:tr w:rsidR="006D40B2" w:rsidRPr="00D71C60" w14:paraId="25368256" w14:textId="77777777" w:rsidTr="006D40B2">
        <w:trPr>
          <w:trHeight w:val="255"/>
        </w:trPr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075922C" w14:textId="77777777" w:rsidR="006D40B2" w:rsidRPr="00FC3830" w:rsidRDefault="006D40B2" w:rsidP="006D40B2">
            <w:pPr>
              <w:spacing w:after="0"/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</w:pPr>
            <w:r w:rsidRPr="00FC3830">
              <w:rPr>
                <w:rFonts w:cs="Calibri"/>
                <w:b/>
                <w:bCs/>
                <w:color w:val="000000"/>
                <w:sz w:val="20"/>
                <w:szCs w:val="20"/>
              </w:rPr>
              <w:t>Celkem za kapitolu 335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97583D7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b/>
                <w:sz w:val="20"/>
                <w:szCs w:val="20"/>
              </w:rPr>
              <w:t>3 581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C4FB17D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b/>
                <w:sz w:val="20"/>
                <w:szCs w:val="20"/>
              </w:rPr>
              <w:t>3 667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858CED7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b/>
                <w:sz w:val="20"/>
                <w:szCs w:val="20"/>
              </w:rPr>
              <w:t>3 756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204046A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b/>
                <w:sz w:val="20"/>
                <w:szCs w:val="20"/>
              </w:rPr>
              <w:t>3 815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4F2A4F71" w14:textId="77777777" w:rsidR="006D40B2" w:rsidRPr="00FC3830" w:rsidRDefault="006D40B2" w:rsidP="006D40B2">
            <w:pPr>
              <w:spacing w:after="0"/>
              <w:ind w:right="182"/>
              <w:jc w:val="right"/>
              <w:rPr>
                <w:rFonts w:eastAsia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C3830">
              <w:rPr>
                <w:b/>
                <w:sz w:val="20"/>
                <w:szCs w:val="20"/>
              </w:rPr>
              <w:t>3 963</w:t>
            </w:r>
          </w:p>
        </w:tc>
      </w:tr>
    </w:tbl>
    <w:p w14:paraId="3732E061" w14:textId="77777777" w:rsidR="006D40B2" w:rsidRPr="00FC3830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FC3830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FC3830">
        <w:rPr>
          <w:rFonts w:cs="Calibri"/>
          <w:color w:val="000000"/>
          <w:sz w:val="20"/>
          <w:szCs w:val="20"/>
          <w:lang w:eastAsia="cs-CZ"/>
        </w:rPr>
        <w:t xml:space="preserve">IISSP – finanční výkaz ZAM 1-04 U </w:t>
      </w:r>
      <w:r w:rsidRPr="00FC3830">
        <w:rPr>
          <w:rFonts w:cs="Calibri"/>
          <w:i/>
          <w:color w:val="000000"/>
          <w:sz w:val="20"/>
          <w:szCs w:val="20"/>
          <w:lang w:eastAsia="cs-CZ"/>
        </w:rPr>
        <w:t>Výkaz o zaměstnanosti regulované vládou</w:t>
      </w:r>
      <w:r w:rsidRPr="00FC3830">
        <w:rPr>
          <w:rFonts w:cs="Calibri"/>
          <w:color w:val="000000"/>
          <w:sz w:val="20"/>
          <w:szCs w:val="20"/>
          <w:lang w:eastAsia="cs-CZ"/>
        </w:rPr>
        <w:t>.</w:t>
      </w:r>
    </w:p>
    <w:p w14:paraId="35D6B97D" w14:textId="7A69E961" w:rsidR="006D40B2" w:rsidRPr="00D71C60" w:rsidRDefault="006D40B2" w:rsidP="006D40B2">
      <w:pPr>
        <w:spacing w:before="40"/>
        <w:jc w:val="both"/>
        <w:rPr>
          <w:rFonts w:cs="Calibri"/>
          <w:color w:val="000000"/>
          <w:szCs w:val="20"/>
          <w:highlight w:val="yellow"/>
          <w:lang w:eastAsia="cs-CZ"/>
        </w:rPr>
      </w:pPr>
      <w:r w:rsidRPr="00FC3830">
        <w:rPr>
          <w:rFonts w:cs="Calibri"/>
          <w:color w:val="000000"/>
          <w:szCs w:val="20"/>
          <w:lang w:eastAsia="cs-CZ"/>
        </w:rPr>
        <w:t xml:space="preserve">Počet zaměstnanců ve sledovaném období vykazuje rostoucí tendenci. V roce 2021 </w:t>
      </w:r>
      <w:r w:rsidR="009078DD">
        <w:rPr>
          <w:rFonts w:cs="Calibri"/>
          <w:color w:val="000000"/>
          <w:szCs w:val="20"/>
          <w:lang w:eastAsia="cs-CZ"/>
        </w:rPr>
        <w:t>tvořili</w:t>
      </w:r>
      <w:r w:rsidRPr="00FC3830">
        <w:rPr>
          <w:rFonts w:cs="Calibri"/>
          <w:color w:val="000000"/>
          <w:szCs w:val="20"/>
          <w:lang w:eastAsia="cs-CZ"/>
        </w:rPr>
        <w:t xml:space="preserve"> zaměstnanc</w:t>
      </w:r>
      <w:r w:rsidR="009078DD">
        <w:rPr>
          <w:rFonts w:cs="Calibri"/>
          <w:color w:val="000000"/>
          <w:szCs w:val="20"/>
          <w:lang w:eastAsia="cs-CZ"/>
        </w:rPr>
        <w:t>i</w:t>
      </w:r>
      <w:r w:rsidRPr="00FC3830">
        <w:rPr>
          <w:rFonts w:cs="Calibri"/>
          <w:color w:val="000000"/>
          <w:szCs w:val="20"/>
          <w:lang w:eastAsia="cs-CZ"/>
        </w:rPr>
        <w:t xml:space="preserve"> </w:t>
      </w:r>
      <w:proofErr w:type="spellStart"/>
      <w:r w:rsidRPr="00FC3830">
        <w:rPr>
          <w:rFonts w:cs="Calibri"/>
          <w:color w:val="000000"/>
          <w:szCs w:val="20"/>
          <w:lang w:eastAsia="cs-CZ"/>
        </w:rPr>
        <w:t>MZ</w:t>
      </w:r>
      <w:r>
        <w:rPr>
          <w:rFonts w:cs="Calibri"/>
          <w:color w:val="000000"/>
          <w:szCs w:val="20"/>
          <w:lang w:eastAsia="cs-CZ"/>
        </w:rPr>
        <w:t>d</w:t>
      </w:r>
      <w:proofErr w:type="spellEnd"/>
      <w:r w:rsidRPr="00FC3830">
        <w:rPr>
          <w:rFonts w:cs="Calibri"/>
          <w:color w:val="000000"/>
          <w:szCs w:val="20"/>
          <w:lang w:eastAsia="cs-CZ"/>
        </w:rPr>
        <w:t xml:space="preserve"> 11,85 % všech zaměstnanců kapitoly 335. Výrazný růst počtu zaměstnanců </w:t>
      </w:r>
      <w:r w:rsidR="009078DD">
        <w:rPr>
          <w:rFonts w:cs="Calibri"/>
          <w:color w:val="000000"/>
          <w:szCs w:val="20"/>
          <w:lang w:eastAsia="cs-CZ"/>
        </w:rPr>
        <w:t>zaznamenaly</w:t>
      </w:r>
      <w:r w:rsidRPr="00FC3830">
        <w:rPr>
          <w:rFonts w:cs="Calibri"/>
          <w:color w:val="000000"/>
          <w:szCs w:val="20"/>
          <w:lang w:eastAsia="cs-CZ"/>
        </w:rPr>
        <w:t xml:space="preserve"> zejména PO, </w:t>
      </w:r>
      <w:r w:rsidR="009078DD">
        <w:rPr>
          <w:rFonts w:cs="Calibri"/>
          <w:color w:val="000000"/>
          <w:szCs w:val="20"/>
          <w:lang w:eastAsia="cs-CZ"/>
        </w:rPr>
        <w:t>těm</w:t>
      </w:r>
      <w:r w:rsidRPr="00FC3830">
        <w:rPr>
          <w:rFonts w:cs="Calibri"/>
          <w:color w:val="000000"/>
          <w:szCs w:val="20"/>
          <w:lang w:eastAsia="cs-CZ"/>
        </w:rPr>
        <w:t xml:space="preserve"> mezi l</w:t>
      </w:r>
      <w:r w:rsidR="009078DD">
        <w:rPr>
          <w:rFonts w:cs="Calibri"/>
          <w:color w:val="000000"/>
          <w:szCs w:val="20"/>
          <w:lang w:eastAsia="cs-CZ"/>
        </w:rPr>
        <w:t>e</w:t>
      </w:r>
      <w:r w:rsidRPr="00FC3830">
        <w:rPr>
          <w:rFonts w:cs="Calibri"/>
          <w:color w:val="000000"/>
          <w:szCs w:val="20"/>
          <w:lang w:eastAsia="cs-CZ"/>
        </w:rPr>
        <w:t xml:space="preserve">ty 2017–2021 </w:t>
      </w:r>
      <w:r w:rsidR="009078DD">
        <w:rPr>
          <w:rFonts w:cs="Calibri"/>
          <w:color w:val="000000"/>
          <w:szCs w:val="20"/>
          <w:lang w:eastAsia="cs-CZ"/>
        </w:rPr>
        <w:t>vzrostl</w:t>
      </w:r>
      <w:r w:rsidRPr="00FC3830">
        <w:rPr>
          <w:rFonts w:cs="Calibri"/>
          <w:color w:val="000000"/>
          <w:szCs w:val="20"/>
          <w:lang w:eastAsia="cs-CZ"/>
        </w:rPr>
        <w:t xml:space="preserve"> poč</w:t>
      </w:r>
      <w:r w:rsidR="009078DD">
        <w:rPr>
          <w:rFonts w:cs="Calibri"/>
          <w:color w:val="000000"/>
          <w:szCs w:val="20"/>
          <w:lang w:eastAsia="cs-CZ"/>
        </w:rPr>
        <w:t>e</w:t>
      </w:r>
      <w:r w:rsidRPr="00FC3830">
        <w:rPr>
          <w:rFonts w:cs="Calibri"/>
          <w:color w:val="000000"/>
          <w:szCs w:val="20"/>
          <w:lang w:eastAsia="cs-CZ"/>
        </w:rPr>
        <w:t>t zaměstnanců o</w:t>
      </w:r>
      <w:r w:rsidR="00472F4E">
        <w:rPr>
          <w:rFonts w:cs="Calibri"/>
          <w:color w:val="000000"/>
          <w:szCs w:val="20"/>
          <w:lang w:eastAsia="cs-CZ"/>
        </w:rPr>
        <w:t xml:space="preserve"> </w:t>
      </w:r>
      <w:r w:rsidRPr="00FC3830">
        <w:rPr>
          <w:rFonts w:cs="Calibri"/>
          <w:color w:val="000000"/>
          <w:szCs w:val="20"/>
          <w:lang w:eastAsia="cs-CZ"/>
        </w:rPr>
        <w:t>14,01</w:t>
      </w:r>
      <w:r>
        <w:rPr>
          <w:rFonts w:cs="Calibri"/>
          <w:color w:val="000000"/>
          <w:szCs w:val="20"/>
          <w:lang w:eastAsia="cs-CZ"/>
        </w:rPr>
        <w:t> </w:t>
      </w:r>
      <w:r w:rsidRPr="00FC3830">
        <w:rPr>
          <w:rFonts w:cs="Calibri"/>
          <w:color w:val="000000"/>
          <w:szCs w:val="20"/>
          <w:lang w:eastAsia="cs-CZ"/>
        </w:rPr>
        <w:t>%. U</w:t>
      </w:r>
      <w:r w:rsidR="009078DD">
        <w:rPr>
          <w:rFonts w:cs="Calibri"/>
          <w:color w:val="000000"/>
          <w:szCs w:val="20"/>
          <w:lang w:eastAsia="cs-CZ"/>
        </w:rPr>
        <w:t> </w:t>
      </w:r>
      <w:r w:rsidRPr="00FC3830">
        <w:rPr>
          <w:rFonts w:cs="Calibri"/>
          <w:color w:val="000000"/>
          <w:szCs w:val="20"/>
          <w:lang w:eastAsia="cs-CZ"/>
        </w:rPr>
        <w:t xml:space="preserve">ústředního orgánu </w:t>
      </w:r>
      <w:r w:rsidR="009078DD">
        <w:rPr>
          <w:rFonts w:cs="Calibri"/>
          <w:color w:val="000000"/>
          <w:szCs w:val="20"/>
          <w:lang w:eastAsia="cs-CZ"/>
        </w:rPr>
        <w:t>(</w:t>
      </w:r>
      <w:proofErr w:type="spellStart"/>
      <w:r w:rsidRPr="00FC3830">
        <w:rPr>
          <w:rFonts w:cs="Calibri"/>
          <w:color w:val="000000"/>
          <w:szCs w:val="20"/>
          <w:lang w:eastAsia="cs-CZ"/>
        </w:rPr>
        <w:t>MZ</w:t>
      </w:r>
      <w:r>
        <w:rPr>
          <w:rFonts w:cs="Calibri"/>
          <w:color w:val="000000"/>
          <w:szCs w:val="20"/>
          <w:lang w:eastAsia="cs-CZ"/>
        </w:rPr>
        <w:t>d</w:t>
      </w:r>
      <w:proofErr w:type="spellEnd"/>
      <w:r w:rsidR="009078DD">
        <w:rPr>
          <w:rFonts w:cs="Calibri"/>
          <w:color w:val="000000"/>
          <w:szCs w:val="20"/>
          <w:lang w:eastAsia="cs-CZ"/>
        </w:rPr>
        <w:t>)</w:t>
      </w:r>
      <w:r>
        <w:rPr>
          <w:rFonts w:cs="Calibri"/>
          <w:color w:val="000000"/>
          <w:szCs w:val="20"/>
          <w:lang w:eastAsia="cs-CZ"/>
        </w:rPr>
        <w:t xml:space="preserve"> </w:t>
      </w:r>
      <w:r w:rsidRPr="00FC3830">
        <w:rPr>
          <w:rFonts w:cs="Calibri"/>
          <w:color w:val="000000"/>
          <w:szCs w:val="20"/>
          <w:lang w:eastAsia="cs-CZ"/>
        </w:rPr>
        <w:t>došlo ve sledovaném období k nárůstu o</w:t>
      </w:r>
      <w:r>
        <w:rPr>
          <w:rFonts w:cs="Calibri"/>
          <w:color w:val="000000"/>
          <w:szCs w:val="20"/>
          <w:lang w:eastAsia="cs-CZ"/>
        </w:rPr>
        <w:t> </w:t>
      </w:r>
      <w:r w:rsidRPr="00FC3830">
        <w:rPr>
          <w:rFonts w:cs="Calibri"/>
          <w:color w:val="000000"/>
          <w:szCs w:val="20"/>
          <w:lang w:eastAsia="cs-CZ"/>
        </w:rPr>
        <w:t>21,98 %.</w:t>
      </w:r>
    </w:p>
    <w:p w14:paraId="0996B87F" w14:textId="5F76452E" w:rsidR="006D40B2" w:rsidRPr="00FC3830" w:rsidRDefault="006D40B2" w:rsidP="006D40B2">
      <w:pPr>
        <w:pStyle w:val="Titulek1"/>
        <w:rPr>
          <w:sz w:val="24"/>
        </w:rPr>
      </w:pPr>
      <w:bookmarkStart w:id="98" w:name="_Toc520714336"/>
      <w:bookmarkStart w:id="99" w:name="_Toc8984543"/>
      <w:bookmarkStart w:id="100" w:name="_Toc72157467"/>
      <w:r w:rsidRPr="00FC3830">
        <w:rPr>
          <w:sz w:val="24"/>
        </w:rPr>
        <w:lastRenderedPageBreak/>
        <w:t xml:space="preserve">Tabulka č. </w:t>
      </w:r>
      <w:r w:rsidRPr="00FC3830">
        <w:rPr>
          <w:sz w:val="24"/>
        </w:rPr>
        <w:fldChar w:fldCharType="begin"/>
      </w:r>
      <w:r w:rsidRPr="00FC3830">
        <w:rPr>
          <w:sz w:val="24"/>
        </w:rPr>
        <w:instrText xml:space="preserve"> SEQ Tabulka \* ARABIC </w:instrText>
      </w:r>
      <w:r w:rsidRPr="00FC3830">
        <w:rPr>
          <w:sz w:val="24"/>
        </w:rPr>
        <w:fldChar w:fldCharType="separate"/>
      </w:r>
      <w:r w:rsidR="009A66D8">
        <w:rPr>
          <w:noProof/>
          <w:sz w:val="24"/>
        </w:rPr>
        <w:t>27</w:t>
      </w:r>
      <w:r w:rsidRPr="00FC3830">
        <w:rPr>
          <w:noProof/>
          <w:sz w:val="24"/>
        </w:rPr>
        <w:fldChar w:fldCharType="end"/>
      </w:r>
      <w:r w:rsidRPr="00FC3830">
        <w:rPr>
          <w:sz w:val="24"/>
        </w:rPr>
        <w:t xml:space="preserve">: Náklady na </w:t>
      </w:r>
      <w:r>
        <w:rPr>
          <w:sz w:val="24"/>
        </w:rPr>
        <w:t>jednoho</w:t>
      </w:r>
      <w:r w:rsidRPr="00FC3830">
        <w:rPr>
          <w:sz w:val="24"/>
        </w:rPr>
        <w:t xml:space="preserve"> zaměstnance v rozpočtové kapitole </w:t>
      </w:r>
      <w:bookmarkEnd w:id="98"/>
      <w:bookmarkEnd w:id="99"/>
      <w:bookmarkEnd w:id="100"/>
      <w:r w:rsidRPr="00FC3830">
        <w:rPr>
          <w:sz w:val="24"/>
        </w:rPr>
        <w:t>335</w:t>
      </w:r>
    </w:p>
    <w:tbl>
      <w:tblPr>
        <w:tblW w:w="9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386"/>
        <w:gridCol w:w="1387"/>
        <w:gridCol w:w="1386"/>
        <w:gridCol w:w="1387"/>
        <w:gridCol w:w="1387"/>
      </w:tblGrid>
      <w:tr w:rsidR="006D40B2" w:rsidRPr="00D71C60" w14:paraId="395DD8FF" w14:textId="77777777" w:rsidTr="006D40B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6308992" w14:textId="77777777" w:rsidR="006D40B2" w:rsidRPr="00FC3830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FC3830">
              <w:rPr>
                <w:rFonts w:cs="Calibri"/>
                <w:b/>
                <w:bCs/>
                <w:color w:val="000000"/>
                <w:sz w:val="16"/>
                <w:szCs w:val="16"/>
              </w:rPr>
              <w:t>Org</w:t>
            </w:r>
            <w:proofErr w:type="spellEnd"/>
            <w:r w:rsidRPr="00FC383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F1A9109" w14:textId="77777777" w:rsidR="006D40B2" w:rsidRPr="00FC3830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C3830">
              <w:rPr>
                <w:rFonts w:cs="Calibri"/>
                <w:b/>
                <w:bCs/>
                <w:color w:val="000000"/>
                <w:sz w:val="16"/>
                <w:szCs w:val="16"/>
              </w:rPr>
              <w:t>Ukazatel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93AEECB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B65289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4E7CA7E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B65289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B504194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B65289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0F0A3A1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B65289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AC241A9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B65289">
              <w:rPr>
                <w:b/>
                <w:sz w:val="16"/>
                <w:szCs w:val="16"/>
              </w:rPr>
              <w:t>2021</w:t>
            </w:r>
          </w:p>
        </w:tc>
      </w:tr>
      <w:tr w:rsidR="006D40B2" w:rsidRPr="00D71C60" w14:paraId="77026A54" w14:textId="77777777" w:rsidTr="006D40B2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5A77FD" w14:textId="77777777" w:rsidR="006D40B2" w:rsidRPr="00FC3830" w:rsidRDefault="006D40B2" w:rsidP="006D40B2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FC3830">
              <w:rPr>
                <w:rFonts w:cs="Calibri"/>
                <w:color w:val="000000"/>
                <w:sz w:val="16"/>
                <w:szCs w:val="16"/>
              </w:rPr>
              <w:t xml:space="preserve">OSS vč. </w:t>
            </w:r>
            <w:proofErr w:type="spellStart"/>
            <w:r w:rsidRPr="00FC3830">
              <w:rPr>
                <w:rFonts w:cs="Calibri"/>
                <w:color w:val="000000"/>
                <w:sz w:val="16"/>
                <w:szCs w:val="16"/>
              </w:rPr>
              <w:t>MZ</w:t>
            </w:r>
            <w:r>
              <w:rPr>
                <w:rFonts w:cs="Calibri"/>
                <w:color w:val="000000"/>
                <w:sz w:val="16"/>
                <w:szCs w:val="16"/>
              </w:rPr>
              <w:t>d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1E73" w14:textId="77777777" w:rsidR="006D40B2" w:rsidRPr="00FC3830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FC3830">
              <w:rPr>
                <w:rFonts w:cs="Calibri"/>
                <w:color w:val="000000"/>
                <w:sz w:val="16"/>
                <w:szCs w:val="16"/>
              </w:rPr>
              <w:t>Náklady celkem (v Kč)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C6B8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6 842 826 151,59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A4960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7 153 117 293,66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DBB1F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8 145 397 063,00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6689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30 520 037 185,21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A5A2D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31 576 892 593,63</w:t>
            </w:r>
          </w:p>
        </w:tc>
      </w:tr>
      <w:tr w:rsidR="006D40B2" w:rsidRPr="00D71C60" w14:paraId="1E85C40A" w14:textId="77777777" w:rsidTr="006D40B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60DA1" w14:textId="77777777" w:rsidR="006D40B2" w:rsidRPr="00FC3830" w:rsidRDefault="006D40B2" w:rsidP="006D40B2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AFBC" w14:textId="77777777" w:rsidR="006D40B2" w:rsidRPr="00FC3830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FC3830">
              <w:rPr>
                <w:rFonts w:cs="Calibri"/>
                <w:color w:val="000000"/>
                <w:sz w:val="16"/>
                <w:szCs w:val="16"/>
              </w:rPr>
              <w:t>Počet zaměstnanců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7565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3 130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B8314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3 203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5282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3 262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A2091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3 309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01E43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3 449</w:t>
            </w:r>
          </w:p>
        </w:tc>
      </w:tr>
      <w:tr w:rsidR="006D40B2" w:rsidRPr="00D71C60" w14:paraId="7AD0A299" w14:textId="77777777" w:rsidTr="006D40B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62FE" w14:textId="77777777" w:rsidR="006D40B2" w:rsidRPr="00FC3830" w:rsidRDefault="006D40B2" w:rsidP="006D40B2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EE855F4" w14:textId="77777777" w:rsidR="006D40B2" w:rsidRPr="00FC3830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FC3830">
              <w:rPr>
                <w:rFonts w:cs="Calibri"/>
                <w:color w:val="000000"/>
                <w:sz w:val="16"/>
                <w:szCs w:val="16"/>
              </w:rPr>
              <w:t>Náklady na jednoho zaměstnance (v Kč)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2366DDF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2 186 206,44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D21E424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2 233 450,72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83A3B01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2 497 117,36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CF66E00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9 223 118,57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14E6F1A2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9 155 190,41</w:t>
            </w:r>
          </w:p>
        </w:tc>
      </w:tr>
      <w:tr w:rsidR="006D40B2" w:rsidRPr="00D71C60" w14:paraId="6FD5DED7" w14:textId="77777777" w:rsidTr="006D40B2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FAC41D" w14:textId="77777777" w:rsidR="006D40B2" w:rsidRPr="00FC3830" w:rsidRDefault="006D40B2" w:rsidP="006D40B2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proofErr w:type="spellStart"/>
            <w:r w:rsidRPr="00FC3830">
              <w:rPr>
                <w:rFonts w:cs="Calibri"/>
                <w:color w:val="000000"/>
                <w:sz w:val="16"/>
                <w:szCs w:val="16"/>
              </w:rPr>
              <w:t>MZ</w:t>
            </w:r>
            <w:r>
              <w:rPr>
                <w:rFonts w:cs="Calibri"/>
                <w:color w:val="000000"/>
                <w:sz w:val="16"/>
                <w:szCs w:val="16"/>
              </w:rPr>
              <w:t>d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2622E" w14:textId="77777777" w:rsidR="006D40B2" w:rsidRPr="00FC3830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FC3830">
              <w:rPr>
                <w:rFonts w:cs="Calibri"/>
                <w:color w:val="000000"/>
                <w:sz w:val="16"/>
                <w:szCs w:val="16"/>
              </w:rPr>
              <w:t>Náklady celkem (v Kč)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49CA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4 545 251 475,34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A460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4 743 055 440,47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B01E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5 531 511 405,32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6668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27 488 627 668,98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9932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28 434 018 541,04</w:t>
            </w:r>
          </w:p>
        </w:tc>
      </w:tr>
      <w:tr w:rsidR="006D40B2" w:rsidRPr="00D71C60" w14:paraId="0ECC0554" w14:textId="77777777" w:rsidTr="006D40B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2C979" w14:textId="77777777" w:rsidR="006D40B2" w:rsidRPr="00FC3830" w:rsidRDefault="006D40B2" w:rsidP="006D40B2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3267" w14:textId="77777777" w:rsidR="006D40B2" w:rsidRPr="00FC3830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FC3830">
              <w:rPr>
                <w:rFonts w:cs="Calibri"/>
                <w:color w:val="000000"/>
                <w:sz w:val="16"/>
                <w:szCs w:val="16"/>
              </w:rPr>
              <w:t>Počet zaměstnanců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4E3F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385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7C89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411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6FB5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437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47BA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438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45D4D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470</w:t>
            </w:r>
          </w:p>
        </w:tc>
      </w:tr>
      <w:tr w:rsidR="006D40B2" w:rsidRPr="00D71C60" w14:paraId="3D0B51E5" w14:textId="77777777" w:rsidTr="006D40B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28E4" w14:textId="77777777" w:rsidR="006D40B2" w:rsidRPr="00FC3830" w:rsidRDefault="006D40B2" w:rsidP="006D40B2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F2E8BF5" w14:textId="77777777" w:rsidR="006D40B2" w:rsidRPr="00FC3830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FC3830">
              <w:rPr>
                <w:rFonts w:cs="Calibri"/>
                <w:color w:val="000000"/>
                <w:sz w:val="16"/>
                <w:szCs w:val="16"/>
              </w:rPr>
              <w:t>Náklady na jednoho zaměstnance (v Kč)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7BBFEFC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11 805 847,99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231E03C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11 528 219,72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E746411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12 652 998,62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22FCD32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62 749 395,46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0EDFDC19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60 544 286,14</w:t>
            </w:r>
          </w:p>
        </w:tc>
      </w:tr>
      <w:tr w:rsidR="006D40B2" w:rsidRPr="00D71C60" w14:paraId="055D4788" w14:textId="77777777" w:rsidTr="006D40B2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519B79" w14:textId="77777777" w:rsidR="006D40B2" w:rsidRPr="00FC3830" w:rsidRDefault="006D40B2" w:rsidP="006D40B2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FC3830">
              <w:rPr>
                <w:rFonts w:cs="Calibri"/>
                <w:color w:val="000000"/>
                <w:sz w:val="16"/>
                <w:szCs w:val="16"/>
              </w:rPr>
              <w:t xml:space="preserve">OSS bez </w:t>
            </w:r>
            <w:proofErr w:type="spellStart"/>
            <w:r w:rsidRPr="00FC3830">
              <w:rPr>
                <w:rFonts w:cs="Calibri"/>
                <w:color w:val="000000"/>
                <w:sz w:val="16"/>
                <w:szCs w:val="16"/>
              </w:rPr>
              <w:t>MZ</w:t>
            </w:r>
            <w:r>
              <w:rPr>
                <w:rFonts w:cs="Calibri"/>
                <w:color w:val="000000"/>
                <w:sz w:val="16"/>
                <w:szCs w:val="16"/>
              </w:rPr>
              <w:t>d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76A1" w14:textId="77777777" w:rsidR="006D40B2" w:rsidRPr="00FC3830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FC3830">
              <w:rPr>
                <w:rFonts w:cs="Calibri"/>
                <w:color w:val="000000"/>
                <w:sz w:val="16"/>
                <w:szCs w:val="16"/>
              </w:rPr>
              <w:t>Náklady celkem (v Kč)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DA20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2 297 574 676,25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DD16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2 410 061 853,19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5835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2 613 885 657,68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9A1C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3 031 409 516,23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3E821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3 142 874 052,59</w:t>
            </w:r>
          </w:p>
        </w:tc>
      </w:tr>
      <w:tr w:rsidR="006D40B2" w:rsidRPr="00D71C60" w14:paraId="6317018B" w14:textId="77777777" w:rsidTr="006D40B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E487" w14:textId="77777777" w:rsidR="006D40B2" w:rsidRPr="00D71C60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EAC1" w14:textId="77777777" w:rsidR="006D40B2" w:rsidRPr="00FC3830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FC3830">
              <w:rPr>
                <w:rFonts w:cs="Calibri"/>
                <w:color w:val="000000"/>
                <w:sz w:val="16"/>
                <w:szCs w:val="16"/>
              </w:rPr>
              <w:t>Počet zaměstnanců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D48A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2 745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97AA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2 791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30CF5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2 825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CF53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2 871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25F19" w14:textId="77777777" w:rsidR="006D40B2" w:rsidRPr="00FC3830" w:rsidRDefault="006D40B2" w:rsidP="004E2D6E">
            <w:pPr>
              <w:keepNext/>
              <w:spacing w:after="0"/>
              <w:ind w:right="22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2 979</w:t>
            </w:r>
          </w:p>
        </w:tc>
      </w:tr>
      <w:tr w:rsidR="006D40B2" w:rsidRPr="00D71C60" w14:paraId="7CF6A955" w14:textId="77777777" w:rsidTr="006D40B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2BEF" w14:textId="77777777" w:rsidR="006D40B2" w:rsidRPr="00D71C60" w:rsidRDefault="006D40B2" w:rsidP="006D40B2">
            <w:pPr>
              <w:keepNext/>
              <w:spacing w:after="0"/>
              <w:rPr>
                <w:rFonts w:eastAsia="Calibri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2D91BA9" w14:textId="77777777" w:rsidR="006D40B2" w:rsidRPr="00FC3830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6"/>
                <w:szCs w:val="16"/>
              </w:rPr>
            </w:pPr>
            <w:r w:rsidRPr="00FC3830">
              <w:rPr>
                <w:rFonts w:cs="Calibri"/>
                <w:color w:val="000000"/>
                <w:sz w:val="16"/>
                <w:szCs w:val="16"/>
              </w:rPr>
              <w:t>Náklady na jednoho zaměstnance (v Kč)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E06DFD6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837 003,53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8C5EC7C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863 422,24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C0E366C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925 351,15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84AC438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1 055 868,67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67568344" w14:textId="77777777" w:rsidR="006D40B2" w:rsidRPr="00FC3830" w:rsidRDefault="006D40B2" w:rsidP="006D40B2">
            <w:pPr>
              <w:keepNext/>
              <w:spacing w:after="0"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FC3830">
              <w:rPr>
                <w:sz w:val="16"/>
                <w:szCs w:val="16"/>
              </w:rPr>
              <w:t>1 054 857,49</w:t>
            </w:r>
          </w:p>
        </w:tc>
      </w:tr>
    </w:tbl>
    <w:p w14:paraId="1DCB15B8" w14:textId="77777777" w:rsidR="006D40B2" w:rsidRPr="00FC3830" w:rsidRDefault="006D40B2" w:rsidP="006D40B2">
      <w:pPr>
        <w:spacing w:before="40"/>
        <w:rPr>
          <w:rFonts w:cs="Calibri"/>
          <w:bCs/>
          <w:color w:val="000000"/>
          <w:sz w:val="20"/>
          <w:szCs w:val="20"/>
          <w:lang w:eastAsia="cs-CZ"/>
        </w:rPr>
      </w:pPr>
      <w:r w:rsidRPr="00FC3830">
        <w:rPr>
          <w:rFonts w:cs="Calibri"/>
          <w:b/>
          <w:color w:val="000000"/>
          <w:sz w:val="20"/>
          <w:szCs w:val="20"/>
          <w:lang w:eastAsia="cs-CZ"/>
        </w:rPr>
        <w:t>Zdroj</w:t>
      </w:r>
      <w:r w:rsidRPr="00FC3830">
        <w:rPr>
          <w:rFonts w:cs="Calibri"/>
          <w:color w:val="000000"/>
          <w:sz w:val="20"/>
          <w:szCs w:val="20"/>
          <w:lang w:eastAsia="cs-CZ"/>
        </w:rPr>
        <w:t>: informační portál MONITOR, IISSP – finanční výkaz ZAM 1-04 U; výpočet vypracoval NKÚ.</w:t>
      </w:r>
    </w:p>
    <w:p w14:paraId="75CA5024" w14:textId="567BD542" w:rsidR="006D40B2" w:rsidRPr="00D71C60" w:rsidRDefault="006D40B2" w:rsidP="006D40B2">
      <w:pPr>
        <w:jc w:val="both"/>
        <w:rPr>
          <w:rFonts w:asciiTheme="minorHAnsi" w:hAnsiTheme="minorHAnsi" w:cstheme="minorHAnsi"/>
          <w:highlight w:val="yellow"/>
        </w:rPr>
      </w:pPr>
      <w:r w:rsidRPr="00876A34">
        <w:rPr>
          <w:rFonts w:asciiTheme="minorHAnsi" w:hAnsiTheme="minorHAnsi" w:cstheme="minorHAnsi"/>
        </w:rPr>
        <w:t xml:space="preserve">Celkové náklady na </w:t>
      </w:r>
      <w:r>
        <w:rPr>
          <w:rFonts w:asciiTheme="minorHAnsi" w:hAnsiTheme="minorHAnsi" w:cstheme="minorHAnsi"/>
        </w:rPr>
        <w:t>jednoho</w:t>
      </w:r>
      <w:r w:rsidRPr="00876A34">
        <w:rPr>
          <w:rFonts w:asciiTheme="minorHAnsi" w:hAnsiTheme="minorHAnsi" w:cstheme="minorHAnsi"/>
        </w:rPr>
        <w:t xml:space="preserve"> zaměstnance </w:t>
      </w:r>
      <w:proofErr w:type="spellStart"/>
      <w:r w:rsidRPr="00876A34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876A34">
        <w:rPr>
          <w:rFonts w:asciiTheme="minorHAnsi" w:hAnsiTheme="minorHAnsi" w:cstheme="minorHAnsi"/>
        </w:rPr>
        <w:t xml:space="preserve"> mezi lety 2017–2021 rostly z 11,81 mil. Kč až na 60,54 mil. Kč. Celkové náklady na </w:t>
      </w:r>
      <w:r>
        <w:rPr>
          <w:rFonts w:asciiTheme="minorHAnsi" w:hAnsiTheme="minorHAnsi" w:cstheme="minorHAnsi"/>
        </w:rPr>
        <w:t>jednoho</w:t>
      </w:r>
      <w:r w:rsidRPr="00876A34">
        <w:rPr>
          <w:rFonts w:asciiTheme="minorHAnsi" w:hAnsiTheme="minorHAnsi" w:cstheme="minorHAnsi"/>
        </w:rPr>
        <w:t xml:space="preserve"> zaměstnance </w:t>
      </w:r>
      <w:proofErr w:type="spellStart"/>
      <w:r w:rsidRPr="00876A34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876A34">
        <w:rPr>
          <w:rFonts w:asciiTheme="minorHAnsi" w:hAnsiTheme="minorHAnsi" w:cstheme="minorHAnsi"/>
        </w:rPr>
        <w:t xml:space="preserve"> vykazují ve sledovaném období rostoucí tendenci (vyjma rok</w:t>
      </w:r>
      <w:r w:rsidR="00472F4E">
        <w:rPr>
          <w:rFonts w:asciiTheme="minorHAnsi" w:hAnsiTheme="minorHAnsi" w:cstheme="minorHAnsi"/>
        </w:rPr>
        <w:t>ů</w:t>
      </w:r>
      <w:r w:rsidRPr="00876A34">
        <w:rPr>
          <w:rFonts w:asciiTheme="minorHAnsi" w:hAnsiTheme="minorHAnsi" w:cstheme="minorHAnsi"/>
        </w:rPr>
        <w:t xml:space="preserve"> 2018 a 2021). Výrazné zvýšení nákladů na </w:t>
      </w:r>
      <w:r>
        <w:rPr>
          <w:rFonts w:asciiTheme="minorHAnsi" w:hAnsiTheme="minorHAnsi" w:cstheme="minorHAnsi"/>
        </w:rPr>
        <w:t>jednoho</w:t>
      </w:r>
      <w:r w:rsidRPr="00876A34">
        <w:rPr>
          <w:rFonts w:asciiTheme="minorHAnsi" w:hAnsiTheme="minorHAnsi" w:cstheme="minorHAnsi"/>
        </w:rPr>
        <w:t xml:space="preserve"> zaměstnance lze sledovat v letech 2020 a 2021. V porovnání s náklady na </w:t>
      </w:r>
      <w:r>
        <w:rPr>
          <w:rFonts w:asciiTheme="minorHAnsi" w:hAnsiTheme="minorHAnsi" w:cstheme="minorHAnsi"/>
        </w:rPr>
        <w:t>jednoho</w:t>
      </w:r>
      <w:r w:rsidRPr="00876A34">
        <w:rPr>
          <w:rFonts w:asciiTheme="minorHAnsi" w:hAnsiTheme="minorHAnsi" w:cstheme="minorHAnsi"/>
        </w:rPr>
        <w:t xml:space="preserve"> zaměstnance kapitoly 335 (OSS včetně </w:t>
      </w:r>
      <w:proofErr w:type="spellStart"/>
      <w:r w:rsidRPr="00876A34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876A34">
        <w:rPr>
          <w:rFonts w:asciiTheme="minorHAnsi" w:hAnsiTheme="minorHAnsi" w:cstheme="minorHAnsi"/>
        </w:rPr>
        <w:t xml:space="preserve">) jsou vyšší. Nejnižší jsou náklady na </w:t>
      </w:r>
      <w:r>
        <w:rPr>
          <w:rFonts w:asciiTheme="minorHAnsi" w:hAnsiTheme="minorHAnsi" w:cstheme="minorHAnsi"/>
        </w:rPr>
        <w:t>jednoho</w:t>
      </w:r>
      <w:r w:rsidRPr="00876A34">
        <w:rPr>
          <w:rFonts w:asciiTheme="minorHAnsi" w:hAnsiTheme="minorHAnsi" w:cstheme="minorHAnsi"/>
        </w:rPr>
        <w:t xml:space="preserve"> zaměstnance OSS (bez </w:t>
      </w:r>
      <w:proofErr w:type="spellStart"/>
      <w:r w:rsidRPr="00876A34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876A34">
        <w:rPr>
          <w:rFonts w:asciiTheme="minorHAnsi" w:hAnsiTheme="minorHAnsi" w:cstheme="minorHAnsi"/>
        </w:rPr>
        <w:t>)</w:t>
      </w:r>
      <w:r w:rsidR="00472F4E">
        <w:rPr>
          <w:rFonts w:asciiTheme="minorHAnsi" w:hAnsiTheme="minorHAnsi" w:cstheme="minorHAnsi"/>
        </w:rPr>
        <w:t>, avšak i ty měly</w:t>
      </w:r>
      <w:r w:rsidRPr="00876A34">
        <w:rPr>
          <w:rFonts w:asciiTheme="minorHAnsi" w:hAnsiTheme="minorHAnsi" w:cstheme="minorHAnsi"/>
        </w:rPr>
        <w:t xml:space="preserve"> </w:t>
      </w:r>
      <w:r w:rsidR="00472F4E">
        <w:rPr>
          <w:rFonts w:asciiTheme="minorHAnsi" w:hAnsiTheme="minorHAnsi" w:cstheme="minorHAnsi"/>
        </w:rPr>
        <w:t>ve</w:t>
      </w:r>
      <w:r w:rsidRPr="00876A34">
        <w:rPr>
          <w:rFonts w:asciiTheme="minorHAnsi" w:hAnsiTheme="minorHAnsi" w:cstheme="minorHAnsi"/>
        </w:rPr>
        <w:t xml:space="preserve"> sledované</w:t>
      </w:r>
      <w:r w:rsidR="00472F4E">
        <w:rPr>
          <w:rFonts w:asciiTheme="minorHAnsi" w:hAnsiTheme="minorHAnsi" w:cstheme="minorHAnsi"/>
        </w:rPr>
        <w:t>m</w:t>
      </w:r>
      <w:r w:rsidRPr="00876A34">
        <w:rPr>
          <w:rFonts w:asciiTheme="minorHAnsi" w:hAnsiTheme="minorHAnsi" w:cstheme="minorHAnsi"/>
        </w:rPr>
        <w:t xml:space="preserve"> období rostoucí tendenci (vyjma roku 2021). Celkové náklady na </w:t>
      </w:r>
      <w:r>
        <w:rPr>
          <w:rFonts w:asciiTheme="minorHAnsi" w:hAnsiTheme="minorHAnsi" w:cstheme="minorHAnsi"/>
        </w:rPr>
        <w:t>jednoho</w:t>
      </w:r>
      <w:r w:rsidRPr="00876A34">
        <w:rPr>
          <w:rFonts w:asciiTheme="minorHAnsi" w:hAnsiTheme="minorHAnsi" w:cstheme="minorHAnsi"/>
        </w:rPr>
        <w:t xml:space="preserve"> zaměstnance ostatních OSS (bez </w:t>
      </w:r>
      <w:proofErr w:type="spellStart"/>
      <w:r w:rsidRPr="00876A34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876A34">
        <w:rPr>
          <w:rFonts w:asciiTheme="minorHAnsi" w:hAnsiTheme="minorHAnsi" w:cstheme="minorHAnsi"/>
        </w:rPr>
        <w:t>) mezi lety 2017–2021 rostly z 837 tis. Kč na 1,05 mil. Kč.</w:t>
      </w:r>
    </w:p>
    <w:p w14:paraId="6D717055" w14:textId="2F937016" w:rsidR="006D40B2" w:rsidRPr="00876A34" w:rsidRDefault="006D40B2" w:rsidP="006D40B2">
      <w:pPr>
        <w:pStyle w:val="Titulek1"/>
        <w:tabs>
          <w:tab w:val="clear" w:pos="9356"/>
          <w:tab w:val="right" w:pos="9070"/>
        </w:tabs>
        <w:ind w:left="1418" w:hanging="1418"/>
        <w:rPr>
          <w:sz w:val="24"/>
        </w:rPr>
      </w:pPr>
      <w:bookmarkStart w:id="101" w:name="_Toc72157484"/>
      <w:r w:rsidRPr="00876A34">
        <w:rPr>
          <w:sz w:val="24"/>
        </w:rPr>
        <w:t xml:space="preserve">Tabulka č. </w:t>
      </w:r>
      <w:r w:rsidRPr="00876A34">
        <w:rPr>
          <w:sz w:val="24"/>
        </w:rPr>
        <w:fldChar w:fldCharType="begin"/>
      </w:r>
      <w:r w:rsidRPr="00876A34">
        <w:rPr>
          <w:sz w:val="24"/>
        </w:rPr>
        <w:instrText xml:space="preserve"> SEQ Tabulka \* ARABIC </w:instrText>
      </w:r>
      <w:r w:rsidRPr="00876A34">
        <w:rPr>
          <w:sz w:val="24"/>
        </w:rPr>
        <w:fldChar w:fldCharType="separate"/>
      </w:r>
      <w:r w:rsidR="009A66D8">
        <w:rPr>
          <w:noProof/>
          <w:sz w:val="24"/>
        </w:rPr>
        <w:t>28</w:t>
      </w:r>
      <w:r w:rsidRPr="00876A34">
        <w:rPr>
          <w:noProof/>
          <w:sz w:val="24"/>
        </w:rPr>
        <w:fldChar w:fldCharType="end"/>
      </w:r>
      <w:r w:rsidRPr="00876A34">
        <w:rPr>
          <w:sz w:val="24"/>
        </w:rPr>
        <w:t xml:space="preserve">: </w:t>
      </w:r>
      <w:r w:rsidRPr="00876A34">
        <w:rPr>
          <w:sz w:val="24"/>
        </w:rPr>
        <w:tab/>
        <w:t xml:space="preserve">Náklady z činnosti (položka A.I. výkazu zisku a ztráty) vykázané </w:t>
      </w:r>
      <w:proofErr w:type="spellStart"/>
      <w:r>
        <w:rPr>
          <w:sz w:val="24"/>
        </w:rPr>
        <w:t>MZd</w:t>
      </w:r>
      <w:proofErr w:type="spellEnd"/>
      <w:r w:rsidRPr="00876A34">
        <w:rPr>
          <w:sz w:val="24"/>
        </w:rPr>
        <w:t xml:space="preserve"> a OSS </w:t>
      </w:r>
      <w:r w:rsidR="00472F4E" w:rsidRPr="00876A34">
        <w:rPr>
          <w:sz w:val="24"/>
        </w:rPr>
        <w:t xml:space="preserve">(bez </w:t>
      </w:r>
      <w:proofErr w:type="spellStart"/>
      <w:r w:rsidR="00472F4E" w:rsidRPr="00876A34">
        <w:rPr>
          <w:sz w:val="24"/>
        </w:rPr>
        <w:t>M</w:t>
      </w:r>
      <w:r w:rsidR="00472F4E">
        <w:rPr>
          <w:sz w:val="24"/>
        </w:rPr>
        <w:t>Zd</w:t>
      </w:r>
      <w:proofErr w:type="spellEnd"/>
      <w:r w:rsidR="00472F4E">
        <w:rPr>
          <w:sz w:val="24"/>
        </w:rPr>
        <w:t xml:space="preserve">) </w:t>
      </w:r>
      <w:r w:rsidRPr="00876A34">
        <w:rPr>
          <w:sz w:val="24"/>
        </w:rPr>
        <w:t xml:space="preserve">v rozpočtové kapitole </w:t>
      </w:r>
      <w:r>
        <w:rPr>
          <w:sz w:val="24"/>
        </w:rPr>
        <w:t>335</w:t>
      </w:r>
      <w:r w:rsidRPr="00876A34">
        <w:rPr>
          <w:sz w:val="24"/>
        </w:rPr>
        <w:t xml:space="preserve"> </w:t>
      </w:r>
      <w:r w:rsidR="00472F4E">
        <w:rPr>
          <w:sz w:val="24"/>
        </w:rPr>
        <w:tab/>
        <w:t>(</w:t>
      </w:r>
      <w:r w:rsidRPr="00876A34">
        <w:rPr>
          <w:sz w:val="24"/>
        </w:rPr>
        <w:t>v Kč)</w:t>
      </w:r>
      <w:bookmarkEnd w:id="10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1647"/>
        <w:gridCol w:w="1647"/>
        <w:gridCol w:w="1587"/>
        <w:gridCol w:w="1558"/>
        <w:gridCol w:w="1410"/>
      </w:tblGrid>
      <w:tr w:rsidR="006D40B2" w:rsidRPr="00D71C60" w14:paraId="2B516EE2" w14:textId="77777777" w:rsidTr="006D40B2">
        <w:trPr>
          <w:trHeight w:val="255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3EF6571" w14:textId="77777777" w:rsidR="006D40B2" w:rsidRPr="00D420AD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420AD">
              <w:rPr>
                <w:b/>
                <w:bCs/>
                <w:color w:val="000000"/>
                <w:sz w:val="18"/>
                <w:szCs w:val="18"/>
              </w:rPr>
              <w:t>Organizace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2135D92" w14:textId="77777777" w:rsidR="006D40B2" w:rsidRPr="00D420AD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D420AD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BF96263" w14:textId="77777777" w:rsidR="006D40B2" w:rsidRPr="00D420AD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D420AD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9403A38" w14:textId="77777777" w:rsidR="006D40B2" w:rsidRPr="00D420AD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D420AD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0066769" w14:textId="77777777" w:rsidR="006D40B2" w:rsidRPr="00D420AD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D420AD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0BA04A7" w14:textId="77777777" w:rsidR="006D40B2" w:rsidRPr="00D420AD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D420AD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2E2141AD" w14:textId="77777777" w:rsidTr="006D40B2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A373" w14:textId="77777777" w:rsidR="006D40B2" w:rsidRPr="00D420AD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 w:rsidRPr="00D420AD">
              <w:rPr>
                <w:color w:val="000000"/>
                <w:sz w:val="18"/>
                <w:szCs w:val="18"/>
              </w:rPr>
              <w:t>MZ</w:t>
            </w:r>
            <w:r>
              <w:rPr>
                <w:color w:val="000000"/>
                <w:sz w:val="18"/>
                <w:szCs w:val="18"/>
              </w:rPr>
              <w:t>d</w:t>
            </w:r>
            <w:proofErr w:type="spellEnd"/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5A55" w14:textId="77777777" w:rsidR="006D40B2" w:rsidRPr="00D420AD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D420AD">
              <w:rPr>
                <w:sz w:val="18"/>
                <w:szCs w:val="18"/>
              </w:rPr>
              <w:t>770 109 506,89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238D" w14:textId="77777777" w:rsidR="006D40B2" w:rsidRPr="00D420AD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D420AD">
              <w:rPr>
                <w:sz w:val="18"/>
                <w:szCs w:val="18"/>
              </w:rPr>
              <w:t>873 719 891,42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4CCA9" w14:textId="77777777" w:rsidR="006D40B2" w:rsidRPr="00D420AD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D420AD">
              <w:rPr>
                <w:sz w:val="18"/>
                <w:szCs w:val="18"/>
              </w:rPr>
              <w:t>933 535 994,74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53BA" w14:textId="77777777" w:rsidR="006D40B2" w:rsidRPr="00D420AD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D420AD">
              <w:rPr>
                <w:sz w:val="18"/>
                <w:szCs w:val="18"/>
              </w:rPr>
              <w:t>3 791 387 384,32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4C25E" w14:textId="77777777" w:rsidR="006D40B2" w:rsidRPr="00D420AD" w:rsidRDefault="006D40B2" w:rsidP="006D40B2">
            <w:pPr>
              <w:keepNext/>
              <w:spacing w:after="0"/>
              <w:jc w:val="right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D420AD">
              <w:rPr>
                <w:sz w:val="18"/>
                <w:szCs w:val="18"/>
              </w:rPr>
              <w:t>9 661 602 354,44</w:t>
            </w:r>
          </w:p>
        </w:tc>
      </w:tr>
      <w:tr w:rsidR="006D40B2" w:rsidRPr="00D71C60" w14:paraId="3D8A29F0" w14:textId="77777777" w:rsidTr="006D40B2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6629" w14:textId="77777777" w:rsidR="006D40B2" w:rsidRPr="00D420AD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 w:rsidRPr="00D420AD">
              <w:rPr>
                <w:color w:val="000000"/>
                <w:sz w:val="18"/>
                <w:szCs w:val="18"/>
              </w:rPr>
              <w:t xml:space="preserve">OSS bez </w:t>
            </w:r>
            <w:proofErr w:type="spellStart"/>
            <w:r w:rsidRPr="00D420AD">
              <w:rPr>
                <w:color w:val="000000"/>
                <w:sz w:val="18"/>
                <w:szCs w:val="18"/>
              </w:rPr>
              <w:t>MZ</w:t>
            </w:r>
            <w:r>
              <w:rPr>
                <w:color w:val="000000"/>
                <w:sz w:val="18"/>
                <w:szCs w:val="18"/>
              </w:rPr>
              <w:t>d</w:t>
            </w:r>
            <w:proofErr w:type="spellEnd"/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0457" w14:textId="77777777" w:rsidR="006D40B2" w:rsidRPr="00D420AD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D420AD">
              <w:rPr>
                <w:sz w:val="18"/>
                <w:szCs w:val="18"/>
              </w:rPr>
              <w:t>2 294 018 174,92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6875" w14:textId="77777777" w:rsidR="006D40B2" w:rsidRPr="00D420AD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D420AD">
              <w:rPr>
                <w:sz w:val="18"/>
                <w:szCs w:val="18"/>
              </w:rPr>
              <w:t>2 407 849 184,30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04E1" w14:textId="77777777" w:rsidR="006D40B2" w:rsidRPr="00D420AD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D420AD">
              <w:rPr>
                <w:sz w:val="18"/>
                <w:szCs w:val="18"/>
              </w:rPr>
              <w:t>2 612 854 175,26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044E" w14:textId="77777777" w:rsidR="006D40B2" w:rsidRPr="00D420AD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D420AD">
              <w:rPr>
                <w:sz w:val="18"/>
                <w:szCs w:val="18"/>
              </w:rPr>
              <w:t>3 030 451 177,53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F2A3" w14:textId="31D3F6E5" w:rsidR="006D40B2" w:rsidRPr="00D420AD" w:rsidRDefault="003518EF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sz w:val="18"/>
                <w:szCs w:val="18"/>
              </w:rPr>
              <w:t>3 141 751 844,72</w:t>
            </w:r>
          </w:p>
        </w:tc>
      </w:tr>
    </w:tbl>
    <w:p w14:paraId="7877A40A" w14:textId="77777777" w:rsidR="006D40B2" w:rsidRPr="00D420AD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D420AD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D420AD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20DD1B41" w14:textId="727A5F5F" w:rsidR="006D40B2" w:rsidRPr="00E6355D" w:rsidRDefault="006D40B2" w:rsidP="006D40B2">
      <w:pPr>
        <w:jc w:val="both"/>
        <w:rPr>
          <w:rFonts w:asciiTheme="minorHAnsi" w:hAnsiTheme="minorHAnsi" w:cstheme="minorHAnsi"/>
        </w:rPr>
      </w:pPr>
      <w:r w:rsidRPr="00E6355D">
        <w:rPr>
          <w:rFonts w:asciiTheme="minorHAnsi" w:hAnsiTheme="minorHAnsi" w:cstheme="minorHAnsi"/>
        </w:rPr>
        <w:t xml:space="preserve">Náklady z činnosti </w:t>
      </w:r>
      <w:proofErr w:type="spellStart"/>
      <w:r w:rsidRPr="00E6355D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E6355D">
        <w:rPr>
          <w:rFonts w:asciiTheme="minorHAnsi" w:hAnsiTheme="minorHAnsi" w:cstheme="minorHAnsi"/>
        </w:rPr>
        <w:t xml:space="preserve"> vykazují ve sledovaném období rostoucí tendenci. Mezi roky 2020 a</w:t>
      </w:r>
      <w:r>
        <w:rPr>
          <w:rFonts w:asciiTheme="minorHAnsi" w:hAnsiTheme="minorHAnsi" w:cstheme="minorHAnsi"/>
        </w:rPr>
        <w:t> </w:t>
      </w:r>
      <w:r w:rsidRPr="00E6355D">
        <w:rPr>
          <w:rFonts w:asciiTheme="minorHAnsi" w:hAnsiTheme="minorHAnsi" w:cstheme="minorHAnsi"/>
        </w:rPr>
        <w:t xml:space="preserve">2021 však došlo k významnému nárůstu o </w:t>
      </w:r>
      <w:r w:rsidRPr="00D420AD">
        <w:rPr>
          <w:rFonts w:asciiTheme="minorHAnsi" w:hAnsiTheme="minorHAnsi" w:cstheme="minorHAnsi"/>
        </w:rPr>
        <w:t>5,87 mld.</w:t>
      </w:r>
      <w:r w:rsidRPr="00E6355D">
        <w:rPr>
          <w:rFonts w:asciiTheme="minorHAnsi" w:hAnsiTheme="minorHAnsi" w:cstheme="minorHAnsi"/>
        </w:rPr>
        <w:t xml:space="preserve"> Kč. Náklady z činnosti zbylých OSS ve</w:t>
      </w:r>
      <w:r w:rsidR="00472F4E">
        <w:rPr>
          <w:rFonts w:asciiTheme="minorHAnsi" w:hAnsiTheme="minorHAnsi" w:cstheme="minorHAnsi"/>
        </w:rPr>
        <w:t xml:space="preserve"> </w:t>
      </w:r>
      <w:r w:rsidRPr="00E6355D">
        <w:rPr>
          <w:rFonts w:asciiTheme="minorHAnsi" w:hAnsiTheme="minorHAnsi" w:cstheme="minorHAnsi"/>
        </w:rPr>
        <w:t>sledovaném období rovněž mírně rost</w:t>
      </w:r>
      <w:r w:rsidR="00472F4E">
        <w:rPr>
          <w:rFonts w:asciiTheme="minorHAnsi" w:hAnsiTheme="minorHAnsi" w:cstheme="minorHAnsi"/>
        </w:rPr>
        <w:t>ly</w:t>
      </w:r>
      <w:r w:rsidRPr="00E6355D">
        <w:rPr>
          <w:rFonts w:asciiTheme="minorHAnsi" w:hAnsiTheme="minorHAnsi" w:cstheme="minorHAnsi"/>
        </w:rPr>
        <w:t>, ale bez skokového nárůstu mezi roky 2020 a 2021.</w:t>
      </w:r>
    </w:p>
    <w:p w14:paraId="5D6B5DC2" w14:textId="5BA9BB38" w:rsidR="006D40B2" w:rsidRPr="00D71C60" w:rsidRDefault="006D40B2" w:rsidP="006D40B2">
      <w:pPr>
        <w:spacing w:before="120"/>
        <w:jc w:val="both"/>
        <w:rPr>
          <w:rFonts w:asciiTheme="minorHAnsi" w:hAnsiTheme="minorHAnsi" w:cstheme="minorHAnsi"/>
          <w:b/>
          <w:highlight w:val="yellow"/>
        </w:rPr>
      </w:pPr>
      <w:r w:rsidRPr="00E6355D">
        <w:rPr>
          <w:rFonts w:asciiTheme="minorHAnsi" w:hAnsiTheme="minorHAnsi" w:cstheme="minorHAnsi"/>
        </w:rPr>
        <w:t xml:space="preserve">Nejvyšší položku nákladů z činnosti </w:t>
      </w:r>
      <w:proofErr w:type="spellStart"/>
      <w:r w:rsidRPr="00E6355D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E6355D">
        <w:rPr>
          <w:rFonts w:asciiTheme="minorHAnsi" w:hAnsiTheme="minorHAnsi" w:cstheme="minorHAnsi"/>
        </w:rPr>
        <w:t xml:space="preserve"> tvořil v roce 2021 </w:t>
      </w:r>
      <w:r w:rsidRPr="00651654">
        <w:rPr>
          <w:rFonts w:asciiTheme="minorHAnsi" w:hAnsiTheme="minorHAnsi" w:cstheme="minorHAnsi"/>
        </w:rPr>
        <w:t>zůstatek syntetického účtu</w:t>
      </w:r>
      <w:r>
        <w:rPr>
          <w:rFonts w:asciiTheme="minorHAnsi" w:hAnsiTheme="minorHAnsi" w:cstheme="minorHAnsi"/>
        </w:rPr>
        <w:br/>
      </w:r>
      <w:r w:rsidRPr="00651654">
        <w:rPr>
          <w:rFonts w:asciiTheme="minorHAnsi" w:hAnsiTheme="minorHAnsi" w:cstheme="minorHAnsi"/>
        </w:rPr>
        <w:t>504</w:t>
      </w:r>
      <w:r>
        <w:rPr>
          <w:rFonts w:asciiTheme="minorHAnsi" w:hAnsiTheme="minorHAnsi" w:cstheme="minorHAnsi"/>
          <w:i/>
        </w:rPr>
        <w:t xml:space="preserve"> </w:t>
      </w:r>
      <w:r w:rsidRPr="00876A34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Pr="00E6355D">
        <w:rPr>
          <w:rFonts w:asciiTheme="minorHAnsi" w:hAnsiTheme="minorHAnsi" w:cstheme="minorHAnsi"/>
          <w:i/>
        </w:rPr>
        <w:t xml:space="preserve">Prodané zboží </w:t>
      </w:r>
      <w:r w:rsidRPr="00E6355D">
        <w:rPr>
          <w:rFonts w:asciiTheme="minorHAnsi" w:hAnsiTheme="minorHAnsi" w:cstheme="minorHAnsi"/>
        </w:rPr>
        <w:t xml:space="preserve">ve výši 7 348 927 764,42 Kč, tj. 76,06 % nákladů z činnosti. Další významný náklad z činnosti byl vykázán na účtu 518 </w:t>
      </w:r>
      <w:r w:rsidRPr="00876A34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Pr="00E6355D">
        <w:rPr>
          <w:rFonts w:asciiTheme="minorHAnsi" w:hAnsiTheme="minorHAnsi" w:cstheme="minorHAnsi"/>
          <w:i/>
        </w:rPr>
        <w:t>Ostatní služby</w:t>
      </w:r>
      <w:r w:rsidRPr="00E6355D">
        <w:rPr>
          <w:rFonts w:asciiTheme="minorHAnsi" w:hAnsiTheme="minorHAnsi" w:cstheme="minorHAnsi"/>
        </w:rPr>
        <w:t xml:space="preserve"> ve výši 1 249 725 806,10 Kč, tj.</w:t>
      </w:r>
      <w:r>
        <w:rPr>
          <w:rFonts w:asciiTheme="minorHAnsi" w:hAnsiTheme="minorHAnsi" w:cstheme="minorHAnsi"/>
        </w:rPr>
        <w:t> </w:t>
      </w:r>
      <w:r w:rsidRPr="00E6355D">
        <w:rPr>
          <w:rFonts w:asciiTheme="minorHAnsi" w:hAnsiTheme="minorHAnsi" w:cstheme="minorHAnsi"/>
        </w:rPr>
        <w:t>12,93 % nákladů z činnosti.</w:t>
      </w:r>
    </w:p>
    <w:p w14:paraId="7AF8D0D0" w14:textId="5FBDB769" w:rsidR="006D40B2" w:rsidRPr="00D420AD" w:rsidRDefault="006D40B2" w:rsidP="006D40B2">
      <w:pPr>
        <w:pStyle w:val="Titulek1"/>
        <w:tabs>
          <w:tab w:val="clear" w:pos="9356"/>
          <w:tab w:val="right" w:pos="9070"/>
        </w:tabs>
        <w:ind w:left="1418" w:hanging="1418"/>
        <w:rPr>
          <w:sz w:val="24"/>
        </w:rPr>
      </w:pPr>
      <w:bookmarkStart w:id="102" w:name="_Toc8984546"/>
      <w:bookmarkStart w:id="103" w:name="_Toc520714339"/>
      <w:bookmarkStart w:id="104" w:name="_Toc72157485"/>
      <w:r w:rsidRPr="004E2D6E">
        <w:rPr>
          <w:sz w:val="24"/>
          <w:szCs w:val="24"/>
        </w:rPr>
        <w:t>T</w:t>
      </w:r>
      <w:r w:rsidRPr="00D420AD">
        <w:rPr>
          <w:sz w:val="24"/>
        </w:rPr>
        <w:t xml:space="preserve">abulka č. </w:t>
      </w:r>
      <w:r w:rsidRPr="00D420AD">
        <w:rPr>
          <w:sz w:val="24"/>
        </w:rPr>
        <w:fldChar w:fldCharType="begin"/>
      </w:r>
      <w:r w:rsidRPr="00D420AD">
        <w:rPr>
          <w:sz w:val="24"/>
        </w:rPr>
        <w:instrText xml:space="preserve"> SEQ Tabulka \* ARABIC </w:instrText>
      </w:r>
      <w:r w:rsidRPr="00D420AD">
        <w:rPr>
          <w:sz w:val="24"/>
        </w:rPr>
        <w:fldChar w:fldCharType="separate"/>
      </w:r>
      <w:r w:rsidR="009A66D8">
        <w:rPr>
          <w:noProof/>
          <w:sz w:val="24"/>
        </w:rPr>
        <w:t>29</w:t>
      </w:r>
      <w:r w:rsidRPr="00D420AD">
        <w:rPr>
          <w:noProof/>
          <w:sz w:val="24"/>
        </w:rPr>
        <w:fldChar w:fldCharType="end"/>
      </w:r>
      <w:r w:rsidRPr="00D420AD">
        <w:rPr>
          <w:sz w:val="24"/>
        </w:rPr>
        <w:t xml:space="preserve">: </w:t>
      </w:r>
      <w:r w:rsidRPr="00D420AD">
        <w:rPr>
          <w:sz w:val="24"/>
        </w:rPr>
        <w:tab/>
        <w:t xml:space="preserve">Náklady z činnosti </w:t>
      </w:r>
      <w:r w:rsidR="00472F4E">
        <w:rPr>
          <w:sz w:val="24"/>
        </w:rPr>
        <w:t xml:space="preserve">v </w:t>
      </w:r>
      <w:r w:rsidRPr="00D420AD">
        <w:rPr>
          <w:sz w:val="24"/>
        </w:rPr>
        <w:t>přepočt</w:t>
      </w:r>
      <w:r w:rsidR="00472F4E">
        <w:rPr>
          <w:sz w:val="24"/>
        </w:rPr>
        <w:t>u</w:t>
      </w:r>
      <w:r w:rsidRPr="00D420AD">
        <w:rPr>
          <w:sz w:val="24"/>
        </w:rPr>
        <w:t xml:space="preserve"> na jednoho zaměstnance vykázané </w:t>
      </w:r>
      <w:proofErr w:type="spellStart"/>
      <w:r w:rsidRPr="00D420AD">
        <w:rPr>
          <w:sz w:val="24"/>
        </w:rPr>
        <w:t>MZ</w:t>
      </w:r>
      <w:r>
        <w:rPr>
          <w:sz w:val="24"/>
        </w:rPr>
        <w:t>d</w:t>
      </w:r>
      <w:proofErr w:type="spellEnd"/>
      <w:r w:rsidRPr="00D420AD">
        <w:rPr>
          <w:sz w:val="24"/>
        </w:rPr>
        <w:t xml:space="preserve"> a OSS</w:t>
      </w:r>
      <w:bookmarkEnd w:id="102"/>
      <w:r w:rsidRPr="00D420AD">
        <w:rPr>
          <w:sz w:val="24"/>
        </w:rPr>
        <w:t xml:space="preserve"> </w:t>
      </w:r>
      <w:r w:rsidR="00472F4E" w:rsidRPr="00876A34">
        <w:rPr>
          <w:sz w:val="24"/>
        </w:rPr>
        <w:t xml:space="preserve">(bez </w:t>
      </w:r>
      <w:proofErr w:type="spellStart"/>
      <w:r w:rsidR="00472F4E" w:rsidRPr="00876A34">
        <w:rPr>
          <w:sz w:val="24"/>
        </w:rPr>
        <w:t>M</w:t>
      </w:r>
      <w:r w:rsidR="00472F4E">
        <w:rPr>
          <w:sz w:val="24"/>
        </w:rPr>
        <w:t>Zd</w:t>
      </w:r>
      <w:proofErr w:type="spellEnd"/>
      <w:r w:rsidR="00472F4E">
        <w:rPr>
          <w:sz w:val="24"/>
        </w:rPr>
        <w:t xml:space="preserve">) </w:t>
      </w:r>
      <w:r w:rsidRPr="00D420AD">
        <w:rPr>
          <w:sz w:val="24"/>
        </w:rPr>
        <w:t xml:space="preserve">v rozpočtové kapitole 335 </w:t>
      </w:r>
      <w:r w:rsidR="00472F4E">
        <w:rPr>
          <w:sz w:val="24"/>
        </w:rPr>
        <w:tab/>
        <w:t>(</w:t>
      </w:r>
      <w:r w:rsidRPr="00D420AD">
        <w:rPr>
          <w:sz w:val="24"/>
        </w:rPr>
        <w:t>v Kč)</w:t>
      </w:r>
      <w:bookmarkEnd w:id="103"/>
      <w:bookmarkEnd w:id="10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490"/>
        <w:gridCol w:w="1489"/>
        <w:gridCol w:w="1489"/>
        <w:gridCol w:w="1489"/>
        <w:gridCol w:w="1488"/>
      </w:tblGrid>
      <w:tr w:rsidR="006D40B2" w:rsidRPr="00D71C60" w14:paraId="391F8DFB" w14:textId="77777777" w:rsidTr="006D40B2">
        <w:trPr>
          <w:trHeight w:val="255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66FA6A3" w14:textId="77777777" w:rsidR="006D40B2" w:rsidRPr="00D420AD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420AD">
              <w:rPr>
                <w:b/>
                <w:bCs/>
                <w:color w:val="000000"/>
                <w:sz w:val="18"/>
                <w:szCs w:val="18"/>
              </w:rPr>
              <w:t>Organizace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458846B" w14:textId="77777777" w:rsidR="006D40B2" w:rsidRPr="00D420AD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D420AD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2DCE879" w14:textId="77777777" w:rsidR="006D40B2" w:rsidRPr="00D420AD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D420AD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FCF1723" w14:textId="77777777" w:rsidR="006D40B2" w:rsidRPr="00D420AD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D420AD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6B787DC" w14:textId="77777777" w:rsidR="006D40B2" w:rsidRPr="00D420AD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D420AD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9E3F449" w14:textId="77777777" w:rsidR="006D40B2" w:rsidRPr="00D420AD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D420AD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5D814C87" w14:textId="77777777" w:rsidTr="006D40B2">
        <w:trPr>
          <w:trHeight w:val="255"/>
        </w:trPr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69A99" w14:textId="77777777" w:rsidR="006D40B2" w:rsidRPr="00D420AD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 w:rsidRPr="00D420AD">
              <w:rPr>
                <w:color w:val="000000"/>
                <w:sz w:val="18"/>
                <w:szCs w:val="18"/>
              </w:rPr>
              <w:t>MZ</w:t>
            </w:r>
            <w:r>
              <w:rPr>
                <w:color w:val="000000"/>
                <w:sz w:val="18"/>
                <w:szCs w:val="18"/>
              </w:rPr>
              <w:t>d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8CD7" w14:textId="77777777" w:rsidR="006D40B2" w:rsidRPr="00D420AD" w:rsidRDefault="006D40B2" w:rsidP="006D40B2">
            <w:pPr>
              <w:keepNext/>
              <w:spacing w:after="0"/>
              <w:jc w:val="right"/>
              <w:rPr>
                <w:sz w:val="18"/>
                <w:szCs w:val="18"/>
              </w:rPr>
            </w:pPr>
            <w:r w:rsidRPr="00D420AD">
              <w:rPr>
                <w:sz w:val="18"/>
                <w:szCs w:val="18"/>
              </w:rPr>
              <w:t>2 000 284,43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E2DB" w14:textId="77777777" w:rsidR="006D40B2" w:rsidRPr="00D420AD" w:rsidRDefault="006D40B2" w:rsidP="006D40B2">
            <w:pPr>
              <w:keepNext/>
              <w:spacing w:after="0"/>
              <w:jc w:val="right"/>
              <w:rPr>
                <w:sz w:val="18"/>
                <w:szCs w:val="18"/>
              </w:rPr>
            </w:pPr>
            <w:r w:rsidRPr="00D420AD">
              <w:rPr>
                <w:sz w:val="18"/>
                <w:szCs w:val="18"/>
              </w:rPr>
              <w:t>2 123 617,36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C1B9" w14:textId="77777777" w:rsidR="006D40B2" w:rsidRPr="00D420AD" w:rsidRDefault="006D40B2" w:rsidP="006D40B2">
            <w:pPr>
              <w:keepNext/>
              <w:spacing w:after="0"/>
              <w:jc w:val="right"/>
              <w:rPr>
                <w:sz w:val="18"/>
                <w:szCs w:val="18"/>
              </w:rPr>
            </w:pPr>
            <w:r w:rsidRPr="00D420AD">
              <w:rPr>
                <w:sz w:val="18"/>
                <w:szCs w:val="18"/>
              </w:rPr>
              <w:t>2 135 407,27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D211" w14:textId="77777777" w:rsidR="006D40B2" w:rsidRPr="00D420AD" w:rsidRDefault="006D40B2" w:rsidP="006D40B2">
            <w:pPr>
              <w:keepNext/>
              <w:spacing w:after="0"/>
              <w:jc w:val="right"/>
              <w:rPr>
                <w:sz w:val="18"/>
                <w:szCs w:val="18"/>
              </w:rPr>
            </w:pPr>
            <w:r w:rsidRPr="00D420AD">
              <w:rPr>
                <w:sz w:val="18"/>
                <w:szCs w:val="18"/>
              </w:rPr>
              <w:t>8 654 752,40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69365" w14:textId="77777777" w:rsidR="006D40B2" w:rsidRPr="00D420AD" w:rsidRDefault="006D40B2" w:rsidP="006D40B2">
            <w:pPr>
              <w:keepNext/>
              <w:spacing w:after="0"/>
              <w:jc w:val="right"/>
              <w:rPr>
                <w:sz w:val="18"/>
                <w:szCs w:val="18"/>
              </w:rPr>
            </w:pPr>
            <w:r w:rsidRPr="00D420AD">
              <w:rPr>
                <w:sz w:val="18"/>
                <w:szCs w:val="18"/>
              </w:rPr>
              <w:t>20 572 358,31</w:t>
            </w:r>
          </w:p>
        </w:tc>
      </w:tr>
      <w:tr w:rsidR="006D40B2" w:rsidRPr="00D71C60" w14:paraId="7EC4405E" w14:textId="77777777" w:rsidTr="006D40B2">
        <w:trPr>
          <w:trHeight w:val="255"/>
        </w:trPr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B1C8" w14:textId="77777777" w:rsidR="006D40B2" w:rsidRPr="00D420AD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 w:rsidRPr="00D420AD">
              <w:rPr>
                <w:color w:val="000000"/>
                <w:sz w:val="18"/>
                <w:szCs w:val="18"/>
              </w:rPr>
              <w:t xml:space="preserve">OSS bez </w:t>
            </w:r>
            <w:proofErr w:type="spellStart"/>
            <w:r w:rsidRPr="00D420AD">
              <w:rPr>
                <w:color w:val="000000"/>
                <w:sz w:val="18"/>
                <w:szCs w:val="18"/>
              </w:rPr>
              <w:t>MZ</w:t>
            </w:r>
            <w:r>
              <w:rPr>
                <w:color w:val="000000"/>
                <w:sz w:val="18"/>
                <w:szCs w:val="18"/>
              </w:rPr>
              <w:t>d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1E38" w14:textId="77777777" w:rsidR="006D40B2" w:rsidRPr="00D420AD" w:rsidRDefault="006D40B2" w:rsidP="006D40B2">
            <w:pPr>
              <w:keepNext/>
              <w:spacing w:after="0"/>
              <w:jc w:val="right"/>
              <w:rPr>
                <w:sz w:val="18"/>
                <w:szCs w:val="18"/>
              </w:rPr>
            </w:pPr>
            <w:r w:rsidRPr="00D420AD">
              <w:rPr>
                <w:sz w:val="18"/>
                <w:szCs w:val="18"/>
              </w:rPr>
              <w:t>835 707,90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3F02" w14:textId="77777777" w:rsidR="006D40B2" w:rsidRPr="00D420AD" w:rsidRDefault="006D40B2" w:rsidP="006D40B2">
            <w:pPr>
              <w:keepNext/>
              <w:spacing w:after="0"/>
              <w:jc w:val="right"/>
              <w:rPr>
                <w:sz w:val="18"/>
                <w:szCs w:val="18"/>
              </w:rPr>
            </w:pPr>
            <w:r w:rsidRPr="00D420AD">
              <w:rPr>
                <w:sz w:val="18"/>
                <w:szCs w:val="18"/>
              </w:rPr>
              <w:t>862 629,53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00287" w14:textId="77777777" w:rsidR="006D40B2" w:rsidRPr="00D420AD" w:rsidRDefault="006D40B2" w:rsidP="006D40B2">
            <w:pPr>
              <w:keepNext/>
              <w:spacing w:after="0"/>
              <w:jc w:val="right"/>
              <w:rPr>
                <w:sz w:val="18"/>
                <w:szCs w:val="18"/>
              </w:rPr>
            </w:pPr>
            <w:r w:rsidRPr="00D420AD">
              <w:rPr>
                <w:sz w:val="18"/>
                <w:szCs w:val="18"/>
              </w:rPr>
              <w:t>924 985,99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9D81" w14:textId="77777777" w:rsidR="006D40B2" w:rsidRPr="00D420AD" w:rsidRDefault="006D40B2" w:rsidP="006D40B2">
            <w:pPr>
              <w:keepNext/>
              <w:spacing w:after="0"/>
              <w:jc w:val="right"/>
              <w:rPr>
                <w:sz w:val="18"/>
                <w:szCs w:val="18"/>
              </w:rPr>
            </w:pPr>
            <w:r w:rsidRPr="00D420AD">
              <w:rPr>
                <w:sz w:val="18"/>
                <w:szCs w:val="18"/>
              </w:rPr>
              <w:t>1 055 534,87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03AFF" w14:textId="77777777" w:rsidR="006D40B2" w:rsidRPr="00D420AD" w:rsidRDefault="006D40B2" w:rsidP="006D40B2">
            <w:pPr>
              <w:keepNext/>
              <w:spacing w:after="0"/>
              <w:jc w:val="right"/>
              <w:rPr>
                <w:sz w:val="18"/>
                <w:szCs w:val="18"/>
              </w:rPr>
            </w:pPr>
            <w:r w:rsidRPr="00D420AD">
              <w:rPr>
                <w:sz w:val="18"/>
                <w:szCs w:val="18"/>
              </w:rPr>
              <w:t>1 054 480,84</w:t>
            </w:r>
          </w:p>
        </w:tc>
      </w:tr>
    </w:tbl>
    <w:p w14:paraId="49E66064" w14:textId="77777777" w:rsidR="006D40B2" w:rsidRPr="00D420AD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bookmarkStart w:id="105" w:name="_Toc520714947"/>
      <w:r w:rsidRPr="00D420AD">
        <w:rPr>
          <w:rFonts w:cs="Calibri"/>
          <w:b/>
          <w:color w:val="000000"/>
          <w:sz w:val="20"/>
          <w:szCs w:val="20"/>
          <w:lang w:eastAsia="cs-CZ"/>
        </w:rPr>
        <w:t>Zdroj</w:t>
      </w:r>
      <w:r w:rsidRPr="004E2D6E">
        <w:rPr>
          <w:rFonts w:cs="Calibri"/>
          <w:b/>
          <w:color w:val="000000"/>
          <w:sz w:val="20"/>
          <w:szCs w:val="20"/>
          <w:lang w:eastAsia="cs-CZ"/>
        </w:rPr>
        <w:t>:</w:t>
      </w:r>
      <w:r w:rsidRPr="00D420AD">
        <w:rPr>
          <w:rFonts w:cs="Calibri"/>
          <w:color w:val="000000"/>
          <w:sz w:val="20"/>
          <w:szCs w:val="20"/>
          <w:lang w:eastAsia="cs-CZ"/>
        </w:rPr>
        <w:t xml:space="preserve"> výpočet vypracoval NKÚ.</w:t>
      </w:r>
    </w:p>
    <w:bookmarkEnd w:id="105"/>
    <w:p w14:paraId="260CBB1D" w14:textId="1609C4C2" w:rsidR="006D40B2" w:rsidRPr="00E6355D" w:rsidRDefault="006D40B2" w:rsidP="006D40B2">
      <w:pPr>
        <w:jc w:val="both"/>
        <w:rPr>
          <w:rFonts w:asciiTheme="minorHAnsi" w:hAnsiTheme="minorHAnsi" w:cstheme="minorHAnsi"/>
        </w:rPr>
      </w:pPr>
      <w:r w:rsidRPr="00E6355D">
        <w:rPr>
          <w:rFonts w:asciiTheme="minorHAnsi" w:hAnsiTheme="minorHAnsi" w:cstheme="minorHAnsi"/>
        </w:rPr>
        <w:t>Vývoj nákladů z činnosti přepočtený</w:t>
      </w:r>
      <w:r w:rsidR="00472F4E">
        <w:rPr>
          <w:rFonts w:asciiTheme="minorHAnsi" w:hAnsiTheme="minorHAnsi" w:cstheme="minorHAnsi"/>
        </w:rPr>
        <w:t>ch</w:t>
      </w:r>
      <w:r w:rsidRPr="00E6355D"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</w:rPr>
        <w:t>jednoho</w:t>
      </w:r>
      <w:r w:rsidRPr="00E6355D">
        <w:rPr>
          <w:rFonts w:asciiTheme="minorHAnsi" w:hAnsiTheme="minorHAnsi" w:cstheme="minorHAnsi"/>
        </w:rPr>
        <w:t xml:space="preserve"> zaměstnance </w:t>
      </w:r>
      <w:proofErr w:type="spellStart"/>
      <w:r w:rsidRPr="00E6355D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E6355D">
        <w:rPr>
          <w:rFonts w:asciiTheme="minorHAnsi" w:hAnsiTheme="minorHAnsi" w:cstheme="minorHAnsi"/>
        </w:rPr>
        <w:t xml:space="preserve"> ve sledovaném období v podstatě kopíroval vývoj samotných nákladů z činnosti. Ve sledovaném období přepočtené náklady z činnosti rost</w:t>
      </w:r>
      <w:r w:rsidR="000370B8">
        <w:rPr>
          <w:rFonts w:asciiTheme="minorHAnsi" w:hAnsiTheme="minorHAnsi" w:cstheme="minorHAnsi"/>
        </w:rPr>
        <w:t>ly</w:t>
      </w:r>
      <w:r w:rsidRPr="00E6355D">
        <w:rPr>
          <w:rFonts w:asciiTheme="minorHAnsi" w:hAnsiTheme="minorHAnsi" w:cstheme="minorHAnsi"/>
        </w:rPr>
        <w:t xml:space="preserve">. </w:t>
      </w:r>
    </w:p>
    <w:p w14:paraId="517318C2" w14:textId="185F9EA9" w:rsidR="006D40B2" w:rsidRPr="00D71C60" w:rsidRDefault="006D40B2" w:rsidP="006D40B2">
      <w:pPr>
        <w:spacing w:before="120"/>
        <w:jc w:val="both"/>
        <w:rPr>
          <w:rFonts w:asciiTheme="minorHAnsi" w:hAnsiTheme="minorHAnsi" w:cstheme="minorHAnsi"/>
          <w:highlight w:val="yellow"/>
        </w:rPr>
      </w:pPr>
      <w:r w:rsidRPr="00E6355D">
        <w:rPr>
          <w:rFonts w:asciiTheme="minorHAnsi" w:hAnsiTheme="minorHAnsi" w:cstheme="minorHAnsi"/>
        </w:rPr>
        <w:t xml:space="preserve">Náklady z činnosti </w:t>
      </w:r>
      <w:r w:rsidR="000370B8">
        <w:rPr>
          <w:rFonts w:asciiTheme="minorHAnsi" w:hAnsiTheme="minorHAnsi" w:cstheme="minorHAnsi"/>
        </w:rPr>
        <w:t xml:space="preserve">v </w:t>
      </w:r>
      <w:r w:rsidRPr="00E6355D">
        <w:rPr>
          <w:rFonts w:asciiTheme="minorHAnsi" w:hAnsiTheme="minorHAnsi" w:cstheme="minorHAnsi"/>
        </w:rPr>
        <w:t>přepočt</w:t>
      </w:r>
      <w:r w:rsidR="000370B8">
        <w:rPr>
          <w:rFonts w:asciiTheme="minorHAnsi" w:hAnsiTheme="minorHAnsi" w:cstheme="minorHAnsi"/>
        </w:rPr>
        <w:t>u</w:t>
      </w:r>
      <w:r w:rsidRPr="00E6355D"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</w:rPr>
        <w:t>jednoho</w:t>
      </w:r>
      <w:r w:rsidRPr="00E6355D">
        <w:rPr>
          <w:rFonts w:asciiTheme="minorHAnsi" w:hAnsiTheme="minorHAnsi" w:cstheme="minorHAnsi"/>
        </w:rPr>
        <w:t xml:space="preserve"> zaměstnance vykázané OSS bez </w:t>
      </w:r>
      <w:proofErr w:type="spellStart"/>
      <w:r w:rsidRPr="00E6355D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E6355D">
        <w:rPr>
          <w:rFonts w:asciiTheme="minorHAnsi" w:hAnsiTheme="minorHAnsi" w:cstheme="minorHAnsi"/>
        </w:rPr>
        <w:t xml:space="preserve"> m</w:t>
      </w:r>
      <w:r w:rsidR="000370B8">
        <w:rPr>
          <w:rFonts w:asciiTheme="minorHAnsi" w:hAnsiTheme="minorHAnsi" w:cstheme="minorHAnsi"/>
        </w:rPr>
        <w:t>ěly</w:t>
      </w:r>
      <w:r w:rsidRPr="00E6355D">
        <w:rPr>
          <w:rFonts w:asciiTheme="minorHAnsi" w:hAnsiTheme="minorHAnsi" w:cstheme="minorHAnsi"/>
        </w:rPr>
        <w:t xml:space="preserve"> ve sledovaném období rostoucí tendenci, pouze v roce 2021 </w:t>
      </w:r>
      <w:r w:rsidR="000370B8">
        <w:rPr>
          <w:rFonts w:asciiTheme="minorHAnsi" w:hAnsiTheme="minorHAnsi" w:cstheme="minorHAnsi"/>
        </w:rPr>
        <w:t>byl</w:t>
      </w:r>
      <w:r w:rsidRPr="00E6355D">
        <w:rPr>
          <w:rFonts w:asciiTheme="minorHAnsi" w:hAnsiTheme="minorHAnsi" w:cstheme="minorHAnsi"/>
        </w:rPr>
        <w:t xml:space="preserve"> trend mírně klesající.</w:t>
      </w:r>
    </w:p>
    <w:p w14:paraId="4789A06B" w14:textId="3A0DB6AA" w:rsidR="006D40B2" w:rsidRPr="00D420AD" w:rsidRDefault="006D40B2" w:rsidP="006D40B2">
      <w:pPr>
        <w:pStyle w:val="Titulek1"/>
        <w:tabs>
          <w:tab w:val="clear" w:pos="1134"/>
          <w:tab w:val="clear" w:pos="9356"/>
          <w:tab w:val="right" w:pos="9070"/>
        </w:tabs>
        <w:ind w:left="1446" w:hanging="1446"/>
        <w:rPr>
          <w:sz w:val="24"/>
        </w:rPr>
      </w:pPr>
      <w:bookmarkStart w:id="106" w:name="_Toc8984547"/>
      <w:bookmarkStart w:id="107" w:name="_Toc520714340"/>
      <w:bookmarkStart w:id="108" w:name="_Toc72157488"/>
      <w:r w:rsidRPr="00D420AD">
        <w:rPr>
          <w:sz w:val="24"/>
        </w:rPr>
        <w:lastRenderedPageBreak/>
        <w:t xml:space="preserve">Tabulka č. </w:t>
      </w:r>
      <w:r w:rsidRPr="00D420AD">
        <w:rPr>
          <w:sz w:val="24"/>
        </w:rPr>
        <w:fldChar w:fldCharType="begin"/>
      </w:r>
      <w:r w:rsidRPr="00D420AD">
        <w:rPr>
          <w:sz w:val="24"/>
        </w:rPr>
        <w:instrText xml:space="preserve"> SEQ Tabulka \* ARABIC </w:instrText>
      </w:r>
      <w:r w:rsidRPr="00D420AD">
        <w:rPr>
          <w:sz w:val="24"/>
        </w:rPr>
        <w:fldChar w:fldCharType="separate"/>
      </w:r>
      <w:r w:rsidR="009A66D8">
        <w:rPr>
          <w:noProof/>
          <w:sz w:val="24"/>
        </w:rPr>
        <w:t>30</w:t>
      </w:r>
      <w:r w:rsidRPr="00D420AD">
        <w:rPr>
          <w:noProof/>
          <w:sz w:val="24"/>
        </w:rPr>
        <w:fldChar w:fldCharType="end"/>
      </w:r>
      <w:r w:rsidRPr="00D420AD">
        <w:rPr>
          <w:sz w:val="24"/>
        </w:rPr>
        <w:t>: Náklady na transfery (položka A.III. výkazu zisku a ztráty) a jejich porovnání</w:t>
      </w:r>
      <w:bookmarkEnd w:id="106"/>
      <w:r w:rsidRPr="00D420AD">
        <w:rPr>
          <w:sz w:val="24"/>
        </w:rPr>
        <w:t xml:space="preserve"> s celkovými náklady, které vykázalo </w:t>
      </w:r>
      <w:proofErr w:type="spellStart"/>
      <w:r w:rsidRPr="00D420AD">
        <w:rPr>
          <w:sz w:val="24"/>
        </w:rPr>
        <w:t>MZ</w:t>
      </w:r>
      <w:r>
        <w:rPr>
          <w:sz w:val="24"/>
        </w:rPr>
        <w:t>d</w:t>
      </w:r>
      <w:proofErr w:type="spellEnd"/>
      <w:r w:rsidRPr="00D420AD">
        <w:rPr>
          <w:sz w:val="24"/>
        </w:rPr>
        <w:t xml:space="preserve"> a OSS </w:t>
      </w:r>
      <w:r w:rsidR="000370B8" w:rsidRPr="00876A34">
        <w:rPr>
          <w:sz w:val="24"/>
        </w:rPr>
        <w:t xml:space="preserve">(bez </w:t>
      </w:r>
      <w:proofErr w:type="spellStart"/>
      <w:r w:rsidR="000370B8" w:rsidRPr="00876A34">
        <w:rPr>
          <w:sz w:val="24"/>
        </w:rPr>
        <w:t>M</w:t>
      </w:r>
      <w:r w:rsidR="000370B8">
        <w:rPr>
          <w:sz w:val="24"/>
        </w:rPr>
        <w:t>Zd</w:t>
      </w:r>
      <w:proofErr w:type="spellEnd"/>
      <w:r w:rsidR="000370B8">
        <w:rPr>
          <w:sz w:val="24"/>
        </w:rPr>
        <w:t xml:space="preserve">) </w:t>
      </w:r>
      <w:r w:rsidRPr="00D420AD">
        <w:rPr>
          <w:sz w:val="24"/>
        </w:rPr>
        <w:t>v rozpočtové kapitole 335</w:t>
      </w:r>
      <w:bookmarkEnd w:id="107"/>
      <w:bookmarkEnd w:id="108"/>
    </w:p>
    <w:tbl>
      <w:tblPr>
        <w:tblW w:w="9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531"/>
        <w:gridCol w:w="1417"/>
        <w:gridCol w:w="1417"/>
        <w:gridCol w:w="1417"/>
        <w:gridCol w:w="1474"/>
        <w:gridCol w:w="1474"/>
      </w:tblGrid>
      <w:tr w:rsidR="006D40B2" w:rsidRPr="00D71C60" w14:paraId="0A89C5E2" w14:textId="77777777" w:rsidTr="006D40B2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5DC0FD4" w14:textId="77777777" w:rsidR="006D40B2" w:rsidRPr="00D420AD" w:rsidRDefault="006D40B2" w:rsidP="006D40B2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420AD">
              <w:rPr>
                <w:rFonts w:cs="Calibri"/>
                <w:b/>
                <w:bCs/>
                <w:color w:val="000000"/>
                <w:sz w:val="16"/>
                <w:szCs w:val="16"/>
              </w:rPr>
              <w:t>Org</w:t>
            </w:r>
            <w:proofErr w:type="spellEnd"/>
            <w:r w:rsidRPr="00D420A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657DB28" w14:textId="77777777" w:rsidR="006D40B2" w:rsidRPr="00D420AD" w:rsidRDefault="006D40B2" w:rsidP="006D40B2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420AD">
              <w:rPr>
                <w:rFonts w:cs="Calibri"/>
                <w:b/>
                <w:bCs/>
                <w:color w:val="000000"/>
                <w:sz w:val="16"/>
                <w:szCs w:val="16"/>
              </w:rPr>
              <w:t>Ukazatel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37F6EA3" w14:textId="77777777" w:rsidR="006D40B2" w:rsidRPr="00D420A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D420AD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AC44CA3" w14:textId="77777777" w:rsidR="006D40B2" w:rsidRPr="00D420A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D420AD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7BCF8DC" w14:textId="77777777" w:rsidR="006D40B2" w:rsidRPr="00D420A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D420AD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7A3DC1F" w14:textId="77777777" w:rsidR="006D40B2" w:rsidRPr="00D420A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D420AD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440870D" w14:textId="77777777" w:rsidR="006D40B2" w:rsidRPr="00D420AD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D420AD">
              <w:rPr>
                <w:b/>
                <w:sz w:val="16"/>
                <w:szCs w:val="16"/>
              </w:rPr>
              <w:t>2021</w:t>
            </w:r>
          </w:p>
        </w:tc>
      </w:tr>
      <w:tr w:rsidR="006D40B2" w:rsidRPr="00D71C60" w14:paraId="4808FDB3" w14:textId="77777777" w:rsidTr="006D40B2">
        <w:trPr>
          <w:trHeight w:val="28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791F81" w14:textId="77777777" w:rsidR="006D40B2" w:rsidRPr="00D420AD" w:rsidRDefault="006D40B2" w:rsidP="006D40B2">
            <w:pPr>
              <w:spacing w:after="0"/>
              <w:ind w:left="-57" w:right="-57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proofErr w:type="spellStart"/>
            <w:r w:rsidRPr="00D420AD">
              <w:rPr>
                <w:rFonts w:cs="Calibri"/>
                <w:color w:val="000000"/>
                <w:sz w:val="16"/>
                <w:szCs w:val="16"/>
              </w:rPr>
              <w:t>MZ</w:t>
            </w:r>
            <w:r>
              <w:rPr>
                <w:rFonts w:cs="Calibri"/>
                <w:color w:val="000000"/>
                <w:sz w:val="16"/>
                <w:szCs w:val="16"/>
              </w:rPr>
              <w:t>d</w:t>
            </w:r>
            <w:proofErr w:type="spellEnd"/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7EBD" w14:textId="77777777" w:rsidR="006D40B2" w:rsidRPr="00D420AD" w:rsidRDefault="006D40B2" w:rsidP="006D40B2">
            <w:pPr>
              <w:spacing w:after="40"/>
              <w:ind w:left="-57" w:right="-57"/>
              <w:rPr>
                <w:rFonts w:eastAsia="Calibri" w:cs="Calibri"/>
                <w:color w:val="000000"/>
                <w:sz w:val="16"/>
                <w:szCs w:val="16"/>
              </w:rPr>
            </w:pPr>
            <w:r w:rsidRPr="00D420AD">
              <w:rPr>
                <w:rFonts w:cs="Calibri"/>
                <w:color w:val="000000"/>
                <w:sz w:val="16"/>
                <w:szCs w:val="16"/>
              </w:rPr>
              <w:t>Náklady na transfery (v Kč)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0190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3 775 007 421,83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B02D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3 869 207 683,60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09766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4 597 840 691,72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F0DA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23 687 556 470,80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E25D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18 768 041 542,07</w:t>
            </w:r>
          </w:p>
        </w:tc>
      </w:tr>
      <w:tr w:rsidR="006D40B2" w:rsidRPr="00D71C60" w14:paraId="5C994DB1" w14:textId="77777777" w:rsidTr="006D40B2">
        <w:trPr>
          <w:trHeight w:val="2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995CB" w14:textId="77777777" w:rsidR="006D40B2" w:rsidRPr="00D420AD" w:rsidRDefault="006D40B2" w:rsidP="006D40B2">
            <w:pPr>
              <w:spacing w:after="0"/>
              <w:ind w:left="-57" w:right="-57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5773" w14:textId="77777777" w:rsidR="006D40B2" w:rsidRPr="00D420AD" w:rsidRDefault="006D40B2" w:rsidP="006D40B2">
            <w:pPr>
              <w:spacing w:after="0"/>
              <w:ind w:left="-57" w:right="-57"/>
              <w:rPr>
                <w:rFonts w:eastAsia="Calibri" w:cs="Calibri"/>
                <w:color w:val="000000"/>
                <w:sz w:val="16"/>
                <w:szCs w:val="16"/>
              </w:rPr>
            </w:pPr>
            <w:r w:rsidRPr="00D420AD">
              <w:rPr>
                <w:rFonts w:cs="Calibri"/>
                <w:color w:val="000000"/>
                <w:sz w:val="16"/>
                <w:szCs w:val="16"/>
              </w:rPr>
              <w:t>Náklady celkem (v Kč)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B44A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4 545 251 475,34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48BC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4 743 055 440,47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2392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5 531 511 405,32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8789E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27 488 627 668,98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4AC4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28 434 018 541,04</w:t>
            </w:r>
          </w:p>
        </w:tc>
      </w:tr>
      <w:tr w:rsidR="006D40B2" w:rsidRPr="00D71C60" w14:paraId="2DF91185" w14:textId="77777777" w:rsidTr="006D40B2">
        <w:trPr>
          <w:trHeight w:val="2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6F53" w14:textId="77777777" w:rsidR="006D40B2" w:rsidRPr="00D420AD" w:rsidRDefault="006D40B2" w:rsidP="006D40B2">
            <w:pPr>
              <w:spacing w:after="0"/>
              <w:ind w:left="-57" w:right="-57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9296579" w14:textId="499C2F3E" w:rsidR="006D40B2" w:rsidRPr="00D420AD" w:rsidRDefault="006D40B2" w:rsidP="006D40B2">
            <w:pPr>
              <w:spacing w:after="40"/>
              <w:ind w:left="-57" w:right="-57"/>
              <w:rPr>
                <w:rFonts w:eastAsia="Calibri" w:cs="Calibri"/>
                <w:color w:val="000000"/>
                <w:sz w:val="16"/>
                <w:szCs w:val="16"/>
              </w:rPr>
            </w:pPr>
            <w:r w:rsidRPr="00D420AD">
              <w:rPr>
                <w:rFonts w:cs="Calibri"/>
                <w:color w:val="000000"/>
                <w:sz w:val="16"/>
                <w:szCs w:val="16"/>
              </w:rPr>
              <w:t xml:space="preserve">Podíl transferových nákladů </w:t>
            </w:r>
            <w:r w:rsidR="000370B8">
              <w:rPr>
                <w:rFonts w:cs="Calibri"/>
                <w:color w:val="000000"/>
                <w:sz w:val="16"/>
                <w:szCs w:val="16"/>
              </w:rPr>
              <w:t>na</w:t>
            </w:r>
            <w:r w:rsidRPr="00D420AD">
              <w:rPr>
                <w:rFonts w:cs="Calibri"/>
                <w:color w:val="000000"/>
                <w:sz w:val="16"/>
                <w:szCs w:val="16"/>
              </w:rPr>
              <w:t xml:space="preserve"> celkový</w:t>
            </w:r>
            <w:r w:rsidR="000370B8">
              <w:rPr>
                <w:rFonts w:cs="Calibri"/>
                <w:color w:val="000000"/>
                <w:sz w:val="16"/>
                <w:szCs w:val="16"/>
              </w:rPr>
              <w:t>ch</w:t>
            </w:r>
            <w:r w:rsidRPr="00D420AD">
              <w:rPr>
                <w:rFonts w:cs="Calibri"/>
                <w:color w:val="000000"/>
                <w:sz w:val="16"/>
                <w:szCs w:val="16"/>
              </w:rPr>
              <w:t xml:space="preserve"> náklad</w:t>
            </w:r>
            <w:r w:rsidR="000370B8">
              <w:rPr>
                <w:rFonts w:cs="Calibri"/>
                <w:color w:val="000000"/>
                <w:sz w:val="16"/>
                <w:szCs w:val="16"/>
              </w:rPr>
              <w:t>ech</w:t>
            </w:r>
            <w:r w:rsidRPr="00D420AD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="000370B8">
              <w:rPr>
                <w:rFonts w:cs="Calibri"/>
                <w:color w:val="000000"/>
                <w:sz w:val="16"/>
                <w:szCs w:val="16"/>
              </w:rPr>
              <w:t>(</w:t>
            </w:r>
            <w:r w:rsidRPr="00D420AD">
              <w:rPr>
                <w:rFonts w:cs="Calibri"/>
                <w:color w:val="000000"/>
                <w:sz w:val="16"/>
                <w:szCs w:val="16"/>
              </w:rPr>
              <w:t>v %</w:t>
            </w:r>
            <w:r w:rsidR="000370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4268DC7" w14:textId="77777777" w:rsidR="006D40B2" w:rsidRPr="00D420A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83,05</w:t>
            </w:r>
            <w:r>
              <w:rPr>
                <w:sz w:val="16"/>
                <w:szCs w:val="16"/>
              </w:rPr>
              <w:t xml:space="preserve"> </w:t>
            </w:r>
            <w:r w:rsidRPr="00D420AD">
              <w:rPr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619E3B5" w14:textId="77777777" w:rsidR="006D40B2" w:rsidRPr="00D420A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81,58</w:t>
            </w:r>
            <w:r>
              <w:rPr>
                <w:sz w:val="16"/>
                <w:szCs w:val="16"/>
              </w:rPr>
              <w:t xml:space="preserve"> </w:t>
            </w:r>
            <w:r w:rsidRPr="00D420AD">
              <w:rPr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A417D7A" w14:textId="77777777" w:rsidR="006D40B2" w:rsidRPr="00D420A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83,12</w:t>
            </w:r>
            <w:r>
              <w:rPr>
                <w:sz w:val="16"/>
                <w:szCs w:val="16"/>
              </w:rPr>
              <w:t xml:space="preserve"> </w:t>
            </w:r>
            <w:r w:rsidRPr="00D420AD">
              <w:rPr>
                <w:sz w:val="16"/>
                <w:szCs w:val="16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D77B2A5" w14:textId="77777777" w:rsidR="006D40B2" w:rsidRPr="00D420A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86,17</w:t>
            </w:r>
            <w:r>
              <w:rPr>
                <w:sz w:val="16"/>
                <w:szCs w:val="16"/>
              </w:rPr>
              <w:t xml:space="preserve"> </w:t>
            </w:r>
            <w:r w:rsidRPr="00D420AD">
              <w:rPr>
                <w:sz w:val="16"/>
                <w:szCs w:val="16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240D516A" w14:textId="77777777" w:rsidR="006D40B2" w:rsidRPr="00D420A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66,01</w:t>
            </w:r>
            <w:r>
              <w:rPr>
                <w:sz w:val="16"/>
                <w:szCs w:val="16"/>
              </w:rPr>
              <w:t xml:space="preserve"> </w:t>
            </w:r>
            <w:r w:rsidRPr="00D420AD">
              <w:rPr>
                <w:sz w:val="16"/>
                <w:szCs w:val="16"/>
              </w:rPr>
              <w:t>%</w:t>
            </w:r>
          </w:p>
        </w:tc>
      </w:tr>
      <w:tr w:rsidR="006D40B2" w:rsidRPr="00D71C60" w14:paraId="036E186E" w14:textId="77777777" w:rsidTr="006D40B2">
        <w:trPr>
          <w:trHeight w:val="2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1F621" w14:textId="77777777" w:rsidR="006D40B2" w:rsidRPr="00D420AD" w:rsidRDefault="006D40B2" w:rsidP="006D40B2">
            <w:pPr>
              <w:spacing w:after="0"/>
              <w:ind w:left="-57" w:right="-57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D420AD">
              <w:rPr>
                <w:rFonts w:cs="Calibri"/>
                <w:color w:val="000000"/>
                <w:sz w:val="16"/>
                <w:szCs w:val="16"/>
              </w:rPr>
              <w:t xml:space="preserve">OSS (bez </w:t>
            </w:r>
            <w:proofErr w:type="spellStart"/>
            <w:r w:rsidRPr="00D420AD">
              <w:rPr>
                <w:rFonts w:cs="Calibri"/>
                <w:color w:val="000000"/>
                <w:sz w:val="16"/>
                <w:szCs w:val="16"/>
              </w:rPr>
              <w:t>MZ</w:t>
            </w:r>
            <w:r>
              <w:rPr>
                <w:rFonts w:cs="Calibri"/>
                <w:color w:val="000000"/>
                <w:sz w:val="16"/>
                <w:szCs w:val="16"/>
              </w:rPr>
              <w:t>d</w:t>
            </w:r>
            <w:proofErr w:type="spellEnd"/>
            <w:r w:rsidRPr="00D420AD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C2F85" w14:textId="77777777" w:rsidR="006D40B2" w:rsidRPr="00D420AD" w:rsidRDefault="006D40B2" w:rsidP="006D40B2">
            <w:pPr>
              <w:spacing w:after="40"/>
              <w:ind w:left="-57" w:right="-57"/>
              <w:rPr>
                <w:rFonts w:eastAsia="Calibri" w:cs="Calibri"/>
                <w:color w:val="000000"/>
                <w:sz w:val="16"/>
                <w:szCs w:val="16"/>
              </w:rPr>
            </w:pPr>
            <w:r w:rsidRPr="00D420AD">
              <w:rPr>
                <w:rFonts w:cs="Calibri"/>
                <w:color w:val="000000"/>
                <w:sz w:val="16"/>
                <w:szCs w:val="16"/>
              </w:rPr>
              <w:t>Náklady na transfery (v Kč)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7F1DD" w14:textId="77777777" w:rsidR="006D40B2" w:rsidRPr="00D420AD" w:rsidRDefault="006D40B2" w:rsidP="004E2D6E">
            <w:pPr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6582A" w14:textId="77777777" w:rsidR="006D40B2" w:rsidRPr="00D420AD" w:rsidRDefault="006D40B2" w:rsidP="004E2D6E">
            <w:pPr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3BE5" w14:textId="77777777" w:rsidR="006D40B2" w:rsidRPr="00D420AD" w:rsidRDefault="006D40B2" w:rsidP="004E2D6E">
            <w:pPr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8499" w14:textId="77777777" w:rsidR="006D40B2" w:rsidRPr="00D420AD" w:rsidRDefault="006D40B2" w:rsidP="004E2D6E">
            <w:pPr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2DB91" w14:textId="77777777" w:rsidR="006D40B2" w:rsidRPr="00D420AD" w:rsidRDefault="006D40B2" w:rsidP="004E2D6E">
            <w:pPr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0,00</w:t>
            </w:r>
          </w:p>
        </w:tc>
      </w:tr>
      <w:tr w:rsidR="006D40B2" w:rsidRPr="00D71C60" w14:paraId="19D153AD" w14:textId="77777777" w:rsidTr="006D40B2">
        <w:trPr>
          <w:trHeight w:val="2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BE3C4" w14:textId="77777777" w:rsidR="006D40B2" w:rsidRPr="00D420AD" w:rsidRDefault="006D40B2" w:rsidP="006D40B2">
            <w:pPr>
              <w:spacing w:after="0"/>
              <w:ind w:left="-57" w:right="-57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ABB3" w14:textId="77777777" w:rsidR="006D40B2" w:rsidRPr="00D420AD" w:rsidRDefault="006D40B2" w:rsidP="006D40B2">
            <w:pPr>
              <w:spacing w:after="0"/>
              <w:ind w:left="-57" w:right="-57"/>
              <w:rPr>
                <w:rFonts w:eastAsia="Calibri" w:cs="Calibri"/>
                <w:color w:val="000000"/>
                <w:sz w:val="16"/>
                <w:szCs w:val="16"/>
              </w:rPr>
            </w:pPr>
            <w:r w:rsidRPr="00D420AD">
              <w:rPr>
                <w:rFonts w:cs="Calibri"/>
                <w:color w:val="000000"/>
                <w:sz w:val="16"/>
                <w:szCs w:val="16"/>
              </w:rPr>
              <w:t>Náklady celkem (v Kč)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AF2C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2 297 574 676,25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E6D9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2 410 061 853,19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180E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2 613 885 657,68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B4D0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3 031 409 516,23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86B3" w14:textId="77777777" w:rsidR="006D40B2" w:rsidRPr="00D420AD" w:rsidRDefault="006D40B2" w:rsidP="004E2D6E">
            <w:pPr>
              <w:spacing w:after="0"/>
              <w:ind w:left="-57"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3 142 874 052,59</w:t>
            </w:r>
          </w:p>
        </w:tc>
      </w:tr>
      <w:tr w:rsidR="006D40B2" w:rsidRPr="00D71C60" w14:paraId="290A1D65" w14:textId="77777777" w:rsidTr="006D40B2">
        <w:trPr>
          <w:trHeight w:val="2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D4BD" w14:textId="77777777" w:rsidR="006D40B2" w:rsidRPr="00D420AD" w:rsidRDefault="006D40B2" w:rsidP="006D40B2">
            <w:pPr>
              <w:spacing w:after="0"/>
              <w:ind w:left="-57" w:right="-57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28515AC" w14:textId="4E0D1A12" w:rsidR="006D40B2" w:rsidRPr="00D420AD" w:rsidRDefault="006D40B2" w:rsidP="006D40B2">
            <w:pPr>
              <w:spacing w:after="40"/>
              <w:ind w:left="-57" w:right="-57"/>
              <w:rPr>
                <w:rFonts w:eastAsia="Calibri" w:cs="Calibri"/>
                <w:color w:val="000000"/>
                <w:sz w:val="16"/>
                <w:szCs w:val="16"/>
              </w:rPr>
            </w:pPr>
            <w:r w:rsidRPr="00D420AD">
              <w:rPr>
                <w:rFonts w:cs="Calibri"/>
                <w:color w:val="000000"/>
                <w:sz w:val="16"/>
                <w:szCs w:val="16"/>
              </w:rPr>
              <w:t xml:space="preserve">Podíl transferových nákladů </w:t>
            </w:r>
            <w:r w:rsidR="000370B8">
              <w:rPr>
                <w:rFonts w:cs="Calibri"/>
                <w:color w:val="000000"/>
                <w:sz w:val="16"/>
                <w:szCs w:val="16"/>
              </w:rPr>
              <w:t>na</w:t>
            </w:r>
            <w:r w:rsidRPr="00D420AD">
              <w:rPr>
                <w:rFonts w:cs="Calibri"/>
                <w:color w:val="000000"/>
                <w:sz w:val="16"/>
                <w:szCs w:val="16"/>
              </w:rPr>
              <w:t xml:space="preserve"> celkový</w:t>
            </w:r>
            <w:r w:rsidR="000370B8">
              <w:rPr>
                <w:rFonts w:cs="Calibri"/>
                <w:color w:val="000000"/>
                <w:sz w:val="16"/>
                <w:szCs w:val="16"/>
              </w:rPr>
              <w:t>ch</w:t>
            </w:r>
            <w:r w:rsidRPr="00D420AD">
              <w:rPr>
                <w:rFonts w:cs="Calibri"/>
                <w:color w:val="000000"/>
                <w:sz w:val="16"/>
                <w:szCs w:val="16"/>
              </w:rPr>
              <w:t xml:space="preserve"> náklad</w:t>
            </w:r>
            <w:r w:rsidR="000370B8">
              <w:rPr>
                <w:rFonts w:cs="Calibri"/>
                <w:color w:val="000000"/>
                <w:sz w:val="16"/>
                <w:szCs w:val="16"/>
              </w:rPr>
              <w:t>ech</w:t>
            </w:r>
            <w:r w:rsidRPr="00D420AD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="000370B8">
              <w:rPr>
                <w:rFonts w:cs="Calibri"/>
                <w:color w:val="000000"/>
                <w:sz w:val="16"/>
                <w:szCs w:val="16"/>
              </w:rPr>
              <w:t>(</w:t>
            </w:r>
            <w:r w:rsidRPr="00D420AD">
              <w:rPr>
                <w:rFonts w:cs="Calibri"/>
                <w:color w:val="000000"/>
                <w:sz w:val="16"/>
                <w:szCs w:val="16"/>
              </w:rPr>
              <w:t>v %</w:t>
            </w:r>
            <w:r w:rsidR="000370B8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69D5E78" w14:textId="77777777" w:rsidR="006D40B2" w:rsidRPr="00D420A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 xml:space="preserve"> </w:t>
            </w:r>
            <w:r w:rsidRPr="00D420AD">
              <w:rPr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E3E0C85" w14:textId="77777777" w:rsidR="006D40B2" w:rsidRPr="00D420A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 xml:space="preserve"> </w:t>
            </w:r>
            <w:r w:rsidRPr="00D420AD">
              <w:rPr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D730595" w14:textId="77777777" w:rsidR="006D40B2" w:rsidRPr="00D420A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 xml:space="preserve"> </w:t>
            </w:r>
            <w:r w:rsidRPr="00D420AD">
              <w:rPr>
                <w:sz w:val="16"/>
                <w:szCs w:val="16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0AA18F8" w14:textId="77777777" w:rsidR="006D40B2" w:rsidRPr="00D420A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 xml:space="preserve"> </w:t>
            </w:r>
            <w:r w:rsidRPr="00D420AD">
              <w:rPr>
                <w:sz w:val="16"/>
                <w:szCs w:val="16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588CB50A" w14:textId="77777777" w:rsidR="006D40B2" w:rsidRPr="00D420AD" w:rsidRDefault="006D40B2" w:rsidP="006D40B2">
            <w:pPr>
              <w:spacing w:after="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D420AD">
              <w:rPr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 xml:space="preserve"> </w:t>
            </w:r>
            <w:r w:rsidRPr="00D420AD">
              <w:rPr>
                <w:sz w:val="16"/>
                <w:szCs w:val="16"/>
              </w:rPr>
              <w:t>%</w:t>
            </w:r>
          </w:p>
        </w:tc>
      </w:tr>
    </w:tbl>
    <w:p w14:paraId="04168097" w14:textId="77777777" w:rsidR="006D40B2" w:rsidRPr="00D420AD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D420AD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D420AD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6E4FCC9C" w14:textId="5988EB41" w:rsidR="006D40B2" w:rsidRPr="00D71C60" w:rsidRDefault="006D40B2" w:rsidP="006D40B2">
      <w:pPr>
        <w:spacing w:before="120"/>
        <w:jc w:val="both"/>
        <w:rPr>
          <w:rFonts w:asciiTheme="minorHAnsi" w:hAnsiTheme="minorHAnsi" w:cstheme="minorHAnsi"/>
          <w:highlight w:val="yellow"/>
        </w:rPr>
      </w:pPr>
      <w:r w:rsidRPr="00D420AD">
        <w:rPr>
          <w:rFonts w:asciiTheme="minorHAnsi" w:hAnsiTheme="minorHAnsi" w:cstheme="minorHAnsi"/>
        </w:rPr>
        <w:t xml:space="preserve">Ve sledovaném období 2017–2021 vykazovalo náklady na transfery pouze </w:t>
      </w:r>
      <w:proofErr w:type="spellStart"/>
      <w:r w:rsidRPr="00D420AD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D420AD">
        <w:rPr>
          <w:rFonts w:asciiTheme="minorHAnsi" w:hAnsiTheme="minorHAnsi" w:cstheme="minorHAnsi"/>
        </w:rPr>
        <w:t xml:space="preserve">. Vývoj nákladů na transfery </w:t>
      </w:r>
      <w:proofErr w:type="spellStart"/>
      <w:r w:rsidRPr="00D420AD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D420AD">
        <w:rPr>
          <w:rFonts w:asciiTheme="minorHAnsi" w:hAnsiTheme="minorHAnsi" w:cstheme="minorHAnsi"/>
        </w:rPr>
        <w:t xml:space="preserve"> </w:t>
      </w:r>
      <w:r w:rsidR="000370B8">
        <w:rPr>
          <w:rFonts w:asciiTheme="minorHAnsi" w:hAnsiTheme="minorHAnsi" w:cstheme="minorHAnsi"/>
        </w:rPr>
        <w:t>měl</w:t>
      </w:r>
      <w:r w:rsidRPr="00D420AD">
        <w:rPr>
          <w:rFonts w:asciiTheme="minorHAnsi" w:hAnsiTheme="minorHAnsi" w:cstheme="minorHAnsi"/>
        </w:rPr>
        <w:t xml:space="preserve"> rostoucí tendenc</w:t>
      </w:r>
      <w:r w:rsidR="000370B8">
        <w:rPr>
          <w:rFonts w:asciiTheme="minorHAnsi" w:hAnsiTheme="minorHAnsi" w:cstheme="minorHAnsi"/>
        </w:rPr>
        <w:t>i</w:t>
      </w:r>
      <w:r w:rsidRPr="00D420AD">
        <w:rPr>
          <w:rFonts w:asciiTheme="minorHAnsi" w:hAnsiTheme="minorHAnsi" w:cstheme="minorHAnsi"/>
        </w:rPr>
        <w:t xml:space="preserve">, pouze v roce 2021 </w:t>
      </w:r>
      <w:r w:rsidR="000370B8">
        <w:rPr>
          <w:rFonts w:asciiTheme="minorHAnsi" w:hAnsiTheme="minorHAnsi" w:cstheme="minorHAnsi"/>
        </w:rPr>
        <w:t>meziročně poklesl</w:t>
      </w:r>
      <w:r w:rsidRPr="00D420AD">
        <w:rPr>
          <w:rFonts w:asciiTheme="minorHAnsi" w:hAnsiTheme="minorHAnsi" w:cstheme="minorHAnsi"/>
        </w:rPr>
        <w:t xml:space="preserve">. Podíl transferových nákladů </w:t>
      </w:r>
      <w:r w:rsidR="000370B8">
        <w:rPr>
          <w:rFonts w:asciiTheme="minorHAnsi" w:hAnsiTheme="minorHAnsi" w:cstheme="minorHAnsi"/>
        </w:rPr>
        <w:t>na</w:t>
      </w:r>
      <w:r w:rsidRPr="00D420AD">
        <w:rPr>
          <w:rFonts w:asciiTheme="minorHAnsi" w:hAnsiTheme="minorHAnsi" w:cstheme="minorHAnsi"/>
        </w:rPr>
        <w:t xml:space="preserve"> celkový</w:t>
      </w:r>
      <w:r w:rsidR="000370B8">
        <w:rPr>
          <w:rFonts w:asciiTheme="minorHAnsi" w:hAnsiTheme="minorHAnsi" w:cstheme="minorHAnsi"/>
        </w:rPr>
        <w:t>ch</w:t>
      </w:r>
      <w:r w:rsidRPr="00D420AD">
        <w:rPr>
          <w:rFonts w:asciiTheme="minorHAnsi" w:hAnsiTheme="minorHAnsi" w:cstheme="minorHAnsi"/>
        </w:rPr>
        <w:t xml:space="preserve"> náklad</w:t>
      </w:r>
      <w:r w:rsidR="000370B8">
        <w:rPr>
          <w:rFonts w:asciiTheme="minorHAnsi" w:hAnsiTheme="minorHAnsi" w:cstheme="minorHAnsi"/>
        </w:rPr>
        <w:t>ech v průběhu sledovaného období</w:t>
      </w:r>
      <w:r w:rsidRPr="00D420AD">
        <w:rPr>
          <w:rFonts w:asciiTheme="minorHAnsi" w:hAnsiTheme="minorHAnsi" w:cstheme="minorHAnsi"/>
        </w:rPr>
        <w:t xml:space="preserve"> kolísa</w:t>
      </w:r>
      <w:r w:rsidR="000370B8">
        <w:rPr>
          <w:rFonts w:asciiTheme="minorHAnsi" w:hAnsiTheme="minorHAnsi" w:cstheme="minorHAnsi"/>
        </w:rPr>
        <w:t>l</w:t>
      </w:r>
      <w:r w:rsidRPr="00D420AD">
        <w:rPr>
          <w:rFonts w:asciiTheme="minorHAnsi" w:hAnsiTheme="minorHAnsi" w:cstheme="minorHAnsi"/>
        </w:rPr>
        <w:t xml:space="preserve">. V roce 2018 a 2021 </w:t>
      </w:r>
      <w:r w:rsidR="000370B8">
        <w:rPr>
          <w:rFonts w:asciiTheme="minorHAnsi" w:hAnsiTheme="minorHAnsi" w:cstheme="minorHAnsi"/>
        </w:rPr>
        <w:t>meziročně klesl</w:t>
      </w:r>
      <w:r w:rsidRPr="00D420AD">
        <w:rPr>
          <w:rFonts w:asciiTheme="minorHAnsi" w:hAnsiTheme="minorHAnsi" w:cstheme="minorHAnsi"/>
        </w:rPr>
        <w:t xml:space="preserve">. Náklady na transfery představovaly </w:t>
      </w:r>
      <w:r w:rsidR="000370B8">
        <w:rPr>
          <w:rFonts w:asciiTheme="minorHAnsi" w:hAnsiTheme="minorHAnsi" w:cstheme="minorHAnsi"/>
        </w:rPr>
        <w:t>ve</w:t>
      </w:r>
      <w:r w:rsidRPr="00D420AD">
        <w:rPr>
          <w:rFonts w:asciiTheme="minorHAnsi" w:hAnsiTheme="minorHAnsi" w:cstheme="minorHAnsi"/>
        </w:rPr>
        <w:t xml:space="preserve"> sledované</w:t>
      </w:r>
      <w:r w:rsidR="000370B8">
        <w:rPr>
          <w:rFonts w:asciiTheme="minorHAnsi" w:hAnsiTheme="minorHAnsi" w:cstheme="minorHAnsi"/>
        </w:rPr>
        <w:t>m</w:t>
      </w:r>
      <w:r w:rsidRPr="00D420AD">
        <w:rPr>
          <w:rFonts w:asciiTheme="minorHAnsi" w:hAnsiTheme="minorHAnsi" w:cstheme="minorHAnsi"/>
        </w:rPr>
        <w:t xml:space="preserve"> období více </w:t>
      </w:r>
      <w:r w:rsidR="000370B8">
        <w:rPr>
          <w:rFonts w:asciiTheme="minorHAnsi" w:hAnsiTheme="minorHAnsi" w:cstheme="minorHAnsi"/>
        </w:rPr>
        <w:t>než</w:t>
      </w:r>
      <w:r w:rsidRPr="00D420AD">
        <w:rPr>
          <w:rFonts w:asciiTheme="minorHAnsi" w:hAnsiTheme="minorHAnsi" w:cstheme="minorHAnsi"/>
        </w:rPr>
        <w:t xml:space="preserve"> 80 % všech nákladů, pouze v roce 2021 </w:t>
      </w:r>
      <w:r w:rsidR="000370B8">
        <w:rPr>
          <w:rFonts w:asciiTheme="minorHAnsi" w:hAnsiTheme="minorHAnsi" w:cstheme="minorHAnsi"/>
        </w:rPr>
        <w:t>dosáhl tento podíl hodnoty</w:t>
      </w:r>
      <w:r w:rsidRPr="00D420AD">
        <w:rPr>
          <w:rFonts w:asciiTheme="minorHAnsi" w:hAnsiTheme="minorHAnsi" w:cstheme="minorHAnsi"/>
        </w:rPr>
        <w:t xml:space="preserve"> 66,01 %.</w:t>
      </w:r>
    </w:p>
    <w:p w14:paraId="06697FE0" w14:textId="62C3205B" w:rsidR="006D40B2" w:rsidRPr="00B847CC" w:rsidRDefault="006D40B2" w:rsidP="006D40B2">
      <w:pPr>
        <w:pStyle w:val="Titulek1"/>
        <w:tabs>
          <w:tab w:val="clear" w:pos="1134"/>
          <w:tab w:val="clear" w:pos="9356"/>
          <w:tab w:val="right" w:pos="9070"/>
        </w:tabs>
        <w:spacing w:before="240"/>
        <w:ind w:left="1446" w:hanging="1446"/>
        <w:rPr>
          <w:sz w:val="24"/>
        </w:rPr>
      </w:pPr>
      <w:bookmarkStart w:id="109" w:name="_Toc8984548"/>
      <w:bookmarkStart w:id="110" w:name="_Toc520714341"/>
      <w:bookmarkStart w:id="111" w:name="_Toc72157489"/>
      <w:r w:rsidRPr="00B847CC">
        <w:rPr>
          <w:sz w:val="24"/>
        </w:rPr>
        <w:t xml:space="preserve">Tabulka č. </w:t>
      </w:r>
      <w:r w:rsidRPr="00B847CC">
        <w:rPr>
          <w:sz w:val="24"/>
        </w:rPr>
        <w:fldChar w:fldCharType="begin"/>
      </w:r>
      <w:r w:rsidRPr="00B847CC">
        <w:rPr>
          <w:sz w:val="24"/>
        </w:rPr>
        <w:instrText xml:space="preserve"> SEQ Tabulka \* ARABIC </w:instrText>
      </w:r>
      <w:r w:rsidRPr="00B847CC">
        <w:rPr>
          <w:sz w:val="24"/>
        </w:rPr>
        <w:fldChar w:fldCharType="separate"/>
      </w:r>
      <w:r w:rsidR="009A66D8">
        <w:rPr>
          <w:noProof/>
          <w:sz w:val="24"/>
        </w:rPr>
        <w:t>31</w:t>
      </w:r>
      <w:r w:rsidRPr="00B847CC">
        <w:rPr>
          <w:noProof/>
          <w:sz w:val="24"/>
        </w:rPr>
        <w:fldChar w:fldCharType="end"/>
      </w:r>
      <w:r w:rsidRPr="00B847CC">
        <w:rPr>
          <w:sz w:val="24"/>
        </w:rPr>
        <w:t xml:space="preserve">: </w:t>
      </w:r>
      <w:r w:rsidR="000370B8">
        <w:rPr>
          <w:sz w:val="24"/>
        </w:rPr>
        <w:tab/>
      </w:r>
      <w:r w:rsidRPr="00B847CC">
        <w:rPr>
          <w:sz w:val="24"/>
        </w:rPr>
        <w:t xml:space="preserve">Náklady na transfery </w:t>
      </w:r>
      <w:r w:rsidR="000370B8">
        <w:rPr>
          <w:sz w:val="24"/>
        </w:rPr>
        <w:t xml:space="preserve">v </w:t>
      </w:r>
      <w:r w:rsidRPr="00B847CC">
        <w:rPr>
          <w:sz w:val="24"/>
        </w:rPr>
        <w:t>přepočt</w:t>
      </w:r>
      <w:r w:rsidR="000370B8">
        <w:rPr>
          <w:sz w:val="24"/>
        </w:rPr>
        <w:t>u</w:t>
      </w:r>
      <w:r w:rsidRPr="00B847CC">
        <w:rPr>
          <w:sz w:val="24"/>
        </w:rPr>
        <w:t xml:space="preserve"> na jednoho zaměstnance, které vykázalo </w:t>
      </w:r>
      <w:proofErr w:type="spellStart"/>
      <w:r w:rsidRPr="00B847CC">
        <w:rPr>
          <w:sz w:val="24"/>
        </w:rPr>
        <w:t>MZ</w:t>
      </w:r>
      <w:r>
        <w:rPr>
          <w:sz w:val="24"/>
        </w:rPr>
        <w:t>d</w:t>
      </w:r>
      <w:proofErr w:type="spellEnd"/>
      <w:r w:rsidRPr="00B847CC">
        <w:rPr>
          <w:sz w:val="24"/>
        </w:rPr>
        <w:t xml:space="preserve"> a</w:t>
      </w:r>
      <w:bookmarkEnd w:id="109"/>
      <w:r w:rsidRPr="00B847CC">
        <w:rPr>
          <w:sz w:val="24"/>
        </w:rPr>
        <w:t xml:space="preserve"> OSS </w:t>
      </w:r>
      <w:r w:rsidR="000370B8" w:rsidRPr="00876A34">
        <w:rPr>
          <w:sz w:val="24"/>
        </w:rPr>
        <w:t xml:space="preserve">(bez </w:t>
      </w:r>
      <w:proofErr w:type="spellStart"/>
      <w:r w:rsidR="000370B8" w:rsidRPr="00876A34">
        <w:rPr>
          <w:sz w:val="24"/>
        </w:rPr>
        <w:t>M</w:t>
      </w:r>
      <w:r w:rsidR="000370B8">
        <w:rPr>
          <w:sz w:val="24"/>
        </w:rPr>
        <w:t>Zd</w:t>
      </w:r>
      <w:proofErr w:type="spellEnd"/>
      <w:r w:rsidR="000370B8">
        <w:rPr>
          <w:sz w:val="24"/>
        </w:rPr>
        <w:t xml:space="preserve">) </w:t>
      </w:r>
      <w:r w:rsidRPr="00B847CC">
        <w:rPr>
          <w:sz w:val="24"/>
        </w:rPr>
        <w:t xml:space="preserve">v rozpočtové kapitole 335 </w:t>
      </w:r>
      <w:r w:rsidR="000370B8">
        <w:rPr>
          <w:sz w:val="24"/>
        </w:rPr>
        <w:tab/>
        <w:t>(</w:t>
      </w:r>
      <w:r w:rsidRPr="00B847CC">
        <w:rPr>
          <w:sz w:val="24"/>
        </w:rPr>
        <w:t>v Kč)</w:t>
      </w:r>
      <w:bookmarkEnd w:id="110"/>
      <w:bookmarkEnd w:id="11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490"/>
        <w:gridCol w:w="1489"/>
        <w:gridCol w:w="1489"/>
        <w:gridCol w:w="1489"/>
        <w:gridCol w:w="1488"/>
      </w:tblGrid>
      <w:tr w:rsidR="006D40B2" w:rsidRPr="00B847CC" w14:paraId="73A850DB" w14:textId="77777777" w:rsidTr="006D40B2">
        <w:trPr>
          <w:trHeight w:val="255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85B69F4" w14:textId="77777777" w:rsidR="006D40B2" w:rsidRPr="00B847CC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B847CC">
              <w:rPr>
                <w:rFonts w:cs="Calibri"/>
                <w:b/>
                <w:bCs/>
                <w:color w:val="000000"/>
                <w:sz w:val="20"/>
                <w:szCs w:val="18"/>
              </w:rPr>
              <w:t>Organizace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</w:tcPr>
          <w:p w14:paraId="05FC6440" w14:textId="77777777" w:rsidR="006D40B2" w:rsidRPr="00B847CC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7CC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</w:tcPr>
          <w:p w14:paraId="3E9E9DFA" w14:textId="77777777" w:rsidR="006D40B2" w:rsidRPr="00B847CC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7CC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</w:tcPr>
          <w:p w14:paraId="661F5889" w14:textId="77777777" w:rsidR="006D40B2" w:rsidRPr="00B847CC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7CC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</w:tcPr>
          <w:p w14:paraId="5B945C01" w14:textId="77777777" w:rsidR="006D40B2" w:rsidRPr="00B847CC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7CC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</w:tcPr>
          <w:p w14:paraId="659A8334" w14:textId="77777777" w:rsidR="006D40B2" w:rsidRPr="00B847CC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847CC">
              <w:rPr>
                <w:b/>
                <w:sz w:val="20"/>
                <w:szCs w:val="20"/>
              </w:rPr>
              <w:t>2021</w:t>
            </w:r>
          </w:p>
        </w:tc>
      </w:tr>
      <w:tr w:rsidR="006D40B2" w:rsidRPr="00B847CC" w14:paraId="40F04510" w14:textId="77777777" w:rsidTr="006D40B2">
        <w:trPr>
          <w:trHeight w:val="255"/>
        </w:trPr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E223" w14:textId="77777777" w:rsidR="006D40B2" w:rsidRPr="00B847CC" w:rsidRDefault="006D40B2" w:rsidP="006D40B2">
            <w:pPr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proofErr w:type="spellStart"/>
            <w:r w:rsidRPr="00B847CC">
              <w:rPr>
                <w:rFonts w:cs="Calibri"/>
                <w:color w:val="000000"/>
                <w:sz w:val="20"/>
                <w:szCs w:val="18"/>
              </w:rPr>
              <w:t>MZ</w:t>
            </w:r>
            <w:r>
              <w:rPr>
                <w:rFonts w:cs="Calibri"/>
                <w:color w:val="000000"/>
                <w:sz w:val="20"/>
                <w:szCs w:val="18"/>
              </w:rPr>
              <w:t>d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A26DE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B847CC">
              <w:rPr>
                <w:sz w:val="20"/>
                <w:szCs w:val="20"/>
              </w:rPr>
              <w:t>9 805 214,08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1D76F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B847CC">
              <w:rPr>
                <w:sz w:val="20"/>
                <w:szCs w:val="20"/>
              </w:rPr>
              <w:t>9 404 291,58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28D6C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B847CC">
              <w:rPr>
                <w:sz w:val="20"/>
                <w:szCs w:val="20"/>
              </w:rPr>
              <w:t>10 517 283,19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848BE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B847CC">
              <w:rPr>
                <w:sz w:val="20"/>
                <w:szCs w:val="20"/>
              </w:rPr>
              <w:t>54 072 537,43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B7910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B847CC">
              <w:rPr>
                <w:sz w:val="20"/>
                <w:szCs w:val="20"/>
              </w:rPr>
              <w:t>39 962 612,94</w:t>
            </w:r>
          </w:p>
        </w:tc>
      </w:tr>
      <w:tr w:rsidR="006D40B2" w:rsidRPr="00B847CC" w14:paraId="16CCF645" w14:textId="77777777" w:rsidTr="006D40B2">
        <w:trPr>
          <w:trHeight w:val="255"/>
        </w:trPr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4004" w14:textId="77777777" w:rsidR="006D40B2" w:rsidRPr="00B847CC" w:rsidRDefault="006D40B2" w:rsidP="006D40B2">
            <w:pPr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r w:rsidRPr="00B847CC">
              <w:rPr>
                <w:rFonts w:cs="Calibri"/>
                <w:color w:val="000000"/>
                <w:sz w:val="20"/>
                <w:szCs w:val="18"/>
              </w:rPr>
              <w:t xml:space="preserve">OSS bez </w:t>
            </w:r>
            <w:proofErr w:type="spellStart"/>
            <w:r w:rsidRPr="00B847CC">
              <w:rPr>
                <w:rFonts w:cs="Calibri"/>
                <w:color w:val="000000"/>
                <w:sz w:val="20"/>
                <w:szCs w:val="18"/>
              </w:rPr>
              <w:t>MZ</w:t>
            </w:r>
            <w:r>
              <w:rPr>
                <w:rFonts w:cs="Calibri"/>
                <w:color w:val="000000"/>
                <w:sz w:val="20"/>
                <w:szCs w:val="18"/>
              </w:rPr>
              <w:t>d</w:t>
            </w:r>
            <w:proofErr w:type="spell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2C50E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B847CC">
              <w:rPr>
                <w:sz w:val="20"/>
                <w:szCs w:val="20"/>
              </w:rPr>
              <w:t>0,00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E5744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B847CC">
              <w:rPr>
                <w:sz w:val="20"/>
                <w:szCs w:val="20"/>
              </w:rPr>
              <w:t>0,00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6B9DA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B847CC">
              <w:rPr>
                <w:sz w:val="20"/>
                <w:szCs w:val="20"/>
              </w:rPr>
              <w:t>0,00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49420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B847CC">
              <w:rPr>
                <w:sz w:val="20"/>
                <w:szCs w:val="20"/>
              </w:rPr>
              <w:t>0,00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33E61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B847CC">
              <w:rPr>
                <w:sz w:val="20"/>
                <w:szCs w:val="20"/>
              </w:rPr>
              <w:t>0,00</w:t>
            </w:r>
          </w:p>
        </w:tc>
      </w:tr>
    </w:tbl>
    <w:p w14:paraId="5010762E" w14:textId="77777777" w:rsidR="006D40B2" w:rsidRPr="00B847CC" w:rsidRDefault="006D40B2" w:rsidP="006D40B2">
      <w:pPr>
        <w:spacing w:before="40"/>
        <w:rPr>
          <w:rFonts w:cs="Calibri"/>
          <w:b/>
          <w:bCs/>
          <w:color w:val="000000"/>
          <w:sz w:val="20"/>
          <w:szCs w:val="20"/>
          <w:lang w:eastAsia="cs-CZ"/>
        </w:rPr>
      </w:pPr>
      <w:r w:rsidRPr="00B847CC">
        <w:rPr>
          <w:rFonts w:cs="Calibri"/>
          <w:b/>
          <w:color w:val="000000"/>
          <w:sz w:val="20"/>
          <w:szCs w:val="20"/>
          <w:lang w:eastAsia="cs-CZ"/>
        </w:rPr>
        <w:t>Zdroj</w:t>
      </w:r>
      <w:r w:rsidRPr="004E2D6E">
        <w:rPr>
          <w:rFonts w:cs="Calibri"/>
          <w:b/>
          <w:color w:val="000000"/>
          <w:sz w:val="20"/>
          <w:szCs w:val="20"/>
          <w:lang w:eastAsia="cs-CZ"/>
        </w:rPr>
        <w:t>:</w:t>
      </w:r>
      <w:r w:rsidRPr="00B847CC">
        <w:rPr>
          <w:rFonts w:cs="Calibri"/>
          <w:color w:val="000000"/>
          <w:sz w:val="20"/>
          <w:szCs w:val="20"/>
          <w:lang w:eastAsia="cs-CZ"/>
        </w:rPr>
        <w:t xml:space="preserve"> výpočet vypracoval NKÚ.</w:t>
      </w:r>
    </w:p>
    <w:p w14:paraId="229296A2" w14:textId="7CA3019F" w:rsidR="006D40B2" w:rsidRPr="00D71C60" w:rsidRDefault="006D40B2" w:rsidP="006D40B2">
      <w:pPr>
        <w:jc w:val="both"/>
        <w:rPr>
          <w:rFonts w:asciiTheme="minorHAnsi" w:hAnsiTheme="minorHAnsi" w:cstheme="minorHAnsi"/>
          <w:highlight w:val="yellow"/>
        </w:rPr>
      </w:pPr>
      <w:r w:rsidRPr="00B847CC">
        <w:rPr>
          <w:rFonts w:asciiTheme="minorHAnsi" w:hAnsiTheme="minorHAnsi" w:cstheme="minorHAnsi"/>
        </w:rPr>
        <w:t>Vývoj nákladů na transfery přepočten</w:t>
      </w:r>
      <w:r w:rsidR="00055027">
        <w:rPr>
          <w:rFonts w:asciiTheme="minorHAnsi" w:hAnsiTheme="minorHAnsi" w:cstheme="minorHAnsi"/>
        </w:rPr>
        <w:t>ých</w:t>
      </w:r>
      <w:r w:rsidRPr="00B847CC"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</w:rPr>
        <w:t>jednoho</w:t>
      </w:r>
      <w:r w:rsidRPr="00B847CC">
        <w:rPr>
          <w:rFonts w:asciiTheme="minorHAnsi" w:hAnsiTheme="minorHAnsi" w:cstheme="minorHAnsi"/>
        </w:rPr>
        <w:t xml:space="preserve"> zaměstnance ve sledovaném období v</w:t>
      </w:r>
      <w:r>
        <w:rPr>
          <w:rFonts w:asciiTheme="minorHAnsi" w:hAnsiTheme="minorHAnsi" w:cstheme="minorHAnsi"/>
        </w:rPr>
        <w:t> </w:t>
      </w:r>
      <w:r w:rsidRPr="00B847CC">
        <w:rPr>
          <w:rFonts w:asciiTheme="minorHAnsi" w:hAnsiTheme="minorHAnsi" w:cstheme="minorHAnsi"/>
        </w:rPr>
        <w:t>podstatě kopíroval vývoj samotných nákladů na transfery.</w:t>
      </w:r>
    </w:p>
    <w:p w14:paraId="6CA9891C" w14:textId="11452784" w:rsidR="006D40B2" w:rsidRPr="00B847CC" w:rsidRDefault="006D40B2" w:rsidP="006D40B2">
      <w:pPr>
        <w:pStyle w:val="Titulek1"/>
        <w:tabs>
          <w:tab w:val="clear" w:pos="1134"/>
          <w:tab w:val="clear" w:pos="9356"/>
          <w:tab w:val="right" w:pos="9070"/>
        </w:tabs>
        <w:spacing w:before="240"/>
        <w:ind w:left="1446" w:hanging="1446"/>
        <w:rPr>
          <w:sz w:val="24"/>
        </w:rPr>
      </w:pPr>
      <w:bookmarkStart w:id="112" w:name="_Toc8984549"/>
      <w:bookmarkStart w:id="113" w:name="_Toc520714342"/>
      <w:bookmarkStart w:id="114" w:name="_Toc72157490"/>
      <w:r w:rsidRPr="00B847CC">
        <w:rPr>
          <w:sz w:val="24"/>
        </w:rPr>
        <w:t xml:space="preserve">Tabulka č. </w:t>
      </w:r>
      <w:r w:rsidRPr="00B847CC">
        <w:rPr>
          <w:sz w:val="24"/>
        </w:rPr>
        <w:fldChar w:fldCharType="begin"/>
      </w:r>
      <w:r w:rsidRPr="00B847CC">
        <w:rPr>
          <w:sz w:val="24"/>
        </w:rPr>
        <w:instrText xml:space="preserve"> SEQ Tabulka \* ARABIC </w:instrText>
      </w:r>
      <w:r w:rsidRPr="00B847CC">
        <w:rPr>
          <w:sz w:val="24"/>
        </w:rPr>
        <w:fldChar w:fldCharType="separate"/>
      </w:r>
      <w:r w:rsidR="009A66D8">
        <w:rPr>
          <w:noProof/>
          <w:sz w:val="24"/>
        </w:rPr>
        <w:t>32</w:t>
      </w:r>
      <w:r w:rsidRPr="00B847CC">
        <w:rPr>
          <w:noProof/>
          <w:sz w:val="24"/>
        </w:rPr>
        <w:fldChar w:fldCharType="end"/>
      </w:r>
      <w:r w:rsidRPr="00B847CC">
        <w:rPr>
          <w:sz w:val="24"/>
        </w:rPr>
        <w:t xml:space="preserve">: </w:t>
      </w:r>
      <w:r w:rsidRPr="00B847CC">
        <w:rPr>
          <w:sz w:val="24"/>
        </w:rPr>
        <w:tab/>
        <w:t>Výnosy z</w:t>
      </w:r>
      <w:r w:rsidR="00055027">
        <w:rPr>
          <w:sz w:val="24"/>
        </w:rPr>
        <w:t xml:space="preserve"> </w:t>
      </w:r>
      <w:r w:rsidRPr="00B847CC">
        <w:rPr>
          <w:sz w:val="24"/>
        </w:rPr>
        <w:t xml:space="preserve">transferů (položka B.IV. výkazu zisku a ztráty) u </w:t>
      </w:r>
      <w:proofErr w:type="spellStart"/>
      <w:r w:rsidRPr="00B847CC">
        <w:rPr>
          <w:sz w:val="24"/>
        </w:rPr>
        <w:t>MZ</w:t>
      </w:r>
      <w:r>
        <w:rPr>
          <w:sz w:val="24"/>
        </w:rPr>
        <w:t>d</w:t>
      </w:r>
      <w:proofErr w:type="spellEnd"/>
      <w:r w:rsidRPr="00B847CC">
        <w:rPr>
          <w:sz w:val="24"/>
        </w:rPr>
        <w:t xml:space="preserve"> a OSS</w:t>
      </w:r>
      <w:bookmarkEnd w:id="112"/>
      <w:r w:rsidRPr="00B847CC">
        <w:rPr>
          <w:sz w:val="24"/>
        </w:rPr>
        <w:t xml:space="preserve"> </w:t>
      </w:r>
      <w:r w:rsidR="00055027" w:rsidRPr="00876A34">
        <w:rPr>
          <w:sz w:val="24"/>
        </w:rPr>
        <w:t xml:space="preserve">(bez </w:t>
      </w:r>
      <w:proofErr w:type="spellStart"/>
      <w:r w:rsidR="00055027" w:rsidRPr="00876A34">
        <w:rPr>
          <w:sz w:val="24"/>
        </w:rPr>
        <w:t>M</w:t>
      </w:r>
      <w:r w:rsidR="00055027">
        <w:rPr>
          <w:sz w:val="24"/>
        </w:rPr>
        <w:t>Zd</w:t>
      </w:r>
      <w:proofErr w:type="spellEnd"/>
      <w:r w:rsidR="00055027">
        <w:rPr>
          <w:sz w:val="24"/>
        </w:rPr>
        <w:t xml:space="preserve">) </w:t>
      </w:r>
      <w:r w:rsidRPr="00B847CC">
        <w:rPr>
          <w:sz w:val="24"/>
        </w:rPr>
        <w:t xml:space="preserve">v rozpočtové kapitole 335 </w:t>
      </w:r>
      <w:r w:rsidR="00055027">
        <w:rPr>
          <w:sz w:val="24"/>
        </w:rPr>
        <w:tab/>
      </w:r>
      <w:r w:rsidRPr="00B847CC">
        <w:rPr>
          <w:sz w:val="24"/>
        </w:rPr>
        <w:t>(v Kč)</w:t>
      </w:r>
      <w:bookmarkEnd w:id="113"/>
      <w:bookmarkEnd w:id="114"/>
    </w:p>
    <w:tbl>
      <w:tblPr>
        <w:tblW w:w="50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528"/>
        <w:gridCol w:w="1529"/>
        <w:gridCol w:w="1587"/>
        <w:gridCol w:w="1529"/>
        <w:gridCol w:w="1587"/>
      </w:tblGrid>
      <w:tr w:rsidR="006D40B2" w:rsidRPr="00D71C60" w14:paraId="6C7CCCE2" w14:textId="77777777" w:rsidTr="006D40B2">
        <w:trPr>
          <w:trHeight w:val="255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EFDE338" w14:textId="77777777" w:rsidR="006D40B2" w:rsidRPr="00B847CC" w:rsidRDefault="006D40B2" w:rsidP="006D40B2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47CC">
              <w:rPr>
                <w:b/>
                <w:bCs/>
                <w:color w:val="000000"/>
                <w:sz w:val="18"/>
                <w:szCs w:val="18"/>
              </w:rPr>
              <w:t>Organizace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D02B27D" w14:textId="77777777" w:rsidR="006D40B2" w:rsidRPr="00B847CC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B847CC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B862267" w14:textId="77777777" w:rsidR="006D40B2" w:rsidRPr="00B847CC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B847CC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3E29DB6" w14:textId="77777777" w:rsidR="006D40B2" w:rsidRPr="00B847CC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B847CC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7C93637" w14:textId="77777777" w:rsidR="006D40B2" w:rsidRPr="00B847CC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B847CC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D31D9C9" w14:textId="77777777" w:rsidR="006D40B2" w:rsidRPr="00B847CC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B847CC">
              <w:rPr>
                <w:b/>
                <w:sz w:val="18"/>
                <w:szCs w:val="18"/>
              </w:rPr>
              <w:t>2021</w:t>
            </w:r>
          </w:p>
        </w:tc>
      </w:tr>
      <w:tr w:rsidR="006D40B2" w:rsidRPr="00D71C60" w14:paraId="664E6F5B" w14:textId="77777777" w:rsidTr="006D40B2">
        <w:trPr>
          <w:trHeight w:val="25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E447" w14:textId="77777777" w:rsidR="006D40B2" w:rsidRPr="00B847CC" w:rsidRDefault="006D40B2" w:rsidP="006D40B2">
            <w:pPr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proofErr w:type="spellStart"/>
            <w:r w:rsidRPr="00B847CC">
              <w:rPr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Zd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3A1A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B847CC">
              <w:rPr>
                <w:sz w:val="18"/>
                <w:szCs w:val="18"/>
              </w:rPr>
              <w:t>314 299 879,62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7EE22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B847CC">
              <w:rPr>
                <w:sz w:val="18"/>
                <w:szCs w:val="18"/>
              </w:rPr>
              <w:t>912 147 208,57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5D67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B847CC">
              <w:rPr>
                <w:sz w:val="18"/>
                <w:szCs w:val="18"/>
              </w:rPr>
              <w:t>853 585 341,95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0419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B847CC">
              <w:rPr>
                <w:sz w:val="18"/>
                <w:szCs w:val="18"/>
              </w:rPr>
              <w:t>1 386 161 577,26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F818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 w:rsidRPr="00B847CC">
              <w:rPr>
                <w:sz w:val="18"/>
                <w:szCs w:val="18"/>
              </w:rPr>
              <w:t>788 839 798,35</w:t>
            </w:r>
          </w:p>
        </w:tc>
      </w:tr>
      <w:tr w:rsidR="006D40B2" w:rsidRPr="00D71C60" w14:paraId="2BFC3325" w14:textId="77777777" w:rsidTr="006D40B2">
        <w:trPr>
          <w:trHeight w:val="255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2F090" w14:textId="77777777" w:rsidR="006D40B2" w:rsidRPr="00B847CC" w:rsidRDefault="006D40B2" w:rsidP="006D40B2">
            <w:pPr>
              <w:spacing w:after="0"/>
              <w:rPr>
                <w:rFonts w:eastAsia="Calibri" w:cs="Calibri"/>
                <w:color w:val="000000"/>
                <w:sz w:val="18"/>
                <w:szCs w:val="18"/>
              </w:rPr>
            </w:pPr>
            <w:r w:rsidRPr="00B847CC">
              <w:rPr>
                <w:color w:val="000000"/>
                <w:sz w:val="18"/>
                <w:szCs w:val="18"/>
              </w:rPr>
              <w:t xml:space="preserve">OSS bez </w:t>
            </w:r>
            <w:proofErr w:type="spellStart"/>
            <w:r w:rsidRPr="00B847CC">
              <w:rPr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Zd</w:t>
            </w:r>
            <w:proofErr w:type="spell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C3D6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B847CC">
              <w:rPr>
                <w:sz w:val="18"/>
                <w:szCs w:val="18"/>
              </w:rPr>
              <w:t>0,00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EEC9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B847CC">
              <w:rPr>
                <w:sz w:val="18"/>
                <w:szCs w:val="18"/>
              </w:rPr>
              <w:t>78 560 109,18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9392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B847CC">
              <w:rPr>
                <w:sz w:val="18"/>
                <w:szCs w:val="18"/>
              </w:rPr>
              <w:t>79 051 128,22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404D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B847CC">
              <w:rPr>
                <w:sz w:val="18"/>
                <w:szCs w:val="18"/>
              </w:rPr>
              <w:t>162 604 871,57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A91E7" w14:textId="77777777" w:rsidR="006D40B2" w:rsidRPr="00B847CC" w:rsidRDefault="006D40B2" w:rsidP="006D40B2">
            <w:pPr>
              <w:spacing w:after="0"/>
              <w:ind w:right="57"/>
              <w:jc w:val="right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  <w:r w:rsidRPr="00B847CC">
              <w:rPr>
                <w:sz w:val="18"/>
                <w:szCs w:val="18"/>
              </w:rPr>
              <w:t>97 836 014,52</w:t>
            </w:r>
          </w:p>
        </w:tc>
      </w:tr>
    </w:tbl>
    <w:p w14:paraId="0542DF52" w14:textId="77777777" w:rsidR="006D40B2" w:rsidRPr="00B847CC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bookmarkStart w:id="115" w:name="_Toc520714950"/>
      <w:r w:rsidRPr="00B847CC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B847CC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bookmarkEnd w:id="115"/>
    <w:p w14:paraId="717E0E33" w14:textId="7ECC437B" w:rsidR="006D40B2" w:rsidRDefault="006D40B2" w:rsidP="006D40B2">
      <w:pPr>
        <w:spacing w:after="0"/>
        <w:jc w:val="both"/>
        <w:rPr>
          <w:rFonts w:asciiTheme="minorHAnsi" w:hAnsiTheme="minorHAnsi" w:cstheme="minorHAnsi"/>
        </w:rPr>
      </w:pPr>
      <w:r w:rsidRPr="00B847CC">
        <w:rPr>
          <w:rFonts w:asciiTheme="minorHAnsi" w:hAnsiTheme="minorHAnsi" w:cstheme="minorHAnsi"/>
        </w:rPr>
        <w:t xml:space="preserve">Ve sledovaném období </w:t>
      </w:r>
      <w:r w:rsidR="00055027">
        <w:rPr>
          <w:rFonts w:asciiTheme="minorHAnsi" w:hAnsiTheme="minorHAnsi" w:cstheme="minorHAnsi"/>
        </w:rPr>
        <w:t>(s výjimkou</w:t>
      </w:r>
      <w:r w:rsidR="00055027" w:rsidRPr="00B847CC">
        <w:rPr>
          <w:rFonts w:asciiTheme="minorHAnsi" w:hAnsiTheme="minorHAnsi" w:cstheme="minorHAnsi"/>
        </w:rPr>
        <w:t xml:space="preserve"> roku 2017</w:t>
      </w:r>
      <w:r w:rsidR="00055027">
        <w:rPr>
          <w:rFonts w:asciiTheme="minorHAnsi" w:hAnsiTheme="minorHAnsi" w:cstheme="minorHAnsi"/>
        </w:rPr>
        <w:t xml:space="preserve">) </w:t>
      </w:r>
      <w:r w:rsidRPr="00B847CC">
        <w:rPr>
          <w:rFonts w:asciiTheme="minorHAnsi" w:hAnsiTheme="minorHAnsi" w:cstheme="minorHAnsi"/>
        </w:rPr>
        <w:t>vykazoval</w:t>
      </w:r>
      <w:r w:rsidR="00055027">
        <w:rPr>
          <w:rFonts w:asciiTheme="minorHAnsi" w:hAnsiTheme="minorHAnsi" w:cstheme="minorHAnsi"/>
        </w:rPr>
        <w:t>y</w:t>
      </w:r>
      <w:r w:rsidRPr="00B847CC">
        <w:rPr>
          <w:rFonts w:asciiTheme="minorHAnsi" w:hAnsiTheme="minorHAnsi" w:cstheme="minorHAnsi"/>
        </w:rPr>
        <w:t xml:space="preserve"> OSS bez </w:t>
      </w:r>
      <w:proofErr w:type="spellStart"/>
      <w:r w:rsidRPr="00B847CC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="00055027" w:rsidRPr="00055027">
        <w:rPr>
          <w:rFonts w:asciiTheme="minorHAnsi" w:hAnsiTheme="minorHAnsi" w:cstheme="minorHAnsi"/>
        </w:rPr>
        <w:t xml:space="preserve"> </w:t>
      </w:r>
      <w:r w:rsidR="00055027" w:rsidRPr="00B847CC">
        <w:rPr>
          <w:rFonts w:asciiTheme="minorHAnsi" w:hAnsiTheme="minorHAnsi" w:cstheme="minorHAnsi"/>
        </w:rPr>
        <w:t>výnosy z transferů</w:t>
      </w:r>
      <w:r w:rsidRPr="00B847CC">
        <w:rPr>
          <w:rFonts w:asciiTheme="minorHAnsi" w:hAnsiTheme="minorHAnsi" w:cstheme="minorHAnsi"/>
        </w:rPr>
        <w:t>. V</w:t>
      </w:r>
      <w:r w:rsidR="00055027">
        <w:rPr>
          <w:rFonts w:asciiTheme="minorHAnsi" w:hAnsiTheme="minorHAnsi" w:cstheme="minorHAnsi"/>
        </w:rPr>
        <w:t> </w:t>
      </w:r>
      <w:r w:rsidRPr="00B847CC">
        <w:rPr>
          <w:rFonts w:asciiTheme="minorHAnsi" w:hAnsiTheme="minorHAnsi" w:cstheme="minorHAnsi"/>
        </w:rPr>
        <w:t xml:space="preserve">letech 2018–2021 však představovaly výnosy z transferů u OSS bez </w:t>
      </w:r>
      <w:proofErr w:type="spellStart"/>
      <w:r w:rsidRPr="00B847CC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B847CC">
        <w:rPr>
          <w:rFonts w:asciiTheme="minorHAnsi" w:hAnsiTheme="minorHAnsi" w:cstheme="minorHAnsi"/>
        </w:rPr>
        <w:t xml:space="preserve"> pouze nepatrné částky. Vývoj výnosů z transferů u </w:t>
      </w:r>
      <w:proofErr w:type="spellStart"/>
      <w:r w:rsidRPr="00B847CC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B847CC">
        <w:rPr>
          <w:rFonts w:asciiTheme="minorHAnsi" w:hAnsiTheme="minorHAnsi" w:cstheme="minorHAnsi"/>
        </w:rPr>
        <w:t xml:space="preserve"> </w:t>
      </w:r>
      <w:r w:rsidR="00055027">
        <w:rPr>
          <w:rFonts w:asciiTheme="minorHAnsi" w:hAnsiTheme="minorHAnsi" w:cstheme="minorHAnsi"/>
        </w:rPr>
        <w:t>v období 2017–2021 kolísal</w:t>
      </w:r>
      <w:r w:rsidRPr="00B847CC">
        <w:rPr>
          <w:rFonts w:asciiTheme="minorHAnsi" w:hAnsiTheme="minorHAnsi" w:cstheme="minorHAnsi"/>
        </w:rPr>
        <w:t>. Mezi l</w:t>
      </w:r>
      <w:r w:rsidR="00055027">
        <w:rPr>
          <w:rFonts w:asciiTheme="minorHAnsi" w:hAnsiTheme="minorHAnsi" w:cstheme="minorHAnsi"/>
        </w:rPr>
        <w:t>e</w:t>
      </w:r>
      <w:r w:rsidRPr="00B847CC">
        <w:rPr>
          <w:rFonts w:asciiTheme="minorHAnsi" w:hAnsiTheme="minorHAnsi" w:cstheme="minorHAnsi"/>
        </w:rPr>
        <w:t>ty 2019 a 2020 došlo k nárůstu o 532,58 mil. Kč a mezi lety 2020 a 2021 naopak k poklesu o 597,32 mil. Kč.</w:t>
      </w:r>
    </w:p>
    <w:p w14:paraId="0BF3AA53" w14:textId="77777777" w:rsidR="006D40B2" w:rsidRPr="00D71C60" w:rsidRDefault="006D40B2" w:rsidP="006D40B2">
      <w:pPr>
        <w:spacing w:after="0"/>
        <w:jc w:val="both"/>
        <w:rPr>
          <w:rFonts w:asciiTheme="minorHAnsi" w:hAnsiTheme="minorHAnsi" w:cstheme="minorHAnsi"/>
          <w:highlight w:val="yellow"/>
        </w:rPr>
      </w:pPr>
    </w:p>
    <w:p w14:paraId="1DD9E5EE" w14:textId="77777777" w:rsidR="006D40B2" w:rsidRPr="00AA15AA" w:rsidRDefault="006D40B2" w:rsidP="006D40B2">
      <w:pPr>
        <w:pStyle w:val="Nadpis3"/>
        <w:numPr>
          <w:ilvl w:val="0"/>
          <w:numId w:val="0"/>
        </w:numPr>
        <w:spacing w:before="240" w:after="120"/>
        <w:contextualSpacing w:val="0"/>
        <w:jc w:val="center"/>
      </w:pPr>
      <w:r w:rsidRPr="00AA15AA">
        <w:lastRenderedPageBreak/>
        <w:t xml:space="preserve">Oddíl VII. Struktura nákladů u </w:t>
      </w:r>
      <w:proofErr w:type="spellStart"/>
      <w:r>
        <w:t>MZd</w:t>
      </w:r>
      <w:proofErr w:type="spellEnd"/>
      <w:r w:rsidRPr="00AA15AA">
        <w:t xml:space="preserve"> v roce 20</w:t>
      </w:r>
      <w:r>
        <w:t>20</w:t>
      </w:r>
      <w:r w:rsidRPr="00AA15AA">
        <w:t xml:space="preserve"> a 202</w:t>
      </w:r>
      <w:r>
        <w:t>1</w:t>
      </w:r>
    </w:p>
    <w:p w14:paraId="4B56A2A4" w14:textId="254047EC" w:rsidR="006D40B2" w:rsidRPr="00B847CC" w:rsidRDefault="006D40B2" w:rsidP="006D40B2">
      <w:pPr>
        <w:pStyle w:val="Titulek1"/>
        <w:rPr>
          <w:sz w:val="24"/>
          <w:szCs w:val="24"/>
        </w:rPr>
      </w:pPr>
      <w:bookmarkStart w:id="116" w:name="_Toc520714343"/>
      <w:bookmarkStart w:id="117" w:name="_Toc8984550"/>
      <w:bookmarkStart w:id="118" w:name="_Toc72157483"/>
      <w:r w:rsidRPr="00B847CC">
        <w:rPr>
          <w:sz w:val="24"/>
          <w:szCs w:val="24"/>
        </w:rPr>
        <w:t xml:space="preserve">Tabulka č. </w:t>
      </w:r>
      <w:r w:rsidRPr="00B847CC">
        <w:rPr>
          <w:sz w:val="24"/>
          <w:szCs w:val="24"/>
        </w:rPr>
        <w:fldChar w:fldCharType="begin"/>
      </w:r>
      <w:r w:rsidRPr="00B847CC">
        <w:rPr>
          <w:sz w:val="24"/>
          <w:szCs w:val="24"/>
        </w:rPr>
        <w:instrText xml:space="preserve"> SEQ Tabulka \* ARABIC </w:instrText>
      </w:r>
      <w:r w:rsidRPr="00B847CC">
        <w:rPr>
          <w:sz w:val="24"/>
          <w:szCs w:val="24"/>
        </w:rPr>
        <w:fldChar w:fldCharType="separate"/>
      </w:r>
      <w:r w:rsidR="009A66D8">
        <w:rPr>
          <w:noProof/>
          <w:sz w:val="24"/>
          <w:szCs w:val="24"/>
        </w:rPr>
        <w:t>33</w:t>
      </w:r>
      <w:r w:rsidRPr="00B847CC">
        <w:rPr>
          <w:noProof/>
          <w:sz w:val="24"/>
          <w:szCs w:val="24"/>
        </w:rPr>
        <w:fldChar w:fldCharType="end"/>
      </w:r>
      <w:r w:rsidRPr="00B847CC">
        <w:rPr>
          <w:sz w:val="24"/>
          <w:szCs w:val="24"/>
        </w:rPr>
        <w:t xml:space="preserve">: Struktura nákladů </w:t>
      </w:r>
      <w:proofErr w:type="spellStart"/>
      <w:r w:rsidRPr="00B847CC">
        <w:rPr>
          <w:sz w:val="24"/>
          <w:szCs w:val="24"/>
        </w:rPr>
        <w:t>MZ</w:t>
      </w:r>
      <w:r>
        <w:rPr>
          <w:sz w:val="24"/>
          <w:szCs w:val="24"/>
        </w:rPr>
        <w:t>d</w:t>
      </w:r>
      <w:proofErr w:type="spellEnd"/>
      <w:r w:rsidRPr="00B847CC">
        <w:rPr>
          <w:sz w:val="24"/>
          <w:szCs w:val="24"/>
        </w:rPr>
        <w:t xml:space="preserve"> v roce 2020 a 20</w:t>
      </w:r>
      <w:bookmarkEnd w:id="116"/>
      <w:bookmarkEnd w:id="117"/>
      <w:r w:rsidRPr="00B847CC">
        <w:rPr>
          <w:sz w:val="24"/>
          <w:szCs w:val="24"/>
        </w:rPr>
        <w:t>2</w:t>
      </w:r>
      <w:bookmarkEnd w:id="118"/>
      <w:r w:rsidRPr="00B847CC">
        <w:rPr>
          <w:sz w:val="24"/>
          <w:szCs w:val="24"/>
        </w:rPr>
        <w:t>1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454"/>
        <w:gridCol w:w="1559"/>
        <w:gridCol w:w="1559"/>
        <w:gridCol w:w="964"/>
        <w:gridCol w:w="964"/>
      </w:tblGrid>
      <w:tr w:rsidR="006D40B2" w:rsidRPr="00D71C60" w14:paraId="20F53E31" w14:textId="77777777" w:rsidTr="006D40B2">
        <w:trPr>
          <w:trHeight w:val="25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5AA5CD8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847CC">
              <w:rPr>
                <w:rFonts w:cs="Calibri"/>
                <w:b/>
                <w:bCs/>
                <w:color w:val="000000"/>
                <w:sz w:val="17"/>
                <w:szCs w:val="17"/>
              </w:rPr>
              <w:t>Pol. VZZ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3B8C08F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847CC">
              <w:rPr>
                <w:rFonts w:cs="Calibri"/>
                <w:b/>
                <w:bCs/>
                <w:color w:val="000000"/>
                <w:sz w:val="17"/>
                <w:szCs w:val="17"/>
              </w:rPr>
              <w:t>Název položky VZZ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1BFEB9D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847CC">
              <w:rPr>
                <w:rFonts w:cs="Calibri"/>
                <w:b/>
                <w:bCs/>
                <w:color w:val="000000"/>
                <w:sz w:val="17"/>
                <w:szCs w:val="17"/>
              </w:rPr>
              <w:t>SÚ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</w:tcPr>
          <w:p w14:paraId="1ABED2AF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B847CC">
              <w:rPr>
                <w:b/>
                <w:sz w:val="17"/>
                <w:szCs w:val="17"/>
              </w:rPr>
              <w:t>Částka v roce 2020 (v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</w:tcPr>
          <w:p w14:paraId="25A54597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B847CC">
              <w:rPr>
                <w:b/>
                <w:sz w:val="17"/>
                <w:szCs w:val="17"/>
              </w:rPr>
              <w:t>Částka v roce 2021 (v Kč)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</w:tcPr>
          <w:p w14:paraId="506B664E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B847CC">
              <w:rPr>
                <w:b/>
                <w:sz w:val="17"/>
                <w:szCs w:val="17"/>
              </w:rPr>
              <w:t>Podíl v roce 2020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</w:tcPr>
          <w:p w14:paraId="43409DDF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highlight w:val="yellow"/>
                <w:lang w:eastAsia="cs-CZ"/>
              </w:rPr>
            </w:pPr>
            <w:r w:rsidRPr="00B847CC">
              <w:rPr>
                <w:b/>
                <w:sz w:val="17"/>
                <w:szCs w:val="17"/>
              </w:rPr>
              <w:t>Podíl v roce 2021</w:t>
            </w:r>
          </w:p>
        </w:tc>
      </w:tr>
      <w:tr w:rsidR="006D40B2" w:rsidRPr="00D71C60" w14:paraId="34F30EC8" w14:textId="77777777" w:rsidTr="006D40B2">
        <w:trPr>
          <w:trHeight w:val="25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B0E5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A.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2BE4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NÁKLADY CELKEM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A967B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BF8D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27 488 627 668,98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08061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28 434 018 541,04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E240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100%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A95C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100%</w:t>
            </w:r>
            <w:proofErr w:type="gramEnd"/>
          </w:p>
        </w:tc>
      </w:tr>
      <w:tr w:rsidR="006D40B2" w:rsidRPr="00D71C60" w14:paraId="0DB896FA" w14:textId="77777777" w:rsidTr="006D40B2">
        <w:trPr>
          <w:trHeight w:val="25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D8C2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A.I.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7CF7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Náklady z činnosti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8FE8C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3380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3 791 387 384,32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8BE5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9 661 602 354,44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943A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14%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04C37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34%</w:t>
            </w:r>
            <w:proofErr w:type="gramEnd"/>
          </w:p>
        </w:tc>
      </w:tr>
      <w:tr w:rsidR="006D40B2" w:rsidRPr="00D71C60" w14:paraId="3BD213BD" w14:textId="77777777" w:rsidTr="006D40B2">
        <w:trPr>
          <w:trHeight w:val="25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4A2BF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A.II.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86D9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Finanční náklady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30A2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B615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9 683 813,86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0796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4 374 644,53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1FC07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0%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E8004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0%</w:t>
            </w:r>
            <w:proofErr w:type="gramEnd"/>
          </w:p>
        </w:tc>
      </w:tr>
      <w:tr w:rsidR="006D40B2" w:rsidRPr="00D71C60" w14:paraId="118FBD21" w14:textId="77777777" w:rsidTr="006D40B2">
        <w:trPr>
          <w:trHeight w:val="25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FDEC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A.III.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0C6B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Náklady na transfery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E3BDD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2B4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23 687 556 470,80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6FED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18 768 041 542,07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0BD72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86%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0C343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66%</w:t>
            </w:r>
            <w:proofErr w:type="gramEnd"/>
          </w:p>
        </w:tc>
      </w:tr>
      <w:tr w:rsidR="006D40B2" w:rsidRPr="00D71C60" w14:paraId="6B1031C7" w14:textId="77777777" w:rsidTr="006D40B2">
        <w:trPr>
          <w:trHeight w:val="25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6205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i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A.III.1.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3B25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i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Náklady vybraných ústředních vládních institucí na transfery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1F8C5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eastAsia="Calibri" w:cs="Calibri"/>
                <w:i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571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80FF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i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22 468 596 071,72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E91E6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i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16 985 471 363,98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0788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i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82%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DEAA9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i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60%</w:t>
            </w:r>
            <w:proofErr w:type="gramEnd"/>
          </w:p>
        </w:tc>
      </w:tr>
      <w:tr w:rsidR="006D40B2" w:rsidRPr="00D71C60" w14:paraId="57459E6F" w14:textId="77777777" w:rsidTr="006D40B2">
        <w:trPr>
          <w:trHeight w:val="25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9E12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i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A.III.3.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FF43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i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Náklady vybraných ústředních vládních institucí na předfinancování transferů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BAEAB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eastAsia="Calibri" w:cs="Calibri"/>
                <w:i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9D3B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i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1 218 960 399,08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A25F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i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1 782 570 178,09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EA5A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i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4%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88B6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i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6%</w:t>
            </w:r>
            <w:proofErr w:type="gramEnd"/>
          </w:p>
        </w:tc>
      </w:tr>
      <w:tr w:rsidR="006D40B2" w:rsidRPr="00D71C60" w14:paraId="778648DA" w14:textId="77777777" w:rsidTr="006D40B2">
        <w:trPr>
          <w:trHeight w:val="25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ECE1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A.IV.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4470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Náklady ze sdílených daní a poplatků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D4837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436B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F26C1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8D82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0%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9470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0%</w:t>
            </w:r>
            <w:proofErr w:type="gramEnd"/>
          </w:p>
        </w:tc>
      </w:tr>
      <w:tr w:rsidR="006D40B2" w:rsidRPr="00D71C60" w14:paraId="137F49F9" w14:textId="77777777" w:rsidTr="006D40B2">
        <w:trPr>
          <w:trHeight w:val="25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CDED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A.V.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EB50" w14:textId="77777777" w:rsidR="006D40B2" w:rsidRPr="00B847CC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Daň z příjmů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563C1" w14:textId="77777777" w:rsidR="006D40B2" w:rsidRPr="00B847CC" w:rsidRDefault="006D40B2" w:rsidP="006D40B2">
            <w:pPr>
              <w:keepNext/>
              <w:spacing w:after="0"/>
              <w:jc w:val="center"/>
              <w:rPr>
                <w:rFonts w:eastAsia="Calibri" w:cs="Calibri"/>
                <w:color w:val="000000"/>
                <w:sz w:val="17"/>
                <w:szCs w:val="17"/>
              </w:rPr>
            </w:pPr>
            <w:r w:rsidRPr="00B847CC">
              <w:rPr>
                <w:rFonts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E185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86F34" w14:textId="77777777" w:rsidR="006D40B2" w:rsidRPr="00B847CC" w:rsidRDefault="006D40B2" w:rsidP="006D40B2">
            <w:pPr>
              <w:keepNext/>
              <w:spacing w:after="0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r w:rsidRPr="00B847CC">
              <w:rPr>
                <w:sz w:val="17"/>
                <w:szCs w:val="17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E718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0%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46F52" w14:textId="77777777" w:rsidR="006D40B2" w:rsidRPr="00B847CC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7"/>
                <w:szCs w:val="17"/>
                <w:highlight w:val="yellow"/>
              </w:rPr>
            </w:pPr>
            <w:proofErr w:type="gramStart"/>
            <w:r w:rsidRPr="00B847CC">
              <w:rPr>
                <w:sz w:val="17"/>
                <w:szCs w:val="17"/>
              </w:rPr>
              <w:t>0%</w:t>
            </w:r>
            <w:proofErr w:type="gramEnd"/>
          </w:p>
        </w:tc>
      </w:tr>
    </w:tbl>
    <w:p w14:paraId="15459D3E" w14:textId="77777777" w:rsidR="006D40B2" w:rsidRPr="00B847CC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B847CC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B847CC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2AAE1E74" w14:textId="7D45C835" w:rsidR="006D40B2" w:rsidRPr="00D71C60" w:rsidRDefault="006D40B2" w:rsidP="006D40B2">
      <w:pPr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>N</w:t>
      </w:r>
      <w:r w:rsidRPr="00B847CC">
        <w:rPr>
          <w:rFonts w:asciiTheme="minorHAnsi" w:hAnsiTheme="minorHAnsi" w:cstheme="minorHAnsi"/>
        </w:rPr>
        <w:t xml:space="preserve">áklady </w:t>
      </w:r>
      <w:proofErr w:type="spellStart"/>
      <w:r w:rsidRPr="00B847CC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B847CC">
        <w:rPr>
          <w:rFonts w:asciiTheme="minorHAnsi" w:hAnsiTheme="minorHAnsi" w:cstheme="minorHAnsi"/>
        </w:rPr>
        <w:t xml:space="preserve"> v roce 2021 byly z 66 % tvořeny náklady na transfery, z toho 60 % představovaly náklady vykázané na účtu 571</w:t>
      </w:r>
      <w:r>
        <w:rPr>
          <w:rFonts w:asciiTheme="minorHAnsi" w:hAnsiTheme="minorHAnsi" w:cstheme="minorHAnsi"/>
        </w:rPr>
        <w:t xml:space="preserve"> </w:t>
      </w:r>
      <w:r w:rsidRPr="00B847CC">
        <w:rPr>
          <w:rFonts w:asciiTheme="minorHAnsi" w:hAnsiTheme="minorHAnsi" w:cstheme="minorHAnsi"/>
        </w:rPr>
        <w:t xml:space="preserve">– </w:t>
      </w:r>
      <w:r w:rsidRPr="00B847CC">
        <w:rPr>
          <w:rFonts w:asciiTheme="minorHAnsi" w:hAnsiTheme="minorHAnsi" w:cstheme="minorHAnsi"/>
          <w:i/>
        </w:rPr>
        <w:t>Náklady vybraných ústředních vládních institucí na transfery</w:t>
      </w:r>
      <w:r w:rsidRPr="00B847CC">
        <w:rPr>
          <w:rFonts w:asciiTheme="minorHAnsi" w:hAnsiTheme="minorHAnsi" w:cstheme="minorHAnsi"/>
        </w:rPr>
        <w:t xml:space="preserve"> a zbývající část (6 %) připadá na účet 575</w:t>
      </w:r>
      <w:r>
        <w:rPr>
          <w:rFonts w:asciiTheme="minorHAnsi" w:hAnsiTheme="minorHAnsi" w:cstheme="minorHAnsi"/>
        </w:rPr>
        <w:t xml:space="preserve"> </w:t>
      </w:r>
      <w:r w:rsidRPr="00B847CC">
        <w:rPr>
          <w:rFonts w:asciiTheme="minorHAnsi" w:hAnsiTheme="minorHAnsi" w:cstheme="minorHAnsi"/>
        </w:rPr>
        <w:t xml:space="preserve">– </w:t>
      </w:r>
      <w:r w:rsidRPr="00B847CC">
        <w:rPr>
          <w:rFonts w:asciiTheme="minorHAnsi" w:hAnsiTheme="minorHAnsi" w:cstheme="minorHAnsi"/>
          <w:i/>
        </w:rPr>
        <w:t>Náklady vybraných ústředních vládních institucí na předfinancování transferů</w:t>
      </w:r>
      <w:r w:rsidRPr="00B847CC">
        <w:rPr>
          <w:rFonts w:asciiTheme="minorHAnsi" w:hAnsiTheme="minorHAnsi" w:cstheme="minorHAnsi"/>
        </w:rPr>
        <w:t>. Náklady z činnosti představ</w:t>
      </w:r>
      <w:r w:rsidR="00055027">
        <w:rPr>
          <w:rFonts w:asciiTheme="minorHAnsi" w:hAnsiTheme="minorHAnsi" w:cstheme="minorHAnsi"/>
        </w:rPr>
        <w:t>ovaly</w:t>
      </w:r>
      <w:r w:rsidRPr="00B847CC">
        <w:rPr>
          <w:rFonts w:asciiTheme="minorHAnsi" w:hAnsiTheme="minorHAnsi" w:cstheme="minorHAnsi"/>
        </w:rPr>
        <w:t xml:space="preserve"> 34 % celkových nákladů </w:t>
      </w:r>
      <w:proofErr w:type="spellStart"/>
      <w:r w:rsidRPr="00B847CC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B847CC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 </w:t>
      </w:r>
      <w:r w:rsidRPr="00B847CC">
        <w:rPr>
          <w:rFonts w:asciiTheme="minorHAnsi" w:hAnsiTheme="minorHAnsi" w:cstheme="minorHAnsi"/>
        </w:rPr>
        <w:t>finanční náklady 0 %.</w:t>
      </w:r>
    </w:p>
    <w:p w14:paraId="74D31431" w14:textId="77777777" w:rsidR="006D40B2" w:rsidRPr="00D71C60" w:rsidRDefault="006D40B2" w:rsidP="006D40B2">
      <w:pPr>
        <w:jc w:val="both"/>
        <w:rPr>
          <w:rFonts w:asciiTheme="minorHAnsi" w:hAnsiTheme="minorHAnsi" w:cstheme="minorHAnsi"/>
          <w:highlight w:val="yellow"/>
        </w:rPr>
      </w:pPr>
    </w:p>
    <w:p w14:paraId="60BA83A6" w14:textId="77777777" w:rsidR="006D40B2" w:rsidRPr="00AA15AA" w:rsidRDefault="006D40B2" w:rsidP="006D40B2">
      <w:pPr>
        <w:pStyle w:val="Nadpis3"/>
        <w:numPr>
          <w:ilvl w:val="0"/>
          <w:numId w:val="0"/>
        </w:numPr>
        <w:spacing w:before="240" w:after="120"/>
        <w:ind w:left="720" w:hanging="720"/>
        <w:contextualSpacing w:val="0"/>
        <w:jc w:val="center"/>
      </w:pPr>
      <w:r w:rsidRPr="00AA15AA">
        <w:t xml:space="preserve">Oddíl VIII. Struktura výdajů z hlediska odvětvového </w:t>
      </w:r>
      <w:r>
        <w:t xml:space="preserve">třídění </w:t>
      </w:r>
      <w:r w:rsidRPr="00AA15AA">
        <w:t xml:space="preserve">u </w:t>
      </w:r>
      <w:proofErr w:type="spellStart"/>
      <w:r>
        <w:t>MZd</w:t>
      </w:r>
      <w:proofErr w:type="spellEnd"/>
      <w:r w:rsidRPr="00AA15AA">
        <w:t xml:space="preserve"> v roce 202</w:t>
      </w:r>
      <w:r>
        <w:t>1</w:t>
      </w:r>
    </w:p>
    <w:p w14:paraId="6E596E37" w14:textId="1F01AE7D" w:rsidR="006D40B2" w:rsidRPr="008F0AC6" w:rsidRDefault="006D40B2" w:rsidP="006D40B2">
      <w:pPr>
        <w:pStyle w:val="Titulek1"/>
        <w:rPr>
          <w:sz w:val="24"/>
        </w:rPr>
      </w:pPr>
      <w:bookmarkStart w:id="119" w:name="_Toc520714344"/>
      <w:bookmarkStart w:id="120" w:name="_Toc8984551"/>
      <w:bookmarkStart w:id="121" w:name="_Toc72157469"/>
      <w:r w:rsidRPr="008F0AC6">
        <w:rPr>
          <w:sz w:val="24"/>
        </w:rPr>
        <w:t xml:space="preserve">Tabulka č. </w:t>
      </w:r>
      <w:r w:rsidRPr="008F0AC6">
        <w:rPr>
          <w:sz w:val="24"/>
        </w:rPr>
        <w:fldChar w:fldCharType="begin"/>
      </w:r>
      <w:r w:rsidRPr="008F0AC6">
        <w:rPr>
          <w:sz w:val="24"/>
        </w:rPr>
        <w:instrText xml:space="preserve"> SEQ Tabulka \* ARABIC </w:instrText>
      </w:r>
      <w:r w:rsidRPr="008F0AC6">
        <w:rPr>
          <w:sz w:val="24"/>
        </w:rPr>
        <w:fldChar w:fldCharType="separate"/>
      </w:r>
      <w:r w:rsidR="009A66D8">
        <w:rPr>
          <w:noProof/>
          <w:sz w:val="24"/>
        </w:rPr>
        <w:t>34</w:t>
      </w:r>
      <w:r w:rsidRPr="008F0AC6">
        <w:rPr>
          <w:noProof/>
          <w:sz w:val="24"/>
        </w:rPr>
        <w:fldChar w:fldCharType="end"/>
      </w:r>
      <w:r w:rsidRPr="008F0AC6">
        <w:rPr>
          <w:sz w:val="24"/>
        </w:rPr>
        <w:t xml:space="preserve">: Struktura výdajů </w:t>
      </w:r>
      <w:proofErr w:type="spellStart"/>
      <w:r w:rsidRPr="008F0AC6">
        <w:rPr>
          <w:sz w:val="24"/>
        </w:rPr>
        <w:t>MZ</w:t>
      </w:r>
      <w:r>
        <w:rPr>
          <w:sz w:val="24"/>
        </w:rPr>
        <w:t>d</w:t>
      </w:r>
      <w:proofErr w:type="spellEnd"/>
      <w:r w:rsidRPr="008F0AC6">
        <w:rPr>
          <w:sz w:val="24"/>
        </w:rPr>
        <w:t xml:space="preserve"> v roce 2021 z hlediska odvětvového třídění</w:t>
      </w:r>
      <w:bookmarkEnd w:id="119"/>
      <w:bookmarkEnd w:id="120"/>
      <w:bookmarkEnd w:id="121"/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28"/>
        <w:gridCol w:w="1928"/>
        <w:gridCol w:w="1984"/>
        <w:gridCol w:w="2041"/>
      </w:tblGrid>
      <w:tr w:rsidR="006D40B2" w:rsidRPr="008F0AC6" w14:paraId="44B43FBB" w14:textId="77777777" w:rsidTr="006D40B2">
        <w:trPr>
          <w:trHeight w:val="255"/>
          <w:tblHeader/>
          <w:jc w:val="center"/>
        </w:trPr>
        <w:tc>
          <w:tcPr>
            <w:tcW w:w="1134" w:type="dxa"/>
            <w:shd w:val="clear" w:color="auto" w:fill="E5F1FF"/>
            <w:vAlign w:val="center"/>
          </w:tcPr>
          <w:p w14:paraId="77E617EF" w14:textId="77777777" w:rsidR="006D40B2" w:rsidRPr="008F0AC6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0A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Rozpočtový paragraf</w:t>
            </w:r>
          </w:p>
        </w:tc>
        <w:tc>
          <w:tcPr>
            <w:tcW w:w="1928" w:type="dxa"/>
            <w:shd w:val="clear" w:color="auto" w:fill="E5F1FF"/>
            <w:noWrap/>
            <w:vAlign w:val="center"/>
          </w:tcPr>
          <w:p w14:paraId="513111A7" w14:textId="77777777" w:rsidR="006D40B2" w:rsidRPr="008F0AC6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0A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Schválený rozpočet (v Kč)</w:t>
            </w:r>
          </w:p>
        </w:tc>
        <w:tc>
          <w:tcPr>
            <w:tcW w:w="1928" w:type="dxa"/>
            <w:shd w:val="clear" w:color="auto" w:fill="E5F1FF"/>
            <w:noWrap/>
            <w:vAlign w:val="center"/>
          </w:tcPr>
          <w:p w14:paraId="627F07D0" w14:textId="77777777" w:rsidR="006D40B2" w:rsidRPr="008F0AC6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0A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Skutečnost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8F0A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(v Kč)</w:t>
            </w:r>
          </w:p>
        </w:tc>
        <w:tc>
          <w:tcPr>
            <w:tcW w:w="1984" w:type="dxa"/>
            <w:shd w:val="clear" w:color="auto" w:fill="E5F1FF"/>
            <w:noWrap/>
            <w:vAlign w:val="center"/>
            <w:hideMark/>
          </w:tcPr>
          <w:p w14:paraId="3E5B8FBA" w14:textId="77777777" w:rsidR="006D40B2" w:rsidRPr="008F0AC6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0A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rozpočtového paragrafu na celkových výdajích – schválený rozpočet </w:t>
            </w:r>
          </w:p>
        </w:tc>
        <w:tc>
          <w:tcPr>
            <w:tcW w:w="2041" w:type="dxa"/>
            <w:shd w:val="clear" w:color="auto" w:fill="E5F1FF"/>
          </w:tcPr>
          <w:p w14:paraId="59A5B241" w14:textId="77777777" w:rsidR="006D40B2" w:rsidRPr="008F0AC6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0A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Podíl rozpočtového paragrafu na celkových výdajích – skutečnost</w:t>
            </w:r>
          </w:p>
        </w:tc>
      </w:tr>
      <w:tr w:rsidR="006D40B2" w:rsidRPr="00D71C60" w14:paraId="39026919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51FDB3C9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3522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CE71178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30 000 000,00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795EE34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7 232 591 973,23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DE010E9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47F5BA8C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25,28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121784D2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2C86AE90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3531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45E392EB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7 385 877 943,00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46881B96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6 996 395 281,30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E9717A4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47,10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3572D9BA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24,46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32022CBB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2B4F345F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3521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898F050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1 759 229 626,00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E47F1B2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5 267 940 955,75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9102230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11,22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2AFC7430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18,41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1F94D0EE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187ACCDD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3549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A120657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1 853 468 091,00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089F917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2 336 747 829,44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825DE1E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11,82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4FC6FAEA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8,17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7D42D2B3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2B1FFFD9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3589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5A6E2F4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1 783 791 672,00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E5D6A2D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1 737 329 019,98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0BF41C1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11,38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144A30E7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6,07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304D3629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079A137E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3523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CEA82FE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89 764 089,00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BB02949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1 297 867 564,65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02C954A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0,57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4967DB19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4,54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640D4D75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1D239039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3561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8609F90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1 032 337 152,00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DD654BE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1 220 594 855,43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27DD990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6,58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0110294E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4,27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157F6598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6D615D37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3592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4B41F8DF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726 257 537,00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CF56073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687 433 863,00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C81E2A9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4,63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0DE140CB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2,40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05227205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53693463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3527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60B8E57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270 700 000,00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46040F4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595 620 276,09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BA87D98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1,73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09E72FD3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2,08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2672B2E8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157CDE6B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3533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26D75FA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592 867 773,00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C53E01E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534 783 978,26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8C9D91B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3,78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229AC48A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1,87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0D4FE0E0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194640C8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3526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72FEB9C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446E86EE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207 284 489,00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F3B2855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7B8736D7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6C37FBBD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4C72B423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3524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775767C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04F4FBC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155 755 082,14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DB2AD3A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6AAC39F2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0,54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66BFD8F3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3AC1610B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3543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7B4C5AE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10 000 000,00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5D106027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68 342 187,67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8459DFF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01CB13B6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52A12DB1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68F2C615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5261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44A6025F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FB5E22F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62 511 810,36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B2FF96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41040784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006839CC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0C62B7DF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3529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42348DF3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53675FF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51 052 839,00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559A5DB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1B3CA3E5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1E882F04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397E0407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3539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26D4DDF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80 700 000,00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6513742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43 724 078,13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4C1B140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0,51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65B9A8A8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648D5A5E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69807B33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3525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1035010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15 000 000,00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72324F0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25 623 732,00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A4D150F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1A2DA7DC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7A1D2064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1DD0B1E0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6221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A449D2A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54E3656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23 949 552,71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4877888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5C27B379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1E8F628D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4A708AB2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3515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5A85BDEE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13 385 000,00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57D4498C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19 245 537,00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61663E4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2402E81D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5CF00498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7DC46FAB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3591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3FCF904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13 110 000,00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4AE9FF12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16 906 161,49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DEB2FAE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1290ED65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29AF99A9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7EED314D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5212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C89615D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14 750 000,00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D691981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13 336 386,56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4045947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65E1FCE4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02142B7C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50A6B246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3542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6120504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1 500 000,00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C573F46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10 280 988,62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A232B95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124BD417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41BDDFB2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5AD4DF34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6222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383BFB6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3 000 000,00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05E7039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1 333 897,75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2042302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13BFD793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3C61BB89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2C3B7978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3545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0AFC737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27A3B8E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1 108 761,91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64BA7BA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2F6E7A97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2053FE85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0C6457F4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3541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08EF5AD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7738CA6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700 000,00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6E76284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25BB5FB9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32BB3EEB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515804A4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5274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8B6D6A1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5954AA2A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235 727,04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010F8A2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461F1D7E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7F443FD6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54699689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5271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1C0E573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250 000,00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02F6B42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31 326,50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6328DD5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5C77E976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44D7EE65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7851EB20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3534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9B62A86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5C8A5947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2 995,23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28FE9B6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2605BAB1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4C4D7D0A" w14:textId="77777777" w:rsidTr="006D40B2">
        <w:trPr>
          <w:trHeight w:val="255"/>
          <w:jc w:val="center"/>
        </w:trPr>
        <w:tc>
          <w:tcPr>
            <w:tcW w:w="1134" w:type="dxa"/>
            <w:vAlign w:val="center"/>
          </w:tcPr>
          <w:p w14:paraId="2AE16738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3562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441909C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4 140 000,00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2556C2B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22369A4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041" w:type="dxa"/>
            <w:vAlign w:val="center"/>
          </w:tcPr>
          <w:p w14:paraId="43987F03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6D40B2" w:rsidRPr="00D71C60" w14:paraId="6A72FB47" w14:textId="77777777" w:rsidTr="006D40B2">
        <w:trPr>
          <w:trHeight w:val="255"/>
          <w:jc w:val="center"/>
        </w:trPr>
        <w:tc>
          <w:tcPr>
            <w:tcW w:w="1134" w:type="dxa"/>
            <w:shd w:val="clear" w:color="auto" w:fill="F2C6C9"/>
            <w:vAlign w:val="center"/>
          </w:tcPr>
          <w:p w14:paraId="53C2D880" w14:textId="77777777" w:rsidR="006D40B2" w:rsidRPr="008F0AC6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1928" w:type="dxa"/>
            <w:shd w:val="clear" w:color="auto" w:fill="F2C6C9"/>
            <w:noWrap/>
            <w:vAlign w:val="center"/>
          </w:tcPr>
          <w:p w14:paraId="74F8879B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b/>
                <w:sz w:val="20"/>
                <w:szCs w:val="20"/>
              </w:rPr>
              <w:t>15 680 128 883,00</w:t>
            </w:r>
          </w:p>
        </w:tc>
        <w:tc>
          <w:tcPr>
            <w:tcW w:w="1928" w:type="dxa"/>
            <w:shd w:val="clear" w:color="auto" w:fill="F2C6C9"/>
            <w:noWrap/>
            <w:vAlign w:val="center"/>
          </w:tcPr>
          <w:p w14:paraId="7D772EBB" w14:textId="77777777" w:rsidR="006D40B2" w:rsidRPr="008F0AC6" w:rsidRDefault="006D40B2" w:rsidP="006D40B2">
            <w:pPr>
              <w:spacing w:after="0"/>
              <w:ind w:right="113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b/>
                <w:sz w:val="20"/>
                <w:szCs w:val="20"/>
              </w:rPr>
              <w:t>28 608 731 150,24</w:t>
            </w:r>
          </w:p>
        </w:tc>
        <w:tc>
          <w:tcPr>
            <w:tcW w:w="1984" w:type="dxa"/>
            <w:shd w:val="clear" w:color="auto" w:fill="F2C6C9"/>
            <w:noWrap/>
            <w:vAlign w:val="center"/>
          </w:tcPr>
          <w:p w14:paraId="6048ABA6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b/>
                <w:sz w:val="20"/>
                <w:szCs w:val="20"/>
              </w:rPr>
              <w:t>100,00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2041" w:type="dxa"/>
            <w:shd w:val="clear" w:color="auto" w:fill="F2C6C9"/>
            <w:vAlign w:val="center"/>
          </w:tcPr>
          <w:p w14:paraId="5EEDF8E9" w14:textId="77777777" w:rsidR="006D40B2" w:rsidRPr="008F0AC6" w:rsidRDefault="006D40B2" w:rsidP="006D40B2">
            <w:pPr>
              <w:spacing w:after="0"/>
              <w:ind w:right="448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yellow"/>
              </w:rPr>
            </w:pPr>
            <w:r w:rsidRPr="008F0AC6">
              <w:rPr>
                <w:rFonts w:asciiTheme="minorHAnsi" w:hAnsiTheme="minorHAnsi" w:cstheme="minorHAnsi"/>
                <w:b/>
                <w:sz w:val="20"/>
                <w:szCs w:val="20"/>
              </w:rPr>
              <w:t>100,00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F0AC6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</w:tr>
    </w:tbl>
    <w:p w14:paraId="581EBD91" w14:textId="77777777" w:rsidR="006D40B2" w:rsidRPr="008F0AC6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8F0AC6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8F0AC6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2E5B374C" w14:textId="273BE0CE" w:rsidR="006D40B2" w:rsidRDefault="006D40B2" w:rsidP="006D40B2">
      <w:pPr>
        <w:spacing w:after="0"/>
        <w:jc w:val="both"/>
        <w:rPr>
          <w:rFonts w:asciiTheme="minorHAnsi" w:hAnsiTheme="minorHAnsi" w:cstheme="minorHAnsi"/>
        </w:rPr>
      </w:pPr>
      <w:r w:rsidRPr="008F0AC6">
        <w:rPr>
          <w:rFonts w:asciiTheme="minorHAnsi" w:hAnsiTheme="minorHAnsi" w:cstheme="minorHAnsi"/>
        </w:rPr>
        <w:t xml:space="preserve">Nejvíce výdajů (skutečnost) </w:t>
      </w:r>
      <w:r w:rsidR="00735937" w:rsidRPr="008F0AC6">
        <w:rPr>
          <w:rFonts w:asciiTheme="minorHAnsi" w:hAnsiTheme="minorHAnsi" w:cstheme="minorHAnsi"/>
        </w:rPr>
        <w:t xml:space="preserve">zatřídilo </w:t>
      </w:r>
      <w:proofErr w:type="spellStart"/>
      <w:r w:rsidR="00735937" w:rsidRPr="008F0AC6">
        <w:rPr>
          <w:rFonts w:asciiTheme="minorHAnsi" w:hAnsiTheme="minorHAnsi" w:cstheme="minorHAnsi"/>
        </w:rPr>
        <w:t>MZ</w:t>
      </w:r>
      <w:r w:rsidR="00735937">
        <w:rPr>
          <w:rFonts w:asciiTheme="minorHAnsi" w:hAnsiTheme="minorHAnsi" w:cstheme="minorHAnsi"/>
        </w:rPr>
        <w:t>d</w:t>
      </w:r>
      <w:proofErr w:type="spellEnd"/>
      <w:r w:rsidR="00735937" w:rsidRPr="008F0AC6">
        <w:rPr>
          <w:rFonts w:asciiTheme="minorHAnsi" w:hAnsiTheme="minorHAnsi" w:cstheme="minorHAnsi"/>
        </w:rPr>
        <w:t xml:space="preserve"> </w:t>
      </w:r>
      <w:r w:rsidRPr="008F0AC6">
        <w:rPr>
          <w:rFonts w:asciiTheme="minorHAnsi" w:hAnsiTheme="minorHAnsi" w:cstheme="minorHAnsi"/>
        </w:rPr>
        <w:t xml:space="preserve">v roce 2021 na paragraf 3522 – </w:t>
      </w:r>
      <w:r w:rsidRPr="008F0AC6">
        <w:rPr>
          <w:rFonts w:asciiTheme="minorHAnsi" w:hAnsiTheme="minorHAnsi" w:cstheme="minorHAnsi"/>
          <w:i/>
        </w:rPr>
        <w:t>Ostatní nemocnice</w:t>
      </w:r>
      <w:r w:rsidRPr="008F0AC6">
        <w:rPr>
          <w:rFonts w:asciiTheme="minorHAnsi" w:hAnsiTheme="minorHAnsi" w:cstheme="minorHAnsi"/>
        </w:rPr>
        <w:t xml:space="preserve"> (7 232 591 973,23 Kč, tj. 25,28 %), 3531</w:t>
      </w:r>
      <w:r>
        <w:rPr>
          <w:rFonts w:asciiTheme="minorHAnsi" w:hAnsiTheme="minorHAnsi" w:cstheme="minorHAnsi"/>
        </w:rPr>
        <w:t xml:space="preserve"> </w:t>
      </w:r>
      <w:r w:rsidRPr="008F0AC6">
        <w:rPr>
          <w:rFonts w:asciiTheme="minorHAnsi" w:hAnsiTheme="minorHAnsi" w:cstheme="minorHAnsi"/>
        </w:rPr>
        <w:t xml:space="preserve">– </w:t>
      </w:r>
      <w:r w:rsidRPr="008F0AC6">
        <w:rPr>
          <w:rFonts w:asciiTheme="minorHAnsi" w:hAnsiTheme="minorHAnsi" w:cstheme="minorHAnsi"/>
          <w:i/>
        </w:rPr>
        <w:t>Hygienická služba a ochrana veřejného zdraví</w:t>
      </w:r>
      <w:r w:rsidRPr="008F0AC6">
        <w:rPr>
          <w:rFonts w:asciiTheme="minorHAnsi" w:hAnsiTheme="minorHAnsi" w:cstheme="minorHAnsi"/>
        </w:rPr>
        <w:t xml:space="preserve"> (6</w:t>
      </w:r>
      <w:r>
        <w:rPr>
          <w:rFonts w:asciiTheme="minorHAnsi" w:hAnsiTheme="minorHAnsi" w:cstheme="minorHAnsi"/>
        </w:rPr>
        <w:t> </w:t>
      </w:r>
      <w:r w:rsidRPr="008F0AC6">
        <w:rPr>
          <w:rFonts w:asciiTheme="minorHAnsi" w:hAnsiTheme="minorHAnsi" w:cstheme="minorHAnsi"/>
        </w:rPr>
        <w:t>996</w:t>
      </w:r>
      <w:r>
        <w:rPr>
          <w:rFonts w:asciiTheme="minorHAnsi" w:hAnsiTheme="minorHAnsi" w:cstheme="minorHAnsi"/>
        </w:rPr>
        <w:t> </w:t>
      </w:r>
      <w:r w:rsidRPr="008F0AC6">
        <w:rPr>
          <w:rFonts w:asciiTheme="minorHAnsi" w:hAnsiTheme="minorHAnsi" w:cstheme="minorHAnsi"/>
        </w:rPr>
        <w:t>395</w:t>
      </w:r>
      <w:r>
        <w:rPr>
          <w:rFonts w:asciiTheme="minorHAnsi" w:hAnsiTheme="minorHAnsi" w:cstheme="minorHAnsi"/>
        </w:rPr>
        <w:t> </w:t>
      </w:r>
      <w:r w:rsidRPr="008F0AC6">
        <w:rPr>
          <w:rFonts w:asciiTheme="minorHAnsi" w:hAnsiTheme="minorHAnsi" w:cstheme="minorHAnsi"/>
        </w:rPr>
        <w:t>281,30</w:t>
      </w:r>
      <w:r>
        <w:rPr>
          <w:rFonts w:asciiTheme="minorHAnsi" w:hAnsiTheme="minorHAnsi" w:cstheme="minorHAnsi"/>
        </w:rPr>
        <w:t> </w:t>
      </w:r>
      <w:r w:rsidRPr="008F0AC6">
        <w:rPr>
          <w:rFonts w:asciiTheme="minorHAnsi" w:hAnsiTheme="minorHAnsi" w:cstheme="minorHAnsi"/>
        </w:rPr>
        <w:t xml:space="preserve">Kč, tj. 24,46 %), 3521 – </w:t>
      </w:r>
      <w:r w:rsidRPr="008F0AC6">
        <w:rPr>
          <w:rFonts w:asciiTheme="minorHAnsi" w:hAnsiTheme="minorHAnsi" w:cstheme="minorHAnsi"/>
          <w:i/>
        </w:rPr>
        <w:t>Fakultní nemocnice</w:t>
      </w:r>
      <w:r w:rsidRPr="008F0AC6">
        <w:rPr>
          <w:rFonts w:asciiTheme="minorHAnsi" w:hAnsiTheme="minorHAnsi" w:cstheme="minorHAnsi"/>
        </w:rPr>
        <w:t xml:space="preserve"> (5 267 940 955,75 Kč, tj.</w:t>
      </w:r>
      <w:r>
        <w:rPr>
          <w:rFonts w:asciiTheme="minorHAnsi" w:hAnsiTheme="minorHAnsi" w:cstheme="minorHAnsi"/>
        </w:rPr>
        <w:t> </w:t>
      </w:r>
      <w:r w:rsidRPr="008F0AC6">
        <w:rPr>
          <w:rFonts w:asciiTheme="minorHAnsi" w:hAnsiTheme="minorHAnsi" w:cstheme="minorHAnsi"/>
        </w:rPr>
        <w:t>18,41</w:t>
      </w:r>
      <w:r>
        <w:rPr>
          <w:rFonts w:asciiTheme="minorHAnsi" w:hAnsiTheme="minorHAnsi" w:cstheme="minorHAnsi"/>
        </w:rPr>
        <w:t> </w:t>
      </w:r>
      <w:r w:rsidRPr="008F0AC6">
        <w:rPr>
          <w:rFonts w:asciiTheme="minorHAnsi" w:hAnsiTheme="minorHAnsi" w:cstheme="minorHAnsi"/>
        </w:rPr>
        <w:t>%). Výdaje na ostatních paragrafech činily jednotky procent.</w:t>
      </w:r>
    </w:p>
    <w:p w14:paraId="7C652D5B" w14:textId="77777777" w:rsidR="006D40B2" w:rsidRPr="00D71C60" w:rsidRDefault="006D40B2" w:rsidP="006D40B2">
      <w:pPr>
        <w:spacing w:after="0"/>
        <w:jc w:val="both"/>
        <w:rPr>
          <w:rFonts w:asciiTheme="minorHAnsi" w:hAnsiTheme="minorHAnsi" w:cstheme="minorHAnsi"/>
          <w:highlight w:val="yellow"/>
        </w:rPr>
      </w:pPr>
    </w:p>
    <w:p w14:paraId="5089F897" w14:textId="77777777" w:rsidR="006D40B2" w:rsidRPr="00565C7E" w:rsidRDefault="006D40B2" w:rsidP="006D40B2">
      <w:pPr>
        <w:pStyle w:val="Nadpis3"/>
        <w:numPr>
          <w:ilvl w:val="0"/>
          <w:numId w:val="0"/>
        </w:numPr>
        <w:spacing w:before="240" w:after="120"/>
        <w:ind w:left="720" w:hanging="720"/>
        <w:contextualSpacing w:val="0"/>
        <w:jc w:val="center"/>
      </w:pPr>
      <w:r w:rsidRPr="00AA15AA">
        <w:t>Oddíl I</w:t>
      </w:r>
      <w:r>
        <w:t>X</w:t>
      </w:r>
      <w:r w:rsidRPr="00AA15AA">
        <w:t xml:space="preserve">. </w:t>
      </w:r>
      <w:r w:rsidRPr="00C90F38">
        <w:rPr>
          <w:rFonts w:asciiTheme="minorHAnsi" w:eastAsiaTheme="minorHAnsi" w:hAnsiTheme="minorHAnsi" w:cstheme="minorHAnsi"/>
        </w:rPr>
        <w:t>Vliv c</w:t>
      </w:r>
      <w:r w:rsidRPr="00565C7E">
        <w:rPr>
          <w:rFonts w:asciiTheme="minorHAnsi" w:eastAsiaTheme="minorHAnsi" w:hAnsiTheme="minorHAnsi" w:cstheme="minorHAnsi"/>
        </w:rPr>
        <w:t>ovid</w:t>
      </w:r>
      <w:r>
        <w:rPr>
          <w:rFonts w:asciiTheme="minorHAnsi" w:eastAsiaTheme="minorHAnsi" w:hAnsiTheme="minorHAnsi" w:cstheme="minorHAnsi"/>
        </w:rPr>
        <w:t>u</w:t>
      </w:r>
      <w:r w:rsidRPr="00565C7E">
        <w:rPr>
          <w:rFonts w:asciiTheme="minorHAnsi" w:eastAsiaTheme="minorHAnsi" w:hAnsiTheme="minorHAnsi" w:cstheme="minorHAnsi"/>
        </w:rPr>
        <w:t xml:space="preserve">-19 na výkaznictví </w:t>
      </w:r>
      <w:proofErr w:type="spellStart"/>
      <w:r w:rsidRPr="00565C7E">
        <w:rPr>
          <w:rFonts w:asciiTheme="minorHAnsi" w:eastAsiaTheme="minorHAnsi" w:hAnsiTheme="minorHAnsi" w:cstheme="minorHAnsi"/>
        </w:rPr>
        <w:t>MZd</w:t>
      </w:r>
      <w:proofErr w:type="spellEnd"/>
      <w:r>
        <w:rPr>
          <w:rFonts w:asciiTheme="minorHAnsi" w:eastAsiaTheme="minorHAnsi" w:hAnsiTheme="minorHAnsi" w:cstheme="minorHAnsi"/>
        </w:rPr>
        <w:t xml:space="preserve"> v roce 2021</w:t>
      </w:r>
    </w:p>
    <w:p w14:paraId="58128E7F" w14:textId="112107E7" w:rsidR="006D40B2" w:rsidRDefault="006D40B2" w:rsidP="006D40B2">
      <w:pPr>
        <w:keepNext/>
        <w:jc w:val="both"/>
        <w:rPr>
          <w:rFonts w:asciiTheme="minorHAnsi" w:eastAsiaTheme="minorHAnsi" w:hAnsiTheme="minorHAnsi" w:cstheme="minorHAnsi"/>
        </w:rPr>
      </w:pPr>
      <w:r w:rsidRPr="008C7CEC">
        <w:rPr>
          <w:rFonts w:asciiTheme="minorHAnsi" w:eastAsiaTheme="minorHAnsi" w:hAnsiTheme="minorHAnsi" w:cstheme="minorHAnsi"/>
          <w:b/>
        </w:rPr>
        <w:t xml:space="preserve">Výkaznictví </w:t>
      </w:r>
      <w:proofErr w:type="spellStart"/>
      <w:r w:rsidRPr="008C7CEC">
        <w:rPr>
          <w:rFonts w:asciiTheme="minorHAnsi" w:eastAsiaTheme="minorHAnsi" w:hAnsiTheme="minorHAnsi" w:cstheme="minorHAnsi"/>
          <w:b/>
        </w:rPr>
        <w:t>MZ</w:t>
      </w:r>
      <w:r>
        <w:rPr>
          <w:rFonts w:asciiTheme="minorHAnsi" w:eastAsiaTheme="minorHAnsi" w:hAnsiTheme="minorHAnsi" w:cstheme="minorHAnsi"/>
          <w:b/>
        </w:rPr>
        <w:t>d</w:t>
      </w:r>
      <w:proofErr w:type="spellEnd"/>
      <w:r w:rsidRPr="008C7CEC">
        <w:rPr>
          <w:rFonts w:asciiTheme="minorHAnsi" w:eastAsiaTheme="minorHAnsi" w:hAnsiTheme="minorHAnsi" w:cstheme="minorHAnsi"/>
          <w:b/>
        </w:rPr>
        <w:t xml:space="preserve"> bylo v</w:t>
      </w:r>
      <w:r w:rsidR="00735937">
        <w:rPr>
          <w:rFonts w:asciiTheme="minorHAnsi" w:eastAsiaTheme="minorHAnsi" w:hAnsiTheme="minorHAnsi" w:cstheme="minorHAnsi"/>
          <w:b/>
        </w:rPr>
        <w:t xml:space="preserve"> </w:t>
      </w:r>
      <w:r w:rsidRPr="008C7CEC">
        <w:rPr>
          <w:rFonts w:asciiTheme="minorHAnsi" w:eastAsiaTheme="minorHAnsi" w:hAnsiTheme="minorHAnsi" w:cstheme="minorHAnsi"/>
          <w:b/>
        </w:rPr>
        <w:t>roce 2021 významně ovlivněno skutečnostmi souvisejícími s</w:t>
      </w:r>
      <w:r>
        <w:rPr>
          <w:rFonts w:asciiTheme="minorHAnsi" w:eastAsiaTheme="minorHAnsi" w:hAnsiTheme="minorHAnsi" w:cstheme="minorHAnsi"/>
          <w:b/>
        </w:rPr>
        <w:t> covidem-</w:t>
      </w:r>
      <w:r w:rsidRPr="008C7CEC">
        <w:rPr>
          <w:rFonts w:asciiTheme="minorHAnsi" w:eastAsiaTheme="minorHAnsi" w:hAnsiTheme="minorHAnsi" w:cstheme="minorHAnsi"/>
          <w:b/>
        </w:rPr>
        <w:t>19.</w:t>
      </w:r>
      <w:r w:rsidRPr="008C7CEC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Celkové výdaje související s</w:t>
      </w:r>
      <w:r w:rsidR="00735937">
        <w:rPr>
          <w:rFonts w:asciiTheme="minorHAnsi" w:eastAsiaTheme="minorHAnsi" w:hAnsiTheme="minorHAnsi" w:cstheme="minorHAnsi"/>
        </w:rPr>
        <w:t xml:space="preserve"> onemocněním </w:t>
      </w:r>
      <w:r>
        <w:rPr>
          <w:rFonts w:asciiTheme="minorHAnsi" w:eastAsiaTheme="minorHAnsi" w:hAnsiTheme="minorHAnsi" w:cstheme="minorHAnsi"/>
        </w:rPr>
        <w:t>covid-19 dosáhly částky 20,3 mld. Kč (tedy 71,1 % celkových výdajů), z toho částka 12,1 mld. Kč připadala na mimořádné finanční ohodnocení zaměstnanců poskytovatelů lůžkové péče, nákup vakcín představoval částku 6,5 mld. Kč.</w:t>
      </w:r>
    </w:p>
    <w:p w14:paraId="5AF18F94" w14:textId="35AA96EB" w:rsidR="006D40B2" w:rsidRDefault="006D40B2" w:rsidP="006D40B2">
      <w:pPr>
        <w:keepNext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Celkové příjmy související s covidem-19 dosáhly částky minimálně 5,7 mld. Kč (tedy 87,7 % celkových příjmů), tuto </w:t>
      </w:r>
      <w:r w:rsidR="00735937">
        <w:rPr>
          <w:rFonts w:asciiTheme="minorHAnsi" w:eastAsiaTheme="minorHAnsi" w:hAnsiTheme="minorHAnsi" w:cstheme="minorHAnsi"/>
        </w:rPr>
        <w:t>částku</w:t>
      </w:r>
      <w:r>
        <w:rPr>
          <w:rFonts w:asciiTheme="minorHAnsi" w:eastAsiaTheme="minorHAnsi" w:hAnsiTheme="minorHAnsi" w:cstheme="minorHAnsi"/>
        </w:rPr>
        <w:t xml:space="preserve"> </w:t>
      </w:r>
      <w:r w:rsidR="00735937">
        <w:rPr>
          <w:rFonts w:asciiTheme="minorHAnsi" w:eastAsiaTheme="minorHAnsi" w:hAnsiTheme="minorHAnsi" w:cstheme="minorHAnsi"/>
        </w:rPr>
        <w:t>tvořily</w:t>
      </w:r>
      <w:r>
        <w:rPr>
          <w:rFonts w:asciiTheme="minorHAnsi" w:eastAsiaTheme="minorHAnsi" w:hAnsiTheme="minorHAnsi" w:cstheme="minorHAnsi"/>
        </w:rPr>
        <w:t xml:space="preserve"> zejména přijaté zálohy od zdravotních pojišťoven za vakcíny použité pro jejich pojištěnce.</w:t>
      </w:r>
    </w:p>
    <w:p w14:paraId="001DFAC2" w14:textId="6C6C9859" w:rsidR="006D40B2" w:rsidRPr="00D71C60" w:rsidRDefault="006D40B2" w:rsidP="006D40B2">
      <w:pPr>
        <w:keepNext/>
        <w:spacing w:after="0"/>
        <w:jc w:val="both"/>
        <w:rPr>
          <w:rFonts w:eastAsiaTheme="minorHAnsi"/>
          <w:highlight w:val="yellow"/>
        </w:rPr>
      </w:pPr>
      <w:r>
        <w:rPr>
          <w:rFonts w:asciiTheme="minorHAnsi" w:eastAsiaTheme="minorHAnsi" w:hAnsiTheme="minorHAnsi" w:cstheme="minorHAnsi"/>
        </w:rPr>
        <w:t>Oblast vakcín ovlivnila konečné zůstatky účtů tak, jak je uvedeno v části IV.1.1 tohoto kontrolního závěru.</w:t>
      </w:r>
    </w:p>
    <w:p w14:paraId="19299DB9" w14:textId="77777777" w:rsidR="006D40B2" w:rsidRPr="00C90F38" w:rsidRDefault="006D40B2" w:rsidP="006D40B2">
      <w:pPr>
        <w:spacing w:after="0"/>
      </w:pPr>
    </w:p>
    <w:p w14:paraId="6C94935A" w14:textId="77777777" w:rsidR="006D40B2" w:rsidRPr="00E60017" w:rsidRDefault="006D40B2" w:rsidP="006D40B2">
      <w:pPr>
        <w:pStyle w:val="Nadpis3"/>
        <w:numPr>
          <w:ilvl w:val="0"/>
          <w:numId w:val="0"/>
        </w:numPr>
        <w:spacing w:before="240" w:after="120"/>
        <w:ind w:left="720" w:hanging="720"/>
        <w:contextualSpacing w:val="0"/>
        <w:jc w:val="center"/>
      </w:pPr>
      <w:r w:rsidRPr="00AA15AA">
        <w:t xml:space="preserve">Oddíl </w:t>
      </w:r>
      <w:r>
        <w:t>X</w:t>
      </w:r>
      <w:r w:rsidRPr="00AA15AA">
        <w:t xml:space="preserve">. </w:t>
      </w:r>
      <w:r>
        <w:t xml:space="preserve">Využívání účetních informací </w:t>
      </w:r>
      <w:proofErr w:type="spellStart"/>
      <w:r>
        <w:t>MZd</w:t>
      </w:r>
      <w:proofErr w:type="spellEnd"/>
    </w:p>
    <w:p w14:paraId="1AE5E767" w14:textId="1D1D8C84" w:rsidR="006D40B2" w:rsidRDefault="00735937" w:rsidP="006D40B2">
      <w:pPr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Při </w:t>
      </w:r>
      <w:r w:rsidR="006D40B2" w:rsidRPr="00E133D4">
        <w:rPr>
          <w:rFonts w:asciiTheme="minorHAnsi" w:hAnsiTheme="minorHAnsi" w:cstheme="minorHAnsi"/>
          <w:bCs/>
        </w:rPr>
        <w:t xml:space="preserve">kontrole </w:t>
      </w:r>
      <w:r w:rsidR="006D40B2" w:rsidRPr="00E133D4">
        <w:rPr>
          <w:rFonts w:asciiTheme="minorHAnsi" w:eastAsiaTheme="minorHAnsi" w:hAnsiTheme="minorHAnsi" w:cstheme="minorHAnsi"/>
        </w:rPr>
        <w:t xml:space="preserve">bylo zjišťováno, zda, jak a v jakém rozsahu </w:t>
      </w:r>
      <w:proofErr w:type="spellStart"/>
      <w:r w:rsidR="006D40B2" w:rsidRPr="00E133D4">
        <w:rPr>
          <w:rFonts w:asciiTheme="minorHAnsi" w:eastAsiaTheme="minorHAnsi" w:hAnsiTheme="minorHAnsi" w:cstheme="minorHAnsi"/>
        </w:rPr>
        <w:t>MZ</w:t>
      </w:r>
      <w:r w:rsidR="006D40B2">
        <w:rPr>
          <w:rFonts w:asciiTheme="minorHAnsi" w:eastAsiaTheme="minorHAnsi" w:hAnsiTheme="minorHAnsi" w:cstheme="minorHAnsi"/>
        </w:rPr>
        <w:t>d</w:t>
      </w:r>
      <w:proofErr w:type="spellEnd"/>
      <w:r w:rsidR="006D40B2" w:rsidRPr="00E133D4">
        <w:rPr>
          <w:rFonts w:asciiTheme="minorHAnsi" w:eastAsiaTheme="minorHAnsi" w:hAnsiTheme="minorHAnsi" w:cstheme="minorHAnsi"/>
        </w:rPr>
        <w:t xml:space="preserve"> využívá účetní informace. </w:t>
      </w:r>
    </w:p>
    <w:p w14:paraId="00EB2247" w14:textId="11A452F0" w:rsidR="006D40B2" w:rsidRDefault="006D40B2" w:rsidP="006D40B2">
      <w:pPr>
        <w:jc w:val="both"/>
        <w:rPr>
          <w:rFonts w:asciiTheme="minorHAnsi" w:eastAsiaTheme="minorHAnsi" w:hAnsiTheme="minorHAnsi" w:cstheme="minorHAnsi"/>
        </w:rPr>
      </w:pPr>
      <w:r w:rsidRPr="008C1273">
        <w:rPr>
          <w:rFonts w:asciiTheme="minorHAnsi" w:eastAsiaTheme="minorHAnsi" w:hAnsiTheme="minorHAnsi" w:cstheme="minorHAnsi"/>
        </w:rPr>
        <w:t>Zákon č. 563/1991 Sb. v § 7 odst. 1 stanoví požadavek, aby sestavená účetní závěrka mohla uživatelům sloužit k činění ekonomických rozhodnutí. Nevyžaduje však po účetní jednotce, aby akruální účetní informace použila, s výjimkou plnění zákonných povinností (např. pro účely povinné inventarizace).</w:t>
      </w:r>
    </w:p>
    <w:p w14:paraId="578EB8AF" w14:textId="4581FF74" w:rsidR="006D40B2" w:rsidRDefault="006D40B2" w:rsidP="006D40B2">
      <w:pPr>
        <w:jc w:val="both"/>
        <w:rPr>
          <w:rFonts w:asciiTheme="minorHAnsi" w:eastAsiaTheme="minorHAnsi" w:hAnsiTheme="minorHAnsi" w:cstheme="minorHAnsi"/>
        </w:rPr>
      </w:pPr>
      <w:r w:rsidRPr="008C1273">
        <w:rPr>
          <w:rFonts w:asciiTheme="minorHAnsi" w:eastAsiaTheme="minorHAnsi" w:hAnsiTheme="minorHAnsi" w:cstheme="minorHAnsi"/>
        </w:rPr>
        <w:t xml:space="preserve">Za externího uživatele </w:t>
      </w:r>
      <w:r w:rsidR="00735937">
        <w:rPr>
          <w:rFonts w:asciiTheme="minorHAnsi" w:eastAsiaTheme="minorHAnsi" w:hAnsiTheme="minorHAnsi" w:cstheme="minorHAnsi"/>
        </w:rPr>
        <w:t>považuje</w:t>
      </w:r>
      <w:r w:rsidRPr="008C1273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8C1273">
        <w:rPr>
          <w:rFonts w:asciiTheme="minorHAnsi" w:eastAsiaTheme="minorHAnsi" w:hAnsiTheme="minorHAnsi" w:cstheme="minorHAnsi"/>
        </w:rPr>
        <w:t>MZ</w:t>
      </w:r>
      <w:r>
        <w:rPr>
          <w:rFonts w:asciiTheme="minorHAnsi" w:eastAsiaTheme="minorHAnsi" w:hAnsiTheme="minorHAnsi" w:cstheme="minorHAnsi"/>
        </w:rPr>
        <w:t>d</w:t>
      </w:r>
      <w:proofErr w:type="spellEnd"/>
      <w:r w:rsidRPr="008C1273">
        <w:rPr>
          <w:rFonts w:asciiTheme="minorHAnsi" w:eastAsiaTheme="minorHAnsi" w:hAnsiTheme="minorHAnsi" w:cstheme="minorHAnsi"/>
        </w:rPr>
        <w:t xml:space="preserve"> sebe jako zřizovatele, a to ve vztahu k účetním závěrkám podřízených organizací</w:t>
      </w:r>
      <w:r w:rsidR="00735937">
        <w:rPr>
          <w:rFonts w:asciiTheme="minorHAnsi" w:eastAsiaTheme="minorHAnsi" w:hAnsiTheme="minorHAnsi" w:cstheme="minorHAnsi"/>
        </w:rPr>
        <w:t>,</w:t>
      </w:r>
      <w:r w:rsidRPr="008C1273">
        <w:rPr>
          <w:rFonts w:asciiTheme="minorHAnsi" w:eastAsiaTheme="minorHAnsi" w:hAnsiTheme="minorHAnsi" w:cstheme="minorHAnsi"/>
        </w:rPr>
        <w:t xml:space="preserve"> </w:t>
      </w:r>
      <w:r w:rsidR="00735937">
        <w:rPr>
          <w:rFonts w:asciiTheme="minorHAnsi" w:eastAsiaTheme="minorHAnsi" w:hAnsiTheme="minorHAnsi" w:cstheme="minorHAnsi"/>
        </w:rPr>
        <w:t>d</w:t>
      </w:r>
      <w:r w:rsidRPr="008C1273">
        <w:rPr>
          <w:rFonts w:asciiTheme="minorHAnsi" w:eastAsiaTheme="minorHAnsi" w:hAnsiTheme="minorHAnsi" w:cstheme="minorHAnsi"/>
        </w:rPr>
        <w:t xml:space="preserve">ále pak Ministerstvo financí, NKÚ, Českou národní banku a Český statistický úřad. Zpětnou vazbu </w:t>
      </w:r>
      <w:r w:rsidR="00735937">
        <w:rPr>
          <w:rFonts w:asciiTheme="minorHAnsi" w:eastAsiaTheme="minorHAnsi" w:hAnsiTheme="minorHAnsi" w:cstheme="minorHAnsi"/>
        </w:rPr>
        <w:t xml:space="preserve">získává </w:t>
      </w:r>
      <w:proofErr w:type="spellStart"/>
      <w:r w:rsidRPr="008C1273">
        <w:rPr>
          <w:rFonts w:asciiTheme="minorHAnsi" w:eastAsiaTheme="minorHAnsi" w:hAnsiTheme="minorHAnsi" w:cstheme="minorHAnsi"/>
        </w:rPr>
        <w:t>MZ</w:t>
      </w:r>
      <w:r>
        <w:rPr>
          <w:rFonts w:asciiTheme="minorHAnsi" w:eastAsiaTheme="minorHAnsi" w:hAnsiTheme="minorHAnsi" w:cstheme="minorHAnsi"/>
        </w:rPr>
        <w:t>d</w:t>
      </w:r>
      <w:proofErr w:type="spellEnd"/>
      <w:r w:rsidRPr="008C1273">
        <w:rPr>
          <w:rFonts w:asciiTheme="minorHAnsi" w:eastAsiaTheme="minorHAnsi" w:hAnsiTheme="minorHAnsi" w:cstheme="minorHAnsi"/>
        </w:rPr>
        <w:t xml:space="preserve"> zejména od MF a NKÚ. Pro MF pak </w:t>
      </w:r>
      <w:proofErr w:type="spellStart"/>
      <w:r w:rsidRPr="008C1273">
        <w:rPr>
          <w:rFonts w:asciiTheme="minorHAnsi" w:eastAsiaTheme="minorHAnsi" w:hAnsiTheme="minorHAnsi" w:cstheme="minorHAnsi"/>
        </w:rPr>
        <w:t>MZ</w:t>
      </w:r>
      <w:r>
        <w:rPr>
          <w:rFonts w:asciiTheme="minorHAnsi" w:eastAsiaTheme="minorHAnsi" w:hAnsiTheme="minorHAnsi" w:cstheme="minorHAnsi"/>
        </w:rPr>
        <w:t>d</w:t>
      </w:r>
      <w:proofErr w:type="spellEnd"/>
      <w:r w:rsidRPr="008C1273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zpracovávalo</w:t>
      </w:r>
      <w:r w:rsidRPr="008C1273">
        <w:rPr>
          <w:rFonts w:asciiTheme="minorHAnsi" w:eastAsiaTheme="minorHAnsi" w:hAnsiTheme="minorHAnsi" w:cstheme="minorHAnsi"/>
        </w:rPr>
        <w:t xml:space="preserve"> mj. </w:t>
      </w:r>
      <w:r>
        <w:rPr>
          <w:rFonts w:asciiTheme="minorHAnsi" w:eastAsiaTheme="minorHAnsi" w:hAnsiTheme="minorHAnsi" w:cstheme="minorHAnsi"/>
        </w:rPr>
        <w:t xml:space="preserve">podklad pro </w:t>
      </w:r>
      <w:r w:rsidRPr="008C1273">
        <w:rPr>
          <w:rFonts w:asciiTheme="minorHAnsi" w:eastAsiaTheme="minorHAnsi" w:hAnsiTheme="minorHAnsi" w:cstheme="minorHAnsi"/>
        </w:rPr>
        <w:t xml:space="preserve">čtvrtletní report </w:t>
      </w:r>
      <w:r w:rsidR="00735937">
        <w:rPr>
          <w:rFonts w:asciiTheme="minorHAnsi" w:eastAsiaTheme="minorHAnsi" w:hAnsiTheme="minorHAnsi" w:cstheme="minorHAnsi"/>
        </w:rPr>
        <w:t xml:space="preserve">o </w:t>
      </w:r>
      <w:r w:rsidRPr="008C1273">
        <w:rPr>
          <w:rFonts w:asciiTheme="minorHAnsi" w:eastAsiaTheme="minorHAnsi" w:hAnsiTheme="minorHAnsi" w:cstheme="minorHAnsi"/>
        </w:rPr>
        <w:t>hospodaření čtrnácti ministerstev.</w:t>
      </w:r>
    </w:p>
    <w:p w14:paraId="195008F0" w14:textId="40B9C40B" w:rsidR="006D40B2" w:rsidRDefault="006D40B2" w:rsidP="006D40B2">
      <w:pPr>
        <w:jc w:val="both"/>
        <w:rPr>
          <w:rFonts w:asciiTheme="minorHAnsi" w:eastAsiaTheme="minorHAnsi" w:hAnsiTheme="minorHAnsi" w:cstheme="minorHAnsi"/>
        </w:rPr>
      </w:pPr>
      <w:proofErr w:type="spellStart"/>
      <w:r w:rsidRPr="008C1273">
        <w:rPr>
          <w:rFonts w:asciiTheme="minorHAnsi" w:eastAsiaTheme="minorHAnsi" w:hAnsiTheme="minorHAnsi" w:cstheme="minorHAnsi"/>
        </w:rPr>
        <w:t>MZ</w:t>
      </w:r>
      <w:r>
        <w:rPr>
          <w:rFonts w:asciiTheme="minorHAnsi" w:eastAsiaTheme="minorHAnsi" w:hAnsiTheme="minorHAnsi" w:cstheme="minorHAnsi"/>
        </w:rPr>
        <w:t>d</w:t>
      </w:r>
      <w:proofErr w:type="spellEnd"/>
      <w:r w:rsidRPr="008C1273">
        <w:rPr>
          <w:rFonts w:asciiTheme="minorHAnsi" w:eastAsiaTheme="minorHAnsi" w:hAnsiTheme="minorHAnsi" w:cstheme="minorHAnsi"/>
        </w:rPr>
        <w:t xml:space="preserve"> pro účely vlastního rozhodování a řízení využívá účetní informace od přímo řízených organizací</w:t>
      </w:r>
      <w:r w:rsidR="00735937">
        <w:rPr>
          <w:rFonts w:asciiTheme="minorHAnsi" w:eastAsiaTheme="minorHAnsi" w:hAnsiTheme="minorHAnsi" w:cstheme="minorHAnsi"/>
        </w:rPr>
        <w:t xml:space="preserve"> a z těchto informací </w:t>
      </w:r>
      <w:r>
        <w:rPr>
          <w:rFonts w:asciiTheme="minorHAnsi" w:eastAsiaTheme="minorHAnsi" w:hAnsiTheme="minorHAnsi" w:cstheme="minorHAnsi"/>
        </w:rPr>
        <w:t>sestavuje různé druhy reportů.</w:t>
      </w:r>
    </w:p>
    <w:p w14:paraId="2E73ABB1" w14:textId="77777777" w:rsidR="006D40B2" w:rsidRDefault="006D40B2" w:rsidP="006D40B2">
      <w:pPr>
        <w:spacing w:after="0"/>
        <w:jc w:val="both"/>
        <w:rPr>
          <w:rFonts w:asciiTheme="minorHAnsi" w:eastAsiaTheme="minorHAnsi" w:hAnsiTheme="minorHAnsi" w:cstheme="minorHAnsi"/>
        </w:rPr>
      </w:pPr>
      <w:proofErr w:type="spellStart"/>
      <w:r w:rsidRPr="00FF193F">
        <w:rPr>
          <w:rFonts w:asciiTheme="minorHAnsi" w:eastAsiaTheme="minorHAnsi" w:hAnsiTheme="minorHAnsi" w:cstheme="minorHAnsi"/>
        </w:rPr>
        <w:lastRenderedPageBreak/>
        <w:t>MZ</w:t>
      </w:r>
      <w:r>
        <w:rPr>
          <w:rFonts w:asciiTheme="minorHAnsi" w:eastAsiaTheme="minorHAnsi" w:hAnsiTheme="minorHAnsi" w:cstheme="minorHAnsi"/>
        </w:rPr>
        <w:t>d</w:t>
      </w:r>
      <w:proofErr w:type="spellEnd"/>
      <w:r w:rsidRPr="00FF193F">
        <w:rPr>
          <w:rFonts w:asciiTheme="minorHAnsi" w:eastAsiaTheme="minorHAnsi" w:hAnsiTheme="minorHAnsi" w:cstheme="minorHAnsi"/>
        </w:rPr>
        <w:t xml:space="preserve"> neuvedlo žádný příklad využívání účetních informací </w:t>
      </w:r>
      <w:r>
        <w:rPr>
          <w:rFonts w:asciiTheme="minorHAnsi" w:eastAsiaTheme="minorHAnsi" w:hAnsiTheme="minorHAnsi" w:cstheme="minorHAnsi"/>
        </w:rPr>
        <w:t xml:space="preserve">ministerstva </w:t>
      </w:r>
      <w:r w:rsidRPr="00FF193F">
        <w:rPr>
          <w:rFonts w:asciiTheme="minorHAnsi" w:eastAsiaTheme="minorHAnsi" w:hAnsiTheme="minorHAnsi" w:cstheme="minorHAnsi"/>
        </w:rPr>
        <w:t>pro své vlastní rozhodování a řízení.</w:t>
      </w:r>
      <w:r>
        <w:rPr>
          <w:rFonts w:asciiTheme="minorHAnsi" w:eastAsiaTheme="minorHAnsi" w:hAnsiTheme="minorHAnsi" w:cstheme="minorHAnsi"/>
        </w:rPr>
        <w:t xml:space="preserve"> </w:t>
      </w:r>
      <w:proofErr w:type="spellStart"/>
      <w:r>
        <w:rPr>
          <w:rFonts w:asciiTheme="minorHAnsi" w:eastAsiaTheme="minorHAnsi" w:hAnsiTheme="minorHAnsi" w:cstheme="minorHAnsi"/>
        </w:rPr>
        <w:t>MZd</w:t>
      </w:r>
      <w:proofErr w:type="spellEnd"/>
      <w:r>
        <w:rPr>
          <w:rFonts w:asciiTheme="minorHAnsi" w:eastAsiaTheme="minorHAnsi" w:hAnsiTheme="minorHAnsi" w:cstheme="minorHAnsi"/>
        </w:rPr>
        <w:t xml:space="preserve"> rovněž nevyužívá procesy pro provázání účetních a rozpočtových informací. </w:t>
      </w:r>
    </w:p>
    <w:p w14:paraId="268E6A3D" w14:textId="77777777" w:rsidR="006D40B2" w:rsidRPr="00D71C60" w:rsidRDefault="006D40B2" w:rsidP="006D40B2">
      <w:pPr>
        <w:spacing w:after="0"/>
        <w:jc w:val="both"/>
        <w:rPr>
          <w:rFonts w:asciiTheme="minorHAnsi" w:eastAsiaTheme="minorHAnsi" w:hAnsiTheme="minorHAnsi" w:cstheme="minorHAnsi"/>
          <w:b/>
          <w:highlight w:val="yellow"/>
        </w:rPr>
      </w:pPr>
    </w:p>
    <w:p w14:paraId="408E5DD5" w14:textId="77777777" w:rsidR="006D40B2" w:rsidRPr="00AA15AA" w:rsidRDefault="006D40B2" w:rsidP="006D40B2">
      <w:pPr>
        <w:pStyle w:val="Nadpis1"/>
      </w:pPr>
      <w:r w:rsidRPr="00AA15AA">
        <w:t xml:space="preserve">B. Příspěvkové organizace v rozpočtové kapitole </w:t>
      </w:r>
      <w:r>
        <w:t>335</w:t>
      </w:r>
      <w:r w:rsidRPr="00AA15AA">
        <w:t xml:space="preserve"> </w:t>
      </w:r>
      <w:proofErr w:type="spellStart"/>
      <w:r w:rsidRPr="00AA15AA">
        <w:t>M</w:t>
      </w:r>
      <w:r>
        <w:t>Zd</w:t>
      </w:r>
      <w:proofErr w:type="spellEnd"/>
    </w:p>
    <w:p w14:paraId="30B28CA5" w14:textId="1042038A" w:rsidR="006D40B2" w:rsidRPr="008F0AC6" w:rsidRDefault="006D40B2" w:rsidP="006D40B2">
      <w:pPr>
        <w:pStyle w:val="Titulek1"/>
        <w:rPr>
          <w:sz w:val="24"/>
        </w:rPr>
      </w:pPr>
      <w:bookmarkStart w:id="122" w:name="_Toc520714346"/>
      <w:bookmarkStart w:id="123" w:name="_Toc8984553"/>
      <w:bookmarkStart w:id="124" w:name="_Toc72157491"/>
      <w:r w:rsidRPr="008F0AC6">
        <w:rPr>
          <w:sz w:val="24"/>
        </w:rPr>
        <w:t xml:space="preserve">Tabulka č. </w:t>
      </w:r>
      <w:r w:rsidRPr="008F0AC6">
        <w:rPr>
          <w:sz w:val="24"/>
        </w:rPr>
        <w:fldChar w:fldCharType="begin"/>
      </w:r>
      <w:r w:rsidRPr="008F0AC6">
        <w:rPr>
          <w:sz w:val="24"/>
        </w:rPr>
        <w:instrText xml:space="preserve"> SEQ Tabulka \* ARABIC </w:instrText>
      </w:r>
      <w:r w:rsidRPr="008F0AC6">
        <w:rPr>
          <w:sz w:val="24"/>
        </w:rPr>
        <w:fldChar w:fldCharType="separate"/>
      </w:r>
      <w:r w:rsidR="009A66D8">
        <w:rPr>
          <w:noProof/>
          <w:sz w:val="24"/>
        </w:rPr>
        <w:t>35</w:t>
      </w:r>
      <w:r w:rsidRPr="008F0AC6">
        <w:rPr>
          <w:noProof/>
          <w:sz w:val="24"/>
        </w:rPr>
        <w:fldChar w:fldCharType="end"/>
      </w:r>
      <w:r w:rsidRPr="008F0AC6">
        <w:rPr>
          <w:sz w:val="24"/>
        </w:rPr>
        <w:t>: PO v kapitol</w:t>
      </w:r>
      <w:r w:rsidR="00735937">
        <w:rPr>
          <w:sz w:val="24"/>
        </w:rPr>
        <w:t>e</w:t>
      </w:r>
      <w:r w:rsidRPr="008F0AC6">
        <w:rPr>
          <w:sz w:val="24"/>
        </w:rPr>
        <w:t xml:space="preserve"> </w:t>
      </w:r>
      <w:bookmarkEnd w:id="122"/>
      <w:bookmarkEnd w:id="123"/>
      <w:bookmarkEnd w:id="124"/>
      <w:r w:rsidRPr="008F0AC6">
        <w:rPr>
          <w:sz w:val="24"/>
        </w:rPr>
        <w:t>335</w:t>
      </w:r>
    </w:p>
    <w:tbl>
      <w:tblPr>
        <w:tblW w:w="500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6961"/>
      </w:tblGrid>
      <w:tr w:rsidR="006D40B2" w:rsidRPr="00D71C60" w14:paraId="5BAB2E6F" w14:textId="77777777" w:rsidTr="006D40B2">
        <w:trPr>
          <w:trHeight w:val="283"/>
          <w:tblHeader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CCA6EBB" w14:textId="77777777" w:rsidR="006D40B2" w:rsidRPr="008F0AC6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0A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D06DF24" w14:textId="77777777" w:rsidR="006D40B2" w:rsidRPr="008F0AC6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0A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Účetní jednotka</w:t>
            </w:r>
          </w:p>
        </w:tc>
      </w:tr>
      <w:tr w:rsidR="006D40B2" w:rsidRPr="00D71C60" w14:paraId="6B34A878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147AB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00209775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741D1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Centrum kardiovaskulární a transplantační chirurgie Brno</w:t>
            </w:r>
          </w:p>
        </w:tc>
      </w:tr>
      <w:tr w:rsidR="006D40B2" w:rsidRPr="00D71C60" w14:paraId="47221FE8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FF09D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00842052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E9BF6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Dětská psychiatrická nemocnice</w:t>
            </w:r>
          </w:p>
        </w:tc>
      </w:tr>
      <w:tr w:rsidR="006D40B2" w:rsidRPr="00D71C60" w14:paraId="302C0BF8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EE4B9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00831034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92DBA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Dětská psychiatrická nemocnice Louny</w:t>
            </w:r>
          </w:p>
        </w:tc>
      </w:tr>
      <w:tr w:rsidR="006D40B2" w:rsidRPr="00D71C60" w14:paraId="70C4AAA5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F9F2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00667421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86C03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Dětská psychiatrická nemocnice Opařany</w:t>
            </w:r>
          </w:p>
        </w:tc>
      </w:tr>
      <w:tr w:rsidR="006D40B2" w:rsidRPr="00D71C60" w14:paraId="53961D41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6A03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00023761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6C87D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Endokrinologický ústav</w:t>
            </w:r>
          </w:p>
        </w:tc>
      </w:tr>
      <w:tr w:rsidR="006D40B2" w:rsidRPr="00D71C60" w14:paraId="536CA745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D2925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65269705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044CF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Fakultní nemocnice Brno</w:t>
            </w:r>
          </w:p>
        </w:tc>
      </w:tr>
      <w:tr w:rsidR="006D40B2" w:rsidRPr="00D71C60" w14:paraId="6DE6818A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9D564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00064211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C1035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Fakultní nemocnice Bulovka</w:t>
            </w:r>
          </w:p>
        </w:tc>
      </w:tr>
      <w:tr w:rsidR="006D40B2" w:rsidRPr="00D71C60" w14:paraId="34FD0DCC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857E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00179906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1FE14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Fakultní nemocnice Hradec Králové</w:t>
            </w:r>
          </w:p>
        </w:tc>
      </w:tr>
      <w:tr w:rsidR="006D40B2" w:rsidRPr="00D71C60" w14:paraId="0CD09071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71E5A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00064173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45B55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Fakultní nemocnice Královské Vinohrady</w:t>
            </w:r>
          </w:p>
        </w:tc>
      </w:tr>
      <w:tr w:rsidR="006D40B2" w:rsidRPr="00D71C60" w14:paraId="25B73E9C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1FA3F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00098892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A0965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Fakultní nemocnice Olomouc</w:t>
            </w:r>
          </w:p>
        </w:tc>
      </w:tr>
      <w:tr w:rsidR="006D40B2" w:rsidRPr="00D71C60" w14:paraId="206B8B5A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9B520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00843989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646EA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Fakultní nemocnice Ostrava</w:t>
            </w:r>
          </w:p>
        </w:tc>
      </w:tr>
      <w:tr w:rsidR="006D40B2" w:rsidRPr="00D71C60" w14:paraId="29E6A4F0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DCE57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00669806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1C6DB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Fakultní nemocnice Plzeň</w:t>
            </w:r>
          </w:p>
        </w:tc>
      </w:tr>
      <w:tr w:rsidR="006D40B2" w:rsidRPr="00D71C60" w14:paraId="028029D3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25BD0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00159816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8FF1F" w14:textId="34575321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Fakultní nemocnice u sv. Anny v</w:t>
            </w:r>
            <w:r w:rsidR="0063706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Brně</w:t>
            </w:r>
          </w:p>
        </w:tc>
      </w:tr>
      <w:tr w:rsidR="006D40B2" w:rsidRPr="00D71C60" w14:paraId="247491FD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123CD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00064203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72008" w14:textId="151CF1DB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Fakultní nemocnice v</w:t>
            </w:r>
            <w:r w:rsidR="0063706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Motole</w:t>
            </w:r>
          </w:p>
        </w:tc>
      </w:tr>
      <w:tr w:rsidR="006D40B2" w:rsidRPr="00D71C60" w14:paraId="75A70935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15F38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00064190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EA5AF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Fakultní Thomayerova nemocnice</w:t>
            </w:r>
          </w:p>
        </w:tc>
      </w:tr>
      <w:tr w:rsidR="006D40B2" w:rsidRPr="00D71C60" w14:paraId="0C5AEE64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91FE8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00183024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9BF40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Hamzova odborná léčebna pro děti a dospělé</w:t>
            </w:r>
          </w:p>
        </w:tc>
      </w:tr>
      <w:tr w:rsidR="006D40B2" w:rsidRPr="00D71C60" w14:paraId="4EC92300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83AC9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00023001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3FD4B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Institut klinické a experimentální medicíny</w:t>
            </w:r>
          </w:p>
        </w:tc>
      </w:tr>
      <w:tr w:rsidR="006D40B2" w:rsidRPr="00D71C60" w14:paraId="717DD468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0A17A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00023841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7D11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Institut postgraduálního vzdělávání ve zdravotnictví</w:t>
            </w:r>
          </w:p>
        </w:tc>
      </w:tr>
      <w:tr w:rsidR="006D40B2" w:rsidRPr="00D71C60" w14:paraId="1525B506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A94D1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00669784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BD34A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Léčebna tuberkulózy a respiračních nemocí Janov</w:t>
            </w:r>
          </w:p>
        </w:tc>
      </w:tr>
      <w:tr w:rsidR="006D40B2" w:rsidRPr="00D71C60" w14:paraId="1FEC35EE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E6A50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00883573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175AC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 xml:space="preserve">Léčebné lázně </w:t>
            </w:r>
            <w:proofErr w:type="spellStart"/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Lázně</w:t>
            </w:r>
            <w:proofErr w:type="spellEnd"/>
            <w:r w:rsidRPr="0099621E">
              <w:rPr>
                <w:rFonts w:asciiTheme="minorHAnsi" w:hAnsiTheme="minorHAnsi" w:cstheme="minorHAnsi"/>
                <w:sz w:val="20"/>
                <w:szCs w:val="20"/>
              </w:rPr>
              <w:t xml:space="preserve"> Kynžvart</w:t>
            </w:r>
          </w:p>
        </w:tc>
      </w:tr>
      <w:tr w:rsidR="006D40B2" w:rsidRPr="00D71C60" w14:paraId="32C2B5C4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DBB69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00209805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B7DB8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Masarykův onkologický ústav</w:t>
            </w:r>
          </w:p>
        </w:tc>
      </w:tr>
      <w:tr w:rsidR="006D40B2" w:rsidRPr="00D71C60" w14:paraId="612BA9B6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3E356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00023850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550DA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Národní centrum ošetřovatelství a nelékařských zdravotnických oborů</w:t>
            </w:r>
          </w:p>
        </w:tc>
      </w:tr>
      <w:tr w:rsidR="006D40B2" w:rsidRPr="00D71C60" w14:paraId="1927A4BE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AA83F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00023752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55FC4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Národní ústav duševního zdraví</w:t>
            </w:r>
          </w:p>
        </w:tc>
      </w:tr>
      <w:tr w:rsidR="006D40B2" w:rsidRPr="00D71C60" w14:paraId="5E3810C1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7CBE4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00023884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5AC83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Nemocnice Na Homolce</w:t>
            </w:r>
          </w:p>
        </w:tc>
      </w:tr>
      <w:tr w:rsidR="006D40B2" w:rsidRPr="00D71C60" w14:paraId="47454F2D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79CFF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00583600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EB727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Psychiatrická léčebna Červený Dvůr</w:t>
            </w:r>
          </w:p>
        </w:tc>
      </w:tr>
      <w:tr w:rsidR="006D40B2" w:rsidRPr="00D71C60" w14:paraId="448BF2FE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B3C80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00843954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CDB74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Psychiatrická léčebna Šternberk</w:t>
            </w:r>
          </w:p>
        </w:tc>
      </w:tr>
      <w:tr w:rsidR="006D40B2" w:rsidRPr="00D71C60" w14:paraId="558C96C7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5CBCC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00064220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81C90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Psychiatrická nemocnice Bohnice</w:t>
            </w:r>
          </w:p>
        </w:tc>
      </w:tr>
      <w:tr w:rsidR="006D40B2" w:rsidRPr="00D71C60" w14:paraId="28159D3D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141AA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00160105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0C36B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Psychiatrická nemocnice Brno</w:t>
            </w:r>
          </w:p>
        </w:tc>
      </w:tr>
      <w:tr w:rsidR="006D40B2" w:rsidRPr="00D71C60" w14:paraId="4B6AFF1A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DFDEE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00179230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38C52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Psychiatrická nemocnice Havlíčkův Brod</w:t>
            </w:r>
          </w:p>
        </w:tc>
      </w:tr>
      <w:tr w:rsidR="006D40B2" w:rsidRPr="00D71C60" w14:paraId="0D96D054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97610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00673552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33A0C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Psychiatrická nemocnice Horní Beřkovice</w:t>
            </w:r>
          </w:p>
        </w:tc>
      </w:tr>
      <w:tr w:rsidR="006D40B2" w:rsidRPr="00D71C60" w14:paraId="360C8DF6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2E48E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00600601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704B5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Psychiatrická nemocnice Jihlava</w:t>
            </w:r>
          </w:p>
        </w:tc>
      </w:tr>
      <w:tr w:rsidR="006D40B2" w:rsidRPr="00D71C60" w14:paraId="1F19772B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EFA06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00068691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81FC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Psychiatrická nemocnice Kosmonosy</w:t>
            </w:r>
          </w:p>
        </w:tc>
      </w:tr>
      <w:tr w:rsidR="006D40B2" w:rsidRPr="00D71C60" w14:paraId="4F117ED0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D5F33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00851388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9F24E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Psychiatrická nemocnice Marianny Oranžské</w:t>
            </w:r>
          </w:p>
        </w:tc>
      </w:tr>
      <w:tr w:rsidR="006D40B2" w:rsidRPr="00D71C60" w14:paraId="35B32559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AE1A7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00669792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FB9AF" w14:textId="1277225F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Psychiatrická nemocnice v</w:t>
            </w:r>
            <w:r w:rsidR="0063706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Dobřanech</w:t>
            </w:r>
          </w:p>
        </w:tc>
      </w:tr>
      <w:tr w:rsidR="006D40B2" w:rsidRPr="00D71C60" w14:paraId="131BD6C7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C98B5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00567914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B1545" w14:textId="7F6E58BF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Psychiatrická nemocnice v</w:t>
            </w:r>
            <w:r w:rsidR="0063706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Kroměříži</w:t>
            </w:r>
          </w:p>
        </w:tc>
      </w:tr>
      <w:tr w:rsidR="006D40B2" w:rsidRPr="00D71C60" w14:paraId="2A4DF250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B5A8C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00844004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D86ED" w14:textId="474F871B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Psychiatrická nemocnice v</w:t>
            </w:r>
            <w:r w:rsidR="0063706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Opavě</w:t>
            </w:r>
          </w:p>
        </w:tc>
      </w:tr>
      <w:tr w:rsidR="006D40B2" w:rsidRPr="00D71C60" w14:paraId="51E3D1F1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5B418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00601233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AA5B4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Rehabilitační ústav Hrabyně</w:t>
            </w:r>
          </w:p>
        </w:tc>
      </w:tr>
      <w:tr w:rsidR="006D40B2" w:rsidRPr="00D71C60" w14:paraId="19A951A5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9E597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00068705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99FEF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Rehabilitační ústav Kladruby</w:t>
            </w:r>
          </w:p>
        </w:tc>
      </w:tr>
      <w:tr w:rsidR="006D40B2" w:rsidRPr="00D71C60" w14:paraId="3DCA0416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DD4CD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00023728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9763F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Revmatologický ústav</w:t>
            </w:r>
          </w:p>
        </w:tc>
      </w:tr>
      <w:tr w:rsidR="006D40B2" w:rsidRPr="00D71C60" w14:paraId="777A2414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B987C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75010330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59460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Státní zdravotní ústav</w:t>
            </w:r>
          </w:p>
        </w:tc>
      </w:tr>
      <w:tr w:rsidR="006D40B2" w:rsidRPr="00D71C60" w14:paraId="29F060A5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70130" w14:textId="77777777" w:rsidR="006D40B2" w:rsidRPr="0099621E" w:rsidRDefault="006D40B2" w:rsidP="006D40B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00023736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553E6" w14:textId="77777777" w:rsidR="006D40B2" w:rsidRPr="0099621E" w:rsidRDefault="006D40B2" w:rsidP="006D40B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Ústav hematologie a krevní transfúze</w:t>
            </w:r>
          </w:p>
        </w:tc>
      </w:tr>
      <w:tr w:rsidR="006D40B2" w:rsidRPr="00D71C60" w14:paraId="67AE2D4B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8555D" w14:textId="77777777" w:rsidR="006D40B2" w:rsidRPr="0099621E" w:rsidRDefault="006D40B2" w:rsidP="006D40B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00023698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F85D7" w14:textId="77777777" w:rsidR="006D40B2" w:rsidRPr="0099621E" w:rsidRDefault="006D40B2" w:rsidP="006D40B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Ústav pro péči o matku a dítě</w:t>
            </w:r>
          </w:p>
        </w:tc>
      </w:tr>
      <w:tr w:rsidR="006D40B2" w:rsidRPr="00D71C60" w14:paraId="45E7E925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C8C2F" w14:textId="77777777" w:rsidR="006D40B2" w:rsidRPr="0099621E" w:rsidRDefault="006D40B2" w:rsidP="006D40B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00064165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ABD2B" w14:textId="50FEEA0E" w:rsidR="006D40B2" w:rsidRPr="0099621E" w:rsidRDefault="006D40B2" w:rsidP="006D40B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Všeobecná fakultní nemocnice v</w:t>
            </w:r>
            <w:r w:rsidR="0063706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Praze</w:t>
            </w:r>
          </w:p>
        </w:tc>
      </w:tr>
      <w:tr w:rsidR="006D40B2" w:rsidRPr="00D71C60" w14:paraId="7DEFE36F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1811" w14:textId="77777777" w:rsidR="006D40B2" w:rsidRPr="0099621E" w:rsidRDefault="006D40B2" w:rsidP="006D40B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71009396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02609" w14:textId="5E65ED5B" w:rsidR="006D40B2" w:rsidRPr="0099621E" w:rsidRDefault="006D40B2" w:rsidP="006D40B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Zdravotní ústav se sídlem v</w:t>
            </w:r>
            <w:r w:rsidR="0063706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Ostravě</w:t>
            </w:r>
          </w:p>
        </w:tc>
      </w:tr>
      <w:tr w:rsidR="006D40B2" w:rsidRPr="00D71C60" w14:paraId="6CC8D0AA" w14:textId="77777777" w:rsidTr="006D40B2">
        <w:trPr>
          <w:trHeight w:val="283"/>
          <w:jc w:val="center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5140E" w14:textId="77777777" w:rsidR="006D40B2" w:rsidRPr="0099621E" w:rsidRDefault="006D40B2" w:rsidP="006D40B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71009361</w:t>
            </w:r>
          </w:p>
        </w:tc>
        <w:tc>
          <w:tcPr>
            <w:tcW w:w="3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F4B4E" w14:textId="77777777" w:rsidR="006D40B2" w:rsidRPr="0099621E" w:rsidRDefault="006D40B2" w:rsidP="006D40B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621E">
              <w:rPr>
                <w:rFonts w:asciiTheme="minorHAnsi" w:hAnsiTheme="minorHAnsi" w:cstheme="minorHAnsi"/>
                <w:sz w:val="20"/>
                <w:szCs w:val="20"/>
              </w:rPr>
              <w:t>Zdravotní ústav se sídlem v Ústí nad Labem</w:t>
            </w:r>
          </w:p>
        </w:tc>
      </w:tr>
    </w:tbl>
    <w:p w14:paraId="6EFA0816" w14:textId="77777777" w:rsidR="006D40B2" w:rsidRPr="008F0AC6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8F0AC6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8F0AC6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0915176D" w14:textId="39B2ECE5" w:rsidR="006D40B2" w:rsidRPr="0099621E" w:rsidRDefault="006D40B2" w:rsidP="006D40B2">
      <w:pPr>
        <w:pStyle w:val="Titulek1"/>
        <w:tabs>
          <w:tab w:val="clear" w:pos="9356"/>
          <w:tab w:val="right" w:pos="9070"/>
        </w:tabs>
        <w:rPr>
          <w:sz w:val="24"/>
        </w:rPr>
      </w:pPr>
      <w:bookmarkStart w:id="125" w:name="_Toc520714347"/>
      <w:bookmarkStart w:id="126" w:name="_Toc8984554"/>
      <w:bookmarkStart w:id="127" w:name="_Toc72157492"/>
      <w:r w:rsidRPr="0099621E">
        <w:rPr>
          <w:sz w:val="24"/>
        </w:rPr>
        <w:t xml:space="preserve">Tabulka č. </w:t>
      </w:r>
      <w:r w:rsidRPr="0099621E">
        <w:rPr>
          <w:sz w:val="24"/>
        </w:rPr>
        <w:fldChar w:fldCharType="begin"/>
      </w:r>
      <w:r w:rsidRPr="0099621E">
        <w:rPr>
          <w:sz w:val="24"/>
        </w:rPr>
        <w:instrText xml:space="preserve"> SEQ Tabulka \* ARABIC </w:instrText>
      </w:r>
      <w:r w:rsidRPr="0099621E">
        <w:rPr>
          <w:sz w:val="24"/>
        </w:rPr>
        <w:fldChar w:fldCharType="separate"/>
      </w:r>
      <w:r w:rsidR="009A66D8">
        <w:rPr>
          <w:noProof/>
          <w:sz w:val="24"/>
        </w:rPr>
        <w:t>36</w:t>
      </w:r>
      <w:r w:rsidRPr="0099621E">
        <w:rPr>
          <w:noProof/>
          <w:sz w:val="24"/>
        </w:rPr>
        <w:fldChar w:fldCharType="end"/>
      </w:r>
      <w:r w:rsidRPr="0099621E">
        <w:rPr>
          <w:sz w:val="24"/>
        </w:rPr>
        <w:t xml:space="preserve">: Celkové výnosy OSS a PO v kapitole 335 za období 2017–2021 </w:t>
      </w:r>
      <w:r>
        <w:rPr>
          <w:sz w:val="24"/>
        </w:rPr>
        <w:tab/>
      </w:r>
      <w:r w:rsidRPr="0099621E">
        <w:rPr>
          <w:sz w:val="24"/>
        </w:rPr>
        <w:t>(v Kč)</w:t>
      </w:r>
      <w:bookmarkEnd w:id="125"/>
      <w:bookmarkEnd w:id="126"/>
      <w:bookmarkEnd w:id="127"/>
    </w:p>
    <w:tbl>
      <w:tblPr>
        <w:tblW w:w="90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531"/>
        <w:gridCol w:w="1531"/>
        <w:gridCol w:w="1616"/>
        <w:gridCol w:w="1616"/>
        <w:gridCol w:w="1616"/>
      </w:tblGrid>
      <w:tr w:rsidR="006D40B2" w:rsidRPr="00D71C60" w14:paraId="225D2123" w14:textId="77777777" w:rsidTr="006D40B2">
        <w:trPr>
          <w:trHeight w:val="28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9306593" w14:textId="77777777" w:rsidR="006D40B2" w:rsidRPr="0099621E" w:rsidRDefault="006D40B2" w:rsidP="006D40B2">
            <w:pPr>
              <w:spacing w:after="0"/>
              <w:ind w:left="-57" w:right="-57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99621E">
              <w:rPr>
                <w:b/>
                <w:bCs/>
                <w:color w:val="000000"/>
                <w:sz w:val="20"/>
                <w:szCs w:val="18"/>
              </w:rPr>
              <w:t>Organizace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0B57BFD" w14:textId="77777777" w:rsidR="006D40B2" w:rsidRPr="0099621E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9"/>
                <w:szCs w:val="19"/>
                <w:highlight w:val="yellow"/>
                <w:lang w:eastAsia="cs-CZ"/>
              </w:rPr>
            </w:pPr>
            <w:r w:rsidRPr="0099621E">
              <w:rPr>
                <w:b/>
                <w:sz w:val="19"/>
                <w:szCs w:val="19"/>
              </w:rPr>
              <w:t>2017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D626C9A" w14:textId="77777777" w:rsidR="006D40B2" w:rsidRPr="0099621E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9"/>
                <w:szCs w:val="19"/>
                <w:highlight w:val="yellow"/>
                <w:lang w:eastAsia="cs-CZ"/>
              </w:rPr>
            </w:pPr>
            <w:r w:rsidRPr="0099621E">
              <w:rPr>
                <w:b/>
                <w:sz w:val="19"/>
                <w:szCs w:val="19"/>
              </w:rPr>
              <w:t>2018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3ED4C06" w14:textId="77777777" w:rsidR="006D40B2" w:rsidRPr="0099621E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9"/>
                <w:szCs w:val="19"/>
                <w:highlight w:val="yellow"/>
                <w:lang w:eastAsia="cs-CZ"/>
              </w:rPr>
            </w:pPr>
            <w:r w:rsidRPr="0099621E">
              <w:rPr>
                <w:b/>
                <w:sz w:val="19"/>
                <w:szCs w:val="19"/>
              </w:rPr>
              <w:t>2019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18A7A96" w14:textId="77777777" w:rsidR="006D40B2" w:rsidRPr="0099621E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9"/>
                <w:szCs w:val="19"/>
                <w:highlight w:val="yellow"/>
                <w:lang w:eastAsia="cs-CZ"/>
              </w:rPr>
            </w:pPr>
            <w:r w:rsidRPr="0099621E">
              <w:rPr>
                <w:b/>
                <w:sz w:val="19"/>
                <w:szCs w:val="19"/>
              </w:rPr>
              <w:t>2020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88DC8CC" w14:textId="77777777" w:rsidR="006D40B2" w:rsidRPr="0099621E" w:rsidRDefault="006D40B2" w:rsidP="006D40B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9"/>
                <w:szCs w:val="19"/>
                <w:highlight w:val="yellow"/>
                <w:lang w:eastAsia="cs-CZ"/>
              </w:rPr>
            </w:pPr>
            <w:r w:rsidRPr="0099621E">
              <w:rPr>
                <w:b/>
                <w:sz w:val="19"/>
                <w:szCs w:val="19"/>
              </w:rPr>
              <w:t>2021</w:t>
            </w:r>
          </w:p>
        </w:tc>
      </w:tr>
      <w:tr w:rsidR="006D40B2" w:rsidRPr="00D71C60" w14:paraId="64076F8C" w14:textId="77777777" w:rsidTr="006D40B2">
        <w:trPr>
          <w:trHeight w:val="283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0C30" w14:textId="77777777" w:rsidR="006D40B2" w:rsidRPr="0099621E" w:rsidRDefault="006D40B2" w:rsidP="006D40B2">
            <w:pPr>
              <w:spacing w:after="0"/>
              <w:ind w:left="-57" w:right="-57"/>
              <w:rPr>
                <w:rFonts w:eastAsia="Calibri" w:cs="Calibri"/>
                <w:color w:val="000000"/>
                <w:sz w:val="20"/>
                <w:szCs w:val="18"/>
              </w:rPr>
            </w:pPr>
            <w:r w:rsidRPr="0099621E">
              <w:rPr>
                <w:color w:val="000000"/>
                <w:sz w:val="20"/>
                <w:szCs w:val="18"/>
              </w:rPr>
              <w:t xml:space="preserve">OSS bez </w:t>
            </w:r>
            <w:proofErr w:type="spellStart"/>
            <w:r w:rsidRPr="0099621E">
              <w:rPr>
                <w:color w:val="000000"/>
                <w:sz w:val="20"/>
                <w:szCs w:val="18"/>
              </w:rPr>
              <w:t>MZ</w:t>
            </w:r>
            <w:r>
              <w:rPr>
                <w:color w:val="000000"/>
                <w:sz w:val="20"/>
                <w:szCs w:val="18"/>
              </w:rPr>
              <w:t>d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6A6C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564 944 897,76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9B08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574 117 322,27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C6E06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619 002 034,63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E082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805 140 977,70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864F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699 152 177,31</w:t>
            </w:r>
          </w:p>
        </w:tc>
      </w:tr>
      <w:tr w:rsidR="006D40B2" w:rsidRPr="00D71C60" w14:paraId="429DDA45" w14:textId="77777777" w:rsidTr="006D40B2">
        <w:trPr>
          <w:trHeight w:val="28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2873" w14:textId="77777777" w:rsidR="006D40B2" w:rsidRPr="0099621E" w:rsidRDefault="006D40B2" w:rsidP="006D40B2">
            <w:pPr>
              <w:spacing w:after="0"/>
              <w:ind w:left="-57" w:right="-57"/>
              <w:rPr>
                <w:rFonts w:eastAsia="Calibri" w:cs="Calibri"/>
                <w:color w:val="000000"/>
                <w:sz w:val="20"/>
                <w:szCs w:val="18"/>
              </w:rPr>
            </w:pPr>
            <w:proofErr w:type="spellStart"/>
            <w:r w:rsidRPr="0099621E">
              <w:rPr>
                <w:color w:val="000000"/>
                <w:sz w:val="20"/>
                <w:szCs w:val="18"/>
              </w:rPr>
              <w:t>MZ</w:t>
            </w:r>
            <w:r>
              <w:rPr>
                <w:color w:val="000000"/>
                <w:sz w:val="20"/>
                <w:szCs w:val="18"/>
              </w:rPr>
              <w:t>d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8E68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340 276 384,69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70252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933 664 883,48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FC20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869 434 110,38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52686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1 821 237 393,25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C6C9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8 700 085 802,86</w:t>
            </w:r>
          </w:p>
        </w:tc>
      </w:tr>
      <w:tr w:rsidR="006D40B2" w:rsidRPr="00D71C60" w14:paraId="611EF043" w14:textId="77777777" w:rsidTr="006D40B2">
        <w:trPr>
          <w:trHeight w:val="28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6D52" w14:textId="77777777" w:rsidR="006D40B2" w:rsidRPr="0099621E" w:rsidRDefault="006D40B2" w:rsidP="006D40B2">
            <w:pPr>
              <w:spacing w:after="0"/>
              <w:ind w:left="-57" w:right="-57"/>
              <w:rPr>
                <w:rFonts w:eastAsia="Calibri" w:cs="Calibri"/>
                <w:color w:val="000000"/>
                <w:sz w:val="20"/>
                <w:szCs w:val="18"/>
              </w:rPr>
            </w:pPr>
            <w:r w:rsidRPr="0099621E">
              <w:rPr>
                <w:color w:val="000000"/>
                <w:sz w:val="20"/>
                <w:szCs w:val="18"/>
              </w:rPr>
              <w:t>PO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BDFA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83 702 685 015,68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FBD4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90 889 990 445,41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2F652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98 696 841 531,34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05678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121 135 916 112,04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19A6" w14:textId="77777777" w:rsidR="006D40B2" w:rsidRPr="0099621E" w:rsidRDefault="006D40B2" w:rsidP="006D40B2">
            <w:pPr>
              <w:spacing w:after="0"/>
              <w:ind w:left="-28" w:right="-28"/>
              <w:jc w:val="right"/>
              <w:rPr>
                <w:rFonts w:eastAsia="Calibri" w:cs="Calibri"/>
                <w:color w:val="000000"/>
                <w:sz w:val="19"/>
                <w:szCs w:val="19"/>
                <w:highlight w:val="yellow"/>
              </w:rPr>
            </w:pPr>
            <w:r w:rsidRPr="0099621E">
              <w:rPr>
                <w:sz w:val="19"/>
                <w:szCs w:val="19"/>
              </w:rPr>
              <w:t>131 924 138 972,46</w:t>
            </w:r>
          </w:p>
        </w:tc>
      </w:tr>
    </w:tbl>
    <w:p w14:paraId="7AF41706" w14:textId="77777777" w:rsidR="006D40B2" w:rsidRPr="00D71C60" w:rsidRDefault="006D40B2" w:rsidP="006D40B2">
      <w:pPr>
        <w:spacing w:before="40"/>
        <w:rPr>
          <w:rFonts w:cs="Calibri"/>
          <w:color w:val="000000"/>
          <w:sz w:val="20"/>
          <w:szCs w:val="20"/>
          <w:highlight w:val="yellow"/>
          <w:lang w:eastAsia="cs-CZ"/>
        </w:rPr>
      </w:pPr>
      <w:r w:rsidRPr="0099621E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99621E">
        <w:rPr>
          <w:rFonts w:cs="Calibri"/>
          <w:color w:val="000000"/>
          <w:sz w:val="20"/>
          <w:szCs w:val="20"/>
          <w:lang w:eastAsia="cs-CZ"/>
        </w:rPr>
        <w:t xml:space="preserve">informační portál </w:t>
      </w:r>
      <w:r w:rsidRPr="00247616">
        <w:rPr>
          <w:rFonts w:cs="Calibri"/>
          <w:color w:val="000000"/>
          <w:sz w:val="20"/>
          <w:szCs w:val="20"/>
          <w:lang w:eastAsia="cs-CZ"/>
        </w:rPr>
        <w:t>MONITOR, informace zjištěné v průběhu kontroly.</w:t>
      </w:r>
    </w:p>
    <w:p w14:paraId="01243579" w14:textId="3FDB4249" w:rsidR="006D40B2" w:rsidRPr="0099621E" w:rsidRDefault="006D40B2" w:rsidP="006D40B2">
      <w:pPr>
        <w:pStyle w:val="Titulek1"/>
        <w:tabs>
          <w:tab w:val="clear" w:pos="9356"/>
          <w:tab w:val="right" w:pos="9070"/>
        </w:tabs>
        <w:rPr>
          <w:sz w:val="24"/>
        </w:rPr>
      </w:pPr>
      <w:bookmarkStart w:id="128" w:name="_Toc520714348"/>
      <w:bookmarkStart w:id="129" w:name="_Toc8984555"/>
      <w:bookmarkStart w:id="130" w:name="_Toc72157493"/>
      <w:r w:rsidRPr="0099621E">
        <w:rPr>
          <w:sz w:val="24"/>
        </w:rPr>
        <w:t xml:space="preserve">Tabulka č. </w:t>
      </w:r>
      <w:r w:rsidRPr="0099621E">
        <w:rPr>
          <w:sz w:val="24"/>
        </w:rPr>
        <w:fldChar w:fldCharType="begin"/>
      </w:r>
      <w:r w:rsidRPr="0099621E">
        <w:rPr>
          <w:sz w:val="24"/>
        </w:rPr>
        <w:instrText xml:space="preserve"> SEQ Tabulka \* ARABIC </w:instrText>
      </w:r>
      <w:r w:rsidRPr="0099621E">
        <w:rPr>
          <w:sz w:val="24"/>
        </w:rPr>
        <w:fldChar w:fldCharType="separate"/>
      </w:r>
      <w:r w:rsidR="009A66D8">
        <w:rPr>
          <w:noProof/>
          <w:sz w:val="24"/>
        </w:rPr>
        <w:t>37</w:t>
      </w:r>
      <w:r w:rsidRPr="0099621E">
        <w:rPr>
          <w:noProof/>
          <w:sz w:val="24"/>
        </w:rPr>
        <w:fldChar w:fldCharType="end"/>
      </w:r>
      <w:r w:rsidRPr="0099621E">
        <w:rPr>
          <w:sz w:val="24"/>
        </w:rPr>
        <w:t xml:space="preserve">: Celkové výnosy PO v rozpočtové kapitole 335 </w:t>
      </w:r>
      <w:r>
        <w:rPr>
          <w:sz w:val="24"/>
        </w:rPr>
        <w:tab/>
      </w:r>
      <w:r w:rsidRPr="0099621E">
        <w:rPr>
          <w:sz w:val="24"/>
        </w:rPr>
        <w:t>(v Kč)</w:t>
      </w:r>
      <w:bookmarkEnd w:id="128"/>
      <w:bookmarkEnd w:id="129"/>
      <w:bookmarkEnd w:id="130"/>
    </w:p>
    <w:tbl>
      <w:tblPr>
        <w:tblW w:w="91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2268"/>
        <w:gridCol w:w="1219"/>
        <w:gridCol w:w="1219"/>
        <w:gridCol w:w="1219"/>
        <w:gridCol w:w="1219"/>
        <w:gridCol w:w="1219"/>
      </w:tblGrid>
      <w:tr w:rsidR="006D40B2" w:rsidRPr="0099621E" w14:paraId="797FD5E2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52412D6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IČO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3F37835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Účetní jednotka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E574DBE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64E2640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F1E2FE1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41FA148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C7B1920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2021</w:t>
            </w:r>
          </w:p>
        </w:tc>
      </w:tr>
      <w:tr w:rsidR="006D40B2" w:rsidRPr="0099621E" w14:paraId="312F4B8C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4992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00209775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334B" w14:textId="00A68A58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Centrum kardiovaskulární a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transplantační chirurgie Brno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822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852 348 233,31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53E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857 393 013,63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A10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1 024 292 098,59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864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1 027 364 344,63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4D5E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1 165 686 232,97</w:t>
            </w:r>
          </w:p>
        </w:tc>
      </w:tr>
      <w:tr w:rsidR="006D40B2" w:rsidRPr="0099621E" w14:paraId="57CD12FB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1605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00842052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A7B0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Dětská psychiatrická nemocnice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FE1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40 102 173,15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0C5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42 891 374,19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C70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45 524 341,93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79E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50 614 135,69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D11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64 918 493,31</w:t>
            </w:r>
          </w:p>
        </w:tc>
      </w:tr>
      <w:tr w:rsidR="006D40B2" w:rsidRPr="0099621E" w14:paraId="7E1462E1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06CA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00831034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6AE5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Dětská psychiatrická nemocnice Louny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CA23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31 189 388,01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F03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39 663 075,40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BFE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45 186 316,67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BF8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50 487 237,05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A51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54 896 148,26</w:t>
            </w:r>
          </w:p>
        </w:tc>
      </w:tr>
      <w:tr w:rsidR="006D40B2" w:rsidRPr="0099621E" w14:paraId="58EB5216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57EF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00667421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51F4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Dětská psychiatrická nemocnice Opařany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C74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76 616 971,48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2774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79 049 018,59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331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79 208 101,04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EDD3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97 542 468,10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FF6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104 388 500,15</w:t>
            </w:r>
          </w:p>
        </w:tc>
      </w:tr>
      <w:tr w:rsidR="006D40B2" w:rsidRPr="0099621E" w14:paraId="63994A6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D5C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00023761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B452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Endokrinologický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075B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126 708 293,98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FC1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147 714 782,79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0B6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149 376 252,41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C94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150 916 091,64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BEF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167 972 036,03</w:t>
            </w:r>
          </w:p>
        </w:tc>
      </w:tr>
      <w:tr w:rsidR="006D40B2" w:rsidRPr="0099621E" w14:paraId="2FDD487C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B20E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65269705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38BFE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Brno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5F0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8 147 911 044,82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40A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8 873 179 518,68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A66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9 051 563 982,05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A5C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12 480 057 824,88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378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12 889 937 626,82</w:t>
            </w:r>
          </w:p>
        </w:tc>
      </w:tr>
      <w:tr w:rsidR="006D40B2" w:rsidRPr="0099621E" w14:paraId="225A6E1A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873A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00179906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8F2A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Hradec Králové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28F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6 281 605 332,82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70BA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6 781 030 201,96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FEE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7 464 597 875,29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DB9B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8 531 903 282,08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A542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9 624 378 216,32</w:t>
            </w:r>
          </w:p>
        </w:tc>
      </w:tr>
      <w:tr w:rsidR="006D40B2" w:rsidRPr="0099621E" w14:paraId="76780EA0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9572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00064173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DA28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Královské Vinohrady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8FCA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4 351 903 266,83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BED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4 543 422 520,92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9AC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5 077 959 845,37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5A3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6 537 892 522,28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4053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7 379 458 159,54</w:t>
            </w:r>
          </w:p>
        </w:tc>
      </w:tr>
      <w:tr w:rsidR="006D40B2" w:rsidRPr="0099621E" w14:paraId="7162306E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0A8E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00098892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E24D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Olomouc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491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5 951 594 634,22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C14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6 702 755 427,24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7B22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7 378 050 937,63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AA1E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8 633 018 946,39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271B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9 646 192 229,76</w:t>
            </w:r>
          </w:p>
        </w:tc>
      </w:tr>
      <w:tr w:rsidR="006D40B2" w:rsidRPr="0099621E" w14:paraId="6E8DE452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E4D2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00843989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25AE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Ostrava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527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5 074 442 551,00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5E7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5 472 762 354,67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BE10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6 071 792 706,59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4AA9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7 132 155 158,69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0ABD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8 962 864 126,59</w:t>
            </w:r>
          </w:p>
        </w:tc>
      </w:tr>
      <w:tr w:rsidR="006D40B2" w:rsidRPr="0099621E" w14:paraId="3D01B4C6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FFB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00669806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E321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Plzeň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45C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6 377 482 263,81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ABA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6 845 742 963,72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AB1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7 465 801 271,89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61A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8 545 105 434,83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F92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9 753 916 901,82</w:t>
            </w:r>
          </w:p>
        </w:tc>
      </w:tr>
      <w:tr w:rsidR="006D40B2" w:rsidRPr="0099621E" w14:paraId="7D7F29F4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D4B8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00159816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4094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u sv. Anny v Brně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4E4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3 823 972 194,13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AB7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4 237 683 334,32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04D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4 620 209 349,84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9BD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8 429 421 169,34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1C0D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6 846 295 312,80</w:t>
            </w:r>
          </w:p>
        </w:tc>
      </w:tr>
      <w:tr w:rsidR="006D40B2" w:rsidRPr="0099621E" w14:paraId="222256C3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648A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00064203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2AF04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v Motole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FEB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8 507 754 251,35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8E9F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9 509 016 429,37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15C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10 348 373 209,96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4E9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11 765 066 611,53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A6B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14 230 289 160,51</w:t>
            </w:r>
          </w:p>
        </w:tc>
      </w:tr>
      <w:tr w:rsidR="006D40B2" w:rsidRPr="0099621E" w14:paraId="449CFB35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003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00183024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AD46" w14:textId="10160DB1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Hamzova odborná léčebna pro děti a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dospělé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032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389 531 861,48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269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422 340 828,59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461D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460 534 727,18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7AE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548 699 161,06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05E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562 137 839,57</w:t>
            </w:r>
          </w:p>
        </w:tc>
      </w:tr>
      <w:tr w:rsidR="006D40B2" w:rsidRPr="0099621E" w14:paraId="143625C2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F200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00023001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9CA5C" w14:textId="3917E9DD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Institut klinické a experimentální medic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í</w:t>
            </w: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ny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F58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3 959 778 829,93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C082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4 205 010 313,09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487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4 479 838 506,53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E35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4 789 283 980,69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E3E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5 377 460 764,58</w:t>
            </w:r>
          </w:p>
        </w:tc>
      </w:tr>
      <w:tr w:rsidR="006D40B2" w:rsidRPr="0099621E" w14:paraId="4A4628F6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3B4B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00023841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B8D0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Institut postgraduálního vzdělávání ve zdravotnictví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D41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182 708 342,47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21A2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187 287 350,90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234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190 628 281,84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2D7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197 229 197,03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12F0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175 173 234,46</w:t>
            </w:r>
          </w:p>
        </w:tc>
      </w:tr>
      <w:tr w:rsidR="006D40B2" w:rsidRPr="0099621E" w14:paraId="241AE402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4428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00669784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95D64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Léčebna tuberkulózy a respiračních nemocí Janov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9B4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76 348 087,78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1987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82 805 449,06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8E8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95 195 895,79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EE2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101 115 770,54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BDB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136 671 381,93</w:t>
            </w:r>
          </w:p>
        </w:tc>
      </w:tr>
      <w:tr w:rsidR="006D40B2" w:rsidRPr="0099621E" w14:paraId="1F9EEB86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E1FD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00883573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88C5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 xml:space="preserve">Léčebné lázně </w:t>
            </w:r>
            <w:proofErr w:type="spellStart"/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Lázně</w:t>
            </w:r>
            <w:proofErr w:type="spellEnd"/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 xml:space="preserve"> Kynžvart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A99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89 875 711,80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A5E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92 645 045,78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6450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94 393 571,92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AFE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100 778 535,82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1DB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149 289 541,87</w:t>
            </w:r>
          </w:p>
        </w:tc>
      </w:tr>
      <w:tr w:rsidR="006D40B2" w:rsidRPr="0099621E" w14:paraId="7127DDE6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43EE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00209805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C98B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Masarykův onkologický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A94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1 701 529 702,79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B8D3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2 061 454 517,92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6C0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2 044 732 452,47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F11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2 191 970 589,82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969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2 547 697 940,19</w:t>
            </w:r>
          </w:p>
        </w:tc>
      </w:tr>
      <w:tr w:rsidR="006D40B2" w:rsidRPr="0099621E" w14:paraId="72F4D7DC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AABB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00023850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8A3F" w14:textId="657388DB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Národní centrum ošetřovatelství a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nelékařských zdravotnických oborů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633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72 584 195,04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DDA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84 068 060,22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CB4C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94 649 101,94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E1A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95 321 266,28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D06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100 913 673,64</w:t>
            </w:r>
          </w:p>
        </w:tc>
      </w:tr>
      <w:tr w:rsidR="006D40B2" w:rsidRPr="0099621E" w14:paraId="5FBA4BF4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1333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00023752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F642B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Národní ústav duševního zdraví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9AE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245 018 824,77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EB6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339 971 512,69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0A33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352 061 526,11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6C8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359 281 320,07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A68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377 804 450,15</w:t>
            </w:r>
          </w:p>
        </w:tc>
      </w:tr>
      <w:tr w:rsidR="006D40B2" w:rsidRPr="0099621E" w14:paraId="15CCB51B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B15A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00064211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77C6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Bulovka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FDBF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3 092 301 159,66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887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3 076 502 564,49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3EA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3 524 816 831,33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54B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5 440 066 310,46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5FE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5 073 584 826,78</w:t>
            </w:r>
          </w:p>
        </w:tc>
      </w:tr>
      <w:tr w:rsidR="006D40B2" w:rsidRPr="0099621E" w14:paraId="1F6E3C0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9483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00023884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A5F46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Nemocnice Na Homolce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D9A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3 337 397 649,40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5BC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3 532 576 031,39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8F1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3 893 558 386,54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2A51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4 490 571 306,25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35CD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4 698 953 170,15</w:t>
            </w:r>
          </w:p>
        </w:tc>
      </w:tr>
      <w:tr w:rsidR="006D40B2" w:rsidRPr="0099621E" w14:paraId="0A34E89B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167C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00583600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7E7E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léčebna Červený Dvůr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93B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68 264 562,68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AD66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73 780 641,61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53A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83 418 760,70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3CD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101 228 623,45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4C20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113 178 584,86</w:t>
            </w:r>
          </w:p>
        </w:tc>
      </w:tr>
      <w:tr w:rsidR="006D40B2" w:rsidRPr="0099621E" w14:paraId="7B59AD3F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3629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00843954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910B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léčebna Šternberk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73E2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322 299 646,48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7E1B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363 683 896,93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0B6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396 920 824,13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7E6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450 235 607,45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FA0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475 711 026,19</w:t>
            </w:r>
          </w:p>
        </w:tc>
      </w:tr>
      <w:tr w:rsidR="006D40B2" w:rsidRPr="0099621E" w14:paraId="4C8A6DD2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2A3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00064220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6EA7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Bohnice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FBE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1 005 458 089,66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6A5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1 085 911 484,45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5A6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1 218 850 972,52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D515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1 390 046 946,84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89F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1 649 577 078,00</w:t>
            </w:r>
          </w:p>
        </w:tc>
      </w:tr>
      <w:tr w:rsidR="006D40B2" w:rsidRPr="0099621E" w14:paraId="5DE39E04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E7C1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00160105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D3F2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Brno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5B61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497 040 667,89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8B2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546 641 165,73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72D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595 014 758,60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673A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679 184 830,38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B2F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692 246 351,84</w:t>
            </w:r>
          </w:p>
        </w:tc>
      </w:tr>
      <w:tr w:rsidR="006D40B2" w:rsidRPr="0099621E" w14:paraId="594DB868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F0F9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00179230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3B0E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Havlíčkův Brod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3D3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464 905 160,73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D208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506 360 662,25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E9D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542 950 316,48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325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640 186 092,52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587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690 871 138,27</w:t>
            </w:r>
          </w:p>
        </w:tc>
      </w:tr>
      <w:tr w:rsidR="006D40B2" w:rsidRPr="0099621E" w14:paraId="5FFB0B8C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576F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00673552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F525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Horní Beřkovice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F72A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321 935 187,59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47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369 687 386,44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435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395 343 201,96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A438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468 440 748,68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EF8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553 784 164,87</w:t>
            </w:r>
          </w:p>
        </w:tc>
      </w:tr>
      <w:tr w:rsidR="006D40B2" w:rsidRPr="0099621E" w14:paraId="46CA9153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DD37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00600601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5B46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Jihlava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738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342 225 386,63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FFD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373 092 211,55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00B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401 809 733,96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96D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471 315 423,61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785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481 990 422,02</w:t>
            </w:r>
          </w:p>
        </w:tc>
      </w:tr>
      <w:tr w:rsidR="006D40B2" w:rsidRPr="0099621E" w14:paraId="4E22B416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F052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lastRenderedPageBreak/>
              <w:t>00068691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6B76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Kosmonosy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300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348 129 650,91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9C8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390 966 923,91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463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438 018 381,57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E37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531 124 172,29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5B94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598 579 231,65</w:t>
            </w:r>
          </w:p>
        </w:tc>
      </w:tr>
      <w:tr w:rsidR="006D40B2" w:rsidRPr="0099621E" w14:paraId="37231DA6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8629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00851388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A864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Marianny Oranžské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C17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90 387 865,04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FAD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100 750 652,99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4F8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110 492 983,16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2CC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129 618 504,09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C67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137 763 844,39</w:t>
            </w:r>
          </w:p>
        </w:tc>
      </w:tr>
      <w:tr w:rsidR="006D40B2" w:rsidRPr="0099621E" w14:paraId="674FF9B0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2F49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00669792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F662" w14:textId="1C561952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v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Dobřanech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F8E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817 552 989,95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6D9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902 824 288,72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121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982 201 481,73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080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1 186 235 238,59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BE0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1 282 878 997,93</w:t>
            </w:r>
          </w:p>
        </w:tc>
      </w:tr>
      <w:tr w:rsidR="006D40B2" w:rsidRPr="0099621E" w14:paraId="6EF9C90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C02A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00567914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BBF6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v Kroměříži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A8C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549 920 665,91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E38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601 637 172,11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B61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659 079 574,49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985F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771 758 398,31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1BD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849 912 056,50</w:t>
            </w:r>
          </w:p>
        </w:tc>
      </w:tr>
      <w:tr w:rsidR="006D40B2" w:rsidRPr="0099621E" w14:paraId="78D8162C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6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00844004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8E1D6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v Opavě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9F9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538 841 658,51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3D5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606 405 333,13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447F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637 778 195,59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562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734 336 909,22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8EF1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804 211 162,18</w:t>
            </w:r>
          </w:p>
        </w:tc>
      </w:tr>
      <w:tr w:rsidR="006D40B2" w:rsidRPr="0099621E" w14:paraId="66DD581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7C44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00883581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EDEF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Referenční laboratoře přírodních léčivých zdrojů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AA4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2 165 210,46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AAE4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2 513 592,35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766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2 875 469,76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A92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406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5312EB8E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CF7C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00601233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B36B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Rehabilitační ústav Hrabyně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F4E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278 820 563,53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3098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284 796 960,80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0C7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314 510 124,25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AA5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354 671 635,34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B04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371 876 544,71</w:t>
            </w:r>
          </w:p>
        </w:tc>
      </w:tr>
      <w:tr w:rsidR="006D40B2" w:rsidRPr="0099621E" w14:paraId="310185C5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920A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00068705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3FE2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Rehabilitační ústav Kladruby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880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274 290 264,15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81D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294 389 576,13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E4A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300 425 366,74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1973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349 621 492,43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2C37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370 311 025,29</w:t>
            </w:r>
          </w:p>
        </w:tc>
      </w:tr>
      <w:tr w:rsidR="006D40B2" w:rsidRPr="0099621E" w14:paraId="71F08E6C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B2BB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00023728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7372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Revmatologický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7A92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677 459 883,03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A3E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724 749 791,54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400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731 713 404,12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BF6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743 750 638,45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074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825 839 945,76</w:t>
            </w:r>
          </w:p>
        </w:tc>
      </w:tr>
      <w:tr w:rsidR="006D40B2" w:rsidRPr="0099621E" w14:paraId="57749234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B374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75010330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4A79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Státní zdravotní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DBE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379 269 588,39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D00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416 503 584,11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F6C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478 461 565,13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1B8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549 772 148,04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76E0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599 888 327,52</w:t>
            </w:r>
          </w:p>
        </w:tc>
      </w:tr>
      <w:tr w:rsidR="006D40B2" w:rsidRPr="0099621E" w14:paraId="4D4D6235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AD4F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00064190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7010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Thomayerova nemocnice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9F0C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2 739 696 178,92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C96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2 983 137 021,54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365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3 209 495 066,40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14E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4 203 322 497,65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C59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4 898 635 133,39</w:t>
            </w:r>
          </w:p>
        </w:tc>
      </w:tr>
      <w:tr w:rsidR="006D40B2" w:rsidRPr="0099621E" w14:paraId="4D4B836B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61DF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00023736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080F3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Ústav hematologie a krevní transfúze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DB6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1 407 087 376,92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7C8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1 522 773 185,84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2122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1 639 851 830,75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C30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1 780 272 679,13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9C15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1 898 287 353,99</w:t>
            </w:r>
          </w:p>
        </w:tc>
      </w:tr>
      <w:tr w:rsidR="006D40B2" w:rsidRPr="0099621E" w14:paraId="7439D703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8519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00023698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F921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Ústav pro péči o matku a dítě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D5A2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596 304 754,51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6B0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654 607 482,63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A63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718 824 444,19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6E2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847 570 119,95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32B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1 123 522 504,11</w:t>
            </w:r>
          </w:p>
        </w:tc>
      </w:tr>
      <w:tr w:rsidR="006D40B2" w:rsidRPr="0099621E" w14:paraId="199E01A4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940F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00064165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FAF6" w14:textId="2E161783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Všeobecná fakultní nemocnice v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Praze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7E5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8 309 205 594,05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BAA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8 954 867 009,31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36E5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9 886 591 779,84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CE43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11 971 648 984,88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CA97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12 157 299 611,93</w:t>
            </w:r>
          </w:p>
        </w:tc>
      </w:tr>
      <w:tr w:rsidR="006D40B2" w:rsidRPr="0099621E" w14:paraId="2C198DB2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A806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71009396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D7E8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Zdravotní ústav se sídlem v Ostravě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9E1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446 938 287,33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FAA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476 750 021,73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76A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478 262 774,43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F80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633 087 620,23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414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824 795 388,61</w:t>
            </w:r>
          </w:p>
        </w:tc>
      </w:tr>
      <w:tr w:rsidR="006D40B2" w:rsidRPr="0099621E" w14:paraId="0747A99E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9DC8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71009361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B03BC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Zdravotní ústav se sídlem v Ústí nad Labem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035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433 780 818,38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C5E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436 194 710,00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0056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421 604 949,93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2BB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402 624 135,36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0F9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432 099 110,25</w:t>
            </w:r>
          </w:p>
        </w:tc>
      </w:tr>
      <w:tr w:rsidR="006D40B2" w:rsidRPr="0099621E" w14:paraId="7CF4200A" w14:textId="77777777" w:rsidTr="006D40B2">
        <w:trPr>
          <w:trHeight w:val="255"/>
          <w:jc w:val="center"/>
        </w:trPr>
        <w:tc>
          <w:tcPr>
            <w:tcW w:w="3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6342D2FC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Celkem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5A4FD6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  <w:highlight w:val="yellow"/>
              </w:rPr>
            </w:pPr>
            <w:r w:rsidRPr="0099621E">
              <w:rPr>
                <w:b/>
                <w:sz w:val="12"/>
                <w:szCs w:val="12"/>
              </w:rPr>
              <w:t>83 702 685 015,68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59AAC9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  <w:highlight w:val="yellow"/>
              </w:rPr>
            </w:pPr>
            <w:r w:rsidRPr="0099621E">
              <w:rPr>
                <w:b/>
                <w:sz w:val="12"/>
                <w:szCs w:val="12"/>
              </w:rPr>
              <w:t>90 889 990 445,41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9DCEC7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  <w:highlight w:val="yellow"/>
              </w:rPr>
            </w:pPr>
            <w:r w:rsidRPr="0099621E">
              <w:rPr>
                <w:b/>
                <w:sz w:val="12"/>
                <w:szCs w:val="12"/>
              </w:rPr>
              <w:t>98 696 841 531,34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B68343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  <w:highlight w:val="yellow"/>
              </w:rPr>
            </w:pPr>
            <w:r w:rsidRPr="0099621E">
              <w:rPr>
                <w:b/>
                <w:sz w:val="12"/>
                <w:szCs w:val="12"/>
              </w:rPr>
              <w:t>121 135 916 112,04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27A841E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  <w:highlight w:val="yellow"/>
              </w:rPr>
            </w:pPr>
            <w:r w:rsidRPr="0099621E">
              <w:rPr>
                <w:b/>
                <w:sz w:val="12"/>
                <w:szCs w:val="12"/>
              </w:rPr>
              <w:t>131 924 138 972,46</w:t>
            </w:r>
          </w:p>
        </w:tc>
      </w:tr>
    </w:tbl>
    <w:p w14:paraId="3C7E0E87" w14:textId="77777777" w:rsidR="006D40B2" w:rsidRPr="0099621E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99621E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99621E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4B00244A" w14:textId="11E284E9" w:rsidR="006D40B2" w:rsidRPr="0099621E" w:rsidRDefault="006D40B2" w:rsidP="0070153D">
      <w:pPr>
        <w:pStyle w:val="Titulek1"/>
        <w:tabs>
          <w:tab w:val="clear" w:pos="1134"/>
          <w:tab w:val="clear" w:pos="9356"/>
          <w:tab w:val="right" w:pos="9070"/>
        </w:tabs>
        <w:spacing w:before="240"/>
        <w:ind w:left="1446" w:hanging="1446"/>
        <w:rPr>
          <w:sz w:val="24"/>
        </w:rPr>
      </w:pPr>
      <w:bookmarkStart w:id="131" w:name="_Toc8984556"/>
      <w:bookmarkStart w:id="132" w:name="_Toc520714349"/>
      <w:bookmarkStart w:id="133" w:name="_Toc72157494"/>
      <w:r w:rsidRPr="0099621E">
        <w:rPr>
          <w:sz w:val="24"/>
        </w:rPr>
        <w:t xml:space="preserve">Tabulka č. </w:t>
      </w:r>
      <w:r w:rsidRPr="0099621E">
        <w:rPr>
          <w:sz w:val="24"/>
        </w:rPr>
        <w:fldChar w:fldCharType="begin"/>
      </w:r>
      <w:r w:rsidRPr="0099621E">
        <w:rPr>
          <w:sz w:val="24"/>
        </w:rPr>
        <w:instrText xml:space="preserve"> SEQ Tabulka \* ARABIC </w:instrText>
      </w:r>
      <w:r w:rsidRPr="0099621E">
        <w:rPr>
          <w:sz w:val="24"/>
        </w:rPr>
        <w:fldChar w:fldCharType="separate"/>
      </w:r>
      <w:r w:rsidR="009A66D8">
        <w:rPr>
          <w:noProof/>
          <w:sz w:val="24"/>
        </w:rPr>
        <w:t>38</w:t>
      </w:r>
      <w:r w:rsidRPr="0099621E">
        <w:rPr>
          <w:noProof/>
          <w:sz w:val="24"/>
        </w:rPr>
        <w:fldChar w:fldCharType="end"/>
      </w:r>
      <w:r w:rsidRPr="0099621E">
        <w:rPr>
          <w:sz w:val="24"/>
        </w:rPr>
        <w:t xml:space="preserve">: </w:t>
      </w:r>
      <w:r w:rsidRPr="0099621E">
        <w:rPr>
          <w:sz w:val="24"/>
        </w:rPr>
        <w:tab/>
        <w:t xml:space="preserve">Výnosy PO v rozpočtové kapitole 335 </w:t>
      </w:r>
      <w:r w:rsidR="00B57F1A">
        <w:rPr>
          <w:sz w:val="24"/>
        </w:rPr>
        <w:t xml:space="preserve">vykázané ve </w:t>
      </w:r>
      <w:r w:rsidR="00B57F1A" w:rsidRPr="0099621E">
        <w:rPr>
          <w:sz w:val="24"/>
        </w:rPr>
        <w:t xml:space="preserve">VZZ </w:t>
      </w:r>
      <w:r w:rsidRPr="0099621E">
        <w:rPr>
          <w:sz w:val="24"/>
        </w:rPr>
        <w:t xml:space="preserve">na položce B.IV.1 </w:t>
      </w:r>
      <w:r w:rsidRPr="004E2D6E">
        <w:rPr>
          <w:i/>
          <w:sz w:val="24"/>
        </w:rPr>
        <w:t>Výnosy</w:t>
      </w:r>
      <w:bookmarkEnd w:id="131"/>
      <w:r w:rsidRPr="004E2D6E">
        <w:rPr>
          <w:i/>
          <w:sz w:val="24"/>
        </w:rPr>
        <w:t xml:space="preserve"> vybraných ústředních vládních institucí z transferů</w:t>
      </w:r>
      <w:r w:rsidRPr="0099621E">
        <w:rPr>
          <w:sz w:val="24"/>
        </w:rPr>
        <w:t xml:space="preserve"> (SÚ 671) </w:t>
      </w:r>
      <w:r>
        <w:rPr>
          <w:sz w:val="24"/>
        </w:rPr>
        <w:tab/>
      </w:r>
      <w:r w:rsidRPr="0099621E">
        <w:rPr>
          <w:sz w:val="24"/>
        </w:rPr>
        <w:t>(v Kč)</w:t>
      </w:r>
      <w:bookmarkEnd w:id="132"/>
      <w:bookmarkEnd w:id="133"/>
    </w:p>
    <w:tbl>
      <w:tblPr>
        <w:tblW w:w="91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2268"/>
        <w:gridCol w:w="1219"/>
        <w:gridCol w:w="1219"/>
        <w:gridCol w:w="1219"/>
        <w:gridCol w:w="1219"/>
        <w:gridCol w:w="1219"/>
      </w:tblGrid>
      <w:tr w:rsidR="006D40B2" w:rsidRPr="0099621E" w14:paraId="23F76E5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F7CFD27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IČO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908ABF1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Účetní jednotka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CB9102C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2AE36BC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076A078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1F6CABA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3CBFEB6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2021</w:t>
            </w:r>
          </w:p>
        </w:tc>
      </w:tr>
      <w:tr w:rsidR="006D40B2" w:rsidRPr="0099621E" w14:paraId="107A24DE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2B30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00209775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CEFE" w14:textId="6DDCC4F9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Centrum kardiovaskulární a</w:t>
            </w:r>
            <w:r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 </w:t>
            </w: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transplantační chirurgie Brno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B81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8 084 612,00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580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8 585 612,00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A5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7 041 612,00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1E7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6 004 612,00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CCE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36 867 448,00</w:t>
            </w:r>
          </w:p>
        </w:tc>
      </w:tr>
      <w:tr w:rsidR="006D40B2" w:rsidRPr="0099621E" w14:paraId="3B2EDCA5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0A8D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00842052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9C03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Dětská psychiatrická nemocnice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024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238 728,00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CE3F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24 735,00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26A1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319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4 916 762,70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742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4 412 112,90</w:t>
            </w:r>
          </w:p>
        </w:tc>
      </w:tr>
      <w:tr w:rsidR="006D40B2" w:rsidRPr="0099621E" w14:paraId="624B669A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8ACC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00831034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07A51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Dětská psychiatrická nemocnice Louny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56D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256 144,00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084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145 216,00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C44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104 883,00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6C5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4 201 557,28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8A33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3 698 051,00</w:t>
            </w:r>
          </w:p>
        </w:tc>
      </w:tr>
      <w:tr w:rsidR="006D40B2" w:rsidRPr="0099621E" w14:paraId="5F3B4AC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D23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00667421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DD5D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Dětská psychiatrická nemocnice Opařany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14B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383 057,00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E92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48 168,00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59B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44 076,00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B5AD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9 450 982,43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89FE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43 590 989,00</w:t>
            </w:r>
          </w:p>
        </w:tc>
      </w:tr>
      <w:tr w:rsidR="006D40B2" w:rsidRPr="0099621E" w14:paraId="500FCC69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1A7A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00023761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6DCC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Endokrinologický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FCC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33 033 926,00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698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55 859 915,62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FCC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51 249 223,69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46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43 633 169,94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DB6F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51 505 252,61</w:t>
            </w:r>
          </w:p>
        </w:tc>
      </w:tr>
      <w:tr w:rsidR="006D40B2" w:rsidRPr="0099621E" w14:paraId="1E54CBE7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ACF8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65269705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4AE2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Fakultní nemocnice Brno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A10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167 122 174,81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981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225 882 036,93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637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210 332 908,42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1C8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2 101 942 188,35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3FA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762 112 709,29</w:t>
            </w:r>
          </w:p>
        </w:tc>
      </w:tr>
      <w:tr w:rsidR="006D40B2" w:rsidRPr="0099621E" w14:paraId="6525F289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156A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00179906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5BB2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Fakultní nemocnice Hradec Králové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B3D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129 686 330,18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732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136 477 326,25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B1E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134 682 174,92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D13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461 969 785,24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4FC7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522 300 395,25</w:t>
            </w:r>
          </w:p>
        </w:tc>
      </w:tr>
      <w:tr w:rsidR="006D40B2" w:rsidRPr="0099621E" w14:paraId="33F42898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7065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00064173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D1D8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Fakultní nemocnice Královské Vinohrady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2EC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55 432 928,13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492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56 973 763,87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28F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71 566 427,32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919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746 053 770,55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4DDF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373 403 672,26</w:t>
            </w:r>
          </w:p>
        </w:tc>
      </w:tr>
      <w:tr w:rsidR="006D40B2" w:rsidRPr="0099621E" w14:paraId="43B072DC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1D38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00098892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CA8E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Fakultní nemocnice Olomouc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81E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56 838 944,92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340D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46 881 225,18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F0A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62 032 372,14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B0A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350 483 738,88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5A24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420 388 801,45</w:t>
            </w:r>
          </w:p>
        </w:tc>
      </w:tr>
      <w:tr w:rsidR="006D40B2" w:rsidRPr="0099621E" w14:paraId="4244C41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4AAB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00843989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7FC7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Fakultní nemocnice Ostrava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6C03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59 577 967,57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16C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50 896 909,23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F85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49 251 536,52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7EE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328 007 911,51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AD0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369 737 092,32</w:t>
            </w:r>
          </w:p>
        </w:tc>
      </w:tr>
      <w:tr w:rsidR="006D40B2" w:rsidRPr="0099621E" w14:paraId="0CA345A3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FC20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00669806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39EE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Fakultní nemocnice Plzeň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454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61 437 733,71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FC0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63 387 356,58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71C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68 074 294,11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EC4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400 719 116,75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66D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444 278 269,44</w:t>
            </w:r>
          </w:p>
        </w:tc>
      </w:tr>
      <w:tr w:rsidR="006D40B2" w:rsidRPr="0099621E" w14:paraId="51E0674C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3788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00159816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5AE2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Fakultní nemocnice u sv. Anny v Brně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815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502 170 876,20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EBF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541 996 457,53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95D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545 610 487,63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BE7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2 399 501 516,78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68EC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889 499 743,99</w:t>
            </w:r>
          </w:p>
        </w:tc>
      </w:tr>
      <w:tr w:rsidR="006D40B2" w:rsidRPr="0099621E" w14:paraId="3EBFF474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A3F4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00064203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9D35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Fakultní nemocnice v Motole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E4B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200 124 643,55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91A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186 526 061,99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9F7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183 777 250,23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AD1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587 373 286,54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E23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642 824 658,18</w:t>
            </w:r>
          </w:p>
        </w:tc>
      </w:tr>
      <w:tr w:rsidR="006D40B2" w:rsidRPr="0099621E" w14:paraId="6462F471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E0E0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00183024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F04D" w14:textId="497D7B4B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Hamzova odborná léčebna pro děti a</w:t>
            </w:r>
            <w:r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 </w:t>
            </w: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dospělé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AEA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1 405 122,00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7760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405 462,00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1FE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4 232 440,00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312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35 857 490,15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A29D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34 570 616,50</w:t>
            </w:r>
          </w:p>
        </w:tc>
      </w:tr>
      <w:tr w:rsidR="006D40B2" w:rsidRPr="0099621E" w14:paraId="40E8D868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1C3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00023001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1018" w14:textId="6DEFC961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Institut klinické a experimentální medic</w:t>
            </w:r>
            <w:r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í</w:t>
            </w: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ny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42C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226 783 304,62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D93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225 212 395,97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9FD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218 892 507,53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310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327 877 519,13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7CB8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315 402 574,68</w:t>
            </w:r>
          </w:p>
        </w:tc>
      </w:tr>
      <w:tr w:rsidR="006D40B2" w:rsidRPr="0099621E" w14:paraId="47F29459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F51C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00023841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F928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Institut postgraduálního vzdělávání ve zdravotnictví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00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54 347 000,00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5E3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57 904 108,03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CEE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62 623 492,29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325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101 463 085,01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F2B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67 767 023,95</w:t>
            </w:r>
          </w:p>
        </w:tc>
      </w:tr>
      <w:tr w:rsidR="006D40B2" w:rsidRPr="0099621E" w14:paraId="4D14B418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FED0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00669784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93B4A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Léčebna tuberkulózy a respiračních nemocí Janov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7BE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1 974 016,00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DD4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1 736 316,00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D10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2 815 379,00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6E7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10 733 092,00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6367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12 429 505,00</w:t>
            </w:r>
          </w:p>
        </w:tc>
      </w:tr>
      <w:tr w:rsidR="006D40B2" w:rsidRPr="0099621E" w14:paraId="63B267FF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EB64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00883573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C19AA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 xml:space="preserve">Léčebné lázně </w:t>
            </w:r>
            <w:proofErr w:type="spellStart"/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Lázně</w:t>
            </w:r>
            <w:proofErr w:type="spellEnd"/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 xml:space="preserve"> Kynžvart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93C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1 238 184,00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3CD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856 456,00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C2E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959 596,00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1AD4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13 431 827,05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1276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29 146 860,55</w:t>
            </w:r>
          </w:p>
        </w:tc>
      </w:tr>
      <w:tr w:rsidR="006D40B2" w:rsidRPr="0099621E" w14:paraId="5EC375A3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94F3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00209805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B1D05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Masarykův onkologický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347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90 109 424,34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B79F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102 381 305,83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CA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107 986 684,22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230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164 719 628,83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BBE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181 030 489,03</w:t>
            </w:r>
          </w:p>
        </w:tc>
      </w:tr>
      <w:tr w:rsidR="006D40B2" w:rsidRPr="0099621E" w14:paraId="39C0D26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E953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00023850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D957" w14:textId="230D85FA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Národní centrum ošetřovatelství a</w:t>
            </w:r>
            <w:r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 </w:t>
            </w: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nelékařských zdravotnických oborů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99D5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33 836 801,89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2DE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45 133 482,08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ECBF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55 603 078,39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7C6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68 971 601,92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9363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63 549 200,86</w:t>
            </w:r>
          </w:p>
        </w:tc>
      </w:tr>
      <w:tr w:rsidR="006D40B2" w:rsidRPr="0099621E" w14:paraId="6F375AF9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F377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00023752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F699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Národní ústav duševního zdraví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014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191 525 310,96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F03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282 479 677,85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84B5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263 055 860,10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550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289 610 127,40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BAFE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293 551 470,54</w:t>
            </w:r>
          </w:p>
        </w:tc>
      </w:tr>
      <w:tr w:rsidR="006D40B2" w:rsidRPr="0099621E" w14:paraId="217D56B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F58C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00064211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D5B3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Fakultní nemocnice Bulovka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C05B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77 595 320,52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7D6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48 803 681,97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401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75 991 425,94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ACAD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1 523 601 631,69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43FB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380 039 830,95</w:t>
            </w:r>
          </w:p>
        </w:tc>
      </w:tr>
      <w:tr w:rsidR="006D40B2" w:rsidRPr="0099621E" w14:paraId="0F3D79E9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F216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00023884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83201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Nemocnice Na Homolce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F51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26 581 055,24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DA4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23 576 854,36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DAD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23 012 359,33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1AC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154 289 983,50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539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165 091 123,08</w:t>
            </w:r>
          </w:p>
        </w:tc>
      </w:tr>
      <w:tr w:rsidR="006D40B2" w:rsidRPr="0099621E" w14:paraId="406CFEB9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A002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00583600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47B1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Psychiatrická léčebna Červený Dvůr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0186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1 037 063,88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361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405 590,88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977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381 458,88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E09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9 119 214,88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0B0D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6 547 042,88</w:t>
            </w:r>
          </w:p>
        </w:tc>
      </w:tr>
      <w:tr w:rsidR="006D40B2" w:rsidRPr="0099621E" w14:paraId="4FC49450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D826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00843954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F496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Psychiatrická léčebna Šternberk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7DC9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3 774 874,87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166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1 608 825,00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3D1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1 431 636,00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923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42 818 415,47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F89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44 857 820,98</w:t>
            </w:r>
          </w:p>
        </w:tc>
      </w:tr>
      <w:tr w:rsidR="006D40B2" w:rsidRPr="0099621E" w14:paraId="42F8B2BE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9F66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lastRenderedPageBreak/>
              <w:t>00064220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1D9D4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Psychiatrická nemocnice Bohnice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88A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17 335 969,11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E864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26 020 911,76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306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28 417 670,31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AF3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115 945 881,15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7E21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146 763 175,74</w:t>
            </w:r>
          </w:p>
        </w:tc>
      </w:tr>
      <w:tr w:rsidR="006D40B2" w:rsidRPr="0099621E" w14:paraId="23665C12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F392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00160105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0BFF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Psychiatrická nemocnice Brno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F4F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4 205 881,00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FAC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1 476 676,00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585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1 816 676,00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F13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64 354 338,04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836A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55 380 833,34</w:t>
            </w:r>
          </w:p>
        </w:tc>
      </w:tr>
      <w:tr w:rsidR="006D40B2" w:rsidRPr="0099621E" w14:paraId="75DF1C1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F47C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00179230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F9A3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Psychiatrická nemocnice Havlíčkův Brod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ABB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2 615 680,00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92F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1 404 565,22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5DB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4 708 611,11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8BA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52 479 309,25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E11D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54 176 601,79</w:t>
            </w:r>
          </w:p>
        </w:tc>
      </w:tr>
      <w:tr w:rsidR="006D40B2" w:rsidRPr="0099621E" w14:paraId="5706E2C8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F7BA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00673552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4BCD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Psychiatrická nemocnice Horní Beřkovice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B7E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3 420 598,63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479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776 880,00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BBBC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752 681,00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E9D6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40 925 749,00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2EE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33 326 523,00</w:t>
            </w:r>
          </w:p>
        </w:tc>
      </w:tr>
      <w:tr w:rsidR="006D40B2" w:rsidRPr="0099621E" w14:paraId="0F40C6C5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04B3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00600601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0C09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Psychiatrická nemocnice Jihlava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69A4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3 202 239,69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439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851 894,04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2379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669 610,54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958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46 589 186,07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824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41 137 391,03</w:t>
            </w:r>
          </w:p>
        </w:tc>
      </w:tr>
      <w:tr w:rsidR="006D40B2" w:rsidRPr="0099621E" w14:paraId="4F4E4478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3966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00068691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4E2FC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Psychiatrická nemocnice Kosmonosy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AAB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3 233 374,00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587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2 191 520,00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B91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3 953 395,41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2364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48 968 990,75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AE2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40 764 881,01</w:t>
            </w:r>
          </w:p>
        </w:tc>
      </w:tr>
      <w:tr w:rsidR="006D40B2" w:rsidRPr="0099621E" w14:paraId="63956067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86D0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00851388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9D86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Psychiatrická nemocnice Marianny Oranžské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EDD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525 306,00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ABA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54 642,00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B97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19 296,00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36EE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8 501 598,83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2C89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9 139 287,00</w:t>
            </w:r>
          </w:p>
        </w:tc>
      </w:tr>
      <w:tr w:rsidR="006D40B2" w:rsidRPr="0099621E" w14:paraId="432FACA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7D3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00669792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65E2" w14:textId="58D9857C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Psychiatrická nemocnice v</w:t>
            </w:r>
            <w:r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 </w:t>
            </w: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Dobřanech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6F3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4 121 620,00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2C5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1 250 793,70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9E1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9 581 519,80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A11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93 799 655,90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713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93 798 285,30</w:t>
            </w:r>
          </w:p>
        </w:tc>
      </w:tr>
      <w:tr w:rsidR="006D40B2" w:rsidRPr="0099621E" w14:paraId="414C6354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D37F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00567914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6B87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Psychiatrická nemocnice v Kroměříži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035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3 057 473,00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71C3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91 548,00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1F8A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3 818 288,00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82A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69 966 588,70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F66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57 939 263,00</w:t>
            </w:r>
          </w:p>
        </w:tc>
      </w:tr>
      <w:tr w:rsidR="006D40B2" w:rsidRPr="0099621E" w14:paraId="75BE3BA9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5C0B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00844004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D342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Psychiatrická nemocnice v Opavě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6CD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6 426 329,34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09C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4 345 501,14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444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7 864 125,87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0CE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76 901 554,33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F4F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72 522 316,59</w:t>
            </w:r>
          </w:p>
        </w:tc>
      </w:tr>
      <w:tr w:rsidR="006D40B2" w:rsidRPr="0099621E" w14:paraId="2272B007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A860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00883581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F2699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Referenční laboratoře přírodních léčivých zdrojů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662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3538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99A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D6C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x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1E60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x </w:t>
            </w:r>
          </w:p>
        </w:tc>
      </w:tr>
      <w:tr w:rsidR="006D40B2" w:rsidRPr="0099621E" w14:paraId="3F252D21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BE55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00601233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88CA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Rehabilitační ústav Hrabyně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572E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2 140 635,24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6A6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1 000 000,00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B54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280 985,50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80C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26 176 149,74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A63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28 730 874,00</w:t>
            </w:r>
          </w:p>
        </w:tc>
      </w:tr>
      <w:tr w:rsidR="006D40B2" w:rsidRPr="0099621E" w14:paraId="531DBBB8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22F5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00068705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CDEC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Rehabilitační ústav Kladruby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A41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5 312 478,83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BEA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3 047 210,06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A38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4 164 729,36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349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25 781 835,18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91D1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26 851 649,29</w:t>
            </w:r>
          </w:p>
        </w:tc>
      </w:tr>
      <w:tr w:rsidR="006D40B2" w:rsidRPr="0099621E" w14:paraId="33FD25D0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5CCF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00023728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0384F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Revmatologický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F0A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27 848 811,30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711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35 297 604,56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6302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44 223 290,80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257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48 915 090,03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D88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53 584 772,24</w:t>
            </w:r>
          </w:p>
        </w:tc>
      </w:tr>
      <w:tr w:rsidR="006D40B2" w:rsidRPr="0099621E" w14:paraId="4BF427ED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63D3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75010330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3F29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Státní zdravotní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F9D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277 754 496,84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5153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311 988 815,27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7C64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356 683 865,52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E659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406 620 820,00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B220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443 069 380,67</w:t>
            </w:r>
          </w:p>
        </w:tc>
      </w:tr>
      <w:tr w:rsidR="006D40B2" w:rsidRPr="0099621E" w14:paraId="3C359299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8556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00064190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3712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Fakultní Thomayerova nemocnice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66B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172 868 564,79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1E4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184 506 944,75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1CB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195 900 924,26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101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724 639 541,51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0F0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415 588 533,37</w:t>
            </w:r>
          </w:p>
        </w:tc>
      </w:tr>
      <w:tr w:rsidR="006D40B2" w:rsidRPr="0099621E" w14:paraId="216EADB7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CD5F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00023736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4B4E5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Ústav hematologie a krevní transfúze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609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67 661 488,10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C7C4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87 854 393,03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4DF1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88 119 398,87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090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95 799 373,85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CA75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97 864 355,77</w:t>
            </w:r>
          </w:p>
        </w:tc>
      </w:tr>
      <w:tr w:rsidR="006D40B2" w:rsidRPr="0099621E" w14:paraId="24A11790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1CB3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00023698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C2FC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Ústav pro péči o matku a dítě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341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15 725 204,16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3F14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19 100 006,01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B2C79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23 701 984,35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D9F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79 414 584,23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8124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90 714 379,00</w:t>
            </w:r>
          </w:p>
        </w:tc>
      </w:tr>
      <w:tr w:rsidR="006D40B2" w:rsidRPr="0099621E" w14:paraId="090B10F0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C1E2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00064165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DB62" w14:textId="2BE2D2B2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Všeobecná fakultní nemocnice v</w:t>
            </w:r>
            <w:r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 </w:t>
            </w: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Praze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281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253 191 926,13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3DB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223 394 711,53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69DB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217 873 505,86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783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1 966 519 067,27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8E2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703 635 489,69</w:t>
            </w:r>
          </w:p>
        </w:tc>
      </w:tr>
      <w:tr w:rsidR="006D40B2" w:rsidRPr="0099621E" w14:paraId="7D7FCFA5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8575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71009396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8ACE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Zdravotní ústav se sídlem v Ostravě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2EE9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76 691 191,29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8E32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77 269 054,29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DE7F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52 139 845,33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68C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67 227 111,10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894A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99 066 114,66</w:t>
            </w:r>
          </w:p>
        </w:tc>
      </w:tr>
      <w:tr w:rsidR="006D40B2" w:rsidRPr="0099621E" w14:paraId="21DC0C07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DF22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71009361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5EE4C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Zdravotní ústav se sídlem v Ústí nad Labem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3B65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65 983 744,87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2F68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40 205 004,05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7AFB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40 520 613,05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ACA0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38 214 569,15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44DDD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  <w:lang w:eastAsia="cs-CZ"/>
              </w:rPr>
              <w:t>45 703 611,06</w:t>
            </w:r>
          </w:p>
        </w:tc>
      </w:tr>
      <w:tr w:rsidR="006D40B2" w:rsidRPr="0099621E" w14:paraId="6CD524EF" w14:textId="77777777" w:rsidTr="006D40B2">
        <w:trPr>
          <w:trHeight w:val="255"/>
          <w:jc w:val="center"/>
        </w:trPr>
        <w:tc>
          <w:tcPr>
            <w:tcW w:w="3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11C61C06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Celkem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82DBD7C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b/>
                <w:sz w:val="14"/>
                <w:szCs w:val="14"/>
              </w:rPr>
              <w:t>2 998 218 556,71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DCB3DCE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b/>
                <w:sz w:val="14"/>
                <w:szCs w:val="14"/>
              </w:rPr>
              <w:t>3 186 337 615,56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90EAFC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b/>
                <w:sz w:val="14"/>
                <w:szCs w:val="14"/>
              </w:rPr>
              <w:t>3 285 964 180,60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37A11A6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b/>
                <w:sz w:val="14"/>
                <w:szCs w:val="14"/>
              </w:rPr>
              <w:t>14 284 493 010,06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0D03FB87" w14:textId="77777777" w:rsidR="006D40B2" w:rsidRPr="0099621E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b/>
                <w:sz w:val="14"/>
                <w:szCs w:val="14"/>
              </w:rPr>
              <w:t>8 768 360 472,24</w:t>
            </w:r>
          </w:p>
        </w:tc>
      </w:tr>
    </w:tbl>
    <w:p w14:paraId="47F6DC2F" w14:textId="77777777" w:rsidR="006D40B2" w:rsidRPr="0099621E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99621E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99621E">
        <w:rPr>
          <w:rFonts w:cs="Calibri"/>
          <w:color w:val="000000"/>
          <w:sz w:val="20"/>
          <w:szCs w:val="20"/>
          <w:lang w:eastAsia="cs-CZ"/>
        </w:rPr>
        <w:t>informační portál MONITOR.</w:t>
      </w:r>
    </w:p>
    <w:p w14:paraId="6469DE8C" w14:textId="7695E12E" w:rsidR="006D40B2" w:rsidRPr="009240AC" w:rsidRDefault="006D40B2" w:rsidP="0070153D">
      <w:pPr>
        <w:pStyle w:val="Titulek1"/>
        <w:tabs>
          <w:tab w:val="clear" w:pos="1134"/>
          <w:tab w:val="clear" w:pos="9356"/>
          <w:tab w:val="right" w:pos="9070"/>
        </w:tabs>
        <w:spacing w:before="240"/>
        <w:ind w:left="1446" w:hanging="1446"/>
        <w:rPr>
          <w:sz w:val="24"/>
        </w:rPr>
      </w:pPr>
      <w:bookmarkStart w:id="134" w:name="_Toc520714350"/>
      <w:bookmarkStart w:id="135" w:name="_Toc8984557"/>
      <w:bookmarkStart w:id="136" w:name="_Toc72157495"/>
      <w:r w:rsidRPr="009240AC">
        <w:rPr>
          <w:sz w:val="24"/>
        </w:rPr>
        <w:t xml:space="preserve">Tabulka č. </w:t>
      </w:r>
      <w:r w:rsidRPr="009240AC">
        <w:rPr>
          <w:sz w:val="24"/>
        </w:rPr>
        <w:fldChar w:fldCharType="begin"/>
      </w:r>
      <w:r w:rsidRPr="009240AC">
        <w:rPr>
          <w:sz w:val="24"/>
        </w:rPr>
        <w:instrText xml:space="preserve"> SEQ Tabulka \* ARABIC </w:instrText>
      </w:r>
      <w:r w:rsidRPr="009240AC">
        <w:rPr>
          <w:sz w:val="24"/>
        </w:rPr>
        <w:fldChar w:fldCharType="separate"/>
      </w:r>
      <w:r w:rsidR="009A66D8">
        <w:rPr>
          <w:noProof/>
          <w:sz w:val="24"/>
        </w:rPr>
        <w:t>39</w:t>
      </w:r>
      <w:r w:rsidRPr="009240AC">
        <w:rPr>
          <w:noProof/>
          <w:sz w:val="24"/>
        </w:rPr>
        <w:fldChar w:fldCharType="end"/>
      </w:r>
      <w:r w:rsidRPr="009240AC">
        <w:rPr>
          <w:sz w:val="24"/>
        </w:rPr>
        <w:t xml:space="preserve">: Výše příspěvku na provoz PO dle zákona č. 218/2000 Sb. </w:t>
      </w:r>
      <w:r>
        <w:rPr>
          <w:sz w:val="24"/>
        </w:rPr>
        <w:tab/>
      </w:r>
      <w:r w:rsidRPr="009240AC">
        <w:rPr>
          <w:sz w:val="24"/>
        </w:rPr>
        <w:t>(v Kč)</w:t>
      </w:r>
      <w:bookmarkEnd w:id="134"/>
      <w:bookmarkEnd w:id="135"/>
      <w:bookmarkEnd w:id="136"/>
    </w:p>
    <w:tbl>
      <w:tblPr>
        <w:tblW w:w="91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2268"/>
        <w:gridCol w:w="1219"/>
        <w:gridCol w:w="1219"/>
        <w:gridCol w:w="1219"/>
        <w:gridCol w:w="1219"/>
        <w:gridCol w:w="1219"/>
      </w:tblGrid>
      <w:tr w:rsidR="006D40B2" w:rsidRPr="0099621E" w14:paraId="298E4713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C8B9B24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IČO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2CB9EB4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Účetní jednotka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8942512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65F20E4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A7DC6AF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63C0B13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881E07E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2021</w:t>
            </w:r>
          </w:p>
        </w:tc>
      </w:tr>
      <w:tr w:rsidR="006D40B2" w:rsidRPr="0099621E" w14:paraId="11D3E9D4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5CC6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00209775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EC99" w14:textId="045ECAB5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Centrum kardiovaskulární a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transplantační chirurgie Brno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8D2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9471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3E7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7 041 612,00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E71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6 004 612,00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66BD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36 867 448,00</w:t>
            </w:r>
          </w:p>
        </w:tc>
      </w:tr>
      <w:tr w:rsidR="006D40B2" w:rsidRPr="0099621E" w14:paraId="7F4A35E6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31E0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00842052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194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Dětská psychiatrická nemocnice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3D1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238 728,00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D763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E8E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E13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4 497 352,44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C739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3FBF13EE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A98C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00831034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F3667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Dětská psychiatrická nemocnice Louny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DF6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CE3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6B2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6A9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53D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45E8D8C9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6D8D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00667421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76C3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Dětská psychiatrická nemocnice Opařany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0E0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334 889,00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E24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0008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185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9 406 906,43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E79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43 546 913,00</w:t>
            </w:r>
          </w:p>
        </w:tc>
      </w:tr>
      <w:tr w:rsidR="006D40B2" w:rsidRPr="0099621E" w14:paraId="5C5B1F7F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8C5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00023761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D078F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Endokrinologický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E96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9 000 000,00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7A0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18 385 000,00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1A7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13 385 000,00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C6C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13 385 000,00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BD3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0F906D68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4067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65269705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78A0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Brno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575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37F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ECE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27A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79E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65058B60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D8E4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00179906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A7FD0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Hradec Králové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385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22 542 213,45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0D8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8 719 151,10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6B7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6 029 231,18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38C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334 588 338,65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FED7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381 014 108,87</w:t>
            </w:r>
          </w:p>
        </w:tc>
      </w:tr>
      <w:tr w:rsidR="006D40B2" w:rsidRPr="0099621E" w14:paraId="7DCFAF80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D4F8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00064173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E19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Královské Vinohrady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86FB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728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B37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34E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012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6D40B2" w:rsidRPr="0099621E" w14:paraId="10E9A7C9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BC62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00098892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D13E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Olomouc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28F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365B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237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6EA4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E7D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6D40B2" w:rsidRPr="0099621E" w14:paraId="29A1484C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ACC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00843989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C777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Ostrava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F4A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11 688 899,00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5F8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2 604 898,50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66E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3 308 308,94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9F6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277 951 882,08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02B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1C778888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5916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00669806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73CB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Plzeň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BDB3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14 980 621,00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55D6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96B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34E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331 740 382,03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86F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28E4C2CB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7D2F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00159816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83B41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u sv. Anny v Brně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1BE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7CE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6E8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FFB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1 875 739 306,98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2B2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493 881 072,00</w:t>
            </w:r>
          </w:p>
        </w:tc>
      </w:tr>
      <w:tr w:rsidR="006D40B2" w:rsidRPr="0099621E" w14:paraId="203B5734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C0DB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00064203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08CF8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v Motole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BFD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19 509 542,00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5CD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13 005 944,16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BC95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25 378 944,61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73C9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414 484 707,11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B17C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5B23174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24AF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00183024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5094C" w14:textId="43932D96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Hamzova odborná léčebna pro děti a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dospělé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532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1 202 117,00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790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94 178,00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DF2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4 000 000,00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F00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35 841 695,15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F97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34 316 633,50</w:t>
            </w:r>
          </w:p>
        </w:tc>
      </w:tr>
      <w:tr w:rsidR="006D40B2" w:rsidRPr="0099621E" w14:paraId="38965700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4B6B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00023001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4A66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Institut klinické a experimentální medicíny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EEB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BD2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063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3FD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51F1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6D40B2" w:rsidRPr="0099621E" w14:paraId="4C2C0967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3D4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00023841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AB23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Institut postgraduálního vzdělávání ve zdravotnictví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1F9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54 347 000,00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3DA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51 750 000,00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A45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51 000 000,00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B007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87 000 000,00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E958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50 000 000,00</w:t>
            </w:r>
          </w:p>
        </w:tc>
      </w:tr>
      <w:tr w:rsidR="006D40B2" w:rsidRPr="0099621E" w14:paraId="1348C6F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A3B0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00669784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66AA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Léčebna tuberkulózy a respiračních nemocí Janov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456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2CE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69C4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9F1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50CC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2B48E0F4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28A1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00883573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9118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 xml:space="preserve">Léčebné lázně </w:t>
            </w:r>
            <w:proofErr w:type="spellStart"/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Lázně</w:t>
            </w:r>
            <w:proofErr w:type="spellEnd"/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 xml:space="preserve"> Kynžvart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7E8B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483 304,00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614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1F3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3CF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0C95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29 002 850,55</w:t>
            </w:r>
          </w:p>
        </w:tc>
      </w:tr>
      <w:tr w:rsidR="006D40B2" w:rsidRPr="0099621E" w14:paraId="0F6D0D57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BC18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00209805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EBB30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Masarykův onkologický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FEB7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1 438 241,00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211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934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8ED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A09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34F884EB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6A77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00023850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24959" w14:textId="0048B74D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Národní centrum ošetřovatelství a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nelékařských zdravotnických oborů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A75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25 890 500,00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3629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28 964 160,00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9C2A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29 469 000,00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2FF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37 539 000,00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5486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02352126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06DC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00023752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F77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Národní ústav duševního zdraví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89BD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396 241,00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6A1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52 000 000,00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CBE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25 000 000,00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2FF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25 838 261,01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EDE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6D40B2" w:rsidRPr="0099621E" w14:paraId="48B9B8D8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5B16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lastRenderedPageBreak/>
              <w:t>00064211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423F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nemocnice Bulovka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40E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49 806 698,00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CBD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21 416 774,00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BC7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42 287 649,00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E8E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1 484 254 813,69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658C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1697B131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006D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00023884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13CA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Nemocnice Na Homolce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9FD1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DA2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0DF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8A9F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AF3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344B3515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60F8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00583600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DE77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léčebna Červený Dvůr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42F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655 605,00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8C48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887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31B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6 180 756,00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312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6 547 042,88</w:t>
            </w:r>
          </w:p>
        </w:tc>
      </w:tr>
      <w:tr w:rsidR="006D40B2" w:rsidRPr="0099621E" w14:paraId="253E21B3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4736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00843954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C1A0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léčebna Šternberk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FD4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3 774 874,87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704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1 608 825,00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CFC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1 431 636,00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B39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42 818 415,47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B21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37 043 797,53</w:t>
            </w:r>
          </w:p>
        </w:tc>
      </w:tr>
      <w:tr w:rsidR="006D40B2" w:rsidRPr="0099621E" w14:paraId="09203474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9CAD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00064220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A9216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Bohnice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056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5 421 040,00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D94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15 000 000,00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3E0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13 000 000,00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3FF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FAB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6D40B2" w:rsidRPr="0099621E" w14:paraId="29AC215D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E90F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00160105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B0A7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Brno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2C61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2 789 205,00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4EE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CBE2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51F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56 628 328,71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FE68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54 045 774,48</w:t>
            </w:r>
          </w:p>
        </w:tc>
      </w:tr>
      <w:tr w:rsidR="006D40B2" w:rsidRPr="0099621E" w14:paraId="178AFF3E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AF79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00179230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81C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Havlíčkův Brod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D04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2 615 680,00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4E1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E24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A950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51 948 350,14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47E3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54 102 549,79</w:t>
            </w:r>
          </w:p>
        </w:tc>
      </w:tr>
      <w:tr w:rsidR="006D40B2" w:rsidRPr="0099621E" w14:paraId="6563CF53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9948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00673552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3BFF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Horní Beřkovice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5B2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1 212 500,34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1BB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18B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16A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7715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229 126,00</w:t>
            </w:r>
          </w:p>
        </w:tc>
      </w:tr>
      <w:tr w:rsidR="006D40B2" w:rsidRPr="0099621E" w14:paraId="2BB2EDC6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9053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00600601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E8C9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Jihlava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3EE1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F0F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98 130,00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792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0BE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45 942 103,73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6951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6D40B2" w:rsidRPr="0099621E" w14:paraId="3180A45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8AEB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00068691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FF8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Kosmonosy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8098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37B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56B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778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48 431 516,67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2ABA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40 764 881,01</w:t>
            </w:r>
          </w:p>
        </w:tc>
      </w:tr>
      <w:tr w:rsidR="006D40B2" w:rsidRPr="0099621E" w14:paraId="4AB8A554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D375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00851388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0347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Marianny Oranžské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711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525 306,00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59D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C9E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32A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4100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30C3C156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62DB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00669792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C2F25" w14:textId="00ACB65B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v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Dobřanech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9722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4 121 620,00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C7E6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3A5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246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7D3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6D40B2" w:rsidRPr="0099621E" w14:paraId="3528982B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A9C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00567914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DF9F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v Kroměříži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8E4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3 057 473,00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50D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75D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81B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69 966 588,70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3239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60F21649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7FD3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00844004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ADCF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Psychiatrická nemocnice v Opavě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D2D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2 577 088,00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C3B1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637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B364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66 853 887,58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E132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6D40B2" w:rsidRPr="0099621E" w14:paraId="4D848CA7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DB2A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00883581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C2A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Referenční laboratoře přírodních léčivých zdrojů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9BA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A84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0F6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9BB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BFF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3792C370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9C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00601233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824CC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Rehabilitační ústav Hrabyně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7B2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1 214 088,24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9673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1 000 000,00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F0D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280 000,00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8461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26 164 323,74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6854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2EA4451F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7BB4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00068705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65DF7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Rehabilitační ústav Kladruby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A1B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637 253,00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291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53C9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2F4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21 436 364,27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5AF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79A8DFDC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8C5A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00023728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4D95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Revmatologický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34C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B1F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59A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237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11 741 255,00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86D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</w:p>
        </w:tc>
      </w:tr>
      <w:tr w:rsidR="006D40B2" w:rsidRPr="0099621E" w14:paraId="66D8117E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017E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75010330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214D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Státní zdravotní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81B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221 280 121,00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9C47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226 408 778,00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B63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249 299 624,31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28A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308 770 451,00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95B8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312 579 050,00</w:t>
            </w:r>
          </w:p>
        </w:tc>
      </w:tr>
      <w:tr w:rsidR="006D40B2" w:rsidRPr="0099621E" w14:paraId="2CE0261D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05E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00064190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ED7B6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Fakultní Thomayerova nemocnice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387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88 724 132,00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BEF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93 417 396,00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711E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112 470 887,33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7539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457 100 258,00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AA6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76823207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EC72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00023736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596F3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Ústav hematologie a krevní transfúze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B15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E78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751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089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1C3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x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D40B2" w:rsidRPr="0099621E" w14:paraId="4AE59460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3984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00023698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6A45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Ústav pro péči o matku a dítě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D9D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5 440 503,00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FCC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2 254 000,00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440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2 206 486,00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4D7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51 039 784,65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7E4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57 237 391,00</w:t>
            </w:r>
          </w:p>
        </w:tc>
      </w:tr>
      <w:tr w:rsidR="006D40B2" w:rsidRPr="0099621E" w14:paraId="5A76642F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FE04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00064165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C2CF" w14:textId="7CDC6912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Všeobecná fakultní nemocnice v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 </w:t>
            </w: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Praze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537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37 496 276,44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EFE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25 090 934,19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3BD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30 873 488,79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99C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1 792 170 359,75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C48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519 751 463,49</w:t>
            </w:r>
          </w:p>
        </w:tc>
      </w:tr>
      <w:tr w:rsidR="006D40B2" w:rsidRPr="0099621E" w14:paraId="6C97B276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4ECC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71009396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A061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Zdravotní ústav se sídlem v Ostravě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292E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59 081 966,51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ECC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55 648 033,49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423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34 055 433,00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598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46 050 000,00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8815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77 642 274,86</w:t>
            </w:r>
          </w:p>
        </w:tc>
      </w:tr>
      <w:tr w:rsidR="006D40B2" w:rsidRPr="0099621E" w14:paraId="04F7631C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455E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71009361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DB3A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Zdravotní ústav se sídlem v Ústí nad Labem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FCC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56 950 000,00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A3A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025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E64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37 460 000,00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F26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rFonts w:asciiTheme="minorHAnsi" w:hAnsiTheme="minorHAnsi" w:cstheme="minorHAnsi"/>
                <w:color w:val="000000"/>
                <w:sz w:val="14"/>
                <w:szCs w:val="14"/>
                <w:lang w:eastAsia="cs-CZ"/>
              </w:rPr>
              <w:t>45 703 611,06</w:t>
            </w:r>
          </w:p>
        </w:tc>
      </w:tr>
      <w:tr w:rsidR="006D40B2" w:rsidRPr="0099621E" w14:paraId="05034371" w14:textId="77777777" w:rsidTr="006D40B2">
        <w:trPr>
          <w:trHeight w:val="255"/>
          <w:jc w:val="center"/>
        </w:trPr>
        <w:tc>
          <w:tcPr>
            <w:tcW w:w="3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21A1E3EB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99621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Celkem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AB1716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b/>
                <w:sz w:val="14"/>
                <w:szCs w:val="14"/>
              </w:rPr>
              <w:t>709 733 725,85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459789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b/>
                <w:sz w:val="14"/>
                <w:szCs w:val="14"/>
              </w:rPr>
              <w:t>617 526 202,44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7749E8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b/>
                <w:sz w:val="14"/>
                <w:szCs w:val="14"/>
              </w:rPr>
              <w:t>650 917 301,16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FF1D70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b/>
                <w:sz w:val="14"/>
                <w:szCs w:val="14"/>
              </w:rPr>
              <w:t>8 078 975 000,98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6BD27C9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  <w:highlight w:val="yellow"/>
              </w:rPr>
            </w:pPr>
            <w:r w:rsidRPr="009240AC">
              <w:rPr>
                <w:b/>
                <w:sz w:val="14"/>
                <w:szCs w:val="14"/>
              </w:rPr>
              <w:t>2 274 275 988,02</w:t>
            </w:r>
          </w:p>
        </w:tc>
      </w:tr>
    </w:tbl>
    <w:p w14:paraId="693F06B6" w14:textId="77777777" w:rsidR="006D40B2" w:rsidRPr="009240AC" w:rsidRDefault="006D40B2" w:rsidP="006D40B2">
      <w:pPr>
        <w:spacing w:before="40"/>
        <w:rPr>
          <w:rFonts w:cs="Calibri"/>
          <w:b/>
          <w:bCs/>
          <w:color w:val="000000"/>
          <w:sz w:val="20"/>
          <w:szCs w:val="20"/>
          <w:lang w:eastAsia="cs-CZ"/>
        </w:rPr>
      </w:pPr>
      <w:r w:rsidRPr="009240AC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="00B57F1A" w:rsidRPr="004E2D6E">
        <w:rPr>
          <w:rFonts w:cs="Calibri"/>
          <w:color w:val="000000"/>
          <w:sz w:val="20"/>
          <w:szCs w:val="20"/>
          <w:lang w:eastAsia="cs-CZ"/>
        </w:rPr>
        <w:t>I</w:t>
      </w:r>
      <w:r w:rsidRPr="009240AC">
        <w:rPr>
          <w:rFonts w:cs="Calibri"/>
          <w:color w:val="000000"/>
          <w:sz w:val="20"/>
          <w:szCs w:val="20"/>
          <w:lang w:eastAsia="cs-CZ"/>
        </w:rPr>
        <w:t xml:space="preserve">ISSP-CSÚIS – výkaz „přehled o rozpočtu SPO – část II“ (údaje ze sloupce </w:t>
      </w:r>
      <w:r w:rsidRPr="009240AC">
        <w:rPr>
          <w:rFonts w:cs="Calibri"/>
          <w:i/>
          <w:color w:val="000000"/>
          <w:sz w:val="20"/>
          <w:szCs w:val="20"/>
          <w:lang w:eastAsia="cs-CZ"/>
        </w:rPr>
        <w:t>Skutečnost minulého roku v Kč</w:t>
      </w:r>
      <w:r w:rsidRPr="009240AC">
        <w:rPr>
          <w:rFonts w:cs="Calibri"/>
          <w:color w:val="000000"/>
          <w:sz w:val="20"/>
          <w:szCs w:val="20"/>
          <w:lang w:eastAsia="cs-CZ"/>
        </w:rPr>
        <w:t>).</w:t>
      </w:r>
    </w:p>
    <w:p w14:paraId="31F16AF4" w14:textId="13296BBE" w:rsidR="006D40B2" w:rsidRPr="009240AC" w:rsidRDefault="006D40B2" w:rsidP="0070153D">
      <w:pPr>
        <w:pStyle w:val="Titulek1"/>
        <w:tabs>
          <w:tab w:val="clear" w:pos="9356"/>
        </w:tabs>
        <w:spacing w:before="240"/>
        <w:rPr>
          <w:sz w:val="24"/>
        </w:rPr>
      </w:pPr>
      <w:bookmarkStart w:id="137" w:name="_Toc8984558"/>
      <w:bookmarkStart w:id="138" w:name="_Toc72157496"/>
      <w:r w:rsidRPr="009240AC">
        <w:rPr>
          <w:sz w:val="24"/>
        </w:rPr>
        <w:t xml:space="preserve">Tabulka č. </w:t>
      </w:r>
      <w:r w:rsidRPr="009240AC">
        <w:rPr>
          <w:sz w:val="24"/>
        </w:rPr>
        <w:fldChar w:fldCharType="begin"/>
      </w:r>
      <w:r w:rsidRPr="009240AC">
        <w:rPr>
          <w:sz w:val="24"/>
        </w:rPr>
        <w:instrText xml:space="preserve"> SEQ Tabulka \* ARABIC </w:instrText>
      </w:r>
      <w:r w:rsidRPr="009240AC">
        <w:rPr>
          <w:sz w:val="24"/>
        </w:rPr>
        <w:fldChar w:fldCharType="separate"/>
      </w:r>
      <w:r w:rsidR="009A66D8">
        <w:rPr>
          <w:noProof/>
          <w:sz w:val="24"/>
        </w:rPr>
        <w:t>40</w:t>
      </w:r>
      <w:r w:rsidRPr="009240AC">
        <w:rPr>
          <w:noProof/>
          <w:sz w:val="24"/>
        </w:rPr>
        <w:fldChar w:fldCharType="end"/>
      </w:r>
      <w:r w:rsidRPr="009240AC">
        <w:rPr>
          <w:sz w:val="24"/>
        </w:rPr>
        <w:t>: Podíl výnosů z transferů PO v </w:t>
      </w:r>
      <w:proofErr w:type="spellStart"/>
      <w:r w:rsidRPr="009240AC">
        <w:rPr>
          <w:sz w:val="24"/>
        </w:rPr>
        <w:t>rozp</w:t>
      </w:r>
      <w:proofErr w:type="spellEnd"/>
      <w:r w:rsidRPr="009240AC">
        <w:rPr>
          <w:sz w:val="24"/>
        </w:rPr>
        <w:t>. kapitole 335 na celkových výnosech PO</w:t>
      </w:r>
      <w:bookmarkEnd w:id="137"/>
      <w:bookmarkEnd w:id="138"/>
    </w:p>
    <w:tbl>
      <w:tblPr>
        <w:tblW w:w="91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2268"/>
        <w:gridCol w:w="1219"/>
        <w:gridCol w:w="1219"/>
        <w:gridCol w:w="1219"/>
        <w:gridCol w:w="1219"/>
        <w:gridCol w:w="1219"/>
      </w:tblGrid>
      <w:tr w:rsidR="006D40B2" w:rsidRPr="0099621E" w14:paraId="0A2FE745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5A0EFA1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IČO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A15B6EC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Účetní jednotka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E1767DC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2F81A85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31E319C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86230F2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9FC96BF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2021</w:t>
            </w:r>
          </w:p>
        </w:tc>
      </w:tr>
      <w:tr w:rsidR="006D40B2" w:rsidRPr="0099621E" w14:paraId="02ACFCF8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949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00209775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60B4" w14:textId="2EB7BF9A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Centrum kardiovaskulární 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transplantační chirurgie Brno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A48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0,95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497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C2A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0,69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6C0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0,58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7A8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3,16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3D73BBBB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5AE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00842052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7110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Dětská psychiatrická nemocnice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3EF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0,60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6C0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0,06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550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DDC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9,71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61F8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6,80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5B2E6D4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D84B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00831034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632D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Dětská psychiatrická nemocnice Louny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9C7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0,82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BF3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0,37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A03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0,23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4FB6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8,32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6D4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6,74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2524B763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2908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00667421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05D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Dětská psychiatrická nemocnice Opařany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5B6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398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0,06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22B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0,06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DB7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9,69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55B8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41,76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2ACB3A4E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220A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00023761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A1A3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Endokrinologický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D96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26,07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59E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37,82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B4B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34,31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49A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28,91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4C44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30,66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27994F0B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9B5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65269705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F78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Fakultní nemocnice Brno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1F7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2,05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534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2,55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CCA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2,32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A77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16,84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94BA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5,91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5CD0E13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2400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00179906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E705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Fakultní nemocnice Hradec Králové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28E8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2,06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61A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2,01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565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1,80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6DB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5,41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06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5,43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702E28D8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E13E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00064173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AE867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Fakultní nemocnice Královské Vinohrady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B24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1,27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099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1,25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0BD7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1,41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1CB4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11,41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1754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5,06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33C0C2D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DBCF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00098892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590F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Fakultní nemocnice Olomouc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6B8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0,96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835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0,70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791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0,84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7B6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4,06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C685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4,36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6AF77B7C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FF20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00843989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5439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Fakultní nemocnice Ostrava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1A9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1,17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3E3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0,93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ADA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0,81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D7A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4,60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6C7B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4,13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7A62AF28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2801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00669806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6DD5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Fakultní nemocnice Plzeň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321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0,96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483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0,93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3D5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0,91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2B2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4,69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A7F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4,55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0C83B611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81C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00159816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9746" w14:textId="5A3E50EF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Fakultní nemocnice u sv. Anny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Brně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A2EB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13,13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38D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12,79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0853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11,81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659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28,47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516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12,99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496C5FD0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5A2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00064203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876C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Fakultní nemocnice v Motole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EF2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2,35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CE5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1,96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6AC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1,78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E3F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4,99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CE00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4,52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66F248B3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8986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00183024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C727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Hamzova odborná léčebna pro děti a dospělé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51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0,36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10A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BA5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0,92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CBF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6,53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4C9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6,15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7B1A7B9B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EC2A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00023001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01219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Institut klinické a experimentální medicíny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394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5,73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22D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5,36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779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4,89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A6A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6,85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B795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5,87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22F3F4F8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DF5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00023841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29ED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Institut postgraduálního vzdělávání ve zdravotnictví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3A7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29,75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F17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30,92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48DB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32,85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833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51,44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DDD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38,69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03554B26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979A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00669784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9A9B0" w14:textId="23B3C06F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Léčebna tuberkulózy 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respiračních nemocí Janov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AE5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2,59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0EF2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0B4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2,96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618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10,61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24D1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9,09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4412F95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9CB6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00883573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DCE5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 xml:space="preserve">Léčebné lázně </w:t>
            </w:r>
            <w:proofErr w:type="spellStart"/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Lázně</w:t>
            </w:r>
            <w:proofErr w:type="spellEnd"/>
            <w:r w:rsidRPr="009240AC">
              <w:rPr>
                <w:rFonts w:asciiTheme="minorHAnsi" w:hAnsiTheme="minorHAnsi" w:cstheme="minorHAnsi"/>
                <w:sz w:val="16"/>
                <w:szCs w:val="16"/>
              </w:rPr>
              <w:t xml:space="preserve"> Kynžvart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017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1,38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84D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0,92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69A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B45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13,33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09F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19,52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2F398005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B7D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00209805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1A75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Masarykův onkologický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B73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5,30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D7F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4,97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5568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5,28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427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7,51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D00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7,11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129F50AC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087F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00023850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D151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Národní centrum ošetřovatelství a nelékařských zdravotnických oborů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00D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46,62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3D7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53,69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315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58,75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3BF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72,36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F265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62,97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43520D81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146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00023752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030B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Národní ústav duševního zdraví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381B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78,17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3C5E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83,09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53B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74,72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049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80,61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4F5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77,70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6F8AEEDE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F796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00064211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31AA5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Fakultní nemocnice Bulovka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0E0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2,51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CD1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1,59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3EE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2,16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E0ED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28,01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099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7,49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4025914B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C0D8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00023884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0499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Nemocnice Na Homolce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E2B2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0,80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ABF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0,67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42E6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0,59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C8B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3,44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4B6C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3,51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707CC957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B446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00583600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CCF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Psychiatrická léčebna Červený Dvůr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794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1,52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051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0,55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25B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0,46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D05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9,01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852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5,78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444B6E98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FF1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00843954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A481B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Psychiatrická léčebna Šternberk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D034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1,17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BCD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0,44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BD4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0,36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6F3D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9,51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6244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9,43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1F8F7EDE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A825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00064220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4EA3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Psychiatrická nemocnice Bohnice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89B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1,72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551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2,40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7B1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2,33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68A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8,34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4FBD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8,90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7B2484CE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D0DB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00160105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42F8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Psychiatrická nemocnice Brno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DCA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0,85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44E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0,27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2B91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0,31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CF3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9,48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53FF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6788111D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C00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00179230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D93B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Psychiatrická nemocnice Havlíčkův Brod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715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0,56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012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0,28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406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0,87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024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8,20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C9C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7,84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2D6EE579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715B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00673552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988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Psychiatrická nemocnice Horní Beřkovice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950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1,06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493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949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0,19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C42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8,74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37C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20F03C89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296D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00600601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0599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Psychiatrická nemocnice Jihlava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3B7F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0,94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627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0,23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19A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0,17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7B3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9,88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20F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8,53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26909883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0BF7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00068691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AE569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Psychiatrická nemocnice Kosmonosy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CF7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0,93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6549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0,56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926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0,90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4659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9,22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9F6D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6,81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375563D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A8CB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00851388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26FF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Psychiatrická nemocnice Marianny Oranžské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E7C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0,58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2FF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0,05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971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BD3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6,56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37E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6,63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16245210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458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00669792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9C441" w14:textId="41EA3379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Psychiatrická nemocnice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Dobřanech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A94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2DC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0,14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50C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0,98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F86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7,91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742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7,31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7D7049B4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E025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00567914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A4FD" w14:textId="50C577EE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Psychiatrická nemocnice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Kroměříži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449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0,56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538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94E9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0,58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9BE7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9,07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BD3F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6,82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68299E44" w14:textId="77777777" w:rsidTr="004E2D6E">
        <w:trPr>
          <w:trHeight w:val="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727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00844004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B3EB" w14:textId="4296D089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Psychiatrická nemocnice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Opavě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07C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1,19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1D9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0,72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D73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1,23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486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10,47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54EB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0562B18E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842D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00883581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7449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Referenční laboratoře přírodních léčivých zdrojů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E85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13,86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1B7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0,80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87D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1B33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67E2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73A03248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531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00601233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EC7A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Rehabilitační ústav Hrabyně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BF5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0,77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31B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0,35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B3F0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0,09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D71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7,38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689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7,73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3F9910CD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F4A8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00068705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BEA6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Rehabilitační ústav Kladruby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DC8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1,94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8C1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7F7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1,39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A12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7,37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E8C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7,25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D16CA1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5665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00023728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5D4C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Revmatologický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092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4,11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B6C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4,87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683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7B2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6,58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20D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6,49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46C62BB3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1F09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75010330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8313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Státní zdravotní ústav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2B7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73,23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83F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74,91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9D3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74,55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8A6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73,96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413B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73,86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15C6F8B3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D66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00064190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F70F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Fakultní Thomayerova nemocnice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0CE9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6,31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766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6,18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6D4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6,10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61A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17,24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751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8,48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3515463A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B79C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00023736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38136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Ústav hematologie a krevní transfúze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0CE8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4,81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100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5,77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71A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5,37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FC1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5,38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EC69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5,16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0DCFC13E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01D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00023698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6E4ED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Ústav pro péči o matku a dítě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39C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2,64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684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2,92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C60D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3,30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9A9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9,37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F97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8,07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056EE177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22CA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00064165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9338" w14:textId="2ECAE0E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Všeobecná fakultní nemocnice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Praze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C4A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3,05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178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2,49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8BB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2,20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2C9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16,43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EBA5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5,79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18D0ADA7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478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71009396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FF52" w14:textId="3822BC2F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Zdravotní ústav se sídlem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Ostravě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D65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17,16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851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16,21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1B3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10,90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193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10,62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03AE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12,01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3795D05B" w14:textId="77777777" w:rsidTr="006D40B2">
        <w:trPr>
          <w:trHeight w:val="255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96B5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71009361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4DF9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Zdravotní ústav se sídlem v Ústí nad Labem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0BB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15,21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E4F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9,22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48E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9,61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CC45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9,49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1E2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10,58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40AC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F3EF9E5" w14:textId="77777777" w:rsidTr="006D40B2">
        <w:trPr>
          <w:trHeight w:val="255"/>
          <w:jc w:val="center"/>
        </w:trPr>
        <w:tc>
          <w:tcPr>
            <w:tcW w:w="3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0966F539" w14:textId="77777777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B3779A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 xml:space="preserve">Podíl výnosů z transferů PO v </w:t>
            </w:r>
            <w:proofErr w:type="spellStart"/>
            <w:r w:rsidRPr="00B3779A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rozp</w:t>
            </w:r>
            <w:proofErr w:type="spellEnd"/>
            <w:r w:rsidRPr="00B3779A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. kapitole 335 na celkových výnosech PO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DDA4E1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b/>
                <w:sz w:val="16"/>
                <w:szCs w:val="16"/>
              </w:rPr>
              <w:t>3,58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240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AF2C60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b/>
                <w:sz w:val="16"/>
                <w:szCs w:val="16"/>
              </w:rPr>
              <w:t>3,51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240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EA32C0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b/>
                <w:sz w:val="16"/>
                <w:szCs w:val="16"/>
              </w:rPr>
              <w:t>3,33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240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4DC87D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b/>
                <w:sz w:val="16"/>
                <w:szCs w:val="16"/>
              </w:rPr>
              <w:t>11,79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240AC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0B55378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9240AC">
              <w:rPr>
                <w:b/>
                <w:sz w:val="16"/>
                <w:szCs w:val="16"/>
              </w:rPr>
              <w:t>6,65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240AC">
              <w:rPr>
                <w:b/>
                <w:sz w:val="16"/>
                <w:szCs w:val="16"/>
              </w:rPr>
              <w:t>%</w:t>
            </w:r>
          </w:p>
        </w:tc>
      </w:tr>
    </w:tbl>
    <w:p w14:paraId="0E05C293" w14:textId="77777777" w:rsidR="006D40B2" w:rsidRPr="009240AC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9240AC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9240AC">
        <w:rPr>
          <w:rFonts w:cs="Calibri"/>
          <w:color w:val="000000"/>
          <w:sz w:val="20"/>
          <w:szCs w:val="20"/>
          <w:lang w:eastAsia="cs-CZ"/>
        </w:rPr>
        <w:t>informační portál MONITOR; výpočet vypracoval NKÚ.</w:t>
      </w:r>
    </w:p>
    <w:p w14:paraId="0E0648F6" w14:textId="157FC65E" w:rsidR="006D40B2" w:rsidRPr="009240AC" w:rsidRDefault="006D40B2" w:rsidP="002F5988">
      <w:pPr>
        <w:pStyle w:val="Titulek1"/>
        <w:spacing w:before="240"/>
        <w:rPr>
          <w:sz w:val="24"/>
        </w:rPr>
      </w:pPr>
      <w:bookmarkStart w:id="139" w:name="_Toc520714352"/>
      <w:bookmarkStart w:id="140" w:name="_Toc8984559"/>
      <w:bookmarkStart w:id="141" w:name="_Toc72157497"/>
      <w:r w:rsidRPr="009240AC">
        <w:rPr>
          <w:sz w:val="24"/>
        </w:rPr>
        <w:t xml:space="preserve">Tabulka č. </w:t>
      </w:r>
      <w:r w:rsidRPr="009240AC">
        <w:rPr>
          <w:sz w:val="24"/>
        </w:rPr>
        <w:fldChar w:fldCharType="begin"/>
      </w:r>
      <w:r w:rsidRPr="009240AC">
        <w:rPr>
          <w:sz w:val="24"/>
        </w:rPr>
        <w:instrText xml:space="preserve"> SEQ Tabulka \* ARABIC </w:instrText>
      </w:r>
      <w:r w:rsidRPr="009240AC">
        <w:rPr>
          <w:sz w:val="24"/>
        </w:rPr>
        <w:fldChar w:fldCharType="separate"/>
      </w:r>
      <w:r w:rsidR="009A66D8">
        <w:rPr>
          <w:noProof/>
          <w:sz w:val="24"/>
        </w:rPr>
        <w:t>41</w:t>
      </w:r>
      <w:r w:rsidRPr="009240AC">
        <w:rPr>
          <w:noProof/>
          <w:sz w:val="24"/>
        </w:rPr>
        <w:fldChar w:fldCharType="end"/>
      </w:r>
      <w:r w:rsidRPr="009240AC">
        <w:rPr>
          <w:sz w:val="24"/>
        </w:rPr>
        <w:t>: Podíl příspěvku na provoz na celkových výnosech PO</w:t>
      </w:r>
      <w:bookmarkEnd w:id="139"/>
      <w:bookmarkEnd w:id="140"/>
      <w:bookmarkEnd w:id="141"/>
    </w:p>
    <w:tbl>
      <w:tblPr>
        <w:tblW w:w="91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2266"/>
        <w:gridCol w:w="1217"/>
        <w:gridCol w:w="1219"/>
        <w:gridCol w:w="1219"/>
        <w:gridCol w:w="1219"/>
        <w:gridCol w:w="1224"/>
      </w:tblGrid>
      <w:tr w:rsidR="006D40B2" w:rsidRPr="0099621E" w14:paraId="1F096FC0" w14:textId="77777777" w:rsidTr="004E2D6E">
        <w:trPr>
          <w:trHeight w:val="340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2229CAC1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IČO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854093C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Účetní jednotka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AF30257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7AD7848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4EC303B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34032B9D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2020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8ACFA40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2021</w:t>
            </w:r>
          </w:p>
        </w:tc>
      </w:tr>
      <w:tr w:rsidR="006D40B2" w:rsidRPr="0099621E" w14:paraId="62D4CA0F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CE06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00209775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9BA3" w14:textId="1F299C7E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Centrum kardiovaskulární 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transplantační chirurgie Brno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A5C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0D9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90E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0,69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5E47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0,58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A1DC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3,16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017F8B9B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83D5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00842052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48D0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Dětská psychiatrická nemocnice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238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0,60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2B2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A42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3BE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8,89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A3F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345CC743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631F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00831034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5D60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Dětská psychiatrická nemocnice Louny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90B4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357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857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8725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1EF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4C5563AF" w14:textId="77777777" w:rsidTr="004E2D6E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2D74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00667421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AC5B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Dětská psychiatrická nemocnice Opařany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0A8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0,44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E2F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BB8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3B8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9,64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609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41,72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05E3E41C" w14:textId="77777777" w:rsidTr="004E2D6E">
        <w:trPr>
          <w:trHeight w:val="25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20D3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lastRenderedPageBreak/>
              <w:t>00023761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DE68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Endokrinologický ústav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21B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7,10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6FFB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12,45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A71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8,96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D8E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8,87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1C4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1F8137E5" w14:textId="77777777" w:rsidTr="004E2D6E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BEBF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65269705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5E2E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Fakultní nemocnice Brno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FEC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BD9B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BE3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023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DA2F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0A371FF3" w14:textId="77777777" w:rsidTr="004E2D6E">
        <w:trPr>
          <w:trHeight w:val="25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0A15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00179906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1A2D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Fakultní nemocnice Hradec Králové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07E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0,36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5E2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0,13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C6A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26E2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3,92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AF4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3,96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0930D210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743B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00064173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FC2A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Fakultní nemocnice Královské Vinohrady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8D2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1BD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82F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D7C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21F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1D81F8E1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598C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00098892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305F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Fakultní nemocnice Olomouc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5E3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41B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C64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0FE6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D1A2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02919B14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A2FC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00843989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6FD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Fakultní nemocnice Ostrava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08FB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0,23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99A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440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3A35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3,90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AA0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294A6B59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068A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00669806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9F6B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Fakultní nemocnice Plzeň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C10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0,23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399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00D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022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3,88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4E3F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203806C9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0F66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00159816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7C46" w14:textId="1A655123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Fakultní nemocnice u sv. Anny v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Brně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301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D81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EBB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197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22,25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840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7,21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050A5B49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2091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00064203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227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Fakultní nemocnice v Motole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BCC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0,23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08CF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0,14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C12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0,25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F46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3,52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D6F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7868B6FB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B0AB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00183024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9651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Hamzova odborná léčebna pro děti a dospělé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D878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0,31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61C3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63F3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0,87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8F1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6,53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95E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6,10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29E60A73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AE1F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00023001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CDAE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Institut klinické a experimentální medicíny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4DB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9C6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D79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8FF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6F6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43182A44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9D50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00023841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0777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Institut postgraduálního vzdělávání ve zdravotnictví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2E6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29,75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2A6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27,63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E81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26,75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8E5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44,11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BB7D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28,54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3DE5CEC5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3BE9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00669784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1EE1" w14:textId="3BE66A81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Léčebna tuberkulózy 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respiračních nemocí Janov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714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0C54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F54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6E08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AF6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5D9335E3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38EE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00883573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D961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Léčebné lázně </w:t>
            </w:r>
            <w:proofErr w:type="spellStart"/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Lázně</w:t>
            </w:r>
            <w:proofErr w:type="spellEnd"/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Kynžvart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E2CA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0,54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3C9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795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14E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16D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19,43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5BFE5429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2D63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00209805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2CB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Masarykův onkologický ústav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7AB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06DF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3C8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FB0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942A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6ADD3C0B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6C8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00023850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70FC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Národní centrum ošetřovatelství a nelékařských zdravotnických oborů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49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35,67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944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34,45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FBF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31,14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A93E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39,38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8652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11F87220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58A6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00023752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AC7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Národní ústav duševního zdraví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90F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0,16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4D3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15,30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CEE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7,10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B1D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7,19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305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48E51BE5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DF4A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00064211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CD10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Fakultní nemocnice Bulovka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949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1,61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258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0,70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55E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1,20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99C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27,28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C5C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20168280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F28A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00023884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638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Nemocnice Na Homolce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681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097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94B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612E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14EB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555BAAB4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A2D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00583600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8361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Psychiatrická léčebna Červený Dvůr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C81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0,96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593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8C58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DC6E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6,11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421A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5,78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6721D6FD" w14:textId="77777777" w:rsidTr="004E2D6E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AD95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00843954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0012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Psychiatrická léčebna Šternberk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B5A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1,17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0FC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0,44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00B8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0,36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350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9,51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91D9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7,79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750414A9" w14:textId="77777777" w:rsidTr="004E2D6E">
        <w:trPr>
          <w:trHeight w:val="25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A8A4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00064220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684E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Psychiatrická nemocnice Bohnice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1522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0,54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5A0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1,38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4B3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1,07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FE7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807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3CA812E2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9EA4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00160105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CE2B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Psychiatrická nemocnice Brno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4A9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0,56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968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067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123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8,34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F79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7,81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509D948F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4192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00179230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52CDF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Psychiatrická nemocnice Havlíčkův Brod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2EA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0,56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3C4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E69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AE9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8,11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B880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7,83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4DDC9571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1800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00673552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A0FA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Psychiatrická nemocnice Horní Beřkovice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5CA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0,38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579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55C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D0C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1A82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1DBB724A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EF83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00600601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37CE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Psychiatrická nemocnice Jihlava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B8AB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6C4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169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66F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9,75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6D52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0F4594C0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3ACE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00068691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B3F9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Psychiatrická nemocnice Kosmonosy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27B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12D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46BB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37E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9,12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464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6,81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145828D3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33A2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00851388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1BC4B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Psychiatrická nemocnice Marianny Oranžské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7F8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0,58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638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C59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681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3BDE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0327EEA3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D03E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00669792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86BA" w14:textId="1190B8F3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Psychiatrická nemocnice v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Dobřanech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943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0,50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EEB8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7DC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A0BC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614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48A48354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90C6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00567914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C032" w14:textId="7813ECD5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Psychiatrická nemocnice v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Kroměříži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F47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0,56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2D5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1DF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C7B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9,07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DE7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43E6E942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1B95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00844004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1CCF" w14:textId="2F71AE2D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Psychiatrická nemocnice v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Opavě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830C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0,48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0F3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4F27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930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9,10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69C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2C048A00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6D75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00883581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EB3B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Referenční laboratoře přírodních léčivých zdrojů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2C7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13,86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EE8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0689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9731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64C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423135D0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FC10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00601233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D864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Rehabilitační ústav Hrabyně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415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0,44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20F6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0,35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5F05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0,09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C7C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7,38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90B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4B93954C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008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00068705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5A15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Rehabilitační ústav Kladruby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B61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0,23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523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2150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DF85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6,13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A28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369F2D2F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668A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00023728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A57C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Revmatologický ústav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488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817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5F3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B3D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1,58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950D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71A0437E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3F31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75010330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E97B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Státní zdravotní ústav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AF3B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58,34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949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54,36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4E1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52,10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6FE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56,16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D609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52,11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1838BC61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3E86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00064190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56FF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Fakultní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Thomayerova nemocnice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56F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3,24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416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3,13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FA4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3,50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7AE6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10,87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586F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2B7B2EE2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A3B0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00023736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77799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Ústav hematologie a krevní transfúze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E832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A82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69F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400B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553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09FFFE1D" w14:textId="77777777" w:rsidTr="006D40B2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54B1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00023698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D3CE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Ústav pro péči o matku a dítě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66F1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0,91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B14F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0,34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0842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0,31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858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6,02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E0AC4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5,09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06813100" w14:textId="77777777" w:rsidTr="004E2D6E">
        <w:trPr>
          <w:trHeight w:val="255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4A25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00064165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D3C57" w14:textId="3733C57F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Všeobecná fakultní nemocnice v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Praze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B9B7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0,45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1485E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0,28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226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0,31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B013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14,97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5768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4,28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057E1AC7" w14:textId="77777777" w:rsidTr="004E2D6E">
        <w:trPr>
          <w:trHeight w:val="25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8E90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lastRenderedPageBreak/>
              <w:t>71009396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01AD" w14:textId="582C681C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Zdravotní ústav se sídlem v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Ostravě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421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13,22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F41A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11,67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71A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7,12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A05C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7,27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D158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9,41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37A78392" w14:textId="77777777" w:rsidTr="004E2D6E">
        <w:trPr>
          <w:trHeight w:val="25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6CB" w14:textId="77777777" w:rsidR="006D40B2" w:rsidRPr="009240AC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71009361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B3EC" w14:textId="77777777" w:rsidR="006D40B2" w:rsidRPr="009240AC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Zdravotní ústav se sídlem v Ústí nad Labem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826F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13,13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E7CF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E9BD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9C9B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9,30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8879" w14:textId="77777777" w:rsidR="006D40B2" w:rsidRPr="009240AC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10,58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6355D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6D40B2" w:rsidRPr="0099621E" w14:paraId="105027F5" w14:textId="77777777" w:rsidTr="006D40B2">
        <w:trPr>
          <w:trHeight w:val="255"/>
          <w:jc w:val="center"/>
        </w:trPr>
        <w:tc>
          <w:tcPr>
            <w:tcW w:w="30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306F3AF4" w14:textId="3AA2E53F" w:rsidR="006D40B2" w:rsidRPr="0099621E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B3779A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Podíl příspěvku na provoz na celkových výnosech PO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6355DFC" w14:textId="77777777" w:rsidR="006D40B2" w:rsidRPr="00B3779A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B3779A">
              <w:rPr>
                <w:b/>
                <w:sz w:val="16"/>
                <w:szCs w:val="16"/>
              </w:rPr>
              <w:t>0,85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3779A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86360FE" w14:textId="77777777" w:rsidR="006D40B2" w:rsidRPr="00B3779A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B3779A">
              <w:rPr>
                <w:b/>
                <w:sz w:val="16"/>
                <w:szCs w:val="16"/>
              </w:rPr>
              <w:t>0,68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3779A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78CBEF2" w14:textId="77777777" w:rsidR="006D40B2" w:rsidRPr="00B3779A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B3779A">
              <w:rPr>
                <w:b/>
                <w:sz w:val="16"/>
                <w:szCs w:val="16"/>
              </w:rPr>
              <w:t>0,66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3779A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D863F7A" w14:textId="77777777" w:rsidR="006D40B2" w:rsidRPr="00B3779A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B3779A">
              <w:rPr>
                <w:b/>
                <w:sz w:val="16"/>
                <w:szCs w:val="16"/>
              </w:rPr>
              <w:t>6,67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3779A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323E04F0" w14:textId="77777777" w:rsidR="006D40B2" w:rsidRPr="00B3779A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B3779A">
              <w:rPr>
                <w:b/>
                <w:sz w:val="16"/>
                <w:szCs w:val="16"/>
              </w:rPr>
              <w:t>1,72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3779A">
              <w:rPr>
                <w:b/>
                <w:sz w:val="16"/>
                <w:szCs w:val="16"/>
              </w:rPr>
              <w:t>%</w:t>
            </w:r>
          </w:p>
        </w:tc>
      </w:tr>
    </w:tbl>
    <w:p w14:paraId="6E19A164" w14:textId="77777777" w:rsidR="006D40B2" w:rsidRPr="00B3779A" w:rsidRDefault="006D40B2" w:rsidP="006D40B2">
      <w:pPr>
        <w:spacing w:before="40"/>
        <w:ind w:left="567" w:hanging="567"/>
        <w:rPr>
          <w:rFonts w:cs="Calibri"/>
          <w:color w:val="000000"/>
          <w:sz w:val="20"/>
          <w:szCs w:val="20"/>
          <w:lang w:eastAsia="cs-CZ"/>
        </w:rPr>
      </w:pPr>
      <w:r w:rsidRPr="00B3779A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B3779A">
        <w:rPr>
          <w:rFonts w:cs="Calibri"/>
          <w:color w:val="000000"/>
          <w:sz w:val="20"/>
          <w:szCs w:val="20"/>
          <w:lang w:eastAsia="cs-CZ"/>
        </w:rPr>
        <w:t xml:space="preserve">CSÚIS, </w:t>
      </w:r>
      <w:r w:rsidR="00B57F1A">
        <w:rPr>
          <w:rFonts w:cs="Calibri"/>
          <w:color w:val="000000"/>
          <w:sz w:val="20"/>
          <w:szCs w:val="20"/>
          <w:lang w:eastAsia="cs-CZ"/>
        </w:rPr>
        <w:t>I</w:t>
      </w:r>
      <w:r w:rsidRPr="00B3779A">
        <w:rPr>
          <w:rFonts w:cs="Calibri"/>
          <w:color w:val="000000"/>
          <w:sz w:val="20"/>
          <w:szCs w:val="20"/>
          <w:lang w:eastAsia="cs-CZ"/>
        </w:rPr>
        <w:t xml:space="preserve">ISSP-CSÚIS – výkaz „přehled o rozpočtu SPO – část II“ (údaje ze sloupce </w:t>
      </w:r>
      <w:r w:rsidRPr="00B3779A">
        <w:rPr>
          <w:rFonts w:cs="Calibri"/>
          <w:i/>
          <w:color w:val="000000"/>
          <w:sz w:val="20"/>
          <w:szCs w:val="20"/>
          <w:lang w:eastAsia="cs-CZ"/>
        </w:rPr>
        <w:t>Skutečnost minulého roku v Kč</w:t>
      </w:r>
      <w:r w:rsidRPr="00B3779A">
        <w:rPr>
          <w:rFonts w:cs="Calibri"/>
          <w:color w:val="000000"/>
          <w:sz w:val="20"/>
          <w:szCs w:val="20"/>
          <w:lang w:eastAsia="cs-CZ"/>
        </w:rPr>
        <w:t>);</w:t>
      </w:r>
      <w:r w:rsidRPr="00B3779A">
        <w:rPr>
          <w:i/>
          <w:color w:val="000000"/>
          <w:sz w:val="20"/>
          <w:lang w:eastAsia="cs-CZ"/>
        </w:rPr>
        <w:t xml:space="preserve"> </w:t>
      </w:r>
      <w:r w:rsidRPr="00B3779A">
        <w:rPr>
          <w:color w:val="000000"/>
          <w:sz w:val="20"/>
          <w:lang w:eastAsia="cs-CZ"/>
        </w:rPr>
        <w:t>výpočet vypracoval NKÚ</w:t>
      </w:r>
      <w:r w:rsidRPr="00B3779A">
        <w:rPr>
          <w:rFonts w:cs="Calibri"/>
          <w:color w:val="000000"/>
          <w:sz w:val="20"/>
          <w:szCs w:val="20"/>
          <w:lang w:eastAsia="cs-CZ"/>
        </w:rPr>
        <w:t>.</w:t>
      </w:r>
    </w:p>
    <w:p w14:paraId="68516CCA" w14:textId="16BC7D2A" w:rsidR="006D40B2" w:rsidRPr="00A077C6" w:rsidRDefault="006D40B2" w:rsidP="0070153D">
      <w:pPr>
        <w:pStyle w:val="Titulek1"/>
        <w:spacing w:before="240"/>
        <w:rPr>
          <w:sz w:val="24"/>
        </w:rPr>
      </w:pPr>
      <w:bookmarkStart w:id="142" w:name="_Toc520714353"/>
      <w:bookmarkStart w:id="143" w:name="_Toc8984560"/>
      <w:bookmarkStart w:id="144" w:name="_Toc72157498"/>
      <w:r w:rsidRPr="00A077C6">
        <w:rPr>
          <w:sz w:val="24"/>
        </w:rPr>
        <w:t xml:space="preserve">Tabulka č. </w:t>
      </w:r>
      <w:r w:rsidRPr="00A077C6">
        <w:rPr>
          <w:sz w:val="24"/>
        </w:rPr>
        <w:fldChar w:fldCharType="begin"/>
      </w:r>
      <w:r w:rsidRPr="00A077C6">
        <w:rPr>
          <w:sz w:val="24"/>
        </w:rPr>
        <w:instrText xml:space="preserve"> SEQ Tabulka \* ARABIC </w:instrText>
      </w:r>
      <w:r w:rsidRPr="00A077C6">
        <w:rPr>
          <w:sz w:val="24"/>
        </w:rPr>
        <w:fldChar w:fldCharType="separate"/>
      </w:r>
      <w:r w:rsidR="009A66D8">
        <w:rPr>
          <w:noProof/>
          <w:sz w:val="24"/>
        </w:rPr>
        <w:t>42</w:t>
      </w:r>
      <w:r w:rsidRPr="00A077C6">
        <w:rPr>
          <w:noProof/>
          <w:sz w:val="24"/>
        </w:rPr>
        <w:fldChar w:fldCharType="end"/>
      </w:r>
      <w:r w:rsidRPr="00A077C6">
        <w:rPr>
          <w:sz w:val="24"/>
        </w:rPr>
        <w:t>: Podíl příspěvku na provoz na výnosech z transferů PO (účet 671)</w:t>
      </w:r>
      <w:bookmarkEnd w:id="142"/>
      <w:bookmarkEnd w:id="143"/>
      <w:bookmarkEnd w:id="144"/>
    </w:p>
    <w:tbl>
      <w:tblPr>
        <w:tblW w:w="91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2264"/>
        <w:gridCol w:w="1216"/>
        <w:gridCol w:w="1219"/>
        <w:gridCol w:w="1219"/>
        <w:gridCol w:w="1219"/>
        <w:gridCol w:w="1228"/>
      </w:tblGrid>
      <w:tr w:rsidR="006D40B2" w:rsidRPr="0099621E" w14:paraId="241ADD9E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6C77E24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IČO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E3EEF1C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Účetní jednotka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F6802AD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43B8A47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B34A10E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D137912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2020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F1858FE" w14:textId="77777777" w:rsidR="006D40B2" w:rsidRPr="0099621E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99621E">
              <w:rPr>
                <w:rFonts w:asciiTheme="minorHAnsi" w:hAnsiTheme="minorHAnsi" w:cstheme="minorHAnsi"/>
                <w:b/>
                <w:sz w:val="14"/>
                <w:szCs w:val="14"/>
              </w:rPr>
              <w:t>2021</w:t>
            </w:r>
          </w:p>
        </w:tc>
      </w:tr>
      <w:tr w:rsidR="006D40B2" w:rsidRPr="0099621E" w14:paraId="3E56E4FF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CBF8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00209775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1AD33" w14:textId="009CFCE8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Centrum kardiovaskulární 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transplantační chirurgie Brno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81F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193B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AE78B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83AE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8F4B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23561614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FAF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00842052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0F645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Dětská psychiatrická nemocnice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89AA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F502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14AE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357F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91,47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6E6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6EFBA2AC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C5DF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00831034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8D639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Dětská psychiatrická nemocnice Louny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3D3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7891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29BE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3A6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DA68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2F87C52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A1CF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00667421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86FD3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Dětská psychiatrická nemocnice Opařany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69B2A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87,43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B65D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A455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0A92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99,53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7E0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99,90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62051656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A14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00023761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4B782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Endokrinologický ústav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D2B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27,24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895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32,91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F16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26,12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8B07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30,68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7591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66E76395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933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65269705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7724F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Fakultní nemocnice Brno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396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C3C9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900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0DB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76B9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2600DAAF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4244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00179906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EFD33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Fakultní nemocnice Hradec Králové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66D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17,38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33B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6,39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367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4,48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7F05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72,43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DA0D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72,95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73591FB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F59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00064173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4EFA7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Fakultní nemocnice Královské Vinohrady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ACDF5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063E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7B5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E4DE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E2E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6D3FD0E6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30C3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00098892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175DE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Fakultní nemocnice Olomouc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950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E23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D265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424A7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0716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A1FB45D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F5B3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00843989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7AE78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Fakultní nemocnice Ostrava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CEE4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19,62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E454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5,12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592A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6,72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2DC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84,74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74AB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76A3B54A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3186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00669806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39E12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Fakultní nemocnice Plzeň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01D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24,38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6A4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AD82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495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82,79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264DA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4538682E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DDA3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00159816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9631A" w14:textId="219F0E66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Fakultní nemocnice u sv. Anny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Brně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B885A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ADAF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3E66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B4E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78,17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162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55,52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6DBDD788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9085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00064203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206B2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Fakultní nemocnice v Motole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C657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9,75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ABD5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6,97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D50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13,81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844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70,57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31D0A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27A23C0A" w14:textId="77777777" w:rsidTr="004E2D6E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083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00183024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D4ED8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Hamzova odborná léčebna pro děti a dospělé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725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85,55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0E9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23,23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52A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94,51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DF8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99,96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798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99,27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62F9555B" w14:textId="77777777" w:rsidTr="004E2D6E">
        <w:trPr>
          <w:trHeight w:val="25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45A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00023001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D4692" w14:textId="6DF828C8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Institut klinické 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experimentální medicíny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198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CBEB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F6F2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1966E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BED1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30AB7644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6099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00023841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28D93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Institut postgraduálního vzdělávání ve zdravotnictví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F887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086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89,37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2CAC1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81,44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33A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85,75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EF936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73,78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0687535A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ECE3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00669784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0A6AB" w14:textId="6441822B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Léčebna tuberkulózy 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respiračních nemocí Janov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BEAB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8A1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E09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7A4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36C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4EBA1D6B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C1F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00883573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BBC1F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 xml:space="preserve">Léčebné lázně </w:t>
            </w:r>
            <w:proofErr w:type="spellStart"/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Lázně</w:t>
            </w:r>
            <w:proofErr w:type="spellEnd"/>
            <w:r w:rsidRPr="00A077C6">
              <w:rPr>
                <w:rFonts w:asciiTheme="minorHAnsi" w:hAnsiTheme="minorHAnsi" w:cstheme="minorHAnsi"/>
                <w:sz w:val="16"/>
                <w:szCs w:val="16"/>
              </w:rPr>
              <w:t xml:space="preserve"> Kynžvart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C73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39,03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FCD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B42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F84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EA985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99,51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15F148FC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845C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00209805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DAC3E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Masarykův onkologický ústav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592C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1,60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98D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40AE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50B6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95FE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7104214B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F21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00023850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7F0D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Národní centrum ošetřovatelství a nelékařských zdravotnických oborů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C51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76,52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624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64,17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6CE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53,00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C697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54,43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90C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4D162AAC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5E1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00023752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5C77C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Národní ústav duševního zdraví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DC9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EF6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18,41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5A4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9,50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F6A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8,92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D40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7543B954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D44F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00064211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0D401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Fakultní nemocnice Bulovka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2D7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64,19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E97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43,88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E73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55,65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641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97,42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D5D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4CDD30A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C51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00023884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0228E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Nemocnice Na Homolce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8757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6E1B5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B312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9CF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1B15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5729463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FE72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00583600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F5720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Psychiatrická léčebna Červený Dvůr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15E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63,22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305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136A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482C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67,78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8F742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162C6D78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C02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00843954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EEDBD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Psychiatrická léčebna Šternberk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2A4E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A01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781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DD7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294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82,58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7BD70EBB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59C1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00064220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00DB2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Psychiatrická nemocnice Bohnice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0B3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31,27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A3C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57,65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EE7B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45,75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9397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3D675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806296E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009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00160105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2B5BE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Psychiatrická nemocnice Brno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2DD8B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66,32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9D4B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4,06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26BA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22,02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23EA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87,99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3829B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97,59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07BE644C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58D8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00179230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D484A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Psychiatrická nemocnice Havlíčkův Brod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EF0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0AC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48FE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0E7A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98,99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2B9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99,86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2140E8D4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C6F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00673552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EBA56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Psychiatrická nemocnice Horní Beřkovice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F512E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35,45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26A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BA4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F4B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E02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0,69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5BAAFE7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D5C5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00600601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5CEB8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Psychiatrická nemocnice Jihlava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82EC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667A6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11,52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145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EB15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98,61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7606B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5C5FF71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23F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00068691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7F937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Psychiatrická nemocnice Kosmonosy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66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156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19C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25A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98,90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735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0FC4B1E3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7CAD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00851388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CBE88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Psychiatrická nemocnice Marianny Oranžské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3E65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4A47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6927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D22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F41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3C5D6F42" w14:textId="77777777" w:rsidTr="004E2D6E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188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00669792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24D80" w14:textId="402B9771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Psychiatrická nemocnice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Dobřanech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D8BA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3E6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BA471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6C66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B6DBB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17FEF6E0" w14:textId="77777777" w:rsidTr="004E2D6E">
        <w:trPr>
          <w:trHeight w:val="25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0606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00567914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063A" w14:textId="635DB280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Psychiatrická nemocnice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Kroměříži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7DB7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BA7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F1231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D842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A62D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264CBD73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343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00844004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6DA8B" w14:textId="1C95BA49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Psychiatrická nemocnice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Opavě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F21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40,10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564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367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0D55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86,93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F715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5D2722FA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B540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00883581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2353D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Referenční laboratoře přírodních léčivých zdrojů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289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3B57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5691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9C9F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6325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6D40B2" w:rsidRPr="0099621E" w14:paraId="759D200E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C110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00601233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C6065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Rehabilitační ústav Hrabyně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AFDE1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56,72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4586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2D0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99,65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D34A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99,95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30A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21A7922B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B6AB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00068705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38214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Rehabilitační ústav Kladruby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2FC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B2F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E83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B0C9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83,15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FB1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75D46C8B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511E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00023728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7A90A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Revmatologický ústav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C6D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5EB26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C2A2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92A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B7C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7D2C4F93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035C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75010330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CBCB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Státní zdravotní ústav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0FD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79,67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ECC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72,57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F03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69,89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80F2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75,94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98A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70,55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0FBEB406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C5D8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00064190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3CAA9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Fakultní Thomayerova nemocnice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26B0A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51,32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60F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50,63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85D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57,41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75B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63,08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C755A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448B6D6A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F1BE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00023736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2DC44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Ústav hematologie a krevní transfúze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F92A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B9FA5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392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9B6A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4F51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63347DEF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513A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00023698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5F01E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Ústav pro péči o matku a dítě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84C5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34,60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7333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11,80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3861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9,31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F48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64,27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46572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63,10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012688E2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2A84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00064165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BEAFD" w14:textId="37183792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Všeobecná fakultní nemocnice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Praze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A81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14,81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6DBA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11,23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C3EC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14,17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080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91,13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ADA54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73,87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685DFB2B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AB4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71009396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79DFF" w14:textId="3718A698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Zdravotní ústav se sídlem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Ostravě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1F9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77,04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E463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72,02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8AB2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65,32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DBBAF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68,50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60D6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78,37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3F472AB1" w14:textId="77777777" w:rsidTr="006D40B2">
        <w:trPr>
          <w:trHeight w:val="25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8206" w14:textId="77777777" w:rsidR="006D40B2" w:rsidRPr="00A077C6" w:rsidRDefault="006D40B2" w:rsidP="006D40B2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71009361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E257A" w14:textId="77777777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Zdravotní ústav se sídlem v Ústí nad Labem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988E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86,31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95441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2532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9B20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98,03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E84BD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77C6">
              <w:rPr>
                <w:rFonts w:asciiTheme="minorHAnsi" w:hAnsiTheme="minorHAnsi" w:cstheme="minorHAnsi"/>
                <w:sz w:val="16"/>
                <w:szCs w:val="16"/>
              </w:rPr>
              <w:t>%</w:t>
            </w:r>
          </w:p>
        </w:tc>
      </w:tr>
      <w:tr w:rsidR="006D40B2" w:rsidRPr="0099621E" w14:paraId="1E213573" w14:textId="77777777" w:rsidTr="006D40B2">
        <w:trPr>
          <w:trHeight w:val="255"/>
          <w:jc w:val="center"/>
        </w:trPr>
        <w:tc>
          <w:tcPr>
            <w:tcW w:w="3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283D8E96" w14:textId="47BBE4CB" w:rsidR="006D40B2" w:rsidRPr="00A077C6" w:rsidRDefault="006D40B2" w:rsidP="006D40B2">
            <w:pPr>
              <w:spacing w:after="0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</w:rPr>
              <w:t>Podíl příspěvku na provoz na výnosech z transferů PO (účet 671)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5C93D281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b/>
                <w:sz w:val="16"/>
                <w:szCs w:val="16"/>
              </w:rPr>
              <w:t>23,67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077C6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DFF79AE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b/>
                <w:sz w:val="16"/>
                <w:szCs w:val="16"/>
              </w:rPr>
              <w:t>19,38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077C6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CEBC162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b/>
                <w:sz w:val="16"/>
                <w:szCs w:val="16"/>
              </w:rPr>
              <w:t>19,81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077C6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B6696C8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b/>
                <w:sz w:val="16"/>
                <w:szCs w:val="16"/>
              </w:rPr>
              <w:t>56,56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077C6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69B349C0" w14:textId="77777777" w:rsidR="006D40B2" w:rsidRPr="00A077C6" w:rsidRDefault="006D40B2" w:rsidP="006D40B2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  <w:highlight w:val="yellow"/>
              </w:rPr>
            </w:pPr>
            <w:r w:rsidRPr="00A077C6">
              <w:rPr>
                <w:b/>
                <w:sz w:val="16"/>
                <w:szCs w:val="16"/>
              </w:rPr>
              <w:t>25,94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077C6">
              <w:rPr>
                <w:b/>
                <w:sz w:val="16"/>
                <w:szCs w:val="16"/>
              </w:rPr>
              <w:t>%</w:t>
            </w:r>
          </w:p>
        </w:tc>
      </w:tr>
    </w:tbl>
    <w:p w14:paraId="7B0C496D" w14:textId="77777777" w:rsidR="006D40B2" w:rsidRPr="00A077C6" w:rsidRDefault="006D40B2" w:rsidP="006D40B2">
      <w:pPr>
        <w:spacing w:before="40"/>
        <w:ind w:left="567" w:hanging="567"/>
        <w:rPr>
          <w:rFonts w:cs="Calibri"/>
          <w:color w:val="000000"/>
          <w:sz w:val="20"/>
          <w:szCs w:val="20"/>
          <w:lang w:eastAsia="cs-CZ"/>
        </w:rPr>
      </w:pPr>
      <w:r w:rsidRPr="00A077C6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A077C6">
        <w:rPr>
          <w:rFonts w:cs="Calibri"/>
          <w:color w:val="000000"/>
          <w:sz w:val="20"/>
          <w:szCs w:val="20"/>
          <w:lang w:eastAsia="cs-CZ"/>
        </w:rPr>
        <w:t xml:space="preserve">CSÚIS, </w:t>
      </w:r>
      <w:r w:rsidR="00B57F1A">
        <w:rPr>
          <w:rFonts w:cs="Calibri"/>
          <w:color w:val="000000"/>
          <w:sz w:val="20"/>
          <w:szCs w:val="20"/>
          <w:lang w:eastAsia="cs-CZ"/>
        </w:rPr>
        <w:t>I</w:t>
      </w:r>
      <w:r w:rsidRPr="00A077C6">
        <w:rPr>
          <w:rFonts w:cs="Calibri"/>
          <w:color w:val="000000"/>
          <w:sz w:val="20"/>
          <w:szCs w:val="20"/>
          <w:lang w:eastAsia="cs-CZ"/>
        </w:rPr>
        <w:t xml:space="preserve">ISSP-CSÚIS – výkaz „přehled o rozpočtu SPO – část II“ (údaje ze sloupce </w:t>
      </w:r>
      <w:r w:rsidRPr="00A077C6">
        <w:rPr>
          <w:rFonts w:cs="Calibri"/>
          <w:i/>
          <w:color w:val="000000"/>
          <w:sz w:val="20"/>
          <w:szCs w:val="20"/>
          <w:lang w:eastAsia="cs-CZ"/>
        </w:rPr>
        <w:t>Skutečnost minulého roku v Kč</w:t>
      </w:r>
      <w:r w:rsidRPr="00A077C6">
        <w:rPr>
          <w:rFonts w:cs="Calibri"/>
          <w:color w:val="000000"/>
          <w:sz w:val="20"/>
          <w:szCs w:val="20"/>
          <w:lang w:eastAsia="cs-CZ"/>
        </w:rPr>
        <w:t>),</w:t>
      </w:r>
      <w:r w:rsidRPr="00A077C6">
        <w:rPr>
          <w:i/>
          <w:color w:val="000000"/>
          <w:sz w:val="20"/>
          <w:lang w:eastAsia="cs-CZ"/>
        </w:rPr>
        <w:t xml:space="preserve"> </w:t>
      </w:r>
      <w:r w:rsidRPr="00A077C6">
        <w:rPr>
          <w:rFonts w:cs="Calibri"/>
          <w:color w:val="000000"/>
          <w:sz w:val="20"/>
          <w:szCs w:val="20"/>
          <w:lang w:eastAsia="cs-CZ"/>
        </w:rPr>
        <w:t>výpočet vypracoval NKÚ.</w:t>
      </w:r>
    </w:p>
    <w:p w14:paraId="2169D3D5" w14:textId="3C5BAEF9" w:rsidR="006D40B2" w:rsidRPr="00B65289" w:rsidRDefault="006D40B2" w:rsidP="0070153D">
      <w:pPr>
        <w:pStyle w:val="Titulek1"/>
        <w:tabs>
          <w:tab w:val="clear" w:pos="1134"/>
        </w:tabs>
        <w:spacing w:before="240"/>
        <w:ind w:left="1446" w:hanging="1446"/>
        <w:rPr>
          <w:sz w:val="24"/>
        </w:rPr>
      </w:pPr>
      <w:bookmarkStart w:id="145" w:name="_Toc8984561"/>
      <w:bookmarkStart w:id="146" w:name="_Toc520714354"/>
      <w:bookmarkStart w:id="147" w:name="_Toc72157499"/>
      <w:r w:rsidRPr="00B65289">
        <w:rPr>
          <w:sz w:val="24"/>
        </w:rPr>
        <w:t xml:space="preserve">Tabulka č. </w:t>
      </w:r>
      <w:r w:rsidRPr="00B65289">
        <w:rPr>
          <w:sz w:val="24"/>
        </w:rPr>
        <w:fldChar w:fldCharType="begin"/>
      </w:r>
      <w:r w:rsidRPr="00B65289">
        <w:rPr>
          <w:sz w:val="24"/>
        </w:rPr>
        <w:instrText xml:space="preserve"> SEQ Tabulka \* ARABIC </w:instrText>
      </w:r>
      <w:r w:rsidRPr="00B65289">
        <w:rPr>
          <w:sz w:val="24"/>
        </w:rPr>
        <w:fldChar w:fldCharType="separate"/>
      </w:r>
      <w:r w:rsidR="009A66D8">
        <w:rPr>
          <w:noProof/>
          <w:sz w:val="24"/>
        </w:rPr>
        <w:t>43</w:t>
      </w:r>
      <w:r w:rsidRPr="00B65289">
        <w:rPr>
          <w:noProof/>
          <w:sz w:val="24"/>
        </w:rPr>
        <w:fldChar w:fldCharType="end"/>
      </w:r>
      <w:r w:rsidRPr="00B65289">
        <w:rPr>
          <w:sz w:val="24"/>
        </w:rPr>
        <w:t xml:space="preserve">: </w:t>
      </w:r>
      <w:r w:rsidRPr="00B65289">
        <w:rPr>
          <w:sz w:val="24"/>
        </w:rPr>
        <w:tab/>
      </w:r>
      <w:r w:rsidR="00B57F1A">
        <w:rPr>
          <w:sz w:val="24"/>
        </w:rPr>
        <w:t>Podíl</w:t>
      </w:r>
      <w:r w:rsidRPr="00B65289">
        <w:rPr>
          <w:sz w:val="24"/>
        </w:rPr>
        <w:t xml:space="preserve"> příspěvku na provoz </w:t>
      </w:r>
      <w:r w:rsidR="00B57F1A">
        <w:rPr>
          <w:sz w:val="24"/>
        </w:rPr>
        <w:t xml:space="preserve">na </w:t>
      </w:r>
      <w:r w:rsidRPr="00B65289">
        <w:rPr>
          <w:sz w:val="24"/>
        </w:rPr>
        <w:t>celkový</w:t>
      </w:r>
      <w:r w:rsidR="00B57F1A">
        <w:rPr>
          <w:sz w:val="24"/>
        </w:rPr>
        <w:t>ch</w:t>
      </w:r>
      <w:r w:rsidRPr="00B65289">
        <w:rPr>
          <w:sz w:val="24"/>
        </w:rPr>
        <w:t xml:space="preserve"> výnos</w:t>
      </w:r>
      <w:r w:rsidR="00B57F1A">
        <w:rPr>
          <w:sz w:val="24"/>
        </w:rPr>
        <w:t>ech</w:t>
      </w:r>
      <w:r w:rsidRPr="00B65289">
        <w:rPr>
          <w:sz w:val="24"/>
        </w:rPr>
        <w:t xml:space="preserve"> a</w:t>
      </w:r>
      <w:r w:rsidR="00B57F1A">
        <w:rPr>
          <w:sz w:val="24"/>
        </w:rPr>
        <w:t xml:space="preserve"> na</w:t>
      </w:r>
      <w:r w:rsidRPr="00B65289">
        <w:rPr>
          <w:sz w:val="24"/>
        </w:rPr>
        <w:t xml:space="preserve"> výnos</w:t>
      </w:r>
      <w:r w:rsidR="00B57F1A">
        <w:rPr>
          <w:sz w:val="24"/>
        </w:rPr>
        <w:t>ech</w:t>
      </w:r>
      <w:bookmarkEnd w:id="145"/>
      <w:r w:rsidRPr="00B65289">
        <w:rPr>
          <w:sz w:val="24"/>
        </w:rPr>
        <w:t xml:space="preserve"> z transferů (za všechny PO rozpočtové kapitol</w:t>
      </w:r>
      <w:r w:rsidR="00B57F1A">
        <w:rPr>
          <w:sz w:val="24"/>
        </w:rPr>
        <w:t>y</w:t>
      </w:r>
      <w:r w:rsidRPr="00B65289">
        <w:rPr>
          <w:sz w:val="24"/>
        </w:rPr>
        <w:t xml:space="preserve"> 335)</w:t>
      </w:r>
      <w:bookmarkEnd w:id="146"/>
      <w:bookmarkEnd w:id="147"/>
    </w:p>
    <w:tbl>
      <w:tblPr>
        <w:tblW w:w="497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078"/>
        <w:gridCol w:w="1078"/>
        <w:gridCol w:w="1078"/>
        <w:gridCol w:w="1078"/>
        <w:gridCol w:w="1073"/>
      </w:tblGrid>
      <w:tr w:rsidR="006D40B2" w:rsidRPr="00D71C60" w14:paraId="3C5DC06C" w14:textId="77777777" w:rsidTr="006D40B2">
        <w:trPr>
          <w:trHeight w:val="255"/>
          <w:jc w:val="center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3F06852" w14:textId="77777777" w:rsidR="006D40B2" w:rsidRPr="00B65289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B65289">
              <w:rPr>
                <w:b/>
                <w:bCs/>
                <w:color w:val="000000"/>
                <w:sz w:val="20"/>
                <w:szCs w:val="18"/>
              </w:rPr>
              <w:t>Ukazatel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</w:tcPr>
          <w:p w14:paraId="68DEF8BD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65289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</w:tcPr>
          <w:p w14:paraId="4CF95AAD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65289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</w:tcPr>
          <w:p w14:paraId="15188DE5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65289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</w:tcPr>
          <w:p w14:paraId="6A084502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65289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</w:tcPr>
          <w:p w14:paraId="5A4C4E1E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B65289">
              <w:rPr>
                <w:b/>
                <w:sz w:val="20"/>
                <w:szCs w:val="20"/>
              </w:rPr>
              <w:t>2021</w:t>
            </w:r>
          </w:p>
        </w:tc>
      </w:tr>
      <w:tr w:rsidR="006D40B2" w:rsidRPr="00D71C60" w14:paraId="13201749" w14:textId="77777777" w:rsidTr="006D40B2">
        <w:trPr>
          <w:trHeight w:val="255"/>
          <w:jc w:val="center"/>
        </w:trPr>
        <w:tc>
          <w:tcPr>
            <w:tcW w:w="2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BBCF" w14:textId="77777777" w:rsidR="006D40B2" w:rsidRPr="00B65289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r w:rsidRPr="00B65289">
              <w:rPr>
                <w:color w:val="000000"/>
                <w:sz w:val="20"/>
                <w:szCs w:val="18"/>
              </w:rPr>
              <w:t>Příspěvek na provoz / celkové výnosy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0E678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B65289">
              <w:rPr>
                <w:sz w:val="20"/>
                <w:szCs w:val="20"/>
              </w:rPr>
              <w:t>0,85</w:t>
            </w:r>
            <w:r>
              <w:rPr>
                <w:sz w:val="20"/>
                <w:szCs w:val="20"/>
              </w:rPr>
              <w:t xml:space="preserve"> </w:t>
            </w:r>
            <w:r w:rsidRPr="00B65289">
              <w:rPr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63D39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B65289">
              <w:rPr>
                <w:sz w:val="20"/>
                <w:szCs w:val="20"/>
              </w:rPr>
              <w:t>0,68</w:t>
            </w:r>
            <w:r>
              <w:rPr>
                <w:sz w:val="20"/>
                <w:szCs w:val="20"/>
              </w:rPr>
              <w:t xml:space="preserve"> </w:t>
            </w:r>
            <w:r w:rsidRPr="00B65289">
              <w:rPr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76CF4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B65289">
              <w:rPr>
                <w:sz w:val="20"/>
                <w:szCs w:val="20"/>
              </w:rPr>
              <w:t>0,66</w:t>
            </w:r>
            <w:r>
              <w:rPr>
                <w:sz w:val="20"/>
                <w:szCs w:val="20"/>
              </w:rPr>
              <w:t xml:space="preserve"> </w:t>
            </w:r>
            <w:r w:rsidRPr="00B65289">
              <w:rPr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B9DC9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B65289">
              <w:rPr>
                <w:sz w:val="20"/>
                <w:szCs w:val="20"/>
              </w:rPr>
              <w:t>6,67</w:t>
            </w:r>
            <w:r>
              <w:rPr>
                <w:sz w:val="20"/>
                <w:szCs w:val="20"/>
              </w:rPr>
              <w:t xml:space="preserve"> </w:t>
            </w:r>
            <w:r w:rsidRPr="00B65289">
              <w:rPr>
                <w:sz w:val="20"/>
                <w:szCs w:val="20"/>
              </w:rPr>
              <w:t>%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11D5C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B65289">
              <w:rPr>
                <w:sz w:val="20"/>
                <w:szCs w:val="20"/>
              </w:rPr>
              <w:t>1,72</w:t>
            </w:r>
            <w:r>
              <w:rPr>
                <w:sz w:val="20"/>
                <w:szCs w:val="20"/>
              </w:rPr>
              <w:t xml:space="preserve"> </w:t>
            </w:r>
            <w:r w:rsidRPr="00B65289">
              <w:rPr>
                <w:sz w:val="20"/>
                <w:szCs w:val="20"/>
              </w:rPr>
              <w:t>%</w:t>
            </w:r>
          </w:p>
        </w:tc>
      </w:tr>
      <w:tr w:rsidR="006D40B2" w:rsidRPr="00D71C60" w14:paraId="1C97596F" w14:textId="77777777" w:rsidTr="006D40B2">
        <w:trPr>
          <w:trHeight w:val="255"/>
          <w:jc w:val="center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FC39" w14:textId="77777777" w:rsidR="006D40B2" w:rsidRPr="00B65289" w:rsidRDefault="006D40B2" w:rsidP="006D40B2">
            <w:pPr>
              <w:keepNext/>
              <w:spacing w:after="0"/>
              <w:rPr>
                <w:rFonts w:eastAsia="Calibri" w:cs="Calibri"/>
                <w:color w:val="000000"/>
                <w:sz w:val="20"/>
                <w:szCs w:val="18"/>
              </w:rPr>
            </w:pPr>
            <w:r w:rsidRPr="00B65289">
              <w:rPr>
                <w:color w:val="000000"/>
                <w:sz w:val="20"/>
                <w:szCs w:val="18"/>
              </w:rPr>
              <w:t>Příspěvek na provoz / výnosy z transferů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DF318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B65289">
              <w:rPr>
                <w:sz w:val="20"/>
                <w:szCs w:val="20"/>
              </w:rPr>
              <w:t>23,67</w:t>
            </w:r>
            <w:r>
              <w:rPr>
                <w:sz w:val="20"/>
                <w:szCs w:val="20"/>
              </w:rPr>
              <w:t xml:space="preserve"> </w:t>
            </w:r>
            <w:r w:rsidRPr="00B65289">
              <w:rPr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3B822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B65289">
              <w:rPr>
                <w:sz w:val="20"/>
                <w:szCs w:val="20"/>
              </w:rPr>
              <w:t>19,38</w:t>
            </w:r>
            <w:r>
              <w:rPr>
                <w:sz w:val="20"/>
                <w:szCs w:val="20"/>
              </w:rPr>
              <w:t xml:space="preserve"> </w:t>
            </w:r>
            <w:r w:rsidRPr="00B65289">
              <w:rPr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BD714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B65289">
              <w:rPr>
                <w:sz w:val="20"/>
                <w:szCs w:val="20"/>
              </w:rPr>
              <w:t>19,81</w:t>
            </w:r>
            <w:r>
              <w:rPr>
                <w:sz w:val="20"/>
                <w:szCs w:val="20"/>
              </w:rPr>
              <w:t xml:space="preserve"> </w:t>
            </w:r>
            <w:r w:rsidRPr="00B65289">
              <w:rPr>
                <w:sz w:val="20"/>
                <w:szCs w:val="20"/>
              </w:rPr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6F53B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B65289">
              <w:rPr>
                <w:sz w:val="20"/>
                <w:szCs w:val="20"/>
              </w:rPr>
              <w:t>56,56</w:t>
            </w:r>
            <w:r>
              <w:rPr>
                <w:sz w:val="20"/>
                <w:szCs w:val="20"/>
              </w:rPr>
              <w:t xml:space="preserve"> </w:t>
            </w:r>
            <w:r w:rsidRPr="00B65289">
              <w:rPr>
                <w:sz w:val="20"/>
                <w:szCs w:val="20"/>
              </w:rPr>
              <w:t>%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A9F8A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B65289">
              <w:rPr>
                <w:sz w:val="20"/>
                <w:szCs w:val="20"/>
              </w:rPr>
              <w:t>25,94</w:t>
            </w:r>
            <w:r>
              <w:rPr>
                <w:sz w:val="20"/>
                <w:szCs w:val="20"/>
              </w:rPr>
              <w:t xml:space="preserve"> </w:t>
            </w:r>
            <w:r w:rsidRPr="00B65289">
              <w:rPr>
                <w:sz w:val="20"/>
                <w:szCs w:val="20"/>
              </w:rPr>
              <w:t>%</w:t>
            </w:r>
          </w:p>
        </w:tc>
      </w:tr>
    </w:tbl>
    <w:p w14:paraId="754ECB2B" w14:textId="77777777" w:rsidR="006D40B2" w:rsidRPr="00B65289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B65289">
        <w:rPr>
          <w:rFonts w:cs="Calibri"/>
          <w:b/>
          <w:color w:val="000000"/>
          <w:sz w:val="20"/>
          <w:szCs w:val="20"/>
          <w:lang w:eastAsia="cs-CZ"/>
        </w:rPr>
        <w:t>Zdroj:</w:t>
      </w:r>
      <w:r w:rsidRPr="004E2D6E"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="009F1C77" w:rsidRPr="004E2D6E">
        <w:rPr>
          <w:rFonts w:cs="Calibri"/>
          <w:color w:val="000000"/>
          <w:sz w:val="20"/>
          <w:szCs w:val="20"/>
          <w:lang w:eastAsia="cs-CZ"/>
        </w:rPr>
        <w:t>data získaná v průběhu kontroly;</w:t>
      </w:r>
      <w:r w:rsidR="009F1C77">
        <w:rPr>
          <w:rFonts w:cs="Calibri"/>
          <w:b/>
          <w:color w:val="000000"/>
          <w:sz w:val="20"/>
          <w:szCs w:val="20"/>
          <w:lang w:eastAsia="cs-CZ"/>
        </w:rPr>
        <w:t xml:space="preserve"> </w:t>
      </w:r>
      <w:r w:rsidRPr="00B65289">
        <w:rPr>
          <w:rFonts w:cs="Calibri"/>
          <w:color w:val="000000"/>
          <w:sz w:val="20"/>
          <w:szCs w:val="20"/>
          <w:lang w:eastAsia="cs-CZ"/>
        </w:rPr>
        <w:t>výpočet vypracoval NKÚ.</w:t>
      </w:r>
    </w:p>
    <w:p w14:paraId="6AD51446" w14:textId="079853F2" w:rsidR="006D40B2" w:rsidRPr="00B65289" w:rsidRDefault="006D40B2" w:rsidP="0070153D">
      <w:pPr>
        <w:pStyle w:val="Titulek1"/>
        <w:tabs>
          <w:tab w:val="clear" w:pos="1134"/>
        </w:tabs>
        <w:spacing w:before="240"/>
        <w:rPr>
          <w:sz w:val="24"/>
        </w:rPr>
      </w:pPr>
      <w:bookmarkStart w:id="148" w:name="_Toc8984562"/>
      <w:bookmarkStart w:id="149" w:name="_Toc72157500"/>
      <w:r w:rsidRPr="00B65289">
        <w:rPr>
          <w:sz w:val="24"/>
        </w:rPr>
        <w:t xml:space="preserve">Tabulka č. </w:t>
      </w:r>
      <w:r w:rsidRPr="00B65289">
        <w:rPr>
          <w:sz w:val="24"/>
        </w:rPr>
        <w:fldChar w:fldCharType="begin"/>
      </w:r>
      <w:r w:rsidRPr="00B65289">
        <w:rPr>
          <w:sz w:val="24"/>
        </w:rPr>
        <w:instrText xml:space="preserve"> SEQ Tabulka \* ARABIC </w:instrText>
      </w:r>
      <w:r w:rsidRPr="00B65289">
        <w:rPr>
          <w:sz w:val="24"/>
        </w:rPr>
        <w:fldChar w:fldCharType="separate"/>
      </w:r>
      <w:r w:rsidR="009A66D8">
        <w:rPr>
          <w:noProof/>
          <w:sz w:val="24"/>
        </w:rPr>
        <w:t>44</w:t>
      </w:r>
      <w:r w:rsidRPr="00B65289">
        <w:rPr>
          <w:noProof/>
          <w:sz w:val="24"/>
        </w:rPr>
        <w:fldChar w:fldCharType="end"/>
      </w:r>
      <w:r w:rsidRPr="00B65289">
        <w:rPr>
          <w:sz w:val="24"/>
        </w:rPr>
        <w:t xml:space="preserve">: Tempo růstu výnosů a příspěvku na provoz PO kapitoly </w:t>
      </w:r>
      <w:bookmarkEnd w:id="148"/>
      <w:bookmarkEnd w:id="149"/>
      <w:r w:rsidRPr="00B65289">
        <w:rPr>
          <w:sz w:val="24"/>
        </w:rPr>
        <w:t>335</w:t>
      </w:r>
    </w:p>
    <w:tbl>
      <w:tblPr>
        <w:tblW w:w="90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1474"/>
        <w:gridCol w:w="1474"/>
        <w:gridCol w:w="1474"/>
        <w:gridCol w:w="1531"/>
      </w:tblGrid>
      <w:tr w:rsidR="006D40B2" w:rsidRPr="00D71C60" w14:paraId="3D7A9F30" w14:textId="77777777" w:rsidTr="006D40B2">
        <w:trPr>
          <w:trHeight w:val="2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B77B1C0" w14:textId="77777777" w:rsidR="006D40B2" w:rsidRPr="00B65289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5289">
              <w:rPr>
                <w:b/>
                <w:bCs/>
                <w:color w:val="000000"/>
                <w:sz w:val="16"/>
                <w:szCs w:val="16"/>
              </w:rPr>
              <w:t>Tempo růstu (absolutní změna)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9EAD105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B65289">
              <w:rPr>
                <w:b/>
                <w:sz w:val="16"/>
                <w:szCs w:val="16"/>
              </w:rPr>
              <w:t>2018</w:t>
            </w:r>
            <w:r w:rsidRPr="00B65289">
              <w:rPr>
                <w:b/>
                <w:bCs/>
                <w:color w:val="000000"/>
                <w:sz w:val="16"/>
                <w:szCs w:val="16"/>
              </w:rPr>
              <w:t>–</w:t>
            </w:r>
            <w:r w:rsidRPr="00B65289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0615E1F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B65289">
              <w:rPr>
                <w:b/>
                <w:sz w:val="16"/>
                <w:szCs w:val="16"/>
              </w:rPr>
              <w:t>2019</w:t>
            </w:r>
            <w:r w:rsidRPr="00B65289">
              <w:rPr>
                <w:b/>
                <w:bCs/>
                <w:color w:val="000000"/>
                <w:sz w:val="16"/>
                <w:szCs w:val="16"/>
              </w:rPr>
              <w:t>–</w:t>
            </w:r>
            <w:r w:rsidRPr="00B65289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26492AC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B65289">
              <w:rPr>
                <w:b/>
                <w:sz w:val="16"/>
                <w:szCs w:val="16"/>
              </w:rPr>
              <w:t>2020</w:t>
            </w:r>
            <w:r w:rsidRPr="00B65289">
              <w:rPr>
                <w:b/>
                <w:bCs/>
                <w:color w:val="000000"/>
                <w:sz w:val="16"/>
                <w:szCs w:val="16"/>
              </w:rPr>
              <w:t>–</w:t>
            </w:r>
            <w:r w:rsidRPr="00B65289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75B87EE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B65289">
              <w:rPr>
                <w:b/>
                <w:sz w:val="16"/>
                <w:szCs w:val="16"/>
              </w:rPr>
              <w:t>2021</w:t>
            </w:r>
            <w:r w:rsidRPr="00B65289">
              <w:rPr>
                <w:b/>
                <w:bCs/>
                <w:color w:val="000000"/>
                <w:sz w:val="16"/>
                <w:szCs w:val="16"/>
              </w:rPr>
              <w:t>–</w:t>
            </w:r>
            <w:r w:rsidRPr="00B65289">
              <w:rPr>
                <w:b/>
                <w:sz w:val="16"/>
                <w:szCs w:val="16"/>
              </w:rPr>
              <w:t>2020</w:t>
            </w:r>
          </w:p>
        </w:tc>
      </w:tr>
      <w:tr w:rsidR="006D40B2" w:rsidRPr="00D71C60" w14:paraId="5011B387" w14:textId="77777777" w:rsidTr="006D40B2">
        <w:trPr>
          <w:trHeight w:val="2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CA3B" w14:textId="77777777" w:rsidR="006D40B2" w:rsidRPr="00B65289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B65289">
              <w:rPr>
                <w:color w:val="000000"/>
                <w:sz w:val="16"/>
                <w:szCs w:val="16"/>
              </w:rPr>
              <w:t>Výnosy celkem (v Kč)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01272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7 187 305 429,73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09785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7 806 851 085,93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D009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22 439 074 580,70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D9E4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10 788 222 860,42</w:t>
            </w:r>
          </w:p>
        </w:tc>
      </w:tr>
      <w:tr w:rsidR="006D40B2" w:rsidRPr="00D71C60" w14:paraId="20012B54" w14:textId="77777777" w:rsidTr="006D40B2">
        <w:trPr>
          <w:trHeight w:val="2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1289E" w14:textId="77777777" w:rsidR="006D40B2" w:rsidRPr="00B65289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B65289">
              <w:rPr>
                <w:color w:val="000000"/>
                <w:sz w:val="16"/>
                <w:szCs w:val="16"/>
              </w:rPr>
              <w:t>Výnosy transferové (účet 671) (v Kč)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28C9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188 119 058,85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9CBC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99 626 565,04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997D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10 998 528 829,46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304F0" w14:textId="2B468A5B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sz w:val="16"/>
                <w:szCs w:val="16"/>
              </w:rPr>
              <w:t>−</w:t>
            </w:r>
            <w:r w:rsidRPr="00B65289">
              <w:rPr>
                <w:sz w:val="16"/>
                <w:szCs w:val="16"/>
              </w:rPr>
              <w:t>5 516 132 537,82</w:t>
            </w:r>
          </w:p>
        </w:tc>
      </w:tr>
      <w:tr w:rsidR="006D40B2" w:rsidRPr="00D71C60" w14:paraId="5BDE00F3" w14:textId="77777777" w:rsidTr="006D40B2">
        <w:trPr>
          <w:trHeight w:val="2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7FB92" w14:textId="77777777" w:rsidR="006D40B2" w:rsidRPr="00B65289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B65289">
              <w:rPr>
                <w:color w:val="000000"/>
                <w:sz w:val="16"/>
                <w:szCs w:val="16"/>
              </w:rPr>
              <w:t>Příspěvek na provoz (v Kč)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09DF" w14:textId="4C36868C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sz w:val="16"/>
                <w:szCs w:val="16"/>
              </w:rPr>
              <w:t>−</w:t>
            </w:r>
            <w:r w:rsidRPr="00B65289">
              <w:rPr>
                <w:sz w:val="16"/>
                <w:szCs w:val="16"/>
              </w:rPr>
              <w:t>92 207 523,41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9730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33 391 098,72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EAD9" w14:textId="77777777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7 428 057 699,82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85B94" w14:textId="62D47941" w:rsidR="006D40B2" w:rsidRPr="00B65289" w:rsidRDefault="006D40B2" w:rsidP="006D40B2">
            <w:pPr>
              <w:keepNext/>
              <w:spacing w:after="0"/>
              <w:ind w:right="57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sz w:val="16"/>
                <w:szCs w:val="16"/>
              </w:rPr>
              <w:t>−</w:t>
            </w:r>
            <w:r w:rsidRPr="00B65289">
              <w:rPr>
                <w:sz w:val="16"/>
                <w:szCs w:val="16"/>
              </w:rPr>
              <w:t>5 804 699 012,96</w:t>
            </w:r>
          </w:p>
        </w:tc>
      </w:tr>
      <w:tr w:rsidR="006D40B2" w:rsidRPr="00D71C60" w14:paraId="66FB40BE" w14:textId="77777777" w:rsidTr="006D40B2">
        <w:trPr>
          <w:trHeight w:val="2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ED74F5A" w14:textId="0C3CAEFF" w:rsidR="006D40B2" w:rsidRPr="00B65289" w:rsidRDefault="006D40B2" w:rsidP="006D40B2">
            <w:pPr>
              <w:keepNext/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5289">
              <w:rPr>
                <w:b/>
                <w:bCs/>
                <w:color w:val="000000"/>
                <w:sz w:val="16"/>
                <w:szCs w:val="16"/>
              </w:rPr>
              <w:t>Tempo růstu v % (relativní změna) (((x+</w:t>
            </w:r>
            <w:proofErr w:type="gramStart"/>
            <w:r w:rsidRPr="00B65289">
              <w:rPr>
                <w:b/>
                <w:bCs/>
                <w:color w:val="000000"/>
                <w:sz w:val="16"/>
                <w:szCs w:val="16"/>
              </w:rPr>
              <w:t>1)</w:t>
            </w:r>
            <w:r w:rsidRPr="00B65289">
              <w:rPr>
                <w:rFonts w:cs="Calibri"/>
                <w:b/>
                <w:bCs/>
                <w:color w:val="000000"/>
                <w:sz w:val="16"/>
                <w:szCs w:val="16"/>
              </w:rPr>
              <w:t>−</w:t>
            </w:r>
            <w:proofErr w:type="gramEnd"/>
            <w:r w:rsidRPr="00B65289">
              <w:rPr>
                <w:b/>
                <w:bCs/>
                <w:color w:val="000000"/>
                <w:sz w:val="16"/>
                <w:szCs w:val="16"/>
              </w:rPr>
              <w:t>x)/x)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×</w:t>
            </w:r>
            <w:r w:rsidRPr="00B65289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550C312C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b/>
                <w:sz w:val="16"/>
                <w:szCs w:val="16"/>
              </w:rPr>
              <w:t>2018/2017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FC73A07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b/>
                <w:sz w:val="16"/>
                <w:szCs w:val="16"/>
              </w:rPr>
              <w:t>2019/2018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909FE9A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b/>
                <w:sz w:val="16"/>
                <w:szCs w:val="16"/>
              </w:rPr>
              <w:t>2020/2019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7F792E89" w14:textId="77777777" w:rsidR="006D40B2" w:rsidRPr="00B65289" w:rsidRDefault="006D40B2" w:rsidP="006D40B2">
            <w:pPr>
              <w:keepNext/>
              <w:spacing w:after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b/>
                <w:sz w:val="16"/>
                <w:szCs w:val="16"/>
              </w:rPr>
              <w:t>2021/2020</w:t>
            </w:r>
          </w:p>
        </w:tc>
      </w:tr>
      <w:tr w:rsidR="006D40B2" w:rsidRPr="00D71C60" w14:paraId="45132B47" w14:textId="77777777" w:rsidTr="006D40B2">
        <w:trPr>
          <w:trHeight w:val="2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A658" w14:textId="77777777" w:rsidR="006D40B2" w:rsidRPr="00B65289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B65289">
              <w:rPr>
                <w:color w:val="000000"/>
                <w:sz w:val="16"/>
                <w:szCs w:val="16"/>
              </w:rPr>
              <w:t>Výnosy celkem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5855" w14:textId="77777777" w:rsidR="006D40B2" w:rsidRPr="00B65289" w:rsidRDefault="006D40B2" w:rsidP="006D40B2">
            <w:pPr>
              <w:keepNext/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8,59</w:t>
            </w:r>
            <w:r>
              <w:rPr>
                <w:sz w:val="16"/>
                <w:szCs w:val="16"/>
              </w:rPr>
              <w:t xml:space="preserve"> </w:t>
            </w:r>
            <w:r w:rsidRPr="00B65289">
              <w:rPr>
                <w:sz w:val="16"/>
                <w:szCs w:val="16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90F7" w14:textId="77777777" w:rsidR="006D40B2" w:rsidRPr="00B65289" w:rsidRDefault="006D40B2" w:rsidP="006D40B2">
            <w:pPr>
              <w:keepNext/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8,59</w:t>
            </w:r>
            <w:r>
              <w:rPr>
                <w:sz w:val="16"/>
                <w:szCs w:val="16"/>
              </w:rPr>
              <w:t xml:space="preserve"> </w:t>
            </w:r>
            <w:r w:rsidRPr="00B65289">
              <w:rPr>
                <w:sz w:val="16"/>
                <w:szCs w:val="16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036A3" w14:textId="77777777" w:rsidR="006D40B2" w:rsidRPr="00B65289" w:rsidRDefault="006D40B2" w:rsidP="006D40B2">
            <w:pPr>
              <w:keepNext/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22,74</w:t>
            </w:r>
            <w:r>
              <w:rPr>
                <w:sz w:val="16"/>
                <w:szCs w:val="16"/>
              </w:rPr>
              <w:t xml:space="preserve"> </w:t>
            </w:r>
            <w:r w:rsidRPr="00B65289">
              <w:rPr>
                <w:sz w:val="16"/>
                <w:szCs w:val="16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DC11" w14:textId="77777777" w:rsidR="006D40B2" w:rsidRPr="00B65289" w:rsidRDefault="006D40B2" w:rsidP="006D40B2">
            <w:pPr>
              <w:keepNext/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8,91</w:t>
            </w:r>
            <w:r>
              <w:rPr>
                <w:sz w:val="16"/>
                <w:szCs w:val="16"/>
              </w:rPr>
              <w:t xml:space="preserve"> </w:t>
            </w:r>
            <w:r w:rsidRPr="00B65289">
              <w:rPr>
                <w:sz w:val="16"/>
                <w:szCs w:val="16"/>
              </w:rPr>
              <w:t>%</w:t>
            </w:r>
          </w:p>
        </w:tc>
      </w:tr>
      <w:tr w:rsidR="006D40B2" w:rsidRPr="00D71C60" w14:paraId="58853AC8" w14:textId="77777777" w:rsidTr="006D40B2">
        <w:trPr>
          <w:trHeight w:val="2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17FD" w14:textId="77777777" w:rsidR="006D40B2" w:rsidRPr="00B65289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B65289">
              <w:rPr>
                <w:color w:val="000000"/>
                <w:sz w:val="16"/>
                <w:szCs w:val="16"/>
              </w:rPr>
              <w:t>Výnosy transferové (účet 671)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0C8A" w14:textId="77777777" w:rsidR="006D40B2" w:rsidRPr="00B65289" w:rsidRDefault="006D40B2" w:rsidP="006D40B2">
            <w:pPr>
              <w:keepNext/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6,27</w:t>
            </w:r>
            <w:r>
              <w:rPr>
                <w:sz w:val="16"/>
                <w:szCs w:val="16"/>
              </w:rPr>
              <w:t xml:space="preserve"> </w:t>
            </w:r>
            <w:r w:rsidRPr="00B65289">
              <w:rPr>
                <w:sz w:val="16"/>
                <w:szCs w:val="16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FCD9" w14:textId="77777777" w:rsidR="006D40B2" w:rsidRPr="00B65289" w:rsidRDefault="006D40B2" w:rsidP="006D40B2">
            <w:pPr>
              <w:keepNext/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3,13</w:t>
            </w:r>
            <w:r>
              <w:rPr>
                <w:sz w:val="16"/>
                <w:szCs w:val="16"/>
              </w:rPr>
              <w:t xml:space="preserve"> </w:t>
            </w:r>
            <w:r w:rsidRPr="00B65289">
              <w:rPr>
                <w:sz w:val="16"/>
                <w:szCs w:val="16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EE32" w14:textId="77777777" w:rsidR="006D40B2" w:rsidRPr="00B65289" w:rsidRDefault="006D40B2" w:rsidP="006D40B2">
            <w:pPr>
              <w:keepNext/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334,71</w:t>
            </w:r>
            <w:r>
              <w:rPr>
                <w:sz w:val="16"/>
                <w:szCs w:val="16"/>
              </w:rPr>
              <w:t xml:space="preserve"> </w:t>
            </w:r>
            <w:r w:rsidRPr="00B65289">
              <w:rPr>
                <w:sz w:val="16"/>
                <w:szCs w:val="16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CB415" w14:textId="0F123432" w:rsidR="006D40B2" w:rsidRPr="00B65289" w:rsidRDefault="006D40B2" w:rsidP="006D40B2">
            <w:pPr>
              <w:keepNext/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sz w:val="16"/>
                <w:szCs w:val="16"/>
              </w:rPr>
              <w:t>−</w:t>
            </w:r>
            <w:r w:rsidRPr="00B65289">
              <w:rPr>
                <w:sz w:val="16"/>
                <w:szCs w:val="16"/>
              </w:rPr>
              <w:t>38,62</w:t>
            </w:r>
            <w:r>
              <w:rPr>
                <w:sz w:val="16"/>
                <w:szCs w:val="16"/>
              </w:rPr>
              <w:t xml:space="preserve"> </w:t>
            </w:r>
            <w:r w:rsidRPr="00B65289">
              <w:rPr>
                <w:sz w:val="16"/>
                <w:szCs w:val="16"/>
              </w:rPr>
              <w:t>%</w:t>
            </w:r>
          </w:p>
        </w:tc>
      </w:tr>
      <w:tr w:rsidR="006D40B2" w:rsidRPr="00D71C60" w14:paraId="5C4614FC" w14:textId="77777777" w:rsidTr="006D40B2">
        <w:trPr>
          <w:trHeight w:val="2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CEA7E" w14:textId="77777777" w:rsidR="006D40B2" w:rsidRPr="00B65289" w:rsidRDefault="006D40B2" w:rsidP="006D40B2">
            <w:pPr>
              <w:keepNext/>
              <w:spacing w:after="0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B65289">
              <w:rPr>
                <w:color w:val="000000"/>
                <w:sz w:val="16"/>
                <w:szCs w:val="16"/>
              </w:rPr>
              <w:t>Příspěvek na provoz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A376" w14:textId="4869278C" w:rsidR="006D40B2" w:rsidRPr="00B65289" w:rsidRDefault="006D40B2" w:rsidP="006D40B2">
            <w:pPr>
              <w:keepNext/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sz w:val="16"/>
                <w:szCs w:val="16"/>
              </w:rPr>
              <w:t>−</w:t>
            </w:r>
            <w:r w:rsidRPr="00B65289">
              <w:rPr>
                <w:sz w:val="16"/>
                <w:szCs w:val="16"/>
              </w:rPr>
              <w:t>12,99</w:t>
            </w:r>
            <w:r>
              <w:rPr>
                <w:sz w:val="16"/>
                <w:szCs w:val="16"/>
              </w:rPr>
              <w:t xml:space="preserve"> </w:t>
            </w:r>
            <w:r w:rsidRPr="00B65289">
              <w:rPr>
                <w:sz w:val="16"/>
                <w:szCs w:val="16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7CED7" w14:textId="77777777" w:rsidR="006D40B2" w:rsidRPr="00B65289" w:rsidRDefault="006D40B2" w:rsidP="006D40B2">
            <w:pPr>
              <w:keepNext/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5,41</w:t>
            </w:r>
            <w:r>
              <w:rPr>
                <w:sz w:val="16"/>
                <w:szCs w:val="16"/>
              </w:rPr>
              <w:t xml:space="preserve"> </w:t>
            </w:r>
            <w:r w:rsidRPr="00B65289">
              <w:rPr>
                <w:sz w:val="16"/>
                <w:szCs w:val="16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FA60" w14:textId="77777777" w:rsidR="006D40B2" w:rsidRPr="00B65289" w:rsidRDefault="006D40B2" w:rsidP="006D40B2">
            <w:pPr>
              <w:keepNext/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 w:rsidRPr="00B65289">
              <w:rPr>
                <w:sz w:val="16"/>
                <w:szCs w:val="16"/>
              </w:rPr>
              <w:t>1</w:t>
            </w:r>
            <w:r w:rsidR="009F1C77">
              <w:rPr>
                <w:sz w:val="16"/>
                <w:szCs w:val="16"/>
              </w:rPr>
              <w:t> </w:t>
            </w:r>
            <w:r w:rsidRPr="00B65289">
              <w:rPr>
                <w:sz w:val="16"/>
                <w:szCs w:val="16"/>
              </w:rPr>
              <w:t>141,17</w:t>
            </w:r>
            <w:r>
              <w:rPr>
                <w:sz w:val="16"/>
                <w:szCs w:val="16"/>
              </w:rPr>
              <w:t xml:space="preserve"> </w:t>
            </w:r>
            <w:r w:rsidRPr="00B65289">
              <w:rPr>
                <w:sz w:val="16"/>
                <w:szCs w:val="16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20C6" w14:textId="051F0758" w:rsidR="006D40B2" w:rsidRPr="00B65289" w:rsidRDefault="006D40B2" w:rsidP="006D40B2">
            <w:pPr>
              <w:keepNext/>
              <w:spacing w:after="0"/>
              <w:ind w:right="170"/>
              <w:jc w:val="right"/>
              <w:rPr>
                <w:rFonts w:eastAsia="Calibri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sz w:val="16"/>
                <w:szCs w:val="16"/>
              </w:rPr>
              <w:t>−</w:t>
            </w:r>
            <w:r w:rsidRPr="00B65289">
              <w:rPr>
                <w:sz w:val="16"/>
                <w:szCs w:val="16"/>
              </w:rPr>
              <w:t>71,85</w:t>
            </w:r>
            <w:r>
              <w:rPr>
                <w:sz w:val="16"/>
                <w:szCs w:val="16"/>
              </w:rPr>
              <w:t xml:space="preserve"> </w:t>
            </w:r>
            <w:r w:rsidRPr="00B65289">
              <w:rPr>
                <w:sz w:val="16"/>
                <w:szCs w:val="16"/>
              </w:rPr>
              <w:t>%</w:t>
            </w:r>
          </w:p>
        </w:tc>
      </w:tr>
    </w:tbl>
    <w:p w14:paraId="079FE536" w14:textId="77777777" w:rsidR="006D40B2" w:rsidRPr="00B65289" w:rsidRDefault="006D40B2" w:rsidP="006D40B2">
      <w:pPr>
        <w:spacing w:before="40"/>
        <w:rPr>
          <w:rFonts w:cs="Calibri"/>
          <w:color w:val="000000"/>
          <w:sz w:val="20"/>
          <w:szCs w:val="20"/>
          <w:lang w:eastAsia="cs-CZ"/>
        </w:rPr>
      </w:pPr>
      <w:r w:rsidRPr="00B65289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="009F1C77" w:rsidRPr="00012AD3">
        <w:rPr>
          <w:rFonts w:cs="Calibri"/>
          <w:color w:val="000000"/>
          <w:sz w:val="20"/>
          <w:szCs w:val="20"/>
          <w:lang w:eastAsia="cs-CZ"/>
        </w:rPr>
        <w:t>data získaná v průběhu kontroly</w:t>
      </w:r>
      <w:r w:rsidR="009F1C77">
        <w:rPr>
          <w:rFonts w:cs="Calibri"/>
          <w:color w:val="000000"/>
          <w:sz w:val="20"/>
          <w:szCs w:val="20"/>
          <w:lang w:eastAsia="cs-CZ"/>
        </w:rPr>
        <w:t>;</w:t>
      </w:r>
      <w:r w:rsidR="009F1C77" w:rsidRPr="00B65289">
        <w:rPr>
          <w:rFonts w:cs="Calibri"/>
          <w:color w:val="000000"/>
          <w:sz w:val="20"/>
          <w:szCs w:val="20"/>
          <w:lang w:eastAsia="cs-CZ"/>
        </w:rPr>
        <w:t xml:space="preserve"> </w:t>
      </w:r>
      <w:r w:rsidRPr="00B65289">
        <w:rPr>
          <w:rFonts w:cs="Calibri"/>
          <w:color w:val="000000"/>
          <w:sz w:val="20"/>
          <w:szCs w:val="20"/>
          <w:lang w:eastAsia="cs-CZ"/>
        </w:rPr>
        <w:t>výpočet vypracoval NKÚ.</w:t>
      </w:r>
    </w:p>
    <w:p w14:paraId="1C28FE0B" w14:textId="12697A83" w:rsidR="006D40B2" w:rsidRDefault="006D40B2" w:rsidP="006D40B2">
      <w:pPr>
        <w:spacing w:after="160" w:line="259" w:lineRule="auto"/>
        <w:rPr>
          <w:rFonts w:asciiTheme="minorHAnsi" w:eastAsiaTheme="minorHAnsi" w:hAnsiTheme="minorHAnsi" w:cstheme="minorHAnsi"/>
          <w:b/>
        </w:rPr>
      </w:pPr>
    </w:p>
    <w:p w14:paraId="6BA6B307" w14:textId="77777777" w:rsidR="002F5988" w:rsidRDefault="006D40B2" w:rsidP="006D40B2">
      <w:pPr>
        <w:spacing w:after="160" w:line="259" w:lineRule="auto"/>
        <w:rPr>
          <w:rFonts w:asciiTheme="minorHAnsi" w:eastAsiaTheme="minorHAnsi" w:hAnsiTheme="minorHAnsi" w:cstheme="minorHAnsi"/>
          <w:b/>
        </w:rPr>
        <w:sectPr w:rsidR="002F5988" w:rsidSect="002F5988">
          <w:headerReference w:type="default" r:id="rId16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Theme="minorHAnsi" w:eastAsiaTheme="minorHAnsi" w:hAnsiTheme="minorHAnsi" w:cstheme="minorHAnsi"/>
          <w:b/>
        </w:rPr>
        <w:br w:type="page"/>
      </w:r>
    </w:p>
    <w:p w14:paraId="752EF4DF" w14:textId="77777777" w:rsidR="006D40B2" w:rsidRPr="00AA15AA" w:rsidRDefault="006D40B2" w:rsidP="002F5988">
      <w:pPr>
        <w:spacing w:after="160" w:line="259" w:lineRule="auto"/>
        <w:rPr>
          <w:rFonts w:asciiTheme="minorHAnsi" w:eastAsiaTheme="minorHAnsi" w:hAnsiTheme="minorHAnsi" w:cstheme="minorHAnsi"/>
          <w:b/>
        </w:rPr>
      </w:pPr>
      <w:r w:rsidRPr="00AA15AA">
        <w:rPr>
          <w:rFonts w:asciiTheme="minorHAnsi" w:eastAsiaTheme="minorHAnsi" w:hAnsiTheme="minorHAnsi" w:cstheme="minorHAnsi"/>
          <w:b/>
        </w:rPr>
        <w:lastRenderedPageBreak/>
        <w:t>Příloha č. 2</w:t>
      </w:r>
      <w:r>
        <w:rPr>
          <w:rFonts w:asciiTheme="minorHAnsi" w:eastAsiaTheme="minorHAnsi" w:hAnsiTheme="minorHAnsi" w:cstheme="minorHAnsi"/>
          <w:b/>
        </w:rPr>
        <w:t xml:space="preserve"> ke kontrolnímu závěru z kontrolní akce č. 21/24</w:t>
      </w:r>
    </w:p>
    <w:p w14:paraId="25750D6B" w14:textId="77777777" w:rsidR="006D40B2" w:rsidRDefault="006D40B2" w:rsidP="004E2D6E">
      <w:pPr>
        <w:spacing w:before="240"/>
        <w:jc w:val="center"/>
        <w:rPr>
          <w:b/>
          <w:bCs/>
          <w:iCs/>
        </w:rPr>
      </w:pPr>
      <w:r w:rsidRPr="00AA15AA">
        <w:rPr>
          <w:b/>
          <w:bCs/>
          <w:iCs/>
        </w:rPr>
        <w:t xml:space="preserve">Významné účetní operace způsobující rozdíl mezi saldem peněžních toků a výsledkem hospodaření </w:t>
      </w:r>
      <w:proofErr w:type="spellStart"/>
      <w:r w:rsidRPr="00AA15AA">
        <w:rPr>
          <w:b/>
          <w:bCs/>
          <w:iCs/>
        </w:rPr>
        <w:t>MZ</w:t>
      </w:r>
      <w:r>
        <w:rPr>
          <w:b/>
          <w:bCs/>
          <w:iCs/>
        </w:rPr>
        <w:t>d</w:t>
      </w:r>
      <w:proofErr w:type="spellEnd"/>
      <w:r w:rsidRPr="00AA15AA">
        <w:rPr>
          <w:b/>
          <w:bCs/>
          <w:iCs/>
        </w:rPr>
        <w:t xml:space="preserve"> k 31. prosinci 2021 (v mil. Kč)</w:t>
      </w:r>
    </w:p>
    <w:tbl>
      <w:tblPr>
        <w:tblW w:w="9062" w:type="dxa"/>
        <w:tblInd w:w="-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1559"/>
        <w:gridCol w:w="1407"/>
      </w:tblGrid>
      <w:tr w:rsidR="006D40B2" w:rsidRPr="00646CD4" w14:paraId="416B0C8D" w14:textId="77777777" w:rsidTr="006D40B2">
        <w:trPr>
          <w:trHeight w:val="220"/>
          <w:tblHeader/>
        </w:trPr>
        <w:tc>
          <w:tcPr>
            <w:tcW w:w="9062" w:type="dxa"/>
            <w:gridSpan w:val="4"/>
            <w:shd w:val="clear" w:color="auto" w:fill="E5F1FF"/>
            <w:noWrap/>
            <w:vAlign w:val="center"/>
            <w:hideMark/>
          </w:tcPr>
          <w:p w14:paraId="169085D5" w14:textId="77777777" w:rsidR="006D40B2" w:rsidRPr="00646CD4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 způsobující rozdíl mezi příjmy a výnosy</w:t>
            </w:r>
          </w:p>
        </w:tc>
      </w:tr>
      <w:tr w:rsidR="006D40B2" w:rsidRPr="00646CD4" w14:paraId="6858EFEA" w14:textId="77777777" w:rsidTr="006D40B2">
        <w:trPr>
          <w:trHeight w:val="220"/>
          <w:tblHeader/>
        </w:trPr>
        <w:tc>
          <w:tcPr>
            <w:tcW w:w="4678" w:type="dxa"/>
            <w:shd w:val="clear" w:color="auto" w:fill="E5F1FF"/>
            <w:noWrap/>
            <w:vAlign w:val="center"/>
            <w:hideMark/>
          </w:tcPr>
          <w:p w14:paraId="42CD64B3" w14:textId="77777777" w:rsidR="006D40B2" w:rsidRPr="00646CD4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418" w:type="dxa"/>
            <w:shd w:val="clear" w:color="auto" w:fill="E5F1FF"/>
            <w:noWrap/>
            <w:vAlign w:val="center"/>
            <w:hideMark/>
          </w:tcPr>
          <w:p w14:paraId="5C9CFAF2" w14:textId="77777777" w:rsidR="006D40B2" w:rsidRPr="00646CD4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příjmy</w:t>
            </w:r>
          </w:p>
        </w:tc>
        <w:tc>
          <w:tcPr>
            <w:tcW w:w="1559" w:type="dxa"/>
            <w:shd w:val="clear" w:color="auto" w:fill="E5F1FF"/>
            <w:noWrap/>
            <w:vAlign w:val="center"/>
            <w:hideMark/>
          </w:tcPr>
          <w:p w14:paraId="0D54008A" w14:textId="77777777" w:rsidR="006D40B2" w:rsidRPr="00646CD4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výnosy</w:t>
            </w:r>
          </w:p>
        </w:tc>
        <w:tc>
          <w:tcPr>
            <w:tcW w:w="1407" w:type="dxa"/>
            <w:shd w:val="clear" w:color="auto" w:fill="E5F1FF"/>
            <w:vAlign w:val="center"/>
            <w:hideMark/>
          </w:tcPr>
          <w:p w14:paraId="6AA573D0" w14:textId="77777777" w:rsidR="006D40B2" w:rsidRPr="00646CD4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</w:p>
        </w:tc>
      </w:tr>
      <w:tr w:rsidR="006D40B2" w:rsidRPr="00646CD4" w14:paraId="5006B603" w14:textId="77777777" w:rsidTr="004E2D6E">
        <w:trPr>
          <w:trHeight w:val="567"/>
        </w:trPr>
        <w:tc>
          <w:tcPr>
            <w:tcW w:w="4678" w:type="dxa"/>
            <w:vAlign w:val="center"/>
            <w:hideMark/>
          </w:tcPr>
          <w:p w14:paraId="36F8DFCA" w14:textId="77777777" w:rsidR="006D40B2" w:rsidRPr="00646CD4" w:rsidRDefault="006D40B2" w:rsidP="006D40B2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Přijaté zálohy od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zdravotních pojišťoven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za očkovací látky proti covid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u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-19</w:t>
            </w:r>
          </w:p>
        </w:tc>
        <w:tc>
          <w:tcPr>
            <w:tcW w:w="1418" w:type="dxa"/>
            <w:noWrap/>
            <w:vAlign w:val="center"/>
            <w:hideMark/>
          </w:tcPr>
          <w:p w14:paraId="04AE24EC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5 676,93</w:t>
            </w:r>
          </w:p>
        </w:tc>
        <w:tc>
          <w:tcPr>
            <w:tcW w:w="1559" w:type="dxa"/>
            <w:noWrap/>
            <w:vAlign w:val="center"/>
            <w:hideMark/>
          </w:tcPr>
          <w:p w14:paraId="27CB31BA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07" w:type="dxa"/>
            <w:noWrap/>
            <w:vAlign w:val="center"/>
            <w:hideMark/>
          </w:tcPr>
          <w:p w14:paraId="393F64B1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5 676,93</w:t>
            </w:r>
          </w:p>
        </w:tc>
      </w:tr>
      <w:tr w:rsidR="006D40B2" w:rsidRPr="00646CD4" w14:paraId="065292DE" w14:textId="77777777" w:rsidTr="004E2D6E">
        <w:trPr>
          <w:trHeight w:val="567"/>
        </w:trPr>
        <w:tc>
          <w:tcPr>
            <w:tcW w:w="4678" w:type="dxa"/>
            <w:vAlign w:val="center"/>
            <w:hideMark/>
          </w:tcPr>
          <w:p w14:paraId="2C817785" w14:textId="0379E4A0" w:rsidR="006D40B2" w:rsidRPr="00646CD4" w:rsidRDefault="006D40B2" w:rsidP="006D40B2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Dohadná položka na grant a související přijatá záloha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zavádění aplikac</w:t>
            </w:r>
            <w:r w:rsidR="009F1C77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í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na COVIDPASS (Tečka, </w:t>
            </w:r>
            <w:proofErr w:type="spellStart"/>
            <w:r w:rsidR="00086A17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čT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ečka</w:t>
            </w:r>
            <w:proofErr w:type="spellEnd"/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DD2E867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13,97</w:t>
            </w:r>
          </w:p>
        </w:tc>
        <w:tc>
          <w:tcPr>
            <w:tcW w:w="1559" w:type="dxa"/>
            <w:noWrap/>
            <w:vAlign w:val="center"/>
            <w:hideMark/>
          </w:tcPr>
          <w:p w14:paraId="1F2AB560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17,22</w:t>
            </w:r>
          </w:p>
        </w:tc>
        <w:tc>
          <w:tcPr>
            <w:tcW w:w="1407" w:type="dxa"/>
            <w:noWrap/>
            <w:vAlign w:val="center"/>
            <w:hideMark/>
          </w:tcPr>
          <w:p w14:paraId="447CE463" w14:textId="764489EA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−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3,25</w:t>
            </w:r>
          </w:p>
        </w:tc>
      </w:tr>
      <w:tr w:rsidR="006D40B2" w:rsidRPr="00646CD4" w14:paraId="0CD9CAEA" w14:textId="77777777" w:rsidTr="004E2D6E">
        <w:trPr>
          <w:trHeight w:val="397"/>
        </w:trPr>
        <w:tc>
          <w:tcPr>
            <w:tcW w:w="4678" w:type="dxa"/>
            <w:vAlign w:val="center"/>
            <w:hideMark/>
          </w:tcPr>
          <w:p w14:paraId="28D90D84" w14:textId="77777777" w:rsidR="006D40B2" w:rsidRPr="00646CD4" w:rsidRDefault="006D40B2" w:rsidP="006D40B2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Dohadná položka na výnos od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zdravotních pojišťoven</w:t>
            </w:r>
          </w:p>
        </w:tc>
        <w:tc>
          <w:tcPr>
            <w:tcW w:w="1418" w:type="dxa"/>
            <w:noWrap/>
            <w:vAlign w:val="center"/>
            <w:hideMark/>
          </w:tcPr>
          <w:p w14:paraId="29E843A4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4E77B761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6 598,14</w:t>
            </w:r>
          </w:p>
        </w:tc>
        <w:tc>
          <w:tcPr>
            <w:tcW w:w="1407" w:type="dxa"/>
            <w:noWrap/>
            <w:vAlign w:val="center"/>
            <w:hideMark/>
          </w:tcPr>
          <w:p w14:paraId="61C2E50B" w14:textId="3E6BD443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−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6 598,14</w:t>
            </w:r>
          </w:p>
        </w:tc>
      </w:tr>
      <w:tr w:rsidR="006D40B2" w:rsidRPr="00646CD4" w14:paraId="6CB3E657" w14:textId="77777777" w:rsidTr="004E2D6E">
        <w:trPr>
          <w:trHeight w:val="340"/>
        </w:trPr>
        <w:tc>
          <w:tcPr>
            <w:tcW w:w="7655" w:type="dxa"/>
            <w:gridSpan w:val="3"/>
            <w:shd w:val="clear" w:color="auto" w:fill="F2C6C9"/>
            <w:noWrap/>
            <w:vAlign w:val="center"/>
            <w:hideMark/>
          </w:tcPr>
          <w:p w14:paraId="1A4A2669" w14:textId="77777777" w:rsidR="006D40B2" w:rsidRPr="00646CD4" w:rsidRDefault="006D40B2" w:rsidP="006D40B2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příjmy a výnosy za významné operace celkem</w:t>
            </w:r>
          </w:p>
        </w:tc>
        <w:tc>
          <w:tcPr>
            <w:tcW w:w="1407" w:type="dxa"/>
            <w:shd w:val="clear" w:color="auto" w:fill="F2C6C9"/>
            <w:noWrap/>
            <w:vAlign w:val="center"/>
            <w:hideMark/>
          </w:tcPr>
          <w:p w14:paraId="29B054DA" w14:textId="49BAEABA" w:rsidR="006D40B2" w:rsidRPr="00646CD4" w:rsidRDefault="009F1C77" w:rsidP="006D40B2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2D6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  <w:t>−</w:t>
            </w:r>
            <w:r w:rsidR="006D40B2"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924,46</w:t>
            </w:r>
          </w:p>
        </w:tc>
      </w:tr>
      <w:tr w:rsidR="006D40B2" w:rsidRPr="00646CD4" w14:paraId="1338C6A4" w14:textId="77777777" w:rsidTr="006D40B2">
        <w:trPr>
          <w:trHeight w:val="220"/>
        </w:trPr>
        <w:tc>
          <w:tcPr>
            <w:tcW w:w="9062" w:type="dxa"/>
            <w:gridSpan w:val="4"/>
            <w:shd w:val="clear" w:color="auto" w:fill="auto"/>
            <w:noWrap/>
            <w:vAlign w:val="center"/>
          </w:tcPr>
          <w:p w14:paraId="4C988BD2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D40B2" w:rsidRPr="00646CD4" w14:paraId="3DF33417" w14:textId="77777777" w:rsidTr="006D40B2">
        <w:trPr>
          <w:trHeight w:val="220"/>
        </w:trPr>
        <w:tc>
          <w:tcPr>
            <w:tcW w:w="9062" w:type="dxa"/>
            <w:gridSpan w:val="4"/>
            <w:shd w:val="clear" w:color="auto" w:fill="E5F1FF"/>
            <w:noWrap/>
            <w:vAlign w:val="center"/>
            <w:hideMark/>
          </w:tcPr>
          <w:p w14:paraId="042942C5" w14:textId="77777777" w:rsidR="006D40B2" w:rsidRPr="00646CD4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 způsobující rozdíl mezi výdaji a náklady</w:t>
            </w:r>
          </w:p>
        </w:tc>
      </w:tr>
      <w:tr w:rsidR="006D40B2" w:rsidRPr="00646CD4" w14:paraId="430FF2E1" w14:textId="77777777" w:rsidTr="006D40B2">
        <w:trPr>
          <w:trHeight w:val="220"/>
        </w:trPr>
        <w:tc>
          <w:tcPr>
            <w:tcW w:w="4678" w:type="dxa"/>
            <w:shd w:val="clear" w:color="auto" w:fill="E5F1FF"/>
            <w:noWrap/>
            <w:vAlign w:val="center"/>
            <w:hideMark/>
          </w:tcPr>
          <w:p w14:paraId="36223CDC" w14:textId="77777777" w:rsidR="006D40B2" w:rsidRPr="00646CD4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418" w:type="dxa"/>
            <w:shd w:val="clear" w:color="auto" w:fill="E5F1FF"/>
            <w:noWrap/>
            <w:vAlign w:val="center"/>
            <w:hideMark/>
          </w:tcPr>
          <w:p w14:paraId="5A8589FB" w14:textId="77777777" w:rsidR="006D40B2" w:rsidRPr="00646CD4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výdaje</w:t>
            </w:r>
          </w:p>
        </w:tc>
        <w:tc>
          <w:tcPr>
            <w:tcW w:w="1559" w:type="dxa"/>
            <w:shd w:val="clear" w:color="auto" w:fill="E5F1FF"/>
            <w:noWrap/>
            <w:vAlign w:val="center"/>
            <w:hideMark/>
          </w:tcPr>
          <w:p w14:paraId="500B35A7" w14:textId="77777777" w:rsidR="006D40B2" w:rsidRPr="00646CD4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náklady</w:t>
            </w:r>
          </w:p>
        </w:tc>
        <w:tc>
          <w:tcPr>
            <w:tcW w:w="1407" w:type="dxa"/>
            <w:shd w:val="clear" w:color="auto" w:fill="E5F1FF"/>
            <w:vAlign w:val="center"/>
            <w:hideMark/>
          </w:tcPr>
          <w:p w14:paraId="59162ED8" w14:textId="77777777" w:rsidR="006D40B2" w:rsidRPr="00646CD4" w:rsidRDefault="006D40B2" w:rsidP="006D40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</w:p>
        </w:tc>
      </w:tr>
      <w:tr w:rsidR="006D40B2" w:rsidRPr="00646CD4" w14:paraId="6F2D896F" w14:textId="77777777" w:rsidTr="004E2D6E">
        <w:trPr>
          <w:trHeight w:val="340"/>
        </w:trPr>
        <w:tc>
          <w:tcPr>
            <w:tcW w:w="4678" w:type="dxa"/>
            <w:noWrap/>
            <w:vAlign w:val="center"/>
            <w:hideMark/>
          </w:tcPr>
          <w:p w14:paraId="55E5767B" w14:textId="77777777" w:rsidR="006D40B2" w:rsidRPr="00646CD4" w:rsidRDefault="006D40B2" w:rsidP="006D40B2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Odpisy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dlouhodobého majetku</w:t>
            </w:r>
          </w:p>
        </w:tc>
        <w:tc>
          <w:tcPr>
            <w:tcW w:w="1418" w:type="dxa"/>
            <w:noWrap/>
            <w:vAlign w:val="center"/>
            <w:hideMark/>
          </w:tcPr>
          <w:p w14:paraId="5EFF373B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7FF6B782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20,40</w:t>
            </w:r>
          </w:p>
        </w:tc>
        <w:tc>
          <w:tcPr>
            <w:tcW w:w="1407" w:type="dxa"/>
            <w:noWrap/>
            <w:vAlign w:val="center"/>
            <w:hideMark/>
          </w:tcPr>
          <w:p w14:paraId="36EAF7B4" w14:textId="22CBB9FD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−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20,40</w:t>
            </w:r>
          </w:p>
        </w:tc>
      </w:tr>
      <w:tr w:rsidR="006D40B2" w:rsidRPr="00646CD4" w14:paraId="53239BC2" w14:textId="77777777" w:rsidTr="004E2D6E">
        <w:trPr>
          <w:trHeight w:val="397"/>
        </w:trPr>
        <w:tc>
          <w:tcPr>
            <w:tcW w:w="4678" w:type="dxa"/>
            <w:vAlign w:val="center"/>
            <w:hideMark/>
          </w:tcPr>
          <w:p w14:paraId="40FE4762" w14:textId="77777777" w:rsidR="006D40B2" w:rsidRPr="00646CD4" w:rsidRDefault="006D40B2" w:rsidP="006D40B2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Opravné položky </w:t>
            </w:r>
          </w:p>
        </w:tc>
        <w:tc>
          <w:tcPr>
            <w:tcW w:w="1418" w:type="dxa"/>
            <w:noWrap/>
            <w:vAlign w:val="center"/>
            <w:hideMark/>
          </w:tcPr>
          <w:p w14:paraId="76054F58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44C1CD84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72,39</w:t>
            </w:r>
          </w:p>
        </w:tc>
        <w:tc>
          <w:tcPr>
            <w:tcW w:w="1407" w:type="dxa"/>
            <w:noWrap/>
            <w:vAlign w:val="center"/>
            <w:hideMark/>
          </w:tcPr>
          <w:p w14:paraId="59F6262E" w14:textId="7CAADF45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−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72,39</w:t>
            </w:r>
          </w:p>
        </w:tc>
      </w:tr>
      <w:tr w:rsidR="006D40B2" w:rsidRPr="00646CD4" w14:paraId="2E6C8D6B" w14:textId="77777777" w:rsidTr="004E2D6E">
        <w:trPr>
          <w:trHeight w:val="340"/>
        </w:trPr>
        <w:tc>
          <w:tcPr>
            <w:tcW w:w="4678" w:type="dxa"/>
            <w:noWrap/>
            <w:vAlign w:val="center"/>
            <w:hideMark/>
          </w:tcPr>
          <w:p w14:paraId="181B54A5" w14:textId="77777777" w:rsidR="006D40B2" w:rsidRPr="00646CD4" w:rsidRDefault="006D40B2" w:rsidP="006D40B2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Manka a škody</w:t>
            </w:r>
          </w:p>
        </w:tc>
        <w:tc>
          <w:tcPr>
            <w:tcW w:w="1418" w:type="dxa"/>
            <w:noWrap/>
            <w:vAlign w:val="center"/>
            <w:hideMark/>
          </w:tcPr>
          <w:p w14:paraId="6B8AF862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4D67BB84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29,32</w:t>
            </w:r>
          </w:p>
        </w:tc>
        <w:tc>
          <w:tcPr>
            <w:tcW w:w="1407" w:type="dxa"/>
            <w:noWrap/>
            <w:vAlign w:val="center"/>
            <w:hideMark/>
          </w:tcPr>
          <w:p w14:paraId="1F9190CB" w14:textId="42445B65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−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29,32</w:t>
            </w:r>
          </w:p>
        </w:tc>
      </w:tr>
      <w:tr w:rsidR="006D40B2" w:rsidRPr="00646CD4" w14:paraId="04261C39" w14:textId="77777777" w:rsidTr="006D40B2">
        <w:trPr>
          <w:trHeight w:val="429"/>
        </w:trPr>
        <w:tc>
          <w:tcPr>
            <w:tcW w:w="4678" w:type="dxa"/>
            <w:vAlign w:val="center"/>
            <w:hideMark/>
          </w:tcPr>
          <w:p w14:paraId="157A1B43" w14:textId="77777777" w:rsidR="006D40B2" w:rsidRPr="00646CD4" w:rsidRDefault="006D40B2" w:rsidP="006D40B2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Bezúplatný převod majetku na státní podnik </w:t>
            </w:r>
          </w:p>
        </w:tc>
        <w:tc>
          <w:tcPr>
            <w:tcW w:w="1418" w:type="dxa"/>
            <w:noWrap/>
            <w:vAlign w:val="center"/>
            <w:hideMark/>
          </w:tcPr>
          <w:p w14:paraId="0874A792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7E4D316D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89,13</w:t>
            </w:r>
          </w:p>
        </w:tc>
        <w:tc>
          <w:tcPr>
            <w:tcW w:w="1407" w:type="dxa"/>
            <w:noWrap/>
            <w:vAlign w:val="center"/>
            <w:hideMark/>
          </w:tcPr>
          <w:p w14:paraId="726E14EF" w14:textId="5372F8F3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−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89,13</w:t>
            </w:r>
          </w:p>
        </w:tc>
      </w:tr>
      <w:tr w:rsidR="006D40B2" w:rsidRPr="00646CD4" w14:paraId="6ACA7EDF" w14:textId="77777777" w:rsidTr="004E2D6E">
        <w:trPr>
          <w:trHeight w:val="850"/>
        </w:trPr>
        <w:tc>
          <w:tcPr>
            <w:tcW w:w="4678" w:type="dxa"/>
            <w:vAlign w:val="center"/>
            <w:hideMark/>
          </w:tcPr>
          <w:p w14:paraId="451572E0" w14:textId="7CC55226" w:rsidR="006D40B2" w:rsidRPr="00646CD4" w:rsidRDefault="006D40B2" w:rsidP="006D40B2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Neuhrazené závazky z</w:t>
            </w:r>
            <w:r w:rsidR="009F1C77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e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F1C77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syntetického účtu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321 (zejména neuhrazené faktury dodavatelům očkovacích látek proti covid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u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-19 ve výši 1 181 345 230,51 Kč)</w:t>
            </w:r>
          </w:p>
        </w:tc>
        <w:tc>
          <w:tcPr>
            <w:tcW w:w="1418" w:type="dxa"/>
            <w:noWrap/>
            <w:vAlign w:val="center"/>
            <w:hideMark/>
          </w:tcPr>
          <w:p w14:paraId="62E4CFBE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14:paraId="7F029A17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1 247,51</w:t>
            </w:r>
          </w:p>
        </w:tc>
        <w:tc>
          <w:tcPr>
            <w:tcW w:w="1407" w:type="dxa"/>
            <w:noWrap/>
            <w:vAlign w:val="center"/>
            <w:hideMark/>
          </w:tcPr>
          <w:p w14:paraId="21DE5E0B" w14:textId="38ED6DC5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−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1 247,51</w:t>
            </w:r>
          </w:p>
        </w:tc>
      </w:tr>
      <w:tr w:rsidR="006D40B2" w:rsidRPr="00646CD4" w14:paraId="7F5BC711" w14:textId="77777777" w:rsidTr="004E2D6E">
        <w:trPr>
          <w:trHeight w:val="567"/>
        </w:trPr>
        <w:tc>
          <w:tcPr>
            <w:tcW w:w="4678" w:type="dxa"/>
            <w:vAlign w:val="center"/>
            <w:hideMark/>
          </w:tcPr>
          <w:p w14:paraId="757217A9" w14:textId="0799030D" w:rsidR="006D40B2" w:rsidRPr="00646CD4" w:rsidRDefault="006D40B2" w:rsidP="006D40B2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Uhrazené závazky z účetního období 2020 z</w:t>
            </w:r>
            <w:r w:rsidR="009F1C77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e syntetického účtu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321 </w:t>
            </w:r>
          </w:p>
        </w:tc>
        <w:tc>
          <w:tcPr>
            <w:tcW w:w="1418" w:type="dxa"/>
            <w:noWrap/>
            <w:vAlign w:val="center"/>
            <w:hideMark/>
          </w:tcPr>
          <w:p w14:paraId="3502A8E7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199,95</w:t>
            </w:r>
          </w:p>
        </w:tc>
        <w:tc>
          <w:tcPr>
            <w:tcW w:w="1559" w:type="dxa"/>
            <w:noWrap/>
            <w:vAlign w:val="center"/>
            <w:hideMark/>
          </w:tcPr>
          <w:p w14:paraId="42167F28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07" w:type="dxa"/>
            <w:noWrap/>
            <w:vAlign w:val="center"/>
            <w:hideMark/>
          </w:tcPr>
          <w:p w14:paraId="7419082E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199,95</w:t>
            </w:r>
          </w:p>
        </w:tc>
      </w:tr>
      <w:tr w:rsidR="006D40B2" w:rsidRPr="00646CD4" w14:paraId="49EE9045" w14:textId="77777777" w:rsidTr="006D40B2">
        <w:trPr>
          <w:trHeight w:val="639"/>
        </w:trPr>
        <w:tc>
          <w:tcPr>
            <w:tcW w:w="4678" w:type="dxa"/>
            <w:vAlign w:val="center"/>
            <w:hideMark/>
          </w:tcPr>
          <w:p w14:paraId="7EF0C8D7" w14:textId="7047D26C" w:rsidR="006D40B2" w:rsidRPr="00646CD4" w:rsidRDefault="009F1C77" w:rsidP="006D40B2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</w:t>
            </w:r>
            <w:r w:rsidR="006D40B2"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eněžní prostředky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</w:t>
            </w: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oskytnuté zřízeným příspěvkovým organizacím </w:t>
            </w:r>
            <w:r w:rsidR="006D40B2"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na pořízení dlouhodobého majetku</w:t>
            </w:r>
          </w:p>
        </w:tc>
        <w:tc>
          <w:tcPr>
            <w:tcW w:w="1418" w:type="dxa"/>
            <w:noWrap/>
            <w:vAlign w:val="center"/>
            <w:hideMark/>
          </w:tcPr>
          <w:p w14:paraId="7655CF12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1 367,44</w:t>
            </w:r>
          </w:p>
        </w:tc>
        <w:tc>
          <w:tcPr>
            <w:tcW w:w="1559" w:type="dxa"/>
            <w:noWrap/>
            <w:vAlign w:val="center"/>
            <w:hideMark/>
          </w:tcPr>
          <w:p w14:paraId="54F5E631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07" w:type="dxa"/>
            <w:noWrap/>
            <w:vAlign w:val="center"/>
            <w:hideMark/>
          </w:tcPr>
          <w:p w14:paraId="788CBAFE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1 367,44</w:t>
            </w:r>
          </w:p>
        </w:tc>
      </w:tr>
      <w:tr w:rsidR="006D40B2" w:rsidRPr="00646CD4" w14:paraId="3E77558E" w14:textId="77777777" w:rsidTr="004E2D6E">
        <w:trPr>
          <w:trHeight w:val="340"/>
        </w:trPr>
        <w:tc>
          <w:tcPr>
            <w:tcW w:w="4678" w:type="dxa"/>
            <w:vAlign w:val="center"/>
            <w:hideMark/>
          </w:tcPr>
          <w:p w14:paraId="6021736B" w14:textId="77777777" w:rsidR="006D40B2" w:rsidRPr="00646CD4" w:rsidRDefault="006D40B2" w:rsidP="006D40B2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Nespotřebované zásoby očkovacích látek</w:t>
            </w:r>
          </w:p>
        </w:tc>
        <w:tc>
          <w:tcPr>
            <w:tcW w:w="1418" w:type="dxa"/>
            <w:noWrap/>
            <w:vAlign w:val="center"/>
            <w:hideMark/>
          </w:tcPr>
          <w:p w14:paraId="7E55AD3A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887,63</w:t>
            </w:r>
          </w:p>
        </w:tc>
        <w:tc>
          <w:tcPr>
            <w:tcW w:w="1559" w:type="dxa"/>
            <w:noWrap/>
            <w:vAlign w:val="center"/>
            <w:hideMark/>
          </w:tcPr>
          <w:p w14:paraId="37E396B6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07" w:type="dxa"/>
            <w:noWrap/>
            <w:vAlign w:val="center"/>
            <w:hideMark/>
          </w:tcPr>
          <w:p w14:paraId="31199BB6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887,63</w:t>
            </w:r>
          </w:p>
        </w:tc>
      </w:tr>
      <w:tr w:rsidR="006D40B2" w:rsidRPr="00646CD4" w14:paraId="2AF778E9" w14:textId="77777777" w:rsidTr="004E2D6E">
        <w:trPr>
          <w:trHeight w:val="340"/>
        </w:trPr>
        <w:tc>
          <w:tcPr>
            <w:tcW w:w="4678" w:type="dxa"/>
            <w:vAlign w:val="center"/>
            <w:hideMark/>
          </w:tcPr>
          <w:p w14:paraId="031A0A85" w14:textId="77777777" w:rsidR="006D40B2" w:rsidRPr="00646CD4" w:rsidRDefault="006D40B2" w:rsidP="006D40B2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Výdaje na pořízení dlouhodobého majetku</w:t>
            </w:r>
          </w:p>
        </w:tc>
        <w:tc>
          <w:tcPr>
            <w:tcW w:w="1418" w:type="dxa"/>
            <w:noWrap/>
            <w:vAlign w:val="center"/>
            <w:hideMark/>
          </w:tcPr>
          <w:p w14:paraId="1912534E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16,60</w:t>
            </w:r>
          </w:p>
        </w:tc>
        <w:tc>
          <w:tcPr>
            <w:tcW w:w="1559" w:type="dxa"/>
            <w:noWrap/>
            <w:vAlign w:val="center"/>
            <w:hideMark/>
          </w:tcPr>
          <w:p w14:paraId="6F1299A6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07" w:type="dxa"/>
            <w:noWrap/>
            <w:vAlign w:val="center"/>
            <w:hideMark/>
          </w:tcPr>
          <w:p w14:paraId="379D5CA2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16,60</w:t>
            </w:r>
          </w:p>
        </w:tc>
      </w:tr>
      <w:tr w:rsidR="006D40B2" w:rsidRPr="00646CD4" w14:paraId="6E1D8D99" w14:textId="77777777" w:rsidTr="004E2D6E">
        <w:trPr>
          <w:trHeight w:val="340"/>
        </w:trPr>
        <w:tc>
          <w:tcPr>
            <w:tcW w:w="7655" w:type="dxa"/>
            <w:gridSpan w:val="3"/>
            <w:shd w:val="clear" w:color="auto" w:fill="F2C6C9"/>
            <w:noWrap/>
            <w:vAlign w:val="center"/>
            <w:hideMark/>
          </w:tcPr>
          <w:p w14:paraId="72E6561D" w14:textId="77777777" w:rsidR="006D40B2" w:rsidRPr="00646CD4" w:rsidRDefault="006D40B2" w:rsidP="006D40B2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výdaji a náklady za významné operace celkem</w:t>
            </w:r>
          </w:p>
        </w:tc>
        <w:tc>
          <w:tcPr>
            <w:tcW w:w="1407" w:type="dxa"/>
            <w:shd w:val="clear" w:color="auto" w:fill="F2C6C9"/>
            <w:noWrap/>
            <w:vAlign w:val="center"/>
            <w:hideMark/>
          </w:tcPr>
          <w:p w14:paraId="09827DB7" w14:textId="77777777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1 012,87</w:t>
            </w:r>
          </w:p>
        </w:tc>
      </w:tr>
      <w:tr w:rsidR="006D40B2" w:rsidRPr="00646CD4" w14:paraId="3A2ABD08" w14:textId="77777777" w:rsidTr="004E2D6E">
        <w:trPr>
          <w:trHeight w:val="567"/>
        </w:trPr>
        <w:tc>
          <w:tcPr>
            <w:tcW w:w="7655" w:type="dxa"/>
            <w:gridSpan w:val="3"/>
            <w:shd w:val="clear" w:color="auto" w:fill="F2C6C9"/>
            <w:vAlign w:val="center"/>
            <w:hideMark/>
          </w:tcPr>
          <w:p w14:paraId="7ECE28A7" w14:textId="77777777" w:rsidR="006D40B2" w:rsidRPr="00646CD4" w:rsidRDefault="006D40B2" w:rsidP="006D40B2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Rozdíl mezi saldem peněžních toků a výsledkem hospodaření </w:t>
            </w:r>
            <w:proofErr w:type="spellStart"/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MZ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  <w:proofErr w:type="spellEnd"/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za významné operace celkem</w:t>
            </w:r>
          </w:p>
        </w:tc>
        <w:tc>
          <w:tcPr>
            <w:tcW w:w="1407" w:type="dxa"/>
            <w:shd w:val="clear" w:color="auto" w:fill="F2C6C9"/>
            <w:noWrap/>
            <w:vAlign w:val="center"/>
            <w:hideMark/>
          </w:tcPr>
          <w:p w14:paraId="45FA9B75" w14:textId="0E606A01" w:rsidR="006D40B2" w:rsidRPr="00646CD4" w:rsidRDefault="006D40B2" w:rsidP="006D40B2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−</w:t>
            </w:r>
            <w:r w:rsidRPr="00646C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1 937,33</w:t>
            </w:r>
          </w:p>
        </w:tc>
      </w:tr>
    </w:tbl>
    <w:p w14:paraId="14A2BA78" w14:textId="1B1CFAE9" w:rsidR="006D40B2" w:rsidRPr="00646CD4" w:rsidRDefault="006D40B2" w:rsidP="006D40B2">
      <w:pPr>
        <w:spacing w:before="40"/>
        <w:rPr>
          <w:rFonts w:cs="Calibri"/>
          <w:b/>
          <w:color w:val="000000"/>
          <w:sz w:val="20"/>
          <w:szCs w:val="20"/>
          <w:lang w:eastAsia="cs-CZ"/>
        </w:rPr>
      </w:pPr>
      <w:r w:rsidRPr="00646CD4">
        <w:rPr>
          <w:rFonts w:cs="Calibri"/>
          <w:b/>
          <w:color w:val="000000"/>
          <w:sz w:val="20"/>
          <w:szCs w:val="20"/>
          <w:lang w:eastAsia="cs-CZ"/>
        </w:rPr>
        <w:t xml:space="preserve">Zdroj: </w:t>
      </w:r>
      <w:r w:rsidRPr="00646CD4">
        <w:rPr>
          <w:rFonts w:cs="Calibri"/>
          <w:color w:val="000000"/>
          <w:sz w:val="20"/>
          <w:szCs w:val="20"/>
          <w:lang w:eastAsia="cs-CZ"/>
        </w:rPr>
        <w:t xml:space="preserve">účetní data </w:t>
      </w:r>
      <w:proofErr w:type="spellStart"/>
      <w:r w:rsidRPr="00646CD4">
        <w:rPr>
          <w:rFonts w:cs="Calibri"/>
          <w:color w:val="000000"/>
          <w:sz w:val="20"/>
          <w:szCs w:val="20"/>
          <w:lang w:eastAsia="cs-CZ"/>
        </w:rPr>
        <w:t>MZ</w:t>
      </w:r>
      <w:r>
        <w:rPr>
          <w:rFonts w:cs="Calibri"/>
          <w:color w:val="000000"/>
          <w:sz w:val="20"/>
          <w:szCs w:val="20"/>
          <w:lang w:eastAsia="cs-CZ"/>
        </w:rPr>
        <w:t>d</w:t>
      </w:r>
      <w:proofErr w:type="spellEnd"/>
      <w:r w:rsidRPr="00646CD4">
        <w:rPr>
          <w:rFonts w:cs="Calibri"/>
          <w:color w:val="000000"/>
          <w:sz w:val="20"/>
          <w:szCs w:val="20"/>
          <w:lang w:eastAsia="cs-CZ"/>
        </w:rPr>
        <w:t xml:space="preserve"> za rok 2021, ÚZ.</w:t>
      </w:r>
    </w:p>
    <w:p w14:paraId="41D849E9" w14:textId="43F3B59E" w:rsidR="006D40B2" w:rsidRPr="00646CD4" w:rsidRDefault="006D40B2" w:rsidP="004E2D6E">
      <w:pPr>
        <w:spacing w:before="120"/>
        <w:jc w:val="both"/>
        <w:rPr>
          <w:rFonts w:asciiTheme="minorHAnsi" w:hAnsiTheme="minorHAnsi" w:cstheme="minorHAnsi"/>
        </w:rPr>
      </w:pPr>
      <w:r w:rsidRPr="00646CD4">
        <w:rPr>
          <w:rFonts w:asciiTheme="minorHAnsi" w:hAnsiTheme="minorHAnsi" w:cstheme="minorHAnsi"/>
        </w:rPr>
        <w:t>Hlavními důvody rozdílu mezi saldem peněžních toků dle finančního výkazu a</w:t>
      </w:r>
      <w:r w:rsidR="00641AC0">
        <w:rPr>
          <w:rFonts w:asciiTheme="minorHAnsi" w:hAnsiTheme="minorHAnsi" w:cstheme="minorHAnsi"/>
        </w:rPr>
        <w:t xml:space="preserve"> </w:t>
      </w:r>
      <w:r w:rsidRPr="00646CD4">
        <w:rPr>
          <w:rFonts w:asciiTheme="minorHAnsi" w:hAnsiTheme="minorHAnsi" w:cstheme="minorHAnsi"/>
        </w:rPr>
        <w:t>hospodářským výsledkem běžného účetního období dle výkazu zisku a ztráty jsou:</w:t>
      </w:r>
    </w:p>
    <w:p w14:paraId="219851F4" w14:textId="77777777" w:rsidR="006D40B2" w:rsidRPr="00646CD4" w:rsidRDefault="006D40B2" w:rsidP="006D40B2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646CD4">
        <w:rPr>
          <w:rFonts w:asciiTheme="minorHAnsi" w:hAnsiTheme="minorHAnsi" w:cstheme="minorHAnsi"/>
        </w:rPr>
        <w:t>náklady bez realizace souvisejícího výdaje</w:t>
      </w:r>
      <w:r w:rsidRPr="00646CD4">
        <w:rPr>
          <w:rStyle w:val="Znakapoznpodarou"/>
          <w:rFonts w:asciiTheme="minorHAnsi" w:eastAsiaTheme="minorHAnsi" w:hAnsiTheme="minorHAnsi" w:cstheme="minorHAnsi"/>
        </w:rPr>
        <w:footnoteReference w:id="55"/>
      </w:r>
      <w:r w:rsidRPr="00646CD4">
        <w:rPr>
          <w:rFonts w:asciiTheme="minorHAnsi" w:hAnsiTheme="minorHAnsi" w:cstheme="minorHAnsi"/>
        </w:rPr>
        <w:t>, a to zejména:</w:t>
      </w:r>
    </w:p>
    <w:p w14:paraId="6B8CBD1A" w14:textId="77777777" w:rsidR="006D40B2" w:rsidRPr="00646CD4" w:rsidRDefault="006D40B2" w:rsidP="006D40B2">
      <w:pPr>
        <w:pStyle w:val="Odstavecseseznamem"/>
        <w:numPr>
          <w:ilvl w:val="0"/>
          <w:numId w:val="17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646CD4">
        <w:rPr>
          <w:rFonts w:asciiTheme="minorHAnsi" w:hAnsiTheme="minorHAnsi" w:cstheme="minorHAnsi"/>
        </w:rPr>
        <w:t>náklady na odpisy dlouhodobého majetku ve výši 20,40 mil. Kč,</w:t>
      </w:r>
    </w:p>
    <w:p w14:paraId="113F88E2" w14:textId="77777777" w:rsidR="006D40B2" w:rsidRPr="00646CD4" w:rsidRDefault="006D40B2" w:rsidP="006D40B2">
      <w:pPr>
        <w:pStyle w:val="Odstavecseseznamem"/>
        <w:numPr>
          <w:ilvl w:val="0"/>
          <w:numId w:val="17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646CD4">
        <w:rPr>
          <w:rFonts w:asciiTheme="minorHAnsi" w:hAnsiTheme="minorHAnsi" w:cstheme="minorHAnsi"/>
        </w:rPr>
        <w:t>opravné položky ve výši 72,39 mil. Kč,</w:t>
      </w:r>
    </w:p>
    <w:p w14:paraId="4D72F215" w14:textId="77777777" w:rsidR="006D40B2" w:rsidRPr="00646CD4" w:rsidRDefault="006D40B2" w:rsidP="006D40B2">
      <w:pPr>
        <w:pStyle w:val="Odstavecseseznamem"/>
        <w:numPr>
          <w:ilvl w:val="0"/>
          <w:numId w:val="17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646CD4">
        <w:rPr>
          <w:rFonts w:asciiTheme="minorHAnsi" w:hAnsiTheme="minorHAnsi" w:cstheme="minorHAnsi"/>
        </w:rPr>
        <w:t>manka a škody ve výši 29,32 mil. Kč,</w:t>
      </w:r>
    </w:p>
    <w:p w14:paraId="4DBE015F" w14:textId="77777777" w:rsidR="006D40B2" w:rsidRPr="00646CD4" w:rsidRDefault="006D40B2" w:rsidP="006D40B2">
      <w:pPr>
        <w:pStyle w:val="Odstavecseseznamem"/>
        <w:numPr>
          <w:ilvl w:val="0"/>
          <w:numId w:val="17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646CD4">
        <w:rPr>
          <w:rFonts w:asciiTheme="minorHAnsi" w:hAnsiTheme="minorHAnsi" w:cstheme="minorHAnsi"/>
        </w:rPr>
        <w:t>bezúplatný převod majetku na státní podnik ve výši 89,13 mil. Kč,</w:t>
      </w:r>
    </w:p>
    <w:p w14:paraId="0D476904" w14:textId="77777777" w:rsidR="006D40B2" w:rsidRPr="00646CD4" w:rsidRDefault="006D40B2" w:rsidP="006D40B2">
      <w:pPr>
        <w:pStyle w:val="Odstavecseseznamem"/>
        <w:numPr>
          <w:ilvl w:val="0"/>
          <w:numId w:val="18"/>
        </w:numPr>
        <w:ind w:left="567" w:hanging="283"/>
        <w:contextualSpacing w:val="0"/>
        <w:jc w:val="both"/>
        <w:rPr>
          <w:rFonts w:asciiTheme="minorHAnsi" w:hAnsiTheme="minorHAnsi" w:cstheme="minorHAnsi"/>
        </w:rPr>
      </w:pPr>
      <w:r w:rsidRPr="00646CD4">
        <w:rPr>
          <w:rFonts w:eastAsia="Calibri" w:cs="Calibri"/>
          <w:lang w:eastAsia="cs-CZ"/>
        </w:rPr>
        <w:t>neuhrazené závazky z</w:t>
      </w:r>
      <w:r w:rsidR="009F1C77">
        <w:rPr>
          <w:rFonts w:eastAsia="Calibri" w:cs="Calibri"/>
          <w:lang w:eastAsia="cs-CZ"/>
        </w:rPr>
        <w:t>e</w:t>
      </w:r>
      <w:r w:rsidRPr="00646CD4">
        <w:rPr>
          <w:rFonts w:eastAsia="Calibri" w:cs="Calibri"/>
          <w:lang w:eastAsia="cs-CZ"/>
        </w:rPr>
        <w:t xml:space="preserve"> SÚ 321 ve výši 1,25 mld. Kč</w:t>
      </w:r>
      <w:r>
        <w:rPr>
          <w:rFonts w:eastAsia="Calibri" w:cs="Calibri"/>
          <w:lang w:eastAsia="cs-CZ"/>
        </w:rPr>
        <w:t>, z této částky</w:t>
      </w:r>
      <w:r w:rsidRPr="007568B6">
        <w:rPr>
          <w:rFonts w:eastAsia="Calibri" w:cs="Calibri"/>
          <w:lang w:eastAsia="cs-CZ"/>
        </w:rPr>
        <w:t xml:space="preserve"> </w:t>
      </w:r>
      <w:r w:rsidRPr="00646CD4">
        <w:rPr>
          <w:rFonts w:eastAsia="Calibri" w:cs="Calibri"/>
          <w:lang w:eastAsia="cs-CZ"/>
        </w:rPr>
        <w:t>zejména neuhrazené faktury dodavatelům očkovacích látek proti covid</w:t>
      </w:r>
      <w:r>
        <w:rPr>
          <w:rFonts w:eastAsia="Calibri" w:cs="Calibri"/>
          <w:lang w:eastAsia="cs-CZ"/>
        </w:rPr>
        <w:t>u</w:t>
      </w:r>
      <w:r w:rsidRPr="00646CD4">
        <w:rPr>
          <w:rFonts w:eastAsia="Calibri" w:cs="Calibri"/>
          <w:lang w:eastAsia="cs-CZ"/>
        </w:rPr>
        <w:t>-19 ve výši 1 181 345 230,51 Kč</w:t>
      </w:r>
      <w:r w:rsidRPr="00646CD4">
        <w:rPr>
          <w:rFonts w:asciiTheme="minorHAnsi" w:hAnsiTheme="minorHAnsi" w:cstheme="minorHAnsi"/>
        </w:rPr>
        <w:t>;</w:t>
      </w:r>
    </w:p>
    <w:p w14:paraId="07946738" w14:textId="77777777" w:rsidR="006D40B2" w:rsidRPr="00646CD4" w:rsidRDefault="006D40B2" w:rsidP="004E2D6E">
      <w:pPr>
        <w:keepNext/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646CD4">
        <w:rPr>
          <w:rFonts w:asciiTheme="minorHAnsi" w:hAnsiTheme="minorHAnsi" w:cstheme="minorHAnsi"/>
        </w:rPr>
        <w:lastRenderedPageBreak/>
        <w:t>výnosy bez realizace souvisejícího příjmu, a to zejména:</w:t>
      </w:r>
    </w:p>
    <w:p w14:paraId="63487BA0" w14:textId="0ACD8746" w:rsidR="006D40B2" w:rsidRPr="00646CD4" w:rsidRDefault="006D40B2" w:rsidP="006D40B2">
      <w:pPr>
        <w:pStyle w:val="Odstavecseseznamem"/>
        <w:numPr>
          <w:ilvl w:val="0"/>
          <w:numId w:val="17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646CD4">
        <w:rPr>
          <w:rFonts w:asciiTheme="minorHAnsi" w:hAnsiTheme="minorHAnsi" w:cstheme="minorHAnsi"/>
        </w:rPr>
        <w:t xml:space="preserve">dohadná položka na grant </w:t>
      </w:r>
      <w:r>
        <w:rPr>
          <w:rFonts w:asciiTheme="minorHAnsi" w:hAnsiTheme="minorHAnsi" w:cstheme="minorHAnsi"/>
        </w:rPr>
        <w:t>–</w:t>
      </w:r>
      <w:r w:rsidRPr="00646CD4">
        <w:rPr>
          <w:rFonts w:asciiTheme="minorHAnsi" w:hAnsiTheme="minorHAnsi" w:cstheme="minorHAnsi"/>
        </w:rPr>
        <w:t xml:space="preserve"> zavádění aplikac</w:t>
      </w:r>
      <w:r w:rsidR="00086A17">
        <w:rPr>
          <w:rFonts w:asciiTheme="minorHAnsi" w:hAnsiTheme="minorHAnsi" w:cstheme="minorHAnsi"/>
        </w:rPr>
        <w:t>í</w:t>
      </w:r>
      <w:r w:rsidRPr="00646CD4">
        <w:rPr>
          <w:rFonts w:asciiTheme="minorHAnsi" w:hAnsiTheme="minorHAnsi" w:cstheme="minorHAnsi"/>
        </w:rPr>
        <w:t xml:space="preserve"> na COVIDPASS (Tečka, </w:t>
      </w:r>
      <w:proofErr w:type="spellStart"/>
      <w:r w:rsidR="00086A17">
        <w:rPr>
          <w:rFonts w:asciiTheme="minorHAnsi" w:hAnsiTheme="minorHAnsi" w:cstheme="minorHAnsi"/>
        </w:rPr>
        <w:t>čT</w:t>
      </w:r>
      <w:r w:rsidRPr="00646CD4">
        <w:rPr>
          <w:rFonts w:asciiTheme="minorHAnsi" w:hAnsiTheme="minorHAnsi" w:cstheme="minorHAnsi"/>
        </w:rPr>
        <w:t>ečka</w:t>
      </w:r>
      <w:proofErr w:type="spellEnd"/>
      <w:r w:rsidRPr="00646CD4">
        <w:rPr>
          <w:rFonts w:asciiTheme="minorHAnsi" w:hAnsiTheme="minorHAnsi" w:cstheme="minorHAnsi"/>
        </w:rPr>
        <w:t>) ve výši 17,22 mil. Kč,</w:t>
      </w:r>
    </w:p>
    <w:p w14:paraId="6EBB9060" w14:textId="77777777" w:rsidR="006D40B2" w:rsidRPr="00646CD4" w:rsidRDefault="006D40B2" w:rsidP="006D40B2">
      <w:pPr>
        <w:pStyle w:val="Odstavecseseznamem"/>
        <w:numPr>
          <w:ilvl w:val="0"/>
          <w:numId w:val="18"/>
        </w:numPr>
        <w:ind w:left="567" w:hanging="283"/>
        <w:contextualSpacing w:val="0"/>
        <w:jc w:val="both"/>
        <w:rPr>
          <w:rFonts w:eastAsia="Calibri" w:cs="Calibri"/>
          <w:lang w:eastAsia="cs-CZ"/>
        </w:rPr>
      </w:pPr>
      <w:r w:rsidRPr="00646CD4">
        <w:rPr>
          <w:rFonts w:eastAsia="Calibri" w:cs="Calibri"/>
          <w:lang w:eastAsia="cs-CZ"/>
        </w:rPr>
        <w:t xml:space="preserve">dohadná položka k přijatým zálohám od </w:t>
      </w:r>
      <w:r>
        <w:rPr>
          <w:rFonts w:eastAsia="Calibri" w:cs="Calibri"/>
          <w:lang w:eastAsia="cs-CZ"/>
        </w:rPr>
        <w:t>zdravotních pojišťoven</w:t>
      </w:r>
      <w:r w:rsidRPr="00646CD4">
        <w:rPr>
          <w:rFonts w:eastAsia="Calibri" w:cs="Calibri"/>
          <w:lang w:eastAsia="cs-CZ"/>
        </w:rPr>
        <w:t xml:space="preserve"> ve výši 6,60 mld. Kč;</w:t>
      </w:r>
    </w:p>
    <w:p w14:paraId="2C9E9841" w14:textId="77777777" w:rsidR="006D40B2" w:rsidRPr="00646CD4" w:rsidRDefault="006D40B2" w:rsidP="006D40B2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646CD4">
        <w:rPr>
          <w:rFonts w:asciiTheme="minorHAnsi" w:hAnsiTheme="minorHAnsi" w:cstheme="minorHAnsi"/>
        </w:rPr>
        <w:t>výdaje bez vykázání souvisejícího nákladu, a to zejména:</w:t>
      </w:r>
    </w:p>
    <w:p w14:paraId="5B43C64F" w14:textId="77777777" w:rsidR="006D40B2" w:rsidRPr="00646CD4" w:rsidRDefault="006D40B2" w:rsidP="006D40B2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46CD4">
        <w:rPr>
          <w:rFonts w:asciiTheme="minorHAnsi" w:hAnsiTheme="minorHAnsi" w:cstheme="minorHAnsi"/>
        </w:rPr>
        <w:t>uhrazené závazky z účetního období 2020 z</w:t>
      </w:r>
      <w:r w:rsidR="00086A17">
        <w:rPr>
          <w:rFonts w:asciiTheme="minorHAnsi" w:hAnsiTheme="minorHAnsi" w:cstheme="minorHAnsi"/>
        </w:rPr>
        <w:t>e</w:t>
      </w:r>
      <w:r w:rsidRPr="00646CD4">
        <w:rPr>
          <w:rFonts w:asciiTheme="minorHAnsi" w:hAnsiTheme="minorHAnsi" w:cstheme="minorHAnsi"/>
        </w:rPr>
        <w:t xml:space="preserve"> SÚ 321</w:t>
      </w:r>
      <w:r>
        <w:rPr>
          <w:rFonts w:asciiTheme="minorHAnsi" w:hAnsiTheme="minorHAnsi" w:cstheme="minorHAnsi"/>
        </w:rPr>
        <w:t xml:space="preserve"> </w:t>
      </w:r>
      <w:r w:rsidRPr="00646CD4">
        <w:rPr>
          <w:rFonts w:asciiTheme="minorHAnsi" w:hAnsiTheme="minorHAnsi" w:cstheme="minorHAnsi"/>
        </w:rPr>
        <w:t xml:space="preserve">ve výši 199,95 mil. Kč, </w:t>
      </w:r>
    </w:p>
    <w:p w14:paraId="521BB697" w14:textId="09CB4D98" w:rsidR="006D40B2" w:rsidRPr="00646CD4" w:rsidRDefault="006D40B2" w:rsidP="006D40B2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46CD4">
        <w:rPr>
          <w:rFonts w:asciiTheme="minorHAnsi" w:hAnsiTheme="minorHAnsi" w:cstheme="minorHAnsi"/>
        </w:rPr>
        <w:t xml:space="preserve">peněžní prostředky </w:t>
      </w:r>
      <w:r w:rsidR="00086A17" w:rsidRPr="00646CD4">
        <w:rPr>
          <w:rFonts w:asciiTheme="minorHAnsi" w:hAnsiTheme="minorHAnsi" w:cstheme="minorHAnsi"/>
        </w:rPr>
        <w:t xml:space="preserve">poskytnuté </w:t>
      </w:r>
      <w:r w:rsidRPr="00646CD4">
        <w:rPr>
          <w:rFonts w:asciiTheme="minorHAnsi" w:hAnsiTheme="minorHAnsi" w:cstheme="minorHAnsi"/>
        </w:rPr>
        <w:t>na pořízení dlouhodobého majetku zřízeným příspěvkovým organizacím ve výši 1,37 mld. Kč,</w:t>
      </w:r>
    </w:p>
    <w:p w14:paraId="0C389C4B" w14:textId="77777777" w:rsidR="006D40B2" w:rsidRPr="00646CD4" w:rsidRDefault="006D40B2" w:rsidP="006D40B2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46CD4">
        <w:rPr>
          <w:rFonts w:asciiTheme="minorHAnsi" w:hAnsiTheme="minorHAnsi" w:cstheme="minorHAnsi"/>
        </w:rPr>
        <w:t xml:space="preserve">nespotřebované zásoby očkovacích látek ve výši 887,63 mil. Kč, </w:t>
      </w:r>
    </w:p>
    <w:p w14:paraId="72D0B020" w14:textId="77777777" w:rsidR="006D40B2" w:rsidRPr="00646CD4" w:rsidRDefault="006D40B2" w:rsidP="006D40B2">
      <w:pPr>
        <w:pStyle w:val="Odstavecseseznamem"/>
        <w:numPr>
          <w:ilvl w:val="0"/>
          <w:numId w:val="16"/>
        </w:numPr>
        <w:contextualSpacing w:val="0"/>
        <w:jc w:val="both"/>
        <w:rPr>
          <w:rFonts w:asciiTheme="minorHAnsi" w:hAnsiTheme="minorHAnsi" w:cstheme="minorHAnsi"/>
        </w:rPr>
      </w:pPr>
      <w:r w:rsidRPr="00646CD4">
        <w:rPr>
          <w:rFonts w:asciiTheme="minorHAnsi" w:hAnsiTheme="minorHAnsi" w:cstheme="minorHAnsi"/>
        </w:rPr>
        <w:t>výdaje na pořízení dlouhodobého majetku ve výši 16,60 mil. Kč;</w:t>
      </w:r>
    </w:p>
    <w:p w14:paraId="4B01B562" w14:textId="77777777" w:rsidR="006D40B2" w:rsidRPr="00F75C5D" w:rsidRDefault="006D40B2" w:rsidP="006D40B2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F75C5D">
        <w:rPr>
          <w:rFonts w:asciiTheme="minorHAnsi" w:hAnsiTheme="minorHAnsi" w:cstheme="minorHAnsi"/>
        </w:rPr>
        <w:t>realizace příjmu bez vykázání souvisejícího výnosu, a to zejména:</w:t>
      </w:r>
    </w:p>
    <w:p w14:paraId="1B9850E3" w14:textId="77777777" w:rsidR="006D40B2" w:rsidRPr="00F75C5D" w:rsidRDefault="006D40B2" w:rsidP="006D40B2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</w:rPr>
      </w:pPr>
      <w:r w:rsidRPr="00F75C5D">
        <w:rPr>
          <w:rFonts w:asciiTheme="minorHAnsi" w:hAnsiTheme="minorHAnsi" w:cstheme="minorHAnsi"/>
        </w:rPr>
        <w:t>přijaté zálohy od ZP za očkovací látky proti covid</w:t>
      </w:r>
      <w:r>
        <w:rPr>
          <w:rFonts w:asciiTheme="minorHAnsi" w:hAnsiTheme="minorHAnsi" w:cstheme="minorHAnsi"/>
        </w:rPr>
        <w:t>u</w:t>
      </w:r>
      <w:r w:rsidRPr="00F75C5D">
        <w:rPr>
          <w:rFonts w:asciiTheme="minorHAnsi" w:hAnsiTheme="minorHAnsi" w:cstheme="minorHAnsi"/>
        </w:rPr>
        <w:t>-19 ve výši 5,68 mld. Kč,</w:t>
      </w:r>
    </w:p>
    <w:p w14:paraId="3D63D79A" w14:textId="188496FD" w:rsidR="006D40B2" w:rsidRPr="00F75C5D" w:rsidRDefault="006D40B2" w:rsidP="006D40B2">
      <w:pPr>
        <w:pStyle w:val="Odstavecseseznamem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</w:rPr>
      </w:pPr>
      <w:r w:rsidRPr="00F75C5D">
        <w:rPr>
          <w:rFonts w:asciiTheme="minorHAnsi" w:hAnsiTheme="minorHAnsi" w:cstheme="minorHAnsi"/>
        </w:rPr>
        <w:t xml:space="preserve">přijatá záloha </w:t>
      </w:r>
      <w:r>
        <w:rPr>
          <w:rFonts w:asciiTheme="minorHAnsi" w:hAnsiTheme="minorHAnsi" w:cstheme="minorHAnsi"/>
        </w:rPr>
        <w:t>–</w:t>
      </w:r>
      <w:r w:rsidRPr="00F75C5D">
        <w:rPr>
          <w:rFonts w:asciiTheme="minorHAnsi" w:hAnsiTheme="minorHAnsi" w:cstheme="minorHAnsi"/>
        </w:rPr>
        <w:t xml:space="preserve"> zavádění aplikac</w:t>
      </w:r>
      <w:r w:rsidR="00086A17">
        <w:rPr>
          <w:rFonts w:asciiTheme="minorHAnsi" w:hAnsiTheme="minorHAnsi" w:cstheme="minorHAnsi"/>
        </w:rPr>
        <w:t>í</w:t>
      </w:r>
      <w:r w:rsidRPr="00F75C5D">
        <w:rPr>
          <w:rFonts w:asciiTheme="minorHAnsi" w:hAnsiTheme="minorHAnsi" w:cstheme="minorHAnsi"/>
        </w:rPr>
        <w:t xml:space="preserve"> na COVIDPASS (Tečka, </w:t>
      </w:r>
      <w:proofErr w:type="spellStart"/>
      <w:r w:rsidR="00086A17">
        <w:rPr>
          <w:rFonts w:asciiTheme="minorHAnsi" w:hAnsiTheme="minorHAnsi" w:cstheme="minorHAnsi"/>
        </w:rPr>
        <w:t>čT</w:t>
      </w:r>
      <w:r w:rsidRPr="00F75C5D">
        <w:rPr>
          <w:rFonts w:asciiTheme="minorHAnsi" w:hAnsiTheme="minorHAnsi" w:cstheme="minorHAnsi"/>
        </w:rPr>
        <w:t>ečka</w:t>
      </w:r>
      <w:proofErr w:type="spellEnd"/>
      <w:r>
        <w:rPr>
          <w:rFonts w:asciiTheme="minorHAnsi" w:hAnsiTheme="minorHAnsi" w:cstheme="minorHAnsi"/>
        </w:rPr>
        <w:t>)</w:t>
      </w:r>
      <w:r w:rsidRPr="00F75C5D">
        <w:rPr>
          <w:rFonts w:asciiTheme="minorHAnsi" w:hAnsiTheme="minorHAnsi" w:cstheme="minorHAnsi"/>
        </w:rPr>
        <w:t xml:space="preserve"> ve výši 13,97 mil. Kč.</w:t>
      </w:r>
    </w:p>
    <w:p w14:paraId="3A52FF32" w14:textId="77777777" w:rsidR="006D40B2" w:rsidRPr="00927ABA" w:rsidRDefault="006D40B2" w:rsidP="006D40B2">
      <w:pPr>
        <w:tabs>
          <w:tab w:val="left" w:pos="2552"/>
        </w:tabs>
        <w:jc w:val="both"/>
        <w:rPr>
          <w:rFonts w:asciiTheme="minorHAnsi" w:eastAsiaTheme="minorHAnsi" w:hAnsiTheme="minorHAnsi" w:cstheme="minorHAnsi"/>
        </w:rPr>
      </w:pPr>
    </w:p>
    <w:p w14:paraId="1D14E93F" w14:textId="2617C641" w:rsidR="00B57597" w:rsidRPr="00D71C60" w:rsidRDefault="00B57597" w:rsidP="00463ED9">
      <w:pPr>
        <w:spacing w:after="60"/>
        <w:rPr>
          <w:rFonts w:asciiTheme="minorHAnsi" w:eastAsiaTheme="minorHAnsi" w:hAnsiTheme="minorHAnsi" w:cstheme="minorHAnsi"/>
          <w:highlight w:val="yellow"/>
        </w:rPr>
      </w:pPr>
    </w:p>
    <w:sectPr w:rsidR="00B57597" w:rsidRPr="00D71C60" w:rsidSect="002F5988">
      <w:headerReference w:type="default" r:id="rId1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CDF7C" w14:textId="77777777" w:rsidR="00517CE0" w:rsidRDefault="00517CE0">
      <w:pPr>
        <w:spacing w:after="0"/>
      </w:pPr>
      <w:r>
        <w:separator/>
      </w:r>
    </w:p>
  </w:endnote>
  <w:endnote w:type="continuationSeparator" w:id="0">
    <w:p w14:paraId="7617CE84" w14:textId="77777777" w:rsidR="00517CE0" w:rsidRDefault="00517CE0">
      <w:pPr>
        <w:spacing w:after="0"/>
      </w:pPr>
      <w:r>
        <w:continuationSeparator/>
      </w:r>
    </w:p>
  </w:endnote>
  <w:endnote w:type="continuationNotice" w:id="1">
    <w:p w14:paraId="51585784" w14:textId="77777777" w:rsidR="00517CE0" w:rsidRDefault="00517C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242651"/>
      <w:docPartObj>
        <w:docPartGallery w:val="Page Numbers (Bottom of Page)"/>
        <w:docPartUnique/>
      </w:docPartObj>
    </w:sdtPr>
    <w:sdtEndPr/>
    <w:sdtContent>
      <w:p w14:paraId="4F579456" w14:textId="77777777" w:rsidR="00517CE0" w:rsidRDefault="00517CE0" w:rsidP="00B575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6B202" w14:textId="77777777" w:rsidR="00517CE0" w:rsidRDefault="00517CE0" w:rsidP="002B7978">
      <w:pPr>
        <w:spacing w:after="0"/>
      </w:pPr>
      <w:r>
        <w:separator/>
      </w:r>
    </w:p>
  </w:footnote>
  <w:footnote w:type="continuationSeparator" w:id="0">
    <w:p w14:paraId="2E4D0BAF" w14:textId="77777777" w:rsidR="00517CE0" w:rsidRDefault="00517CE0" w:rsidP="002B7978">
      <w:pPr>
        <w:spacing w:after="0"/>
      </w:pPr>
      <w:r>
        <w:continuationSeparator/>
      </w:r>
    </w:p>
  </w:footnote>
  <w:footnote w:type="continuationNotice" w:id="1">
    <w:p w14:paraId="31BDEC39" w14:textId="77777777" w:rsidR="00517CE0" w:rsidRDefault="00517CE0">
      <w:pPr>
        <w:spacing w:after="0"/>
      </w:pPr>
    </w:p>
  </w:footnote>
  <w:footnote w:id="2">
    <w:p w14:paraId="60FDA774" w14:textId="79377221" w:rsidR="00517CE0" w:rsidRPr="0066297E" w:rsidRDefault="00517CE0" w:rsidP="003F59E1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66297E">
        <w:rPr>
          <w:rStyle w:val="Znakapoznpodarou"/>
          <w:rFonts w:asciiTheme="minorHAnsi" w:hAnsiTheme="minorHAnsi" w:cstheme="minorHAnsi"/>
        </w:rPr>
        <w:footnoteRef/>
      </w:r>
      <w:r w:rsidRPr="0066297E">
        <w:rPr>
          <w:rFonts w:asciiTheme="minorHAnsi" w:hAnsiTheme="minorHAnsi" w:cstheme="minorHAnsi"/>
        </w:rPr>
        <w:t xml:space="preserve"> </w:t>
      </w:r>
      <w:r w:rsidRPr="0066297E">
        <w:rPr>
          <w:rFonts w:asciiTheme="minorHAnsi" w:hAnsiTheme="minorHAnsi" w:cstheme="minorHAnsi"/>
        </w:rPr>
        <w:tab/>
        <w:t xml:space="preserve">Informace zveřejňované správcem kapitoly státního rozpočtu o hospodaření </w:t>
      </w:r>
      <w:r>
        <w:rPr>
          <w:rFonts w:asciiTheme="minorHAnsi" w:hAnsiTheme="minorHAnsi" w:cstheme="minorHAnsi"/>
        </w:rPr>
        <w:t xml:space="preserve">dané kapitoly </w:t>
      </w:r>
      <w:r w:rsidRPr="0066297E">
        <w:rPr>
          <w:rFonts w:asciiTheme="minorHAnsi" w:hAnsiTheme="minorHAnsi" w:cstheme="minorHAnsi"/>
        </w:rPr>
        <w:t>v příslušném rozpočtovém roce</w:t>
      </w:r>
      <w:r>
        <w:rPr>
          <w:rFonts w:asciiTheme="minorHAnsi" w:hAnsiTheme="minorHAnsi" w:cstheme="minorHAnsi"/>
        </w:rPr>
        <w:t>.</w:t>
      </w:r>
      <w:r w:rsidRPr="006629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Tyto informace jsou obsaženy v</w:t>
      </w:r>
      <w:r w:rsidRPr="0066297E">
        <w:rPr>
          <w:rFonts w:asciiTheme="minorHAnsi" w:hAnsiTheme="minorHAnsi" w:cstheme="minorHAnsi"/>
        </w:rPr>
        <w:t xml:space="preserve"> účetní závěr</w:t>
      </w:r>
      <w:r>
        <w:rPr>
          <w:rFonts w:asciiTheme="minorHAnsi" w:hAnsiTheme="minorHAnsi" w:cstheme="minorHAnsi"/>
        </w:rPr>
        <w:t>ce</w:t>
      </w:r>
      <w:r w:rsidRPr="0066297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ve </w:t>
      </w:r>
      <w:r w:rsidRPr="0066297E">
        <w:rPr>
          <w:rFonts w:asciiTheme="minorHAnsi" w:hAnsiTheme="minorHAnsi" w:cstheme="minorHAnsi"/>
        </w:rPr>
        <w:t>výkazu pro hodnocení plnění rozpočtu správců kapitol a</w:t>
      </w:r>
      <w:r>
        <w:rPr>
          <w:rFonts w:asciiTheme="minorHAnsi" w:hAnsiTheme="minorHAnsi" w:cstheme="minorHAnsi"/>
        </w:rPr>
        <w:t> </w:t>
      </w:r>
      <w:r w:rsidRPr="0066297E">
        <w:rPr>
          <w:rFonts w:asciiTheme="minorHAnsi" w:hAnsiTheme="minorHAnsi" w:cstheme="minorHAnsi"/>
        </w:rPr>
        <w:t xml:space="preserve">organizačních složek státu a </w:t>
      </w:r>
      <w:r>
        <w:rPr>
          <w:rFonts w:asciiTheme="minorHAnsi" w:hAnsiTheme="minorHAnsi" w:cstheme="minorHAnsi"/>
        </w:rPr>
        <w:t xml:space="preserve">v </w:t>
      </w:r>
      <w:r w:rsidRPr="0066297E">
        <w:rPr>
          <w:rFonts w:asciiTheme="minorHAnsi" w:hAnsiTheme="minorHAnsi" w:cstheme="minorHAnsi"/>
        </w:rPr>
        <w:t>závěrečné</w:t>
      </w:r>
      <w:r>
        <w:rPr>
          <w:rFonts w:asciiTheme="minorHAnsi" w:hAnsiTheme="minorHAnsi" w:cstheme="minorHAnsi"/>
        </w:rPr>
        <w:t>m</w:t>
      </w:r>
      <w:r w:rsidRPr="0066297E">
        <w:rPr>
          <w:rFonts w:asciiTheme="minorHAnsi" w:hAnsiTheme="minorHAnsi" w:cstheme="minorHAnsi"/>
        </w:rPr>
        <w:t xml:space="preserve"> účtu kapitoly státního rozpočtu a </w:t>
      </w:r>
      <w:r>
        <w:rPr>
          <w:rFonts w:asciiTheme="minorHAnsi" w:hAnsiTheme="minorHAnsi" w:cstheme="minorHAnsi"/>
        </w:rPr>
        <w:t>slouží</w:t>
      </w:r>
      <w:r w:rsidRPr="0066297E">
        <w:rPr>
          <w:rFonts w:asciiTheme="minorHAnsi" w:hAnsiTheme="minorHAnsi" w:cstheme="minorHAnsi"/>
        </w:rPr>
        <w:t xml:space="preserve"> pro účely kontroly a</w:t>
      </w:r>
      <w:r>
        <w:rPr>
          <w:rFonts w:asciiTheme="minorHAnsi" w:hAnsiTheme="minorHAnsi" w:cstheme="minorHAnsi"/>
        </w:rPr>
        <w:t> </w:t>
      </w:r>
      <w:r w:rsidRPr="0066297E">
        <w:rPr>
          <w:rFonts w:asciiTheme="minorHAnsi" w:hAnsiTheme="minorHAnsi" w:cstheme="minorHAnsi"/>
        </w:rPr>
        <w:t>vyvozování odpovědnosti za hospodaření.</w:t>
      </w:r>
    </w:p>
  </w:footnote>
  <w:footnote w:id="3">
    <w:p w14:paraId="7E0E08B2" w14:textId="77777777" w:rsidR="00517CE0" w:rsidRPr="00427755" w:rsidRDefault="00517CE0" w:rsidP="003F59E1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427755">
        <w:rPr>
          <w:rStyle w:val="Znakapoznpodarou"/>
          <w:rFonts w:asciiTheme="minorHAnsi" w:hAnsiTheme="minorHAnsi" w:cstheme="minorHAnsi"/>
        </w:rPr>
        <w:footnoteRef/>
      </w:r>
      <w:r w:rsidRPr="00427755">
        <w:rPr>
          <w:rFonts w:asciiTheme="minorHAnsi" w:hAnsiTheme="minorHAnsi" w:cstheme="minorHAnsi"/>
        </w:rPr>
        <w:t xml:space="preserve"> </w:t>
      </w:r>
      <w:r w:rsidRPr="00427755">
        <w:rPr>
          <w:rFonts w:asciiTheme="minorHAnsi" w:hAnsiTheme="minorHAnsi" w:cstheme="minorHAnsi"/>
        </w:rPr>
        <w:tab/>
        <w:t>Celkové zjištěné a vyčíslené nesprávnosti.</w:t>
      </w:r>
    </w:p>
  </w:footnote>
  <w:footnote w:id="4">
    <w:p w14:paraId="7B7082A8" w14:textId="77777777" w:rsidR="00517CE0" w:rsidRPr="0066297E" w:rsidRDefault="00517CE0" w:rsidP="003A523F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66297E">
        <w:rPr>
          <w:rStyle w:val="Znakapoznpodarou"/>
          <w:rFonts w:asciiTheme="minorHAnsi" w:hAnsiTheme="minorHAnsi" w:cstheme="minorHAnsi"/>
        </w:rPr>
        <w:footnoteRef/>
      </w:r>
      <w:r w:rsidRPr="0066297E">
        <w:rPr>
          <w:rFonts w:asciiTheme="minorHAnsi" w:hAnsiTheme="minorHAnsi" w:cstheme="minorHAnsi"/>
        </w:rPr>
        <w:t xml:space="preserve"> </w:t>
      </w:r>
      <w:r w:rsidRPr="0066297E">
        <w:rPr>
          <w:rFonts w:asciiTheme="minorHAnsi" w:hAnsiTheme="minorHAnsi" w:cstheme="minorHAnsi"/>
        </w:rPr>
        <w:tab/>
        <w:t>Zákon č. 320/2001 Sb., o finanční kontrole ve veřejné správě a o změně některých zákonů (zákon o finanční kontrole).</w:t>
      </w:r>
    </w:p>
  </w:footnote>
  <w:footnote w:id="5">
    <w:p w14:paraId="265159C0" w14:textId="5F22676E" w:rsidR="00517CE0" w:rsidRPr="00427755" w:rsidRDefault="00517CE0" w:rsidP="002C596E">
      <w:pPr>
        <w:pStyle w:val="Textpoznpodarou"/>
        <w:ind w:left="284" w:hanging="284"/>
        <w:rPr>
          <w:rFonts w:asciiTheme="minorHAnsi" w:hAnsiTheme="minorHAnsi" w:cstheme="minorHAnsi"/>
        </w:rPr>
      </w:pPr>
      <w:r w:rsidRPr="00427755">
        <w:rPr>
          <w:rStyle w:val="Znakapoznpodarou"/>
          <w:rFonts w:asciiTheme="minorHAnsi" w:hAnsiTheme="minorHAnsi" w:cstheme="minorHAnsi"/>
        </w:rPr>
        <w:footnoteRef/>
      </w:r>
      <w:r w:rsidRPr="004277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27755">
        <w:rPr>
          <w:rFonts w:asciiTheme="minorHAnsi" w:hAnsiTheme="minorHAnsi" w:cstheme="minorHAnsi"/>
        </w:rPr>
        <w:t xml:space="preserve">Zákon č. 563/1991 Sb., o účetnictví. </w:t>
      </w:r>
    </w:p>
  </w:footnote>
  <w:footnote w:id="6">
    <w:p w14:paraId="19ECD1D3" w14:textId="45E6C226" w:rsidR="00517CE0" w:rsidRPr="00427755" w:rsidRDefault="00517CE0" w:rsidP="004E2D6E">
      <w:pPr>
        <w:pStyle w:val="Textpoznpodarou"/>
        <w:ind w:left="284" w:hanging="284"/>
        <w:rPr>
          <w:rFonts w:asciiTheme="minorHAnsi" w:hAnsiTheme="minorHAnsi" w:cstheme="minorHAnsi"/>
        </w:rPr>
      </w:pPr>
      <w:r w:rsidRPr="0066297E">
        <w:rPr>
          <w:rStyle w:val="Znakapoznpodarou"/>
          <w:rFonts w:asciiTheme="minorHAnsi" w:hAnsiTheme="minorHAnsi" w:cstheme="minorHAnsi"/>
        </w:rPr>
        <w:footnoteRef/>
      </w:r>
      <w:r w:rsidRPr="006629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27755">
        <w:rPr>
          <w:rFonts w:asciiTheme="minorHAnsi" w:hAnsiTheme="minorHAnsi" w:cstheme="minorHAnsi"/>
        </w:rPr>
        <w:t>Vyhláška č. 270/2010 Sb., o inventarizaci majetku a závazků.</w:t>
      </w:r>
    </w:p>
  </w:footnote>
  <w:footnote w:id="7">
    <w:p w14:paraId="2D3A5289" w14:textId="77777777" w:rsidR="00517CE0" w:rsidRPr="00A237F0" w:rsidRDefault="00517CE0" w:rsidP="003F59E1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EA577C">
        <w:rPr>
          <w:rStyle w:val="Znakapoznpodarou"/>
          <w:rFonts w:ascii="Calibri" w:hAnsi="Calibri" w:cs="Calibri"/>
        </w:rPr>
        <w:footnoteRef/>
      </w:r>
      <w:r w:rsidRPr="00EA577C">
        <w:rPr>
          <w:rFonts w:ascii="Calibri" w:hAnsi="Calibri" w:cs="Calibri"/>
        </w:rPr>
        <w:t xml:space="preserve"> </w:t>
      </w:r>
      <w:r w:rsidRPr="00EA577C">
        <w:rPr>
          <w:rFonts w:ascii="Calibri" w:hAnsi="Calibri" w:cs="Calibri"/>
        </w:rPr>
        <w:tab/>
        <w:t>Vybranými účetními jednotkami jsou podle ustanovení § 1 odst. 3 zákona č. 563/1991 Sb. organizační složky</w:t>
      </w:r>
      <w:r w:rsidRPr="00A237F0">
        <w:rPr>
          <w:rFonts w:ascii="Calibri" w:hAnsi="Calibri" w:cs="Calibri"/>
        </w:rPr>
        <w:t xml:space="preserve"> státu, státní fondy podle rozpočtových pravidel, územní samosprávné celky, dobrovolné svazky obcí,</w:t>
      </w:r>
      <w:r>
        <w:rPr>
          <w:rFonts w:ascii="Calibri" w:hAnsi="Calibri" w:cs="Calibri"/>
        </w:rPr>
        <w:t xml:space="preserve"> </w:t>
      </w:r>
      <w:r w:rsidRPr="00A237F0">
        <w:rPr>
          <w:rFonts w:ascii="Calibri" w:hAnsi="Calibri" w:cs="Calibri"/>
        </w:rPr>
        <w:t xml:space="preserve">příspěvkové organizace a zdravotní pojišťovny. </w:t>
      </w:r>
    </w:p>
  </w:footnote>
  <w:footnote w:id="8">
    <w:p w14:paraId="317D252A" w14:textId="40B307D1" w:rsidR="00517CE0" w:rsidRPr="00CB4223" w:rsidRDefault="00517CE0" w:rsidP="004E2D6E">
      <w:pPr>
        <w:pStyle w:val="Textpoznpodarou"/>
        <w:ind w:left="284" w:hanging="284"/>
        <w:rPr>
          <w:rFonts w:asciiTheme="minorHAnsi" w:hAnsiTheme="minorHAnsi" w:cstheme="minorHAnsi"/>
        </w:rPr>
      </w:pPr>
      <w:r w:rsidRPr="00CB4223">
        <w:rPr>
          <w:rStyle w:val="Znakapoznpodarou"/>
          <w:rFonts w:asciiTheme="minorHAnsi" w:hAnsiTheme="minorHAnsi" w:cstheme="minorHAnsi"/>
        </w:rPr>
        <w:footnoteRef/>
      </w:r>
      <w:r w:rsidRPr="00CB42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CB4223">
        <w:rPr>
          <w:rFonts w:asciiTheme="minorHAnsi" w:hAnsiTheme="minorHAnsi" w:cstheme="minorHAnsi"/>
        </w:rPr>
        <w:t>Viz ustanovení § 1 odst. 4 zákona č. 563/1991 Sb.</w:t>
      </w:r>
    </w:p>
  </w:footnote>
  <w:footnote w:id="9">
    <w:p w14:paraId="29079C78" w14:textId="2F3FB8DD" w:rsidR="00517CE0" w:rsidRPr="00D24FA1" w:rsidRDefault="00517CE0" w:rsidP="00D554C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24FA1">
        <w:rPr>
          <w:rStyle w:val="Znakapoznpodarou"/>
          <w:rFonts w:asciiTheme="minorHAnsi" w:hAnsiTheme="minorHAnsi" w:cstheme="minorHAnsi"/>
        </w:rPr>
        <w:footnoteRef/>
      </w:r>
      <w:r w:rsidRPr="00D24F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D24FA1">
        <w:rPr>
          <w:rFonts w:asciiTheme="minorHAnsi" w:hAnsiTheme="minorHAnsi" w:cstheme="minorHAnsi"/>
        </w:rPr>
        <w:t>Vyhláška č. 383/2009 Sb., o účetních záznamech v technické formě vybraných účetních jednotek a jejich předávání do centrálního systému účetních informací státu a o požadavcích na technické a smíšené formy účetních záznamů (technická vyhláška o účetních záznamech)</w:t>
      </w:r>
      <w:r>
        <w:rPr>
          <w:rFonts w:asciiTheme="minorHAnsi" w:hAnsiTheme="minorHAnsi" w:cstheme="minorHAnsi"/>
        </w:rPr>
        <w:t>.</w:t>
      </w:r>
    </w:p>
  </w:footnote>
  <w:footnote w:id="10">
    <w:p w14:paraId="240A63C3" w14:textId="29F8EF0C" w:rsidR="00517CE0" w:rsidRPr="00D554C8" w:rsidRDefault="00517CE0" w:rsidP="004E2D6E">
      <w:pPr>
        <w:pStyle w:val="Textpoznpodarou"/>
        <w:ind w:left="284" w:hanging="284"/>
        <w:rPr>
          <w:rFonts w:asciiTheme="minorHAnsi" w:hAnsiTheme="minorHAnsi" w:cstheme="minorHAnsi"/>
        </w:rPr>
      </w:pPr>
      <w:r w:rsidRPr="00D554C8">
        <w:rPr>
          <w:rStyle w:val="Znakapoznpodarou"/>
          <w:rFonts w:asciiTheme="minorHAnsi" w:hAnsiTheme="minorHAnsi" w:cstheme="minorHAnsi"/>
        </w:rPr>
        <w:footnoteRef/>
      </w:r>
      <w:r w:rsidRPr="00D554C8">
        <w:rPr>
          <w:rFonts w:asciiTheme="minorHAnsi" w:hAnsiTheme="minorHAnsi" w:cstheme="minorHAnsi"/>
        </w:rPr>
        <w:t xml:space="preserve"> </w:t>
      </w:r>
      <w:r w:rsidRPr="00D554C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Blíže</w:t>
      </w:r>
      <w:r w:rsidRPr="00D554C8">
        <w:rPr>
          <w:rFonts w:asciiTheme="minorHAnsi" w:hAnsiTheme="minorHAnsi" w:cstheme="minorHAnsi"/>
        </w:rPr>
        <w:t xml:space="preserve"> viz část IV.1.1 tohoto kontrolního závěru.</w:t>
      </w:r>
    </w:p>
  </w:footnote>
  <w:footnote w:id="11">
    <w:p w14:paraId="3DA20436" w14:textId="77777777" w:rsidR="00517CE0" w:rsidRPr="00D554C8" w:rsidRDefault="00517CE0" w:rsidP="00D554C8">
      <w:pPr>
        <w:pStyle w:val="Textpoznpodarou"/>
        <w:ind w:left="284" w:hanging="284"/>
        <w:rPr>
          <w:rFonts w:asciiTheme="minorHAnsi" w:hAnsiTheme="minorHAnsi" w:cstheme="minorHAnsi"/>
        </w:rPr>
      </w:pPr>
      <w:r w:rsidRPr="00D554C8">
        <w:rPr>
          <w:rStyle w:val="Znakapoznpodarou"/>
          <w:rFonts w:asciiTheme="minorHAnsi" w:hAnsiTheme="minorHAnsi" w:cstheme="minorHAnsi"/>
        </w:rPr>
        <w:footnoteRef/>
      </w:r>
      <w:r w:rsidRPr="00D554C8">
        <w:rPr>
          <w:rFonts w:asciiTheme="minorHAnsi" w:hAnsiTheme="minorHAnsi" w:cstheme="minorHAnsi"/>
        </w:rPr>
        <w:t xml:space="preserve"> </w:t>
      </w:r>
      <w:r w:rsidRPr="00D554C8">
        <w:rPr>
          <w:rFonts w:asciiTheme="minorHAnsi" w:hAnsiTheme="minorHAnsi" w:cstheme="minorHAnsi"/>
        </w:rPr>
        <w:tab/>
        <w:t xml:space="preserve">Viz </w:t>
      </w:r>
      <w:bookmarkStart w:id="3" w:name="_Hlk102380005"/>
      <w:r w:rsidRPr="00D42DAB">
        <w:fldChar w:fldCharType="begin"/>
      </w:r>
      <w:r w:rsidRPr="0066549A">
        <w:rPr>
          <w:rFonts w:asciiTheme="minorHAnsi" w:hAnsiTheme="minorHAnsi" w:cstheme="minorHAnsi"/>
        </w:rPr>
        <w:instrText xml:space="preserve"> HYPERLINK "https://monitor.statnipokladna.cz/ucetni-jednotka/00024341/rozpocet/vydaje-druhovy?rad=j&amp;obdobi=2112" </w:instrText>
      </w:r>
      <w:r w:rsidRPr="00D42DAB">
        <w:fldChar w:fldCharType="separate"/>
      </w:r>
      <w:r w:rsidRPr="0066549A">
        <w:rPr>
          <w:rStyle w:val="Hypertextovodkaz"/>
          <w:rFonts w:asciiTheme="minorHAnsi" w:hAnsiTheme="minorHAnsi" w:cstheme="minorHAnsi"/>
        </w:rPr>
        <w:t>https://monitor.statnipokladna.cz/ucetni-jednotka/00024341/rozpocet/vydaje-druhovy?rad=j&amp;obdobi=2112</w:t>
      </w:r>
      <w:r w:rsidRPr="00D42DAB">
        <w:rPr>
          <w:rStyle w:val="Hypertextovodkaz"/>
          <w:rFonts w:asciiTheme="minorHAnsi" w:hAnsiTheme="minorHAnsi" w:cstheme="minorHAnsi"/>
        </w:rPr>
        <w:fldChar w:fldCharType="end"/>
      </w:r>
      <w:bookmarkEnd w:id="3"/>
      <w:r w:rsidRPr="00D554C8">
        <w:rPr>
          <w:rFonts w:asciiTheme="minorHAnsi" w:hAnsiTheme="minorHAnsi" w:cstheme="minorHAnsi"/>
          <w:color w:val="000000" w:themeColor="text1"/>
        </w:rPr>
        <w:t>.</w:t>
      </w:r>
    </w:p>
  </w:footnote>
  <w:footnote w:id="12">
    <w:p w14:paraId="0B885354" w14:textId="28FC358D" w:rsidR="00517CE0" w:rsidRPr="004E2D6E" w:rsidRDefault="00517CE0" w:rsidP="00D554C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Style w:val="Znakapoznpodarou"/>
          <w:rFonts w:asciiTheme="minorHAnsi" w:hAnsiTheme="minorHAnsi" w:cstheme="minorHAnsi"/>
        </w:rPr>
        <w:footnoteRef/>
      </w:r>
      <w:r w:rsidRPr="004E2D6E">
        <w:rPr>
          <w:rFonts w:asciiTheme="minorHAnsi" w:hAnsiTheme="minorHAnsi" w:cstheme="minorHAnsi"/>
        </w:rPr>
        <w:t xml:space="preserve"> </w:t>
      </w:r>
      <w:r w:rsidRPr="004E2D6E">
        <w:rPr>
          <w:rFonts w:asciiTheme="minorHAnsi" w:hAnsiTheme="minorHAnsi" w:cstheme="minorHAnsi"/>
        </w:rPr>
        <w:tab/>
        <w:t>Transfery obecním a krajským nemocnicím jsou vymezeny ve vyhlášce č. 323/2002 Sb., o rozpočtové skladbě, ve znění účinném pro kontrolované období následovně: „</w:t>
      </w:r>
      <w:r w:rsidRPr="004E2D6E">
        <w:rPr>
          <w:rFonts w:asciiTheme="minorHAnsi" w:hAnsiTheme="minorHAnsi" w:cstheme="minorHAnsi"/>
          <w:i/>
        </w:rPr>
        <w:t>Neinvestiční transfery akciovým společnostem a</w:t>
      </w:r>
      <w:r>
        <w:rPr>
          <w:rFonts w:asciiTheme="minorHAnsi" w:hAnsiTheme="minorHAnsi" w:cstheme="minorHAnsi"/>
          <w:i/>
        </w:rPr>
        <w:t> </w:t>
      </w:r>
      <w:r w:rsidRPr="004E2D6E">
        <w:rPr>
          <w:rFonts w:asciiTheme="minorHAnsi" w:hAnsiTheme="minorHAnsi" w:cstheme="minorHAnsi"/>
          <w:i/>
        </w:rPr>
        <w:t>společnostem s ručením omezeným, v nichž mají alespoň poloviční podíl [§ 31 až 33 zákona č.</w:t>
      </w:r>
      <w:r>
        <w:rPr>
          <w:rFonts w:asciiTheme="minorHAnsi" w:hAnsiTheme="minorHAnsi" w:cstheme="minorHAnsi"/>
          <w:i/>
        </w:rPr>
        <w:t> </w:t>
      </w:r>
      <w:r w:rsidRPr="004E2D6E">
        <w:rPr>
          <w:rFonts w:asciiTheme="minorHAnsi" w:hAnsiTheme="minorHAnsi" w:cstheme="minorHAnsi"/>
          <w:i/>
        </w:rPr>
        <w:t>90/2012 Sb., o obchodních společnostech a družstvech (zákon o obchodních korporacích)] obce nebo kraje a které mají oprávnění k poskytování zdravotnických služeb [§ 15 odst. 1 písm. a) a § 19 odst. 2 zákona č.</w:t>
      </w:r>
      <w:r>
        <w:rPr>
          <w:rFonts w:asciiTheme="minorHAnsi" w:hAnsiTheme="minorHAnsi" w:cstheme="minorHAnsi"/>
          <w:i/>
        </w:rPr>
        <w:t> </w:t>
      </w:r>
      <w:r w:rsidRPr="004E2D6E">
        <w:rPr>
          <w:rFonts w:asciiTheme="minorHAnsi" w:hAnsiTheme="minorHAnsi" w:cstheme="minorHAnsi"/>
          <w:i/>
        </w:rPr>
        <w:t xml:space="preserve">372/2011 Sb., </w:t>
      </w:r>
      <w:r>
        <w:rPr>
          <w:rFonts w:asciiTheme="minorHAnsi" w:hAnsiTheme="minorHAnsi" w:cstheme="minorHAnsi"/>
          <w:i/>
        </w:rPr>
        <w:br/>
      </w:r>
      <w:r w:rsidRPr="004E2D6E">
        <w:rPr>
          <w:rFonts w:asciiTheme="minorHAnsi" w:hAnsiTheme="minorHAnsi" w:cstheme="minorHAnsi"/>
          <w:i/>
        </w:rPr>
        <w:t>o</w:t>
      </w:r>
      <w:r>
        <w:rPr>
          <w:rFonts w:asciiTheme="minorHAnsi" w:hAnsiTheme="minorHAnsi" w:cstheme="minorHAnsi"/>
          <w:i/>
        </w:rPr>
        <w:t xml:space="preserve"> </w:t>
      </w:r>
      <w:r w:rsidRPr="004E2D6E">
        <w:rPr>
          <w:rFonts w:asciiTheme="minorHAnsi" w:hAnsiTheme="minorHAnsi" w:cstheme="minorHAnsi"/>
          <w:i/>
        </w:rPr>
        <w:t>zdravotních službách a podmínkách jejich poskytování (zákon o zdravotních službách)], je-li v tomto oprávnění mezi formami zdravotní péče [§ 19 odst. 2 písm. b) a § 6] uvedena lůžková péče (§ 9).</w:t>
      </w:r>
      <w:r w:rsidRPr="004E2D6E">
        <w:rPr>
          <w:rFonts w:asciiTheme="minorHAnsi" w:hAnsiTheme="minorHAnsi" w:cstheme="minorHAnsi"/>
        </w:rPr>
        <w:t>“</w:t>
      </w:r>
    </w:p>
  </w:footnote>
  <w:footnote w:id="13">
    <w:p w14:paraId="07F16A7A" w14:textId="4696625A" w:rsidR="00517CE0" w:rsidRPr="00E25921" w:rsidRDefault="00517CE0" w:rsidP="00D554C8">
      <w:pPr>
        <w:pStyle w:val="Textpoznpodarou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D554C8">
        <w:rPr>
          <w:rStyle w:val="Znakapoznpodarou"/>
          <w:rFonts w:asciiTheme="minorHAnsi" w:hAnsiTheme="minorHAnsi" w:cstheme="minorHAnsi"/>
        </w:rPr>
        <w:footnoteRef/>
      </w:r>
      <w:r w:rsidRPr="00D554C8">
        <w:rPr>
          <w:rFonts w:asciiTheme="minorHAnsi" w:hAnsiTheme="minorHAnsi" w:cstheme="minorHAnsi"/>
        </w:rPr>
        <w:t xml:space="preserve"> </w:t>
      </w:r>
      <w:r w:rsidRPr="00D554C8">
        <w:rPr>
          <w:rFonts w:asciiTheme="minorHAnsi" w:hAnsiTheme="minorHAnsi" w:cstheme="minorHAnsi"/>
        </w:rPr>
        <w:tab/>
      </w:r>
      <w:r w:rsidRPr="00D554C8">
        <w:rPr>
          <w:rFonts w:asciiTheme="minorHAnsi" w:hAnsiTheme="minorHAnsi" w:cstheme="minorHAnsi"/>
          <w:color w:val="000000" w:themeColor="text1"/>
        </w:rPr>
        <w:t xml:space="preserve">Viz např. kontrolní závěr z KA </w:t>
      </w:r>
      <w:r>
        <w:rPr>
          <w:rFonts w:asciiTheme="minorHAnsi" w:hAnsiTheme="minorHAnsi" w:cstheme="minorHAnsi"/>
          <w:color w:val="000000" w:themeColor="text1"/>
        </w:rPr>
        <w:t xml:space="preserve">č. </w:t>
      </w:r>
      <w:r w:rsidRPr="00D554C8">
        <w:rPr>
          <w:rFonts w:asciiTheme="minorHAnsi" w:hAnsiTheme="minorHAnsi" w:cstheme="minorHAnsi"/>
          <w:color w:val="000000" w:themeColor="text1"/>
        </w:rPr>
        <w:t xml:space="preserve">20/34 – </w:t>
      </w:r>
      <w:r w:rsidRPr="00D554C8">
        <w:rPr>
          <w:rFonts w:asciiTheme="minorHAnsi" w:hAnsiTheme="minorHAnsi" w:cstheme="minorHAnsi"/>
          <w:i/>
          <w:color w:val="000000" w:themeColor="text1"/>
        </w:rPr>
        <w:t>Závěrečný účet kapitoly státního rozpočtu Ministerstvo průmyslu a obchodu za rok 2020, účetní závěrka Ministerstva průmyslu a obchodu za rok 2020 a údaje předkládané Ministerstvem průmyslu a obchodu pro hodnocení plnění státního rozpočtu za rok 2020</w:t>
      </w:r>
      <w:r w:rsidRPr="0066549A">
        <w:rPr>
          <w:rFonts w:asciiTheme="minorHAnsi" w:hAnsiTheme="minorHAnsi" w:cstheme="minorHAnsi"/>
          <w:color w:val="000000" w:themeColor="text1"/>
        </w:rPr>
        <w:t xml:space="preserve"> (kontrolní závěr byl zveřejněn v částce 4/2021 </w:t>
      </w:r>
      <w:r w:rsidRPr="004E2D6E">
        <w:rPr>
          <w:rFonts w:asciiTheme="minorHAnsi" w:hAnsiTheme="minorHAnsi" w:cstheme="minorHAnsi"/>
          <w:i/>
          <w:color w:val="000000" w:themeColor="text1"/>
        </w:rPr>
        <w:t>Věstníku NKÚ</w:t>
      </w:r>
      <w:r w:rsidRPr="0066549A">
        <w:rPr>
          <w:rFonts w:asciiTheme="minorHAnsi" w:hAnsiTheme="minorHAnsi" w:cstheme="minorHAnsi"/>
          <w:color w:val="000000" w:themeColor="text1"/>
        </w:rPr>
        <w:t xml:space="preserve">) </w:t>
      </w:r>
      <w:r>
        <w:rPr>
          <w:rFonts w:asciiTheme="minorHAnsi" w:hAnsiTheme="minorHAnsi" w:cstheme="minorHAnsi"/>
          <w:color w:val="000000" w:themeColor="text1"/>
        </w:rPr>
        <w:t>nebo</w:t>
      </w:r>
      <w:r w:rsidRPr="0066549A">
        <w:rPr>
          <w:rFonts w:asciiTheme="minorHAnsi" w:hAnsiTheme="minorHAnsi" w:cstheme="minorHAnsi"/>
          <w:color w:val="000000" w:themeColor="text1"/>
        </w:rPr>
        <w:t xml:space="preserve"> </w:t>
      </w:r>
      <w:r w:rsidRPr="00D554C8">
        <w:rPr>
          <w:rFonts w:asciiTheme="minorHAnsi" w:hAnsiTheme="minorHAnsi" w:cstheme="minorHAnsi"/>
          <w:color w:val="000000" w:themeColor="text1"/>
        </w:rPr>
        <w:t xml:space="preserve">kontrolní závěr z KA </w:t>
      </w:r>
      <w:r w:rsidRPr="0066549A">
        <w:rPr>
          <w:rFonts w:asciiTheme="minorHAnsi" w:hAnsiTheme="minorHAnsi" w:cstheme="minorHAnsi"/>
          <w:color w:val="000000" w:themeColor="text1"/>
        </w:rPr>
        <w:t xml:space="preserve">č. 19/21 – </w:t>
      </w:r>
      <w:r w:rsidRPr="0066549A">
        <w:rPr>
          <w:rFonts w:asciiTheme="minorHAnsi" w:hAnsiTheme="minorHAnsi" w:cstheme="minorHAnsi"/>
          <w:i/>
          <w:color w:val="000000" w:themeColor="text1"/>
        </w:rPr>
        <w:t xml:space="preserve">Závěrečný účet kapitoly státního rozpočtu Ministerstvo </w:t>
      </w:r>
      <w:r w:rsidRPr="004E2D6E">
        <w:rPr>
          <w:rFonts w:asciiTheme="minorHAnsi" w:hAnsiTheme="minorHAnsi" w:cstheme="minorHAnsi"/>
          <w:i/>
          <w:color w:val="000000" w:themeColor="text1"/>
        </w:rPr>
        <w:t>pro místní rozvoj za rok 2018, účetní závěrka Ministerstva pro místní rozvoj za rok 2018 a údaje předkládané</w:t>
      </w:r>
      <w:r w:rsidRPr="00E25921">
        <w:rPr>
          <w:rFonts w:ascii="Calibri" w:hAnsi="Calibri" w:cs="Calibri"/>
          <w:i/>
          <w:color w:val="000000" w:themeColor="text1"/>
        </w:rPr>
        <w:t xml:space="preserve"> Ministerstvem pro místní rozvoj pro hodnocení plnění státního rozpočtu za rok 2018</w:t>
      </w:r>
      <w:r w:rsidRPr="00E25921">
        <w:rPr>
          <w:rFonts w:ascii="Calibri" w:hAnsi="Calibri" w:cs="Calibri"/>
          <w:color w:val="000000" w:themeColor="text1"/>
        </w:rPr>
        <w:t xml:space="preserve"> (kontrolní závěr byl zveřejněn v částce 6</w:t>
      </w:r>
      <w:r>
        <w:rPr>
          <w:rFonts w:ascii="Calibri" w:hAnsi="Calibri" w:cs="Calibri"/>
          <w:color w:val="000000" w:themeColor="text1"/>
        </w:rPr>
        <w:t>/</w:t>
      </w:r>
      <w:r w:rsidRPr="00E25921">
        <w:rPr>
          <w:rFonts w:ascii="Calibri" w:hAnsi="Calibri" w:cs="Calibri"/>
          <w:color w:val="000000" w:themeColor="text1"/>
        </w:rPr>
        <w:t xml:space="preserve">2020 </w:t>
      </w:r>
      <w:r w:rsidRPr="00E25921">
        <w:rPr>
          <w:rFonts w:ascii="Calibri" w:hAnsi="Calibri" w:cs="Calibri"/>
          <w:i/>
          <w:color w:val="000000" w:themeColor="text1"/>
        </w:rPr>
        <w:t>Věstníku NKÚ</w:t>
      </w:r>
      <w:r w:rsidRPr="00E25921">
        <w:rPr>
          <w:rFonts w:ascii="Calibri" w:hAnsi="Calibri" w:cs="Calibri"/>
          <w:color w:val="000000" w:themeColor="text1"/>
        </w:rPr>
        <w:t>).</w:t>
      </w:r>
    </w:p>
  </w:footnote>
  <w:footnote w:id="14">
    <w:p w14:paraId="538E7D32" w14:textId="124800F2" w:rsidR="00517CE0" w:rsidRPr="0066297E" w:rsidRDefault="00517CE0" w:rsidP="0066297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6297E">
        <w:rPr>
          <w:rStyle w:val="Znakapoznpodarou"/>
          <w:rFonts w:asciiTheme="minorHAnsi" w:hAnsiTheme="minorHAnsi" w:cstheme="minorHAnsi"/>
        </w:rPr>
        <w:footnoteRef/>
      </w:r>
      <w:r w:rsidRPr="006629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27755">
        <w:rPr>
          <w:rFonts w:asciiTheme="minorHAnsi" w:hAnsiTheme="minorHAnsi" w:cstheme="minorHAnsi"/>
        </w:rPr>
        <w:t>Zákon č. 218/2000 Sb., o rozpočtových pravidlech a o změně některých souvisejících zákonů (rozpočtová pravidla)</w:t>
      </w:r>
      <w:r w:rsidRPr="00503962">
        <w:rPr>
          <w:rFonts w:asciiTheme="minorHAnsi" w:hAnsiTheme="minorHAnsi" w:cstheme="minorHAnsi"/>
        </w:rPr>
        <w:t>.</w:t>
      </w:r>
    </w:p>
  </w:footnote>
  <w:footnote w:id="15">
    <w:p w14:paraId="1C65CDD1" w14:textId="64B392AE" w:rsidR="00517CE0" w:rsidRPr="00485A80" w:rsidRDefault="00517CE0" w:rsidP="009B2A90">
      <w:pPr>
        <w:pStyle w:val="Textpoznpodarou"/>
        <w:ind w:left="284" w:hanging="284"/>
        <w:jc w:val="both"/>
        <w:rPr>
          <w:rFonts w:ascii="Calibri" w:hAnsi="Calibri" w:cs="Calibri"/>
          <w:i/>
        </w:rPr>
      </w:pPr>
      <w:r w:rsidRPr="00485A80">
        <w:rPr>
          <w:rStyle w:val="Znakapoznpodarou"/>
          <w:rFonts w:ascii="Calibri" w:hAnsi="Calibri" w:cs="Calibri"/>
        </w:rPr>
        <w:footnoteRef/>
      </w:r>
      <w:r w:rsidRPr="00485A80">
        <w:rPr>
          <w:rFonts w:ascii="Calibri" w:hAnsi="Calibri" w:cs="Calibri"/>
        </w:rPr>
        <w:t xml:space="preserve"> </w:t>
      </w:r>
      <w:r w:rsidRPr="00485A80">
        <w:rPr>
          <w:rFonts w:ascii="Calibri" w:hAnsi="Calibri" w:cs="Calibri"/>
        </w:rPr>
        <w:tab/>
        <w:t>Zákon č. 304/2008 Sb., kterým se mění zákon č. 563/1991 Sb., o účetnictví, ve znění pozdějších předpisů, a některé zákony. Důvodová zpráva k tomuto zákonu uvádí, že jedním ze základních cílů účetní reformy je také „</w:t>
      </w:r>
      <w:r w:rsidRPr="00485A80">
        <w:rPr>
          <w:rFonts w:ascii="Calibri" w:hAnsi="Calibri" w:cs="Calibri"/>
          <w:i/>
        </w:rPr>
        <w:t>zajištění důvěryhodných informací pro účely vykazování, a to opět na úrovni státu i jednotlivých účetních jednotek</w:t>
      </w:r>
      <w:r>
        <w:rPr>
          <w:rFonts w:ascii="Calibri" w:hAnsi="Calibri" w:cs="Calibri"/>
          <w:i/>
        </w:rPr>
        <w:t>,</w:t>
      </w:r>
      <w:r w:rsidRPr="00485A80">
        <w:rPr>
          <w:rFonts w:ascii="Calibri" w:hAnsi="Calibri" w:cs="Calibri"/>
          <w:i/>
        </w:rPr>
        <w:t xml:space="preserve"> např. správců kapitol státního rozpočtu</w:t>
      </w:r>
      <w:r w:rsidRPr="00F60812">
        <w:rPr>
          <w:rFonts w:ascii="Calibri" w:hAnsi="Calibri" w:cs="Calibri"/>
        </w:rPr>
        <w:t>.</w:t>
      </w:r>
      <w:r w:rsidRPr="00485A80">
        <w:rPr>
          <w:rFonts w:ascii="Calibri" w:hAnsi="Calibri" w:cs="Calibri"/>
        </w:rPr>
        <w:t>“</w:t>
      </w:r>
    </w:p>
  </w:footnote>
  <w:footnote w:id="16">
    <w:p w14:paraId="08959EED" w14:textId="77777777" w:rsidR="00517CE0" w:rsidRPr="00485A80" w:rsidRDefault="00517CE0" w:rsidP="005E63AE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85A80">
        <w:rPr>
          <w:rStyle w:val="Znakapoznpodarou"/>
          <w:rFonts w:ascii="Calibri" w:hAnsi="Calibri" w:cs="Calibri"/>
        </w:rPr>
        <w:footnoteRef/>
      </w:r>
      <w:r w:rsidRPr="00485A80">
        <w:rPr>
          <w:rFonts w:ascii="Calibri" w:hAnsi="Calibri" w:cs="Calibri"/>
        </w:rPr>
        <w:t xml:space="preserve"> </w:t>
      </w:r>
      <w:r w:rsidRPr="00485A80">
        <w:rPr>
          <w:rFonts w:ascii="Calibri" w:hAnsi="Calibri" w:cs="Calibri"/>
        </w:rPr>
        <w:tab/>
        <w:t xml:space="preserve">Viz kontrolní závěr z KA č. 13/11 – </w:t>
      </w:r>
      <w:r w:rsidRPr="00485A80">
        <w:rPr>
          <w:rFonts w:ascii="Calibri" w:hAnsi="Calibri" w:cs="Calibri"/>
          <w:i/>
        </w:rPr>
        <w:t>Údaje pro účely monitorování a řízení veřejných financí předávané Ministerstvem průmyslu a obchodu k 31. 12. 2012 ve formě pomocného analytického přehledu prostřednictvím centrálního systému účetních informací státu</w:t>
      </w:r>
      <w:r w:rsidRPr="00485A80">
        <w:rPr>
          <w:rFonts w:ascii="Calibri" w:hAnsi="Calibri" w:cs="Calibri"/>
        </w:rPr>
        <w:t xml:space="preserve"> (kontrolní závěr byl zveřejněn v částce 4/2013 </w:t>
      </w:r>
      <w:r w:rsidRPr="00485A80">
        <w:rPr>
          <w:rFonts w:ascii="Calibri" w:hAnsi="Calibri" w:cs="Calibri"/>
          <w:i/>
        </w:rPr>
        <w:t>Věstníku NKÚ</w:t>
      </w:r>
      <w:r w:rsidRPr="00485A80">
        <w:rPr>
          <w:rFonts w:ascii="Calibri" w:hAnsi="Calibri" w:cs="Calibri"/>
        </w:rPr>
        <w:t xml:space="preserve">). </w:t>
      </w:r>
    </w:p>
  </w:footnote>
  <w:footnote w:id="17">
    <w:p w14:paraId="6EFE8EF6" w14:textId="78FA1DCD" w:rsidR="00517CE0" w:rsidRPr="006B0F77" w:rsidRDefault="00517CE0" w:rsidP="005E63AE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85A80">
        <w:rPr>
          <w:rStyle w:val="Znakapoznpodarou"/>
          <w:rFonts w:ascii="Calibri" w:hAnsi="Calibri" w:cs="Calibri"/>
        </w:rPr>
        <w:footnoteRef/>
      </w:r>
      <w:r w:rsidRPr="00485A80">
        <w:rPr>
          <w:rFonts w:ascii="Calibri" w:hAnsi="Calibri" w:cs="Calibri"/>
        </w:rPr>
        <w:t xml:space="preserve"> </w:t>
      </w:r>
      <w:r w:rsidRPr="00485A80">
        <w:rPr>
          <w:rFonts w:ascii="Calibri" w:hAnsi="Calibri" w:cs="Calibri"/>
        </w:rPr>
        <w:tab/>
        <w:t>V souladu s </w:t>
      </w:r>
      <w:r w:rsidRPr="004E2D6E">
        <w:rPr>
          <w:rFonts w:ascii="Calibri" w:hAnsi="Calibri" w:cs="Calibri"/>
          <w:i/>
        </w:rPr>
        <w:t>koncepčním rámcem mezinárodních účetních standardů pro veřejný sektor</w:t>
      </w:r>
      <w:r w:rsidRPr="00485A80">
        <w:rPr>
          <w:rFonts w:ascii="Calibri" w:hAnsi="Calibri" w:cs="Calibri"/>
        </w:rPr>
        <w:t xml:space="preserve"> (dále také „Koncepční rámec“) je </w:t>
      </w:r>
      <w:r w:rsidRPr="00485A80">
        <w:rPr>
          <w:rFonts w:ascii="Calibri" w:hAnsi="Calibri" w:cs="Calibri"/>
          <w:b/>
        </w:rPr>
        <w:t>cílem účetního výkaznictví účetních jednotek veřejného sektoru poskytnout informace</w:t>
      </w:r>
      <w:r w:rsidRPr="00485A80">
        <w:rPr>
          <w:rFonts w:ascii="Calibri" w:hAnsi="Calibri" w:cs="Calibri"/>
        </w:rPr>
        <w:t xml:space="preserve"> o účetní jednotce, které jsou potřebné pro uživatele účetní závěrky pro všeobecné použití za účelem </w:t>
      </w:r>
      <w:r w:rsidRPr="00485A80">
        <w:rPr>
          <w:rFonts w:ascii="Calibri" w:hAnsi="Calibri" w:cs="Calibri"/>
          <w:b/>
        </w:rPr>
        <w:t>skládání účtů</w:t>
      </w:r>
      <w:r w:rsidRPr="00485A80">
        <w:rPr>
          <w:rFonts w:ascii="Calibri" w:hAnsi="Calibri" w:cs="Calibri"/>
        </w:rPr>
        <w:t xml:space="preserve"> a za účelem rozhodování. V Koncepčním rámci je uvedeno, že vlády a jiné účetní jednotky veřejného sektoru jsou odpovědny těm, kteří jim poskytují prostředky, a těm, kteří tyto prostředky přijímají. Splnění povinnosti skládání účtů vyžaduje poskytování informací občanům o tom, jak účetní jednotka veřejného sektoru hospodaří s</w:t>
      </w:r>
      <w:r>
        <w:rPr>
          <w:rFonts w:ascii="Calibri" w:hAnsi="Calibri" w:cs="Calibri"/>
        </w:rPr>
        <w:t>e</w:t>
      </w:r>
      <w:r w:rsidRPr="00485A80">
        <w:rPr>
          <w:rFonts w:ascii="Calibri" w:hAnsi="Calibri" w:cs="Calibri"/>
        </w:rPr>
        <w:t xml:space="preserve"> svěřenými </w:t>
      </w:r>
      <w:r w:rsidRPr="006B0F77">
        <w:rPr>
          <w:rFonts w:ascii="Calibri" w:hAnsi="Calibri" w:cs="Calibri"/>
        </w:rPr>
        <w:t>prostředky určenými na poskytování služeb občanům a dalším subjektům.</w:t>
      </w:r>
    </w:p>
  </w:footnote>
  <w:footnote w:id="18">
    <w:p w14:paraId="36BF5B4B" w14:textId="6EC1E21D" w:rsidR="00517CE0" w:rsidRPr="006B0F77" w:rsidRDefault="00517CE0" w:rsidP="00D554C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B0F77">
        <w:rPr>
          <w:rStyle w:val="Znakapoznpodarou"/>
          <w:rFonts w:asciiTheme="minorHAnsi" w:hAnsiTheme="minorHAnsi" w:cstheme="minorHAnsi"/>
        </w:rPr>
        <w:footnoteRef/>
      </w:r>
      <w:r w:rsidRPr="006B0F77">
        <w:rPr>
          <w:rFonts w:asciiTheme="minorHAnsi" w:hAnsiTheme="minorHAnsi" w:cstheme="minorHAnsi"/>
        </w:rPr>
        <w:t xml:space="preserve"> </w:t>
      </w:r>
      <w:r w:rsidRPr="006B0F7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Údaje v</w:t>
      </w:r>
      <w:r w:rsidRPr="006B0F77">
        <w:rPr>
          <w:rFonts w:asciiTheme="minorHAnsi" w:hAnsiTheme="minorHAnsi" w:cstheme="minorHAnsi"/>
        </w:rPr>
        <w:t>ypovídající o skutečnostech, které zatím nebyly v příslušném rozpočtovém roce spojeny s peněžním tokem, ale jedná se např. o již existující spotřebu zdrojů nebo o finanční rizika.</w:t>
      </w:r>
    </w:p>
  </w:footnote>
  <w:footnote w:id="19">
    <w:p w14:paraId="661E23AF" w14:textId="1F0C566B" w:rsidR="00517CE0" w:rsidRPr="009247F7" w:rsidRDefault="00517CE0" w:rsidP="004E2D6E">
      <w:pPr>
        <w:pStyle w:val="Textpoznpodarou"/>
        <w:ind w:left="284" w:hanging="284"/>
        <w:rPr>
          <w:rFonts w:asciiTheme="minorHAnsi" w:hAnsiTheme="minorHAnsi" w:cstheme="minorHAnsi"/>
        </w:rPr>
      </w:pPr>
      <w:r w:rsidRPr="009247F7">
        <w:rPr>
          <w:rStyle w:val="Znakapoznpodarou"/>
          <w:rFonts w:asciiTheme="minorHAnsi" w:hAnsiTheme="minorHAnsi" w:cstheme="minorHAnsi"/>
        </w:rPr>
        <w:footnoteRef/>
      </w:r>
      <w:r w:rsidRPr="009247F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247F7">
        <w:rPr>
          <w:rFonts w:asciiTheme="minorHAnsi" w:hAnsiTheme="minorHAnsi" w:cstheme="minorHAnsi"/>
        </w:rPr>
        <w:t>Zákon č. 219/2000 Sb., o majetku České republiky a jejím vystupování v právních vztazích</w:t>
      </w:r>
      <w:r>
        <w:rPr>
          <w:rFonts w:asciiTheme="minorHAnsi" w:hAnsiTheme="minorHAnsi" w:cstheme="minorHAnsi"/>
        </w:rPr>
        <w:t>.</w:t>
      </w:r>
    </w:p>
  </w:footnote>
  <w:footnote w:id="20">
    <w:p w14:paraId="2D4BEFCE" w14:textId="375BFF4B" w:rsidR="00517CE0" w:rsidRPr="009247F7" w:rsidRDefault="00517CE0" w:rsidP="004E2D6E">
      <w:pPr>
        <w:pStyle w:val="Textpoznpodarou"/>
        <w:ind w:left="284" w:hanging="284"/>
        <w:rPr>
          <w:rFonts w:asciiTheme="minorHAnsi" w:hAnsiTheme="minorHAnsi" w:cstheme="minorHAnsi"/>
        </w:rPr>
      </w:pPr>
      <w:r w:rsidRPr="009247F7">
        <w:rPr>
          <w:rStyle w:val="Znakapoznpodarou"/>
          <w:rFonts w:asciiTheme="minorHAnsi" w:hAnsiTheme="minorHAnsi" w:cstheme="minorHAnsi"/>
        </w:rPr>
        <w:footnoteRef/>
      </w:r>
      <w:r w:rsidRPr="009247F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247F7">
        <w:rPr>
          <w:rFonts w:asciiTheme="minorHAnsi" w:hAnsiTheme="minorHAnsi" w:cstheme="minorHAnsi"/>
        </w:rPr>
        <w:t>Zákon č. 106/1999 Sb., o svobodném přístupu k informacím.</w:t>
      </w:r>
    </w:p>
  </w:footnote>
  <w:footnote w:id="21">
    <w:p w14:paraId="553B75A5" w14:textId="77777777" w:rsidR="00517CE0" w:rsidRDefault="00517CE0" w:rsidP="00D554C8">
      <w:pPr>
        <w:pStyle w:val="Textpoznpodarou"/>
        <w:ind w:left="284" w:hanging="284"/>
        <w:jc w:val="both"/>
      </w:pPr>
      <w:r w:rsidRPr="00EF43E6">
        <w:rPr>
          <w:rStyle w:val="Znakapoznpodarou"/>
          <w:rFonts w:asciiTheme="minorHAnsi" w:hAnsiTheme="minorHAnsi"/>
        </w:rPr>
        <w:footnoteRef/>
      </w:r>
      <w:r w:rsidRPr="00EF43E6">
        <w:t xml:space="preserve"> </w:t>
      </w:r>
      <w:r w:rsidRPr="00EF43E6">
        <w:tab/>
      </w:r>
      <w:r w:rsidRPr="00EF43E6">
        <w:rPr>
          <w:rFonts w:asciiTheme="minorHAnsi" w:hAnsiTheme="minorHAnsi"/>
        </w:rPr>
        <w:t xml:space="preserve">Na základě usnesení vlády České republiky ze dne 30. září 2019 č. 676, </w:t>
      </w:r>
      <w:r w:rsidRPr="00EF43E6">
        <w:rPr>
          <w:rFonts w:asciiTheme="minorHAnsi" w:hAnsiTheme="minorHAnsi"/>
          <w:i/>
        </w:rPr>
        <w:t>ke kontrolnímu závěru Nejvyššího kontrolního úřadu z KA č. 18/13</w:t>
      </w:r>
      <w:r w:rsidRPr="00EF43E6">
        <w:rPr>
          <w:rFonts w:asciiTheme="minorHAnsi" w:hAnsiTheme="minorHAnsi"/>
        </w:rPr>
        <w:t>.</w:t>
      </w:r>
    </w:p>
  </w:footnote>
  <w:footnote w:id="22">
    <w:p w14:paraId="651D238A" w14:textId="77777777" w:rsidR="00517CE0" w:rsidRPr="00EF43E6" w:rsidRDefault="00517CE0" w:rsidP="00B41D61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F43E6">
        <w:rPr>
          <w:rStyle w:val="Znakapoznpodarou"/>
          <w:rFonts w:asciiTheme="minorHAnsi" w:hAnsiTheme="minorHAnsi" w:cstheme="minorHAnsi"/>
        </w:rPr>
        <w:footnoteRef/>
      </w:r>
      <w:r w:rsidRPr="00EF43E6">
        <w:rPr>
          <w:rFonts w:asciiTheme="minorHAnsi" w:hAnsiTheme="minorHAnsi" w:cstheme="minorHAnsi"/>
        </w:rPr>
        <w:t xml:space="preserve"> </w:t>
      </w:r>
      <w:r w:rsidRPr="00EF43E6">
        <w:rPr>
          <w:rFonts w:asciiTheme="minorHAnsi" w:hAnsiTheme="minorHAnsi" w:cstheme="minorHAnsi"/>
        </w:rPr>
        <w:tab/>
        <w:t>Zákon</w:t>
      </w:r>
      <w:r>
        <w:rPr>
          <w:rFonts w:asciiTheme="minorHAnsi" w:hAnsiTheme="minorHAnsi" w:cstheme="minorHAnsi"/>
        </w:rPr>
        <w:t xml:space="preserve"> České národní rady</w:t>
      </w:r>
      <w:r w:rsidRPr="00EF43E6">
        <w:rPr>
          <w:rFonts w:asciiTheme="minorHAnsi" w:hAnsiTheme="minorHAnsi" w:cstheme="minorHAnsi"/>
        </w:rPr>
        <w:t xml:space="preserve"> č. 2/1969 Sb., o zřízení ministerstev a jiných ústředních orgánů státní správy České republiky.</w:t>
      </w:r>
    </w:p>
  </w:footnote>
  <w:footnote w:id="23">
    <w:p w14:paraId="29E954DA" w14:textId="77777777" w:rsidR="00517CE0" w:rsidRPr="00B406C8" w:rsidRDefault="00517CE0" w:rsidP="00B41D61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E54E6">
        <w:rPr>
          <w:rStyle w:val="Znakapoznpodarou"/>
          <w:rFonts w:asciiTheme="minorHAnsi" w:hAnsiTheme="minorHAnsi" w:cstheme="minorHAnsi"/>
        </w:rPr>
        <w:footnoteRef/>
      </w:r>
      <w:r w:rsidRPr="002E54E6">
        <w:rPr>
          <w:rFonts w:asciiTheme="minorHAnsi" w:hAnsiTheme="minorHAnsi" w:cstheme="minorHAnsi"/>
        </w:rPr>
        <w:t xml:space="preserve"> </w:t>
      </w:r>
      <w:r w:rsidRPr="002E54E6">
        <w:rPr>
          <w:rFonts w:asciiTheme="minorHAnsi" w:hAnsiTheme="minorHAnsi" w:cstheme="minorHAnsi"/>
        </w:rPr>
        <w:tab/>
        <w:t>Dle ustanovení § 3 písm. o) zákona č. 218/2000 Sb. je rozpočtový systém informačním systémem veřejné správy, v němž se mj. soustřeďují údaje pro hodnocení plnění státního rozpočtu.</w:t>
      </w:r>
    </w:p>
  </w:footnote>
  <w:footnote w:id="24">
    <w:p w14:paraId="7769025D" w14:textId="77777777" w:rsidR="00517CE0" w:rsidRPr="00A6638A" w:rsidRDefault="00517CE0" w:rsidP="003A523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A6638A">
        <w:rPr>
          <w:rStyle w:val="Znakapoznpodarou"/>
          <w:rFonts w:ascii="Calibri" w:hAnsi="Calibri" w:cs="Calibri"/>
        </w:rPr>
        <w:footnoteRef/>
      </w:r>
      <w:r w:rsidRPr="00A6638A">
        <w:rPr>
          <w:rFonts w:ascii="Calibri" w:hAnsi="Calibri" w:cs="Calibri"/>
        </w:rPr>
        <w:t xml:space="preserve"> </w:t>
      </w:r>
      <w:r w:rsidRPr="00A6638A">
        <w:rPr>
          <w:rFonts w:ascii="Calibri" w:hAnsi="Calibri" w:cs="Calibri"/>
        </w:rPr>
        <w:tab/>
        <w:t>Dle ustanovení § 20 odst. 4 zákona č. 218/2000 Sb. jsou OSS povinny předkládat údaje potřebné pro průběžné hodnocení plnění státního rozpočtu. Způsob a termíny předkládání údajů a jejich rozsah stanovuje vyhláška č. 5/2014 Sb., o způsobu, termínech a rozsahu údajů předkládaných pro hodnocení plnění státního rozpočtu, rozpočtů státních fondů, rozpočtů územních samosprávných celků</w:t>
      </w:r>
      <w:r>
        <w:rPr>
          <w:rFonts w:ascii="Calibri" w:hAnsi="Calibri" w:cs="Calibri"/>
        </w:rPr>
        <w:t xml:space="preserve"> a</w:t>
      </w:r>
      <w:r w:rsidRPr="00A6638A">
        <w:rPr>
          <w:rFonts w:ascii="Calibri" w:hAnsi="Calibri" w:cs="Calibri"/>
        </w:rPr>
        <w:t xml:space="preserve"> rozpočtů dobrovolných svazků obcí. Dle ustanovení § 5 odst. 1 a dle přílohy č. 1 této vyhlášky zpracovávají OSS údaje pro hodnocení plnění státního rozpočtu přímo v rozpočtovém systému, ve kterém je z nich následně sestavován výkaz FIN 1-12 OSS.</w:t>
      </w:r>
    </w:p>
  </w:footnote>
  <w:footnote w:id="25">
    <w:p w14:paraId="128C9B74" w14:textId="77777777" w:rsidR="00517CE0" w:rsidRPr="00306CED" w:rsidRDefault="00517CE0" w:rsidP="0091678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6638A">
        <w:rPr>
          <w:rStyle w:val="Znakapoznpodarou"/>
          <w:rFonts w:asciiTheme="minorHAnsi" w:hAnsiTheme="minorHAnsi" w:cstheme="minorHAnsi"/>
        </w:rPr>
        <w:footnoteRef/>
      </w:r>
      <w:r w:rsidRPr="00A6638A">
        <w:rPr>
          <w:rFonts w:asciiTheme="minorHAnsi" w:hAnsiTheme="minorHAnsi" w:cstheme="minorHAnsi"/>
        </w:rPr>
        <w:t xml:space="preserve"> </w:t>
      </w:r>
      <w:r w:rsidRPr="00A6638A">
        <w:rPr>
          <w:rFonts w:asciiTheme="minorHAnsi" w:hAnsiTheme="minorHAnsi" w:cstheme="minorHAnsi"/>
        </w:rPr>
        <w:tab/>
      </w:r>
      <w:proofErr w:type="spellStart"/>
      <w:r w:rsidRPr="00A6638A">
        <w:rPr>
          <w:rFonts w:asciiTheme="minorHAnsi" w:hAnsiTheme="minorHAnsi" w:cstheme="minorHAnsi"/>
        </w:rPr>
        <w:t>MZ</w:t>
      </w:r>
      <w:r>
        <w:rPr>
          <w:rFonts w:asciiTheme="minorHAnsi" w:hAnsiTheme="minorHAnsi" w:cstheme="minorHAnsi"/>
        </w:rPr>
        <w:t>d</w:t>
      </w:r>
      <w:proofErr w:type="spellEnd"/>
      <w:r w:rsidRPr="00A6638A">
        <w:rPr>
          <w:rFonts w:asciiTheme="minorHAnsi" w:hAnsiTheme="minorHAnsi" w:cstheme="minorHAnsi"/>
        </w:rPr>
        <w:t xml:space="preserve"> jako</w:t>
      </w:r>
      <w:r>
        <w:rPr>
          <w:rFonts w:asciiTheme="minorHAnsi" w:hAnsiTheme="minorHAnsi" w:cstheme="minorHAnsi"/>
        </w:rPr>
        <w:t>žto</w:t>
      </w:r>
      <w:r w:rsidRPr="00A6638A">
        <w:rPr>
          <w:rFonts w:asciiTheme="minorHAnsi" w:hAnsiTheme="minorHAnsi" w:cstheme="minorHAnsi"/>
        </w:rPr>
        <w:t xml:space="preserve"> OSS je povinno v souladu se zákonem č. 563/1991 Sb. účtovat o stavu a pohybu majetku a jiných aktiv, závazků a jiných pasiv, o nákladech a výnosech a o výsledku hospodaření. Informace, které předkládá v účetní závěrce, musí být spolehlivé, srovnatelné, srozumitelné a posuzují se z hlediska významnosti.</w:t>
      </w:r>
    </w:p>
  </w:footnote>
  <w:footnote w:id="26">
    <w:p w14:paraId="373479BF" w14:textId="286E1E8A" w:rsidR="00517CE0" w:rsidRPr="00C266C0" w:rsidRDefault="00517CE0" w:rsidP="004E2D6E">
      <w:pPr>
        <w:pStyle w:val="Textpoznpodarou"/>
        <w:ind w:left="284" w:hanging="284"/>
        <w:rPr>
          <w:rFonts w:asciiTheme="minorHAnsi" w:hAnsiTheme="minorHAnsi" w:cstheme="minorHAnsi"/>
        </w:rPr>
      </w:pPr>
      <w:r w:rsidRPr="00C266C0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C266C0">
        <w:rPr>
          <w:rFonts w:asciiTheme="minorHAnsi" w:hAnsiTheme="minorHAnsi" w:cstheme="minorHAnsi"/>
        </w:rPr>
        <w:t>Vyhláška č. 323/2002 Sb., o rozpočtové skladbě</w:t>
      </w:r>
      <w:r>
        <w:rPr>
          <w:rFonts w:asciiTheme="minorHAnsi" w:hAnsiTheme="minorHAnsi" w:cstheme="minorHAnsi"/>
        </w:rPr>
        <w:t>.</w:t>
      </w:r>
    </w:p>
  </w:footnote>
  <w:footnote w:id="27">
    <w:p w14:paraId="732F6E99" w14:textId="77777777" w:rsidR="00517CE0" w:rsidRPr="003A523F" w:rsidRDefault="00517CE0" w:rsidP="003A523F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A523F">
        <w:rPr>
          <w:rStyle w:val="Znakapoznpodarou"/>
          <w:rFonts w:asciiTheme="minorHAnsi" w:hAnsiTheme="minorHAnsi" w:cstheme="minorHAnsi"/>
        </w:rPr>
        <w:footnoteRef/>
      </w:r>
      <w:r w:rsidRPr="003A52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7E2953">
        <w:rPr>
          <w:rFonts w:asciiTheme="minorHAnsi" w:hAnsiTheme="minorHAnsi" w:cstheme="minorHAnsi"/>
        </w:rPr>
        <w:t>Zákon č. 340/2015 Sb., o zvláštních podmínkách účinnosti některých smluv, uveřejňování těchto smluv a </w:t>
      </w:r>
      <w:r w:rsidRPr="00CC7D82">
        <w:rPr>
          <w:rFonts w:asciiTheme="minorHAnsi" w:hAnsiTheme="minorHAnsi" w:cstheme="minorHAnsi"/>
        </w:rPr>
        <w:t>o registru</w:t>
      </w:r>
      <w:r w:rsidRPr="003F2543">
        <w:rPr>
          <w:rFonts w:asciiTheme="minorHAnsi" w:hAnsiTheme="minorHAnsi" w:cstheme="minorHAnsi"/>
        </w:rPr>
        <w:t xml:space="preserve"> smluv (zákon o registru smluv).</w:t>
      </w:r>
    </w:p>
  </w:footnote>
  <w:footnote w:id="28">
    <w:p w14:paraId="7DB2D818" w14:textId="77777777" w:rsidR="00517CE0" w:rsidRPr="003624E5" w:rsidRDefault="00517CE0" w:rsidP="0045029D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3624E5">
        <w:rPr>
          <w:rStyle w:val="Znakapoznpodarou"/>
          <w:rFonts w:asciiTheme="minorHAnsi" w:hAnsiTheme="minorHAnsi" w:cstheme="minorHAnsi"/>
        </w:rPr>
        <w:footnoteRef/>
      </w:r>
      <w:r w:rsidRPr="003624E5">
        <w:rPr>
          <w:rFonts w:asciiTheme="minorHAnsi" w:hAnsiTheme="minorHAnsi" w:cstheme="minorHAnsi"/>
        </w:rPr>
        <w:t xml:space="preserve"> </w:t>
      </w:r>
      <w:r w:rsidRPr="003624E5">
        <w:rPr>
          <w:rFonts w:asciiTheme="minorHAnsi" w:hAnsiTheme="minorHAnsi" w:cstheme="minorHAnsi"/>
        </w:rPr>
        <w:tab/>
        <w:t>Vyhláška č. 416/2004 Sb., kterou se provádí zákon č. 320/2001 Sb., o finanční kontrole ve veřejné správě a o změně některých zákonů (zákon o finanční kontrole), ve znění zákona č. 309/2002 Sb., zákona č. 320/2002 Sb. a zákona č. 123/2003 Sb.</w:t>
      </w:r>
    </w:p>
  </w:footnote>
  <w:footnote w:id="29">
    <w:p w14:paraId="5118FBF1" w14:textId="77777777" w:rsidR="00517CE0" w:rsidRPr="002054E8" w:rsidRDefault="00517CE0" w:rsidP="00D554C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054E8">
        <w:rPr>
          <w:rStyle w:val="Znakapoznpodarou"/>
          <w:rFonts w:asciiTheme="minorHAnsi" w:hAnsiTheme="minorHAnsi" w:cstheme="minorHAnsi"/>
        </w:rPr>
        <w:footnoteRef/>
      </w:r>
      <w:r w:rsidRPr="002054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054E8">
        <w:rPr>
          <w:rFonts w:asciiTheme="minorHAnsi" w:hAnsiTheme="minorHAnsi" w:cstheme="minorHAnsi"/>
        </w:rPr>
        <w:t>Zákon č. 569/2020 Sb., o distribuci léčivých přípravků obsahujících očkovací látku pro očkování proti onemocnění COVID-19, o náhradě újmy způsobené očkovaným osobám těmito léčivými přípravky a o změně zákona č. 48/1997 Sb., o veřejném zdravotním pojištění a o změně a doplnění některých souvisejících zákonů, ve znění pozdějších předpisů</w:t>
      </w:r>
      <w:r>
        <w:rPr>
          <w:rFonts w:asciiTheme="minorHAnsi" w:hAnsiTheme="minorHAnsi" w:cstheme="minorHAnsi"/>
        </w:rPr>
        <w:t>.</w:t>
      </w:r>
    </w:p>
  </w:footnote>
  <w:footnote w:id="30">
    <w:p w14:paraId="468623B1" w14:textId="239654B9" w:rsidR="00517CE0" w:rsidRPr="006767AD" w:rsidRDefault="00517CE0" w:rsidP="004E2D6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767AD">
        <w:rPr>
          <w:rStyle w:val="Znakapoznpodarou"/>
          <w:rFonts w:asciiTheme="minorHAnsi" w:hAnsiTheme="minorHAnsi" w:cstheme="minorHAnsi"/>
        </w:rPr>
        <w:footnoteRef/>
      </w:r>
      <w:r w:rsidRPr="006767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767AD">
        <w:rPr>
          <w:rFonts w:asciiTheme="minorHAnsi" w:hAnsiTheme="minorHAnsi" w:cstheme="minorHAnsi"/>
        </w:rPr>
        <w:t>Zákon č. 378/2007 Sb., o léčivech a o změnách některých souvisejících zákonů (zákon o léčivech)</w:t>
      </w:r>
      <w:r>
        <w:rPr>
          <w:rFonts w:asciiTheme="minorHAnsi" w:hAnsiTheme="minorHAnsi" w:cstheme="minorHAnsi"/>
        </w:rPr>
        <w:t>.</w:t>
      </w:r>
    </w:p>
  </w:footnote>
  <w:footnote w:id="31">
    <w:p w14:paraId="231420A8" w14:textId="593D06B6" w:rsidR="00517CE0" w:rsidRPr="006767AD" w:rsidRDefault="00517CE0" w:rsidP="00D554C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767AD">
        <w:rPr>
          <w:rStyle w:val="Znakapoznpodarou"/>
          <w:rFonts w:asciiTheme="minorHAnsi" w:hAnsiTheme="minorHAnsi" w:cstheme="minorHAnsi"/>
        </w:rPr>
        <w:footnoteRef/>
      </w:r>
      <w:r w:rsidRPr="006767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767AD">
        <w:rPr>
          <w:rFonts w:asciiTheme="minorHAnsi" w:hAnsiTheme="minorHAnsi" w:cstheme="minorHAnsi"/>
        </w:rPr>
        <w:t>Zákon č. 48/1997 Sb., o veřejném zdravotním pojištění a o změně a doplnění některých souvisejících zákonů</w:t>
      </w:r>
      <w:r>
        <w:rPr>
          <w:rFonts w:asciiTheme="minorHAnsi" w:hAnsiTheme="minorHAnsi" w:cstheme="minorHAnsi"/>
        </w:rPr>
        <w:t>.</w:t>
      </w:r>
    </w:p>
  </w:footnote>
  <w:footnote w:id="32">
    <w:p w14:paraId="5635A153" w14:textId="1537553A" w:rsidR="00517CE0" w:rsidRPr="006767AD" w:rsidRDefault="00517CE0" w:rsidP="004E2D6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767AD">
        <w:rPr>
          <w:rStyle w:val="Znakapoznpodarou"/>
          <w:rFonts w:asciiTheme="minorHAnsi" w:hAnsiTheme="minorHAnsi" w:cstheme="minorHAnsi"/>
        </w:rPr>
        <w:footnoteRef/>
      </w:r>
      <w:r w:rsidRPr="006767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767AD">
        <w:rPr>
          <w:rFonts w:asciiTheme="minorHAnsi" w:hAnsiTheme="minorHAnsi" w:cstheme="minorHAnsi"/>
        </w:rPr>
        <w:t>Vyhláška č. 229/2008 Sb., o výrobě a distribuci léčiv</w:t>
      </w:r>
      <w:r>
        <w:rPr>
          <w:rFonts w:asciiTheme="minorHAnsi" w:hAnsiTheme="minorHAnsi" w:cstheme="minorHAnsi"/>
        </w:rPr>
        <w:t>.</w:t>
      </w:r>
    </w:p>
  </w:footnote>
  <w:footnote w:id="33">
    <w:p w14:paraId="627AD440" w14:textId="06CD5523" w:rsidR="00517CE0" w:rsidRPr="006767AD" w:rsidRDefault="00517CE0" w:rsidP="00D554C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767AD">
        <w:rPr>
          <w:rStyle w:val="Znakapoznpodarou"/>
          <w:rFonts w:asciiTheme="minorHAnsi" w:hAnsiTheme="minorHAnsi" w:cstheme="minorHAnsi"/>
        </w:rPr>
        <w:footnoteRef/>
      </w:r>
      <w:r w:rsidRPr="006767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767AD">
        <w:rPr>
          <w:rFonts w:asciiTheme="minorHAnsi" w:hAnsiTheme="minorHAnsi" w:cstheme="minorHAnsi"/>
        </w:rPr>
        <w:t>Vyhláška č. 84/2008 Sb., o správné lékárenské praxi, bližších podmínkách zacházení s léčivy v lékárnách, zdravotnických zařízeních a u dalších provozovatelů a zařízení vydávajících léčivé přípravky</w:t>
      </w:r>
      <w:r>
        <w:rPr>
          <w:rFonts w:asciiTheme="minorHAnsi" w:hAnsiTheme="minorHAnsi" w:cstheme="minorHAnsi"/>
        </w:rPr>
        <w:t>.</w:t>
      </w:r>
    </w:p>
  </w:footnote>
  <w:footnote w:id="34">
    <w:p w14:paraId="1D2D990F" w14:textId="72028D0D" w:rsidR="00517CE0" w:rsidRPr="006767AD" w:rsidRDefault="00517CE0" w:rsidP="004E2D6E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6767AD">
        <w:rPr>
          <w:rStyle w:val="Znakapoznpodarou"/>
          <w:rFonts w:asciiTheme="minorHAnsi" w:hAnsiTheme="minorHAnsi"/>
        </w:rPr>
        <w:footnoteRef/>
      </w:r>
      <w:r w:rsidRPr="006767A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6767AD">
        <w:rPr>
          <w:rFonts w:asciiTheme="minorHAnsi" w:hAnsiTheme="minorHAnsi"/>
        </w:rPr>
        <w:t xml:space="preserve">Zařazena nebyla usnesení vlády ke komunikační kampani </w:t>
      </w:r>
      <w:proofErr w:type="spellStart"/>
      <w:r w:rsidRPr="006767AD">
        <w:rPr>
          <w:rFonts w:asciiTheme="minorHAnsi" w:hAnsiTheme="minorHAnsi"/>
        </w:rPr>
        <w:t>MZ</w:t>
      </w:r>
      <w:r>
        <w:rPr>
          <w:rFonts w:asciiTheme="minorHAnsi" w:hAnsiTheme="minorHAnsi"/>
        </w:rPr>
        <w:t>d</w:t>
      </w:r>
      <w:proofErr w:type="spellEnd"/>
      <w:r w:rsidRPr="006767AD">
        <w:rPr>
          <w:rFonts w:asciiTheme="minorHAnsi" w:hAnsiTheme="minorHAnsi"/>
        </w:rPr>
        <w:t xml:space="preserve"> k očkování proti </w:t>
      </w:r>
      <w:r>
        <w:rPr>
          <w:rFonts w:asciiTheme="minorHAnsi" w:hAnsiTheme="minorHAnsi"/>
        </w:rPr>
        <w:t>covidu</w:t>
      </w:r>
      <w:r w:rsidRPr="006767AD">
        <w:rPr>
          <w:rFonts w:asciiTheme="minorHAnsi" w:hAnsiTheme="minorHAnsi"/>
        </w:rPr>
        <w:t xml:space="preserve">-19 v ČR. </w:t>
      </w:r>
    </w:p>
  </w:footnote>
  <w:footnote w:id="35">
    <w:p w14:paraId="795586F3" w14:textId="66EA2182" w:rsidR="00517CE0" w:rsidRPr="004E2D6E" w:rsidRDefault="00517CE0" w:rsidP="0066297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Style w:val="Znakapoznpodarou"/>
          <w:rFonts w:asciiTheme="minorHAnsi" w:hAnsiTheme="minorHAnsi" w:cstheme="minorHAnsi"/>
        </w:rPr>
        <w:footnoteRef/>
      </w:r>
      <w:r w:rsidRPr="004E2D6E">
        <w:rPr>
          <w:rFonts w:asciiTheme="minorHAnsi" w:hAnsiTheme="minorHAnsi" w:cstheme="minorHAnsi"/>
        </w:rPr>
        <w:t xml:space="preserve"> </w:t>
      </w:r>
      <w:r w:rsidRPr="004E2D6E">
        <w:rPr>
          <w:rFonts w:asciiTheme="minorHAnsi" w:hAnsiTheme="minorHAnsi" w:cstheme="minorHAnsi"/>
        </w:rPr>
        <w:tab/>
        <w:t>Čl. 4 odst. 5 písm. b) nařízení Rady (EU) 2016/369</w:t>
      </w:r>
      <w:r>
        <w:rPr>
          <w:rFonts w:asciiTheme="minorHAnsi" w:hAnsiTheme="minorHAnsi" w:cstheme="minorHAnsi"/>
        </w:rPr>
        <w:t>,</w:t>
      </w:r>
      <w:r w:rsidRPr="004E2D6E">
        <w:rPr>
          <w:rFonts w:asciiTheme="minorHAnsi" w:hAnsiTheme="minorHAnsi" w:cstheme="minorHAnsi"/>
        </w:rPr>
        <w:t xml:space="preserve"> o poskytování mimořádné podpory v rámci Unie ve znění nařízení Rady (EU) 2020/521 ze dne 14. dubna 2020 o aktivaci mimořádné podpory podle nařízení (EU) 2016/369 a o změně jeho ustanovení (nařízení pro mimořádnou podporu).</w:t>
      </w:r>
    </w:p>
  </w:footnote>
  <w:footnote w:id="36">
    <w:p w14:paraId="61270273" w14:textId="4267E195" w:rsidR="00517CE0" w:rsidRPr="004E2D6E" w:rsidRDefault="00517CE0" w:rsidP="004E2D6E">
      <w:pPr>
        <w:spacing w:after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E2D6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4E2D6E">
        <w:rPr>
          <w:rFonts w:asciiTheme="minorHAnsi" w:hAnsiTheme="minorHAnsi" w:cstheme="minorHAnsi"/>
          <w:sz w:val="20"/>
          <w:szCs w:val="20"/>
        </w:rPr>
        <w:t xml:space="preserve"> </w:t>
      </w:r>
      <w:r w:rsidRPr="004E2D6E">
        <w:rPr>
          <w:rFonts w:asciiTheme="minorHAnsi" w:hAnsiTheme="minorHAnsi" w:cstheme="minorHAnsi"/>
          <w:sz w:val="20"/>
          <w:szCs w:val="20"/>
        </w:rPr>
        <w:tab/>
      </w:r>
      <w:r w:rsidRPr="004E2D6E">
        <w:rPr>
          <w:rFonts w:asciiTheme="minorHAnsi" w:eastAsia="Calibri" w:hAnsiTheme="minorHAnsi" w:cstheme="minorHAnsi"/>
          <w:sz w:val="20"/>
          <w:szCs w:val="20"/>
        </w:rPr>
        <w:t>Při zvažování překladu termínu „</w:t>
      </w:r>
      <w:proofErr w:type="spellStart"/>
      <w:r w:rsidRPr="004E2D6E">
        <w:rPr>
          <w:rFonts w:asciiTheme="minorHAnsi" w:eastAsia="Calibri" w:hAnsiTheme="minorHAnsi" w:cstheme="minorHAnsi"/>
          <w:sz w:val="20"/>
          <w:szCs w:val="20"/>
        </w:rPr>
        <w:t>Advance</w:t>
      </w:r>
      <w:r>
        <w:rPr>
          <w:rFonts w:asciiTheme="minorHAnsi" w:eastAsia="Calibri" w:hAnsiTheme="minorHAnsi" w:cstheme="minorHAnsi"/>
          <w:sz w:val="20"/>
          <w:szCs w:val="20"/>
        </w:rPr>
        <w:t>d</w:t>
      </w:r>
      <w:proofErr w:type="spellEnd"/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4E2D6E">
        <w:rPr>
          <w:rFonts w:asciiTheme="minorHAnsi" w:eastAsia="Calibri" w:hAnsiTheme="minorHAnsi" w:cstheme="minorHAnsi"/>
          <w:sz w:val="20"/>
          <w:szCs w:val="20"/>
        </w:rPr>
        <w:t>Purchase</w:t>
      </w:r>
      <w:proofErr w:type="spellEnd"/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4E2D6E">
        <w:rPr>
          <w:rFonts w:asciiTheme="minorHAnsi" w:eastAsia="Calibri" w:hAnsiTheme="minorHAnsi" w:cstheme="minorHAnsi"/>
          <w:sz w:val="20"/>
          <w:szCs w:val="20"/>
        </w:rPr>
        <w:t>Agreements</w:t>
      </w:r>
      <w:proofErr w:type="spellEnd"/>
      <w:r w:rsidRPr="004E2D6E">
        <w:rPr>
          <w:rFonts w:asciiTheme="minorHAnsi" w:eastAsia="Calibri" w:hAnsiTheme="minorHAnsi" w:cstheme="minorHAnsi"/>
          <w:sz w:val="20"/>
          <w:szCs w:val="20"/>
        </w:rPr>
        <w:t>“ do českého jazyka vycházel NKÚ z následujících zdrojů:</w:t>
      </w:r>
    </w:p>
    <w:p w14:paraId="3095DE74" w14:textId="0CB68428" w:rsidR="00517CE0" w:rsidRPr="004E2D6E" w:rsidRDefault="00517CE0" w:rsidP="006767AD">
      <w:pPr>
        <w:numPr>
          <w:ilvl w:val="0"/>
          <w:numId w:val="25"/>
        </w:numPr>
        <w:spacing w:after="160" w:line="25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z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dokumentů přiložených k usnesení vlády ČR</w:t>
      </w:r>
      <w:r>
        <w:rPr>
          <w:rFonts w:asciiTheme="minorHAnsi" w:eastAsia="Calibri" w:hAnsiTheme="minorHAnsi" w:cstheme="minorHAnsi"/>
          <w:sz w:val="20"/>
          <w:szCs w:val="20"/>
        </w:rPr>
        <w:t>,</w:t>
      </w:r>
    </w:p>
    <w:p w14:paraId="0083D878" w14:textId="50F8B30B" w:rsidR="00517CE0" w:rsidRPr="004E2D6E" w:rsidRDefault="00517CE0" w:rsidP="006767AD">
      <w:pPr>
        <w:numPr>
          <w:ilvl w:val="0"/>
          <w:numId w:val="25"/>
        </w:numPr>
        <w:spacing w:after="160" w:line="25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z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oficiálních překladů právních dokumentů na webových stránkách EU (EUR-Lex)</w:t>
      </w:r>
      <w:r>
        <w:rPr>
          <w:rFonts w:asciiTheme="minorHAnsi" w:eastAsia="Calibri" w:hAnsiTheme="minorHAnsi" w:cstheme="minorHAnsi"/>
          <w:sz w:val="20"/>
          <w:szCs w:val="20"/>
        </w:rPr>
        <w:t>,</w:t>
      </w:r>
    </w:p>
    <w:p w14:paraId="5D141C47" w14:textId="38B3E668" w:rsidR="00517CE0" w:rsidRPr="004E2D6E" w:rsidRDefault="00517CE0" w:rsidP="004E2D6E">
      <w:pPr>
        <w:numPr>
          <w:ilvl w:val="0"/>
          <w:numId w:val="25"/>
        </w:numPr>
        <w:spacing w:line="257" w:lineRule="auto"/>
        <w:ind w:left="714" w:hanging="357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z </w:t>
      </w:r>
      <w:r w:rsidRPr="004E2D6E">
        <w:rPr>
          <w:rFonts w:asciiTheme="minorHAnsi" w:eastAsia="Calibri" w:hAnsiTheme="minorHAnsi" w:cstheme="minorHAnsi"/>
          <w:sz w:val="20"/>
          <w:szCs w:val="20"/>
        </w:rPr>
        <w:t>text</w:t>
      </w:r>
      <w:r>
        <w:rPr>
          <w:rFonts w:asciiTheme="minorHAnsi" w:eastAsia="Calibri" w:hAnsiTheme="minorHAnsi" w:cstheme="minorHAnsi"/>
          <w:sz w:val="20"/>
          <w:szCs w:val="20"/>
        </w:rPr>
        <w:t>ů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</w:rPr>
        <w:t xml:space="preserve">na </w:t>
      </w:r>
      <w:r w:rsidRPr="004E2D6E">
        <w:rPr>
          <w:rFonts w:asciiTheme="minorHAnsi" w:eastAsia="Calibri" w:hAnsiTheme="minorHAnsi" w:cstheme="minorHAnsi"/>
          <w:sz w:val="20"/>
          <w:szCs w:val="20"/>
        </w:rPr>
        <w:t>oficiálních webových strán</w:t>
      </w:r>
      <w:r>
        <w:rPr>
          <w:rFonts w:asciiTheme="minorHAnsi" w:eastAsia="Calibri" w:hAnsiTheme="minorHAnsi" w:cstheme="minorHAnsi"/>
          <w:sz w:val="20"/>
          <w:szCs w:val="20"/>
        </w:rPr>
        <w:t>kách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Evropské komise k problematice </w:t>
      </w:r>
      <w:r>
        <w:rPr>
          <w:rFonts w:asciiTheme="minorHAnsi" w:eastAsia="Calibri" w:hAnsiTheme="minorHAnsi" w:cstheme="minorHAnsi"/>
          <w:sz w:val="20"/>
          <w:szCs w:val="20"/>
        </w:rPr>
        <w:t>covidu</w:t>
      </w:r>
      <w:r w:rsidRPr="004E2D6E">
        <w:rPr>
          <w:rFonts w:asciiTheme="minorHAnsi" w:eastAsia="Calibri" w:hAnsiTheme="minorHAnsi" w:cstheme="minorHAnsi"/>
          <w:sz w:val="20"/>
          <w:szCs w:val="20"/>
        </w:rPr>
        <w:t>-19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678DC1D5" w14:textId="2645EF51" w:rsidR="00517CE0" w:rsidRPr="004E2D6E" w:rsidRDefault="00517CE0" w:rsidP="004E2D6E">
      <w:pPr>
        <w:spacing w:after="0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E2D6E">
        <w:rPr>
          <w:rFonts w:asciiTheme="minorHAnsi" w:eastAsia="Calibri" w:hAnsiTheme="minorHAnsi" w:cstheme="minorHAnsi"/>
          <w:b/>
          <w:sz w:val="20"/>
          <w:szCs w:val="20"/>
        </w:rPr>
        <w:t xml:space="preserve">Ad A) </w:t>
      </w:r>
      <w:proofErr w:type="spellStart"/>
      <w:r w:rsidRPr="004E2D6E">
        <w:rPr>
          <w:rFonts w:asciiTheme="minorHAnsi" w:eastAsia="Calibri" w:hAnsiTheme="minorHAnsi" w:cstheme="minorHAnsi"/>
          <w:sz w:val="20"/>
          <w:szCs w:val="20"/>
        </w:rPr>
        <w:t>MZd</w:t>
      </w:r>
      <w:proofErr w:type="spellEnd"/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ve svých podkladech pro usnesení vlády označovalo „</w:t>
      </w:r>
      <w:proofErr w:type="spellStart"/>
      <w:r w:rsidRPr="004E2D6E">
        <w:rPr>
          <w:rFonts w:asciiTheme="minorHAnsi" w:eastAsia="Calibri" w:hAnsiTheme="minorHAnsi" w:cstheme="minorHAnsi"/>
          <w:sz w:val="20"/>
          <w:szCs w:val="20"/>
        </w:rPr>
        <w:t>Advance</w:t>
      </w:r>
      <w:r>
        <w:rPr>
          <w:rFonts w:asciiTheme="minorHAnsi" w:eastAsia="Calibri" w:hAnsiTheme="minorHAnsi" w:cstheme="minorHAnsi"/>
          <w:sz w:val="20"/>
          <w:szCs w:val="20"/>
        </w:rPr>
        <w:t>d</w:t>
      </w:r>
      <w:proofErr w:type="spellEnd"/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4E2D6E">
        <w:rPr>
          <w:rFonts w:asciiTheme="minorHAnsi" w:eastAsia="Calibri" w:hAnsiTheme="minorHAnsi" w:cstheme="minorHAnsi"/>
          <w:sz w:val="20"/>
          <w:szCs w:val="20"/>
        </w:rPr>
        <w:t>Purchase</w:t>
      </w:r>
      <w:proofErr w:type="spellEnd"/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4E2D6E">
        <w:rPr>
          <w:rFonts w:asciiTheme="minorHAnsi" w:eastAsia="Calibri" w:hAnsiTheme="minorHAnsi" w:cstheme="minorHAnsi"/>
          <w:sz w:val="20"/>
          <w:szCs w:val="20"/>
        </w:rPr>
        <w:t>Agreements</w:t>
      </w:r>
      <w:proofErr w:type="spellEnd"/>
      <w:r w:rsidRPr="004E2D6E">
        <w:rPr>
          <w:rFonts w:asciiTheme="minorHAnsi" w:eastAsia="Calibri" w:hAnsiTheme="minorHAnsi" w:cstheme="minorHAnsi"/>
          <w:sz w:val="20"/>
          <w:szCs w:val="20"/>
        </w:rPr>
        <w:t>“ (APA) termíny „</w:t>
      </w:r>
      <w:r w:rsidRPr="004E2D6E">
        <w:rPr>
          <w:rFonts w:asciiTheme="minorHAnsi" w:eastAsia="Calibri" w:hAnsiTheme="minorHAnsi" w:cstheme="minorHAnsi"/>
          <w:b/>
          <w:sz w:val="20"/>
          <w:szCs w:val="20"/>
        </w:rPr>
        <w:t>záruka</w:t>
      </w:r>
      <w:r w:rsidRPr="004E2D6E">
        <w:rPr>
          <w:rFonts w:asciiTheme="minorHAnsi" w:eastAsia="Calibri" w:hAnsiTheme="minorHAnsi" w:cstheme="minorHAnsi"/>
          <w:sz w:val="20"/>
          <w:szCs w:val="20"/>
        </w:rPr>
        <w:t>“ a „</w:t>
      </w:r>
      <w:r w:rsidRPr="004E2D6E">
        <w:rPr>
          <w:rFonts w:asciiTheme="minorHAnsi" w:eastAsia="Calibri" w:hAnsiTheme="minorHAnsi" w:cstheme="minorHAnsi"/>
          <w:b/>
          <w:sz w:val="20"/>
          <w:szCs w:val="20"/>
        </w:rPr>
        <w:t>smlouva o smlouvě budoucí</w:t>
      </w:r>
      <w:r w:rsidRPr="004E2D6E">
        <w:rPr>
          <w:rFonts w:asciiTheme="minorHAnsi" w:eastAsia="Calibri" w:hAnsiTheme="minorHAnsi" w:cstheme="minorHAnsi"/>
          <w:sz w:val="20"/>
          <w:szCs w:val="20"/>
        </w:rPr>
        <w:t>“,</w:t>
      </w:r>
      <w:r w:rsidRPr="004E2D6E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a to </w:t>
      </w:r>
      <w:r w:rsidRPr="004E2D6E">
        <w:rPr>
          <w:rFonts w:asciiTheme="minorHAnsi" w:eastAsia="Calibri" w:hAnsiTheme="minorHAnsi" w:cstheme="minorHAnsi"/>
          <w:sz w:val="20"/>
          <w:szCs w:val="20"/>
          <w:u w:val="single"/>
        </w:rPr>
        <w:t>v podkladu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pro usnesení vlády z:</w:t>
      </w:r>
    </w:p>
    <w:p w14:paraId="4451FF37" w14:textId="72B94F68" w:rsidR="00517CE0" w:rsidRPr="004E2D6E" w:rsidRDefault="00517CE0" w:rsidP="006767AD">
      <w:pPr>
        <w:pStyle w:val="Odstavecseseznamem"/>
        <w:numPr>
          <w:ilvl w:val="0"/>
          <w:numId w:val="26"/>
        </w:numPr>
        <w:spacing w:after="160" w:line="25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17. srpna 2020 (usnesení vlády č. 846, </w:t>
      </w:r>
      <w:r>
        <w:rPr>
          <w:rFonts w:asciiTheme="minorHAnsi" w:eastAsia="Calibri" w:hAnsiTheme="minorHAnsi" w:cstheme="minorHAnsi"/>
          <w:sz w:val="20"/>
          <w:szCs w:val="20"/>
        </w:rPr>
        <w:t>č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j. 33923/2020-1/MEZ, II. </w:t>
      </w:r>
      <w:r>
        <w:rPr>
          <w:rFonts w:asciiTheme="minorHAnsi" w:eastAsia="Calibri" w:hAnsiTheme="minorHAnsi" w:cstheme="minorHAnsi"/>
          <w:sz w:val="20"/>
          <w:szCs w:val="20"/>
        </w:rPr>
        <w:t>p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ředkládací zpráva, bod 2.1 </w:t>
      </w:r>
      <w:r w:rsidRPr="004E2D6E">
        <w:rPr>
          <w:rFonts w:asciiTheme="minorHAnsi" w:eastAsia="Calibri" w:hAnsiTheme="minorHAnsi" w:cstheme="minorHAnsi"/>
          <w:i/>
          <w:sz w:val="20"/>
          <w:szCs w:val="20"/>
        </w:rPr>
        <w:t>Smluvní závazky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, s. 3 a další stránky), </w:t>
      </w:r>
    </w:p>
    <w:p w14:paraId="18B8BDF8" w14:textId="0DB96284" w:rsidR="00517CE0" w:rsidRPr="004E2D6E" w:rsidRDefault="00517CE0" w:rsidP="006767AD">
      <w:pPr>
        <w:pStyle w:val="Odstavecseseznamem"/>
        <w:numPr>
          <w:ilvl w:val="0"/>
          <w:numId w:val="26"/>
        </w:numPr>
        <w:spacing w:after="160" w:line="25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5. října 2020 (usnesení vlády č. 992, </w:t>
      </w:r>
      <w:r>
        <w:rPr>
          <w:rFonts w:asciiTheme="minorHAnsi" w:eastAsia="Calibri" w:hAnsiTheme="minorHAnsi" w:cstheme="minorHAnsi"/>
          <w:sz w:val="20"/>
          <w:szCs w:val="20"/>
        </w:rPr>
        <w:t>č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j. 39777/2020-1/MEZ, II. </w:t>
      </w:r>
      <w:r>
        <w:rPr>
          <w:rFonts w:asciiTheme="minorHAnsi" w:eastAsia="Calibri" w:hAnsiTheme="minorHAnsi" w:cstheme="minorHAnsi"/>
          <w:sz w:val="20"/>
          <w:szCs w:val="20"/>
        </w:rPr>
        <w:t>p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ředkládací zpráva, s. 1), </w:t>
      </w:r>
    </w:p>
    <w:p w14:paraId="025C9689" w14:textId="25B8C4C0" w:rsidR="00517CE0" w:rsidRPr="004E2D6E" w:rsidRDefault="00517CE0" w:rsidP="006767AD">
      <w:pPr>
        <w:pStyle w:val="Odstavecseseznamem"/>
        <w:numPr>
          <w:ilvl w:val="0"/>
          <w:numId w:val="26"/>
        </w:numPr>
        <w:spacing w:after="0"/>
        <w:ind w:left="714" w:hanging="357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30. listopadu 2020 (usnesení vlády č. 1256, </w:t>
      </w:r>
      <w:r>
        <w:rPr>
          <w:rFonts w:asciiTheme="minorHAnsi" w:eastAsia="Calibri" w:hAnsiTheme="minorHAnsi" w:cstheme="minorHAnsi"/>
          <w:sz w:val="20"/>
          <w:szCs w:val="20"/>
        </w:rPr>
        <w:t>č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j. 53489/2020-1/MEZ, II. </w:t>
      </w:r>
      <w:r>
        <w:rPr>
          <w:rFonts w:asciiTheme="minorHAnsi" w:eastAsia="Calibri" w:hAnsiTheme="minorHAnsi" w:cstheme="minorHAnsi"/>
          <w:sz w:val="20"/>
          <w:szCs w:val="20"/>
        </w:rPr>
        <w:t>p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ředkládací zpráva, s. 1). </w:t>
      </w:r>
    </w:p>
    <w:p w14:paraId="3507A52A" w14:textId="76C3F51F" w:rsidR="00517CE0" w:rsidRPr="004E2D6E" w:rsidRDefault="00517CE0" w:rsidP="004E2D6E">
      <w:pPr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Texty následně schválených usnesení vlády pak </w:t>
      </w:r>
      <w:r>
        <w:rPr>
          <w:rFonts w:asciiTheme="minorHAnsi" w:eastAsia="Calibri" w:hAnsiTheme="minorHAnsi" w:cstheme="minorHAnsi"/>
          <w:sz w:val="20"/>
          <w:szCs w:val="20"/>
        </w:rPr>
        <w:t>místo pojmu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APA </w:t>
      </w:r>
      <w:r>
        <w:rPr>
          <w:rFonts w:asciiTheme="minorHAnsi" w:eastAsia="Calibri" w:hAnsiTheme="minorHAnsi" w:cstheme="minorHAnsi"/>
          <w:sz w:val="20"/>
          <w:szCs w:val="20"/>
        </w:rPr>
        <w:t>používají zjednodušený termín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„</w:t>
      </w:r>
      <w:r w:rsidRPr="004E2D6E">
        <w:rPr>
          <w:rFonts w:asciiTheme="minorHAnsi" w:eastAsia="Calibri" w:hAnsiTheme="minorHAnsi" w:cstheme="minorHAnsi"/>
          <w:b/>
          <w:sz w:val="20"/>
          <w:szCs w:val="20"/>
        </w:rPr>
        <w:t>smlouv</w:t>
      </w:r>
      <w:r>
        <w:rPr>
          <w:rFonts w:asciiTheme="minorHAnsi" w:eastAsia="Calibri" w:hAnsiTheme="minorHAnsi" w:cstheme="minorHAnsi"/>
          <w:b/>
          <w:sz w:val="20"/>
          <w:szCs w:val="20"/>
        </w:rPr>
        <w:t>a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“ (např. </w:t>
      </w:r>
      <w:proofErr w:type="spellStart"/>
      <w:r w:rsidRPr="004E2D6E">
        <w:rPr>
          <w:rFonts w:asciiTheme="minorHAnsi" w:eastAsia="Calibri" w:hAnsiTheme="minorHAnsi" w:cstheme="minorHAnsi"/>
          <w:sz w:val="20"/>
          <w:szCs w:val="20"/>
        </w:rPr>
        <w:t>MZd</w:t>
      </w:r>
      <w:proofErr w:type="spellEnd"/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přistoupilo ke smlouvě mezi Evropskou komisí, zastupující členské státy Evropské unie, a</w:t>
      </w:r>
      <w:r>
        <w:rPr>
          <w:rFonts w:asciiTheme="minorHAnsi" w:eastAsia="Calibri" w:hAnsiTheme="minorHAnsi" w:cstheme="minorHAnsi"/>
          <w:sz w:val="20"/>
          <w:szCs w:val="20"/>
        </w:rPr>
        <w:t> </w:t>
      </w:r>
      <w:r w:rsidRPr="004E2D6E">
        <w:rPr>
          <w:rFonts w:asciiTheme="minorHAnsi" w:eastAsia="Calibri" w:hAnsiTheme="minorHAnsi" w:cstheme="minorHAnsi"/>
          <w:sz w:val="20"/>
          <w:szCs w:val="20"/>
        </w:rPr>
        <w:t>společnými výrobci kandidátní vakcíny).</w:t>
      </w:r>
    </w:p>
    <w:p w14:paraId="01581A39" w14:textId="63FAB643" w:rsidR="00517CE0" w:rsidRPr="004E2D6E" w:rsidRDefault="00517CE0" w:rsidP="004E2D6E">
      <w:pPr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b/>
          <w:bCs/>
          <w:sz w:val="20"/>
          <w:szCs w:val="20"/>
          <w:shd w:val="clear" w:color="auto" w:fill="FFFFFF"/>
        </w:rPr>
      </w:pPr>
      <w:r w:rsidRPr="004E2D6E">
        <w:rPr>
          <w:rFonts w:asciiTheme="minorHAnsi" w:eastAsia="Calibri" w:hAnsiTheme="minorHAnsi" w:cstheme="minorHAnsi"/>
          <w:b/>
          <w:bCs/>
          <w:sz w:val="20"/>
          <w:szCs w:val="20"/>
          <w:shd w:val="clear" w:color="auto" w:fill="FFFFFF"/>
        </w:rPr>
        <w:t>Ad B)</w:t>
      </w:r>
      <w:r w:rsidRPr="004E2D6E"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 xml:space="preserve"> Ve </w:t>
      </w:r>
      <w:r w:rsidRPr="00A57CB8"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 xml:space="preserve">sdělení </w:t>
      </w:r>
      <w:r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>K</w:t>
      </w:r>
      <w:r w:rsidRPr="00A57CB8"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 xml:space="preserve">omise </w:t>
      </w:r>
      <w:r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>E</w:t>
      </w:r>
      <w:r w:rsidRPr="00A57CB8"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 xml:space="preserve">vropskému parlamentu, </w:t>
      </w:r>
      <w:r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>E</w:t>
      </w:r>
      <w:r w:rsidRPr="00A57CB8"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 xml:space="preserve">vropské radě, </w:t>
      </w:r>
      <w:r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>R</w:t>
      </w:r>
      <w:r w:rsidRPr="00A57CB8"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 xml:space="preserve">adě a </w:t>
      </w:r>
      <w:r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>E</w:t>
      </w:r>
      <w:r w:rsidRPr="00A57CB8"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>vropské investiční bance</w:t>
      </w:r>
      <w:r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>:</w:t>
      </w:r>
      <w:r w:rsidRPr="004E2D6E"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 xml:space="preserve"> </w:t>
      </w:r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>Strategie EU pro očkovací látky proti COVID-19</w:t>
      </w:r>
      <w:r w:rsidRPr="004E2D6E"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 xml:space="preserve"> ze</w:t>
      </w:r>
      <w:r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 xml:space="preserve"> </w:t>
      </w:r>
      <w:r w:rsidRPr="004E2D6E"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 xml:space="preserve">17. června 2020, zveřejněnému na oficiálních webových stránkách Evropské unie </w:t>
      </w:r>
      <w:r w:rsidRPr="004E2D6E">
        <w:rPr>
          <w:rFonts w:asciiTheme="minorHAnsi" w:eastAsia="Calibri" w:hAnsiTheme="minorHAnsi" w:cstheme="minorHAnsi"/>
          <w:bCs/>
          <w:color w:val="333333"/>
          <w:sz w:val="20"/>
          <w:szCs w:val="20"/>
          <w:shd w:val="clear" w:color="auto" w:fill="FFFFFF"/>
        </w:rPr>
        <w:t>(</w:t>
      </w:r>
      <w:hyperlink r:id="rId1" w:history="1">
        <w:r w:rsidRPr="004E2D6E">
          <w:rPr>
            <w:rFonts w:asciiTheme="minorHAnsi" w:eastAsia="Calibri" w:hAnsiTheme="minorHAnsi" w:cstheme="minorHAnsi"/>
            <w:color w:val="0563C1" w:themeColor="hyperlink"/>
            <w:sz w:val="20"/>
            <w:szCs w:val="20"/>
            <w:u w:val="single"/>
            <w:shd w:val="clear" w:color="auto" w:fill="FFFFFF"/>
          </w:rPr>
          <w:t xml:space="preserve">COM/2020/245 </w:t>
        </w:r>
        <w:proofErr w:type="spellStart"/>
        <w:r w:rsidRPr="004E2D6E">
          <w:rPr>
            <w:rFonts w:asciiTheme="minorHAnsi" w:eastAsia="Calibri" w:hAnsiTheme="minorHAnsi" w:cstheme="minorHAnsi"/>
            <w:color w:val="0563C1" w:themeColor="hyperlink"/>
            <w:sz w:val="20"/>
            <w:szCs w:val="20"/>
            <w:u w:val="single"/>
            <w:shd w:val="clear" w:color="auto" w:fill="FFFFFF"/>
          </w:rPr>
          <w:t>final</w:t>
        </w:r>
        <w:proofErr w:type="spellEnd"/>
        <w:r w:rsidRPr="004E2D6E">
          <w:rPr>
            <w:rFonts w:asciiTheme="minorHAnsi" w:eastAsia="Calibri" w:hAnsiTheme="minorHAnsi" w:cstheme="minorHAnsi"/>
            <w:sz w:val="20"/>
            <w:szCs w:val="20"/>
            <w:shd w:val="clear" w:color="auto" w:fill="FFFFFF"/>
          </w:rPr>
          <w:t>)</w:t>
        </w:r>
      </w:hyperlink>
      <w:r w:rsidRPr="004E2D6E">
        <w:rPr>
          <w:rFonts w:asciiTheme="minorHAnsi" w:eastAsia="Calibri" w:hAnsiTheme="minorHAnsi" w:cstheme="minorHAnsi"/>
          <w:color w:val="333333"/>
          <w:sz w:val="20"/>
          <w:szCs w:val="20"/>
          <w:shd w:val="clear" w:color="auto" w:fill="FFFFFF"/>
        </w:rPr>
        <w:t xml:space="preserve">, </w:t>
      </w:r>
      <w:r w:rsidRPr="004E2D6E">
        <w:rPr>
          <w:rFonts w:asciiTheme="minorHAnsi" w:eastAsia="Calibri" w:hAnsiTheme="minorHAnsi" w:cstheme="minorHAnsi"/>
          <w:sz w:val="20"/>
          <w:szCs w:val="20"/>
          <w:shd w:val="clear" w:color="auto" w:fill="FFFFFF"/>
        </w:rPr>
        <w:t>je termín „</w:t>
      </w:r>
      <w:proofErr w:type="spellStart"/>
      <w:r w:rsidRPr="004E2D6E">
        <w:rPr>
          <w:rFonts w:asciiTheme="minorHAnsi" w:eastAsia="Calibri" w:hAnsiTheme="minorHAnsi" w:cstheme="minorHAnsi"/>
          <w:sz w:val="20"/>
          <w:szCs w:val="20"/>
        </w:rPr>
        <w:t>Advance</w:t>
      </w:r>
      <w:r>
        <w:rPr>
          <w:rFonts w:asciiTheme="minorHAnsi" w:eastAsia="Calibri" w:hAnsiTheme="minorHAnsi" w:cstheme="minorHAnsi"/>
          <w:sz w:val="20"/>
          <w:szCs w:val="20"/>
        </w:rPr>
        <w:t>d</w:t>
      </w:r>
      <w:proofErr w:type="spellEnd"/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4E2D6E">
        <w:rPr>
          <w:rFonts w:asciiTheme="minorHAnsi" w:eastAsia="Calibri" w:hAnsiTheme="minorHAnsi" w:cstheme="minorHAnsi"/>
          <w:sz w:val="20"/>
          <w:szCs w:val="20"/>
        </w:rPr>
        <w:t>Purchase</w:t>
      </w:r>
      <w:proofErr w:type="spellEnd"/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4E2D6E">
        <w:rPr>
          <w:rFonts w:asciiTheme="minorHAnsi" w:eastAsia="Calibri" w:hAnsiTheme="minorHAnsi" w:cstheme="minorHAnsi"/>
          <w:sz w:val="20"/>
          <w:szCs w:val="20"/>
        </w:rPr>
        <w:t>Agreements</w:t>
      </w:r>
      <w:proofErr w:type="spellEnd"/>
      <w:r w:rsidRPr="004E2D6E">
        <w:rPr>
          <w:rFonts w:asciiTheme="minorHAnsi" w:eastAsia="Calibri" w:hAnsiTheme="minorHAnsi" w:cstheme="minorHAnsi"/>
          <w:sz w:val="20"/>
          <w:szCs w:val="20"/>
        </w:rPr>
        <w:t>“ překládán v oficiálním českém překladu jako „</w:t>
      </w:r>
      <w:r w:rsidRPr="004E2D6E">
        <w:rPr>
          <w:rFonts w:asciiTheme="minorHAnsi" w:eastAsia="Calibri" w:hAnsiTheme="minorHAnsi" w:cstheme="minorHAnsi"/>
          <w:b/>
          <w:sz w:val="20"/>
          <w:szCs w:val="20"/>
        </w:rPr>
        <w:t>záruky předběžného nákupu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“ (bod 2.2. </w:t>
      </w:r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>Záruky předběžného nákupu prostřednictvím nástroje pro mimořádnou podporu</w:t>
      </w:r>
      <w:r w:rsidRPr="004E2D6E"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 xml:space="preserve">, v anglickém jazyce </w:t>
      </w:r>
      <w:proofErr w:type="spellStart"/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>Advance</w:t>
      </w:r>
      <w:proofErr w:type="spellEnd"/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>Purchase</w:t>
      </w:r>
      <w:proofErr w:type="spellEnd"/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>Agreements</w:t>
      </w:r>
      <w:proofErr w:type="spellEnd"/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 xml:space="preserve"> via </w:t>
      </w:r>
      <w:proofErr w:type="spellStart"/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>the</w:t>
      </w:r>
      <w:proofErr w:type="spellEnd"/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>Emergency</w:t>
      </w:r>
      <w:proofErr w:type="spellEnd"/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 xml:space="preserve"> Support Instrument</w:t>
      </w:r>
      <w:r w:rsidRPr="004E2D6E"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>).</w:t>
      </w:r>
    </w:p>
    <w:p w14:paraId="2BF2BEA5" w14:textId="19767AD0" w:rsidR="00517CE0" w:rsidRPr="004E2D6E" w:rsidRDefault="00517CE0" w:rsidP="004E2D6E">
      <w:pPr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Pro informaci: </w:t>
      </w:r>
      <w:r>
        <w:rPr>
          <w:rFonts w:asciiTheme="minorHAnsi" w:eastAsia="Calibri" w:hAnsiTheme="minorHAnsi" w:cstheme="minorHAnsi"/>
          <w:sz w:val="20"/>
          <w:szCs w:val="20"/>
        </w:rPr>
        <w:t>do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slovenské</w:t>
      </w:r>
      <w:r>
        <w:rPr>
          <w:rFonts w:asciiTheme="minorHAnsi" w:eastAsia="Calibri" w:hAnsiTheme="minorHAnsi" w:cstheme="minorHAnsi"/>
          <w:sz w:val="20"/>
          <w:szCs w:val="20"/>
        </w:rPr>
        <w:t>ho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jazy</w:t>
      </w:r>
      <w:r>
        <w:rPr>
          <w:rFonts w:asciiTheme="minorHAnsi" w:eastAsia="Calibri" w:hAnsiTheme="minorHAnsi" w:cstheme="minorHAnsi"/>
          <w:sz w:val="20"/>
          <w:szCs w:val="20"/>
        </w:rPr>
        <w:t>ka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přeloženo jako „</w:t>
      </w:r>
      <w:proofErr w:type="spellStart"/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>Záväzky</w:t>
      </w:r>
      <w:proofErr w:type="spellEnd"/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>predbežného</w:t>
      </w:r>
      <w:proofErr w:type="spellEnd"/>
      <w:r w:rsidRPr="004E2D6E">
        <w:rPr>
          <w:rFonts w:asciiTheme="minorHAnsi" w:eastAsia="Calibri" w:hAnsiTheme="minorHAnsi" w:cstheme="minorHAnsi"/>
          <w:bCs/>
          <w:i/>
          <w:sz w:val="20"/>
          <w:szCs w:val="20"/>
          <w:shd w:val="clear" w:color="auto" w:fill="FFFFFF"/>
        </w:rPr>
        <w:t xml:space="preserve"> nákupu</w:t>
      </w:r>
      <w:r w:rsidRPr="004E2D6E">
        <w:rPr>
          <w:rFonts w:asciiTheme="minorHAnsi" w:eastAsia="Calibri" w:hAnsiTheme="minorHAnsi" w:cstheme="minorHAnsi"/>
          <w:bCs/>
          <w:sz w:val="20"/>
          <w:szCs w:val="20"/>
          <w:shd w:val="clear" w:color="auto" w:fill="FFFFFF"/>
        </w:rPr>
        <w:t>“.</w:t>
      </w:r>
    </w:p>
    <w:p w14:paraId="1A8893CA" w14:textId="242F1F41" w:rsidR="00517CE0" w:rsidRPr="004E2D6E" w:rsidRDefault="00517CE0" w:rsidP="004E2D6E">
      <w:pPr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E2D6E">
        <w:rPr>
          <w:rFonts w:asciiTheme="minorHAnsi" w:eastAsia="Calibri" w:hAnsiTheme="minorHAnsi" w:cstheme="minorHAnsi"/>
          <w:b/>
          <w:bCs/>
          <w:sz w:val="20"/>
          <w:szCs w:val="20"/>
          <w:shd w:val="clear" w:color="auto" w:fill="FFFFFF"/>
        </w:rPr>
        <w:t>Ad C)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Na webových stránkách Evropské komise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1C22AD">
        <w:rPr>
          <w:rFonts w:asciiTheme="minorHAnsi" w:eastAsia="Calibri" w:hAnsiTheme="minorHAnsi" w:cstheme="minorHAnsi"/>
          <w:sz w:val="20"/>
          <w:szCs w:val="20"/>
        </w:rPr>
        <w:t>(jež jsou k dispozici v oficiálních jazycích EU)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v části </w:t>
      </w:r>
      <w:hyperlink r:id="rId2" w:history="1">
        <w:r w:rsidRPr="004E2D6E">
          <w:rPr>
            <w:rFonts w:asciiTheme="minorHAnsi" w:eastAsia="Calibri" w:hAnsiTheme="minorHAnsi" w:cstheme="minorHAnsi"/>
            <w:i/>
            <w:color w:val="0563C1" w:themeColor="hyperlink"/>
            <w:sz w:val="20"/>
            <w:szCs w:val="20"/>
            <w:u w:val="single"/>
          </w:rPr>
          <w:t>Časté otázky týkající se očkování proti covidu-19 v EU</w:t>
        </w:r>
      </w:hyperlink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je termín „</w:t>
      </w:r>
      <w:proofErr w:type="spellStart"/>
      <w:r w:rsidRPr="004E2D6E">
        <w:rPr>
          <w:rFonts w:asciiTheme="minorHAnsi" w:eastAsia="Calibri" w:hAnsiTheme="minorHAnsi" w:cstheme="minorHAnsi"/>
          <w:sz w:val="20"/>
          <w:szCs w:val="20"/>
        </w:rPr>
        <w:t>Advance</w:t>
      </w:r>
      <w:r>
        <w:rPr>
          <w:rFonts w:asciiTheme="minorHAnsi" w:eastAsia="Calibri" w:hAnsiTheme="minorHAnsi" w:cstheme="minorHAnsi"/>
          <w:sz w:val="20"/>
          <w:szCs w:val="20"/>
        </w:rPr>
        <w:t>d</w:t>
      </w:r>
      <w:proofErr w:type="spellEnd"/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4E2D6E">
        <w:rPr>
          <w:rFonts w:asciiTheme="minorHAnsi" w:eastAsia="Calibri" w:hAnsiTheme="minorHAnsi" w:cstheme="minorHAnsi"/>
          <w:sz w:val="20"/>
          <w:szCs w:val="20"/>
        </w:rPr>
        <w:t>Purchase</w:t>
      </w:r>
      <w:proofErr w:type="spellEnd"/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4E2D6E">
        <w:rPr>
          <w:rFonts w:asciiTheme="minorHAnsi" w:eastAsia="Calibri" w:hAnsiTheme="minorHAnsi" w:cstheme="minorHAnsi"/>
          <w:sz w:val="20"/>
          <w:szCs w:val="20"/>
        </w:rPr>
        <w:t>Agreements</w:t>
      </w:r>
      <w:proofErr w:type="spellEnd"/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“ překládán </w:t>
      </w:r>
      <w:r>
        <w:rPr>
          <w:rFonts w:asciiTheme="minorHAnsi" w:eastAsia="Calibri" w:hAnsiTheme="minorHAnsi" w:cstheme="minorHAnsi"/>
          <w:sz w:val="20"/>
          <w:szCs w:val="20"/>
        </w:rPr>
        <w:t xml:space="preserve">do </w:t>
      </w:r>
      <w:r w:rsidRPr="004E2D6E">
        <w:rPr>
          <w:rFonts w:asciiTheme="minorHAnsi" w:eastAsia="Calibri" w:hAnsiTheme="minorHAnsi" w:cstheme="minorHAnsi"/>
          <w:sz w:val="20"/>
          <w:szCs w:val="20"/>
        </w:rPr>
        <w:t>české</w:t>
      </w:r>
      <w:r>
        <w:rPr>
          <w:rFonts w:asciiTheme="minorHAnsi" w:eastAsia="Calibri" w:hAnsiTheme="minorHAnsi" w:cstheme="minorHAnsi"/>
          <w:sz w:val="20"/>
          <w:szCs w:val="20"/>
        </w:rPr>
        <w:t>ho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jazy</w:t>
      </w:r>
      <w:r>
        <w:rPr>
          <w:rFonts w:asciiTheme="minorHAnsi" w:eastAsia="Calibri" w:hAnsiTheme="minorHAnsi" w:cstheme="minorHAnsi"/>
          <w:sz w:val="20"/>
          <w:szCs w:val="20"/>
        </w:rPr>
        <w:t>ka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 jako „</w:t>
      </w:r>
      <w:r w:rsidRPr="004E2D6E">
        <w:rPr>
          <w:rFonts w:asciiTheme="minorHAnsi" w:eastAsia="Calibri" w:hAnsiTheme="minorHAnsi" w:cstheme="minorHAnsi"/>
          <w:b/>
          <w:sz w:val="20"/>
          <w:szCs w:val="20"/>
        </w:rPr>
        <w:t>předběžná dohoda o nákupu</w:t>
      </w:r>
      <w:r w:rsidRPr="004E2D6E">
        <w:rPr>
          <w:rFonts w:asciiTheme="minorHAnsi" w:eastAsia="Calibri" w:hAnsiTheme="minorHAnsi" w:cstheme="minorHAnsi"/>
          <w:sz w:val="20"/>
          <w:szCs w:val="20"/>
        </w:rPr>
        <w:t xml:space="preserve">“ (část </w:t>
      </w:r>
      <w:r w:rsidRPr="004E2D6E">
        <w:rPr>
          <w:rFonts w:asciiTheme="minorHAnsi" w:eastAsia="Calibri" w:hAnsiTheme="minorHAnsi" w:cstheme="minorHAnsi"/>
          <w:i/>
          <w:sz w:val="20"/>
          <w:szCs w:val="20"/>
        </w:rPr>
        <w:t>Vyjednávání nákupu očkovacích látek</w:t>
      </w:r>
      <w:r w:rsidRPr="004E2D6E">
        <w:rPr>
          <w:rFonts w:asciiTheme="minorHAnsi" w:eastAsia="Calibri" w:hAnsiTheme="minorHAnsi" w:cstheme="minorHAnsi"/>
          <w:sz w:val="20"/>
          <w:szCs w:val="20"/>
        </w:rPr>
        <w:t>, otázka č. 3).</w:t>
      </w:r>
    </w:p>
    <w:p w14:paraId="049A752E" w14:textId="1C63B692" w:rsidR="00517CE0" w:rsidRPr="004E2D6E" w:rsidRDefault="00517CE0" w:rsidP="004E2D6E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E2D6E">
        <w:rPr>
          <w:rFonts w:asciiTheme="minorHAnsi" w:eastAsia="Calibri" w:hAnsiTheme="minorHAnsi" w:cstheme="minorHAnsi"/>
          <w:b/>
          <w:sz w:val="20"/>
          <w:szCs w:val="20"/>
        </w:rPr>
        <w:t xml:space="preserve">NKÚ se 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u termínu </w:t>
      </w:r>
      <w:r w:rsidRPr="004E2D6E">
        <w:rPr>
          <w:rFonts w:asciiTheme="minorHAnsi" w:eastAsia="Calibri" w:hAnsiTheme="minorHAnsi" w:cstheme="minorHAnsi"/>
          <w:b/>
          <w:sz w:val="20"/>
          <w:szCs w:val="20"/>
        </w:rPr>
        <w:t>„</w:t>
      </w:r>
      <w:proofErr w:type="spellStart"/>
      <w:r w:rsidRPr="004E2D6E">
        <w:rPr>
          <w:rFonts w:asciiTheme="minorHAnsi" w:eastAsia="Calibri" w:hAnsiTheme="minorHAnsi" w:cstheme="minorHAnsi"/>
          <w:b/>
          <w:sz w:val="20"/>
          <w:szCs w:val="20"/>
        </w:rPr>
        <w:t>Advance</w:t>
      </w:r>
      <w:proofErr w:type="spellEnd"/>
      <w:r w:rsidRPr="004E2D6E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proofErr w:type="spellStart"/>
      <w:r w:rsidRPr="004E2D6E">
        <w:rPr>
          <w:rFonts w:asciiTheme="minorHAnsi" w:eastAsia="Calibri" w:hAnsiTheme="minorHAnsi" w:cstheme="minorHAnsi"/>
          <w:b/>
          <w:sz w:val="20"/>
          <w:szCs w:val="20"/>
        </w:rPr>
        <w:t>Purchase</w:t>
      </w:r>
      <w:proofErr w:type="spellEnd"/>
      <w:r w:rsidRPr="004E2D6E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proofErr w:type="spellStart"/>
      <w:r w:rsidRPr="004E2D6E">
        <w:rPr>
          <w:rFonts w:asciiTheme="minorHAnsi" w:eastAsia="Calibri" w:hAnsiTheme="minorHAnsi" w:cstheme="minorHAnsi"/>
          <w:b/>
          <w:sz w:val="20"/>
          <w:szCs w:val="20"/>
        </w:rPr>
        <w:t>Agreement</w:t>
      </w:r>
      <w:proofErr w:type="spellEnd"/>
      <w:r w:rsidRPr="004E2D6E">
        <w:rPr>
          <w:rFonts w:asciiTheme="minorHAnsi" w:eastAsia="Calibri" w:hAnsiTheme="minorHAnsi" w:cstheme="minorHAnsi"/>
          <w:b/>
          <w:sz w:val="20"/>
          <w:szCs w:val="20"/>
        </w:rPr>
        <w:t xml:space="preserve">“ </w:t>
      </w:r>
      <w:r w:rsidRPr="0013509F">
        <w:rPr>
          <w:rFonts w:asciiTheme="minorHAnsi" w:eastAsia="Calibri" w:hAnsiTheme="minorHAnsi" w:cstheme="minorHAnsi"/>
          <w:b/>
          <w:sz w:val="20"/>
          <w:szCs w:val="20"/>
        </w:rPr>
        <w:t>přiklání k překladu</w:t>
      </w:r>
      <w:r w:rsidRPr="004E2D6E">
        <w:rPr>
          <w:rFonts w:asciiTheme="minorHAnsi" w:eastAsia="Calibri" w:hAnsiTheme="minorHAnsi" w:cstheme="minorHAnsi"/>
          <w:b/>
          <w:sz w:val="20"/>
          <w:szCs w:val="20"/>
        </w:rPr>
        <w:t xml:space="preserve"> „předběžná dohoda o nákupu“, neboť na ni nenavazuje uzavření další smlouvy jako u běžně chápané „smlouvy o smlouvě budoucí“ a tato dohoda fakticky představuje podmínky kupní smlouvy závazné i pro ČR.</w:t>
      </w:r>
    </w:p>
  </w:footnote>
  <w:footnote w:id="37">
    <w:p w14:paraId="348E17CD" w14:textId="341B10C0" w:rsidR="00517CE0" w:rsidRPr="004E2D6E" w:rsidRDefault="00517CE0" w:rsidP="004E2D6E">
      <w:pPr>
        <w:pStyle w:val="Textpoznpodarou"/>
        <w:ind w:left="284" w:hanging="284"/>
        <w:rPr>
          <w:rFonts w:asciiTheme="minorHAnsi" w:hAnsiTheme="minorHAnsi" w:cstheme="minorHAnsi"/>
        </w:rPr>
      </w:pPr>
      <w:r w:rsidRPr="004E2D6E">
        <w:rPr>
          <w:rStyle w:val="Znakapoznpodarou"/>
          <w:rFonts w:asciiTheme="minorHAnsi" w:hAnsiTheme="minorHAnsi" w:cstheme="minorHAnsi"/>
        </w:rPr>
        <w:footnoteRef/>
      </w:r>
      <w:r w:rsidRPr="004E2D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E2D6E">
        <w:rPr>
          <w:rFonts w:asciiTheme="minorHAnsi" w:hAnsiTheme="minorHAnsi" w:cstheme="minorHAnsi"/>
        </w:rPr>
        <w:t>Česká republika je zemí, které se APA týká, tj. Česká republika k APA přistoupila.</w:t>
      </w:r>
    </w:p>
  </w:footnote>
  <w:footnote w:id="38">
    <w:p w14:paraId="4A33EA80" w14:textId="0D5E5C90" w:rsidR="00517CE0" w:rsidRPr="004E2D6E" w:rsidRDefault="00517CE0" w:rsidP="004E2D6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Style w:val="Znakapoznpodarou"/>
          <w:rFonts w:asciiTheme="minorHAnsi" w:hAnsiTheme="minorHAnsi" w:cstheme="minorHAnsi"/>
        </w:rPr>
        <w:footnoteRef/>
      </w:r>
      <w:r w:rsidRPr="004E2D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E2D6E">
        <w:rPr>
          <w:rFonts w:asciiTheme="minorHAnsi" w:hAnsiTheme="minorHAnsi" w:cstheme="minorHAnsi"/>
        </w:rPr>
        <w:t>V případě některých předběžných dohod o nákupu je uvedeno: „</w:t>
      </w:r>
      <w:r w:rsidRPr="004E2D6E">
        <w:rPr>
          <w:rFonts w:asciiTheme="minorHAnsi" w:hAnsiTheme="minorHAnsi" w:cstheme="minorHAnsi"/>
          <w:i/>
        </w:rPr>
        <w:t>s výjimkou ustanovení o kolizi právních norem</w:t>
      </w:r>
      <w:r w:rsidRPr="004E2D6E">
        <w:rPr>
          <w:rFonts w:asciiTheme="minorHAnsi" w:hAnsiTheme="minorHAnsi" w:cstheme="minorHAnsi"/>
        </w:rPr>
        <w:t>.“</w:t>
      </w:r>
    </w:p>
  </w:footnote>
  <w:footnote w:id="39">
    <w:p w14:paraId="44B81C96" w14:textId="5C205A1F" w:rsidR="00517CE0" w:rsidRPr="004E2D6E" w:rsidRDefault="00517CE0" w:rsidP="00D554C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Style w:val="Znakapoznpodarou"/>
          <w:rFonts w:asciiTheme="minorHAnsi" w:hAnsiTheme="minorHAnsi" w:cstheme="minorHAnsi"/>
        </w:rPr>
        <w:footnoteRef/>
      </w:r>
      <w:r w:rsidRPr="004E2D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E2D6E">
        <w:rPr>
          <w:rFonts w:asciiTheme="minorHAnsi" w:hAnsiTheme="minorHAnsi" w:cstheme="minorHAnsi"/>
        </w:rPr>
        <w:t xml:space="preserve">Tento postup je dle materiálu pro jednání vlády </w:t>
      </w:r>
      <w:r>
        <w:rPr>
          <w:rFonts w:asciiTheme="minorHAnsi" w:hAnsiTheme="minorHAnsi" w:cstheme="minorHAnsi"/>
        </w:rPr>
        <w:t>č</w:t>
      </w:r>
      <w:r w:rsidRPr="004E2D6E">
        <w:rPr>
          <w:rFonts w:asciiTheme="minorHAnsi" w:hAnsiTheme="minorHAnsi" w:cstheme="minorHAnsi"/>
        </w:rPr>
        <w:t>j. 33923/2020-1/MEZ v souladu s nařízením o mimořádné podpoře, s finančním nařízením a s </w:t>
      </w:r>
      <w:r>
        <w:rPr>
          <w:rFonts w:asciiTheme="minorHAnsi" w:hAnsiTheme="minorHAnsi" w:cstheme="minorHAnsi"/>
        </w:rPr>
        <w:t>unijními</w:t>
      </w:r>
      <w:r w:rsidRPr="004E2D6E">
        <w:rPr>
          <w:rFonts w:asciiTheme="minorHAnsi" w:hAnsiTheme="minorHAnsi" w:cstheme="minorHAnsi"/>
        </w:rPr>
        <w:t xml:space="preserve"> směrnicemi o zadávání veřejných zakázek. Zúčastněné členské státy mohou postup řízený Komisí využít k přímému nákupu vakcín od výrobců. Lze tedy aplikovat výjimku podle § 29 písm. f) zákona </w:t>
      </w:r>
      <w:r>
        <w:rPr>
          <w:rFonts w:asciiTheme="minorHAnsi" w:hAnsiTheme="minorHAnsi" w:cstheme="minorHAnsi"/>
        </w:rPr>
        <w:t xml:space="preserve">č. </w:t>
      </w:r>
      <w:r w:rsidRPr="004E2D6E">
        <w:rPr>
          <w:rFonts w:asciiTheme="minorHAnsi" w:hAnsiTheme="minorHAnsi" w:cstheme="minorHAnsi"/>
        </w:rPr>
        <w:t>134/2016 Sb., a to sice, že: „</w:t>
      </w:r>
      <w:r w:rsidRPr="004E2D6E">
        <w:rPr>
          <w:rFonts w:asciiTheme="minorHAnsi" w:hAnsiTheme="minorHAnsi" w:cstheme="minorHAnsi"/>
          <w:i/>
        </w:rPr>
        <w:t>Zadavatel není povinen zadat veřejnou zakázku v zadávacím říz</w:t>
      </w:r>
      <w:r>
        <w:rPr>
          <w:rFonts w:asciiTheme="minorHAnsi" w:hAnsiTheme="minorHAnsi" w:cstheme="minorHAnsi"/>
          <w:i/>
        </w:rPr>
        <w:t>e</w:t>
      </w:r>
      <w:r w:rsidRPr="004E2D6E">
        <w:rPr>
          <w:rFonts w:asciiTheme="minorHAnsi" w:hAnsiTheme="minorHAnsi" w:cstheme="minorHAnsi"/>
          <w:i/>
        </w:rPr>
        <w:t>ní, je-li zadávána podle závazných pravidel mezinárodní organizace.</w:t>
      </w:r>
      <w:r w:rsidRPr="004E2D6E">
        <w:rPr>
          <w:rFonts w:asciiTheme="minorHAnsi" w:hAnsiTheme="minorHAnsi" w:cstheme="minorHAnsi"/>
        </w:rPr>
        <w:t>“</w:t>
      </w:r>
    </w:p>
  </w:footnote>
  <w:footnote w:id="40">
    <w:p w14:paraId="662D6DD2" w14:textId="354F9CA6" w:rsidR="00517CE0" w:rsidRPr="004E2D6E" w:rsidRDefault="00517CE0" w:rsidP="00D554C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Style w:val="Znakapoznpodarou"/>
          <w:rFonts w:asciiTheme="minorHAnsi" w:hAnsiTheme="minorHAnsi" w:cstheme="minorHAnsi"/>
        </w:rPr>
        <w:footnoteRef/>
      </w:r>
      <w:r w:rsidRPr="004E2D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E2D6E">
        <w:rPr>
          <w:rFonts w:asciiTheme="minorHAnsi" w:hAnsiTheme="minorHAnsi" w:cstheme="minorHAnsi"/>
        </w:rPr>
        <w:t>Webové stránky Komise uvád</w:t>
      </w:r>
      <w:r>
        <w:rPr>
          <w:rFonts w:asciiTheme="minorHAnsi" w:hAnsiTheme="minorHAnsi" w:cstheme="minorHAnsi"/>
        </w:rPr>
        <w:t>ěj</w:t>
      </w:r>
      <w:r w:rsidRPr="004E2D6E">
        <w:rPr>
          <w:rFonts w:asciiTheme="minorHAnsi" w:hAnsiTheme="minorHAnsi" w:cstheme="minorHAnsi"/>
        </w:rPr>
        <w:t>í: „</w:t>
      </w:r>
      <w:r w:rsidRPr="004E2D6E">
        <w:rPr>
          <w:rFonts w:asciiTheme="minorHAnsi" w:hAnsiTheme="minorHAnsi" w:cstheme="minorHAnsi"/>
          <w:i/>
        </w:rPr>
        <w:t>… Komise uvolnila finanční prostředky na zvýšení výrobní kapacity dodavatelů, s nimiž podepsala předběžnou dohodu o nákupu. Z nástroje pro mimořádnou podporu byly již vyčleněny více než dvě miliardy eur. Členské státy se dohodly, že přispějí dalšími 750 miliony eur</w:t>
      </w:r>
      <w:r>
        <w:rPr>
          <w:rFonts w:asciiTheme="minorHAnsi" w:hAnsiTheme="minorHAnsi" w:cstheme="minorHAnsi"/>
          <w:i/>
        </w:rPr>
        <w:t>…</w:t>
      </w:r>
      <w:r w:rsidRPr="004E2D6E">
        <w:rPr>
          <w:rFonts w:asciiTheme="minorHAnsi" w:hAnsiTheme="minorHAnsi" w:cstheme="minorHAnsi"/>
        </w:rPr>
        <w:t xml:space="preserve">“ </w:t>
      </w:r>
      <w:proofErr w:type="spellStart"/>
      <w:r w:rsidRPr="004E2D6E">
        <w:rPr>
          <w:rFonts w:asciiTheme="minorHAnsi" w:hAnsiTheme="minorHAnsi" w:cstheme="minorHAnsi"/>
        </w:rPr>
        <w:t>MZd</w:t>
      </w:r>
      <w:proofErr w:type="spellEnd"/>
      <w:r w:rsidRPr="004E2D6E">
        <w:rPr>
          <w:rFonts w:asciiTheme="minorHAnsi" w:hAnsiTheme="minorHAnsi" w:cstheme="minorHAnsi"/>
        </w:rPr>
        <w:t xml:space="preserve"> sdělilo: „</w:t>
      </w:r>
      <w:r w:rsidRPr="004E2D6E">
        <w:rPr>
          <w:rFonts w:asciiTheme="minorHAnsi" w:hAnsiTheme="minorHAnsi" w:cstheme="minorHAnsi"/>
          <w:i/>
        </w:rPr>
        <w:t>Příspěvek ESI byl využit dle výše uvedeného Rozhodnutí Komise. S ohledem na tlak států k rozšíření portfolia výrobců, se kterými Komise vyjednávala, bylo nutné navýšit i financování ESI. Příspěvek ČR do ESI byl proveden Ministerstvem financí, a to na základě usnesení vlády č. 929 ze dne 14. září 2020.</w:t>
      </w:r>
      <w:r w:rsidRPr="004E2D6E">
        <w:rPr>
          <w:rFonts w:asciiTheme="minorHAnsi" w:hAnsiTheme="minorHAnsi" w:cstheme="minorHAnsi"/>
        </w:rPr>
        <w:t>“</w:t>
      </w:r>
    </w:p>
  </w:footnote>
  <w:footnote w:id="41">
    <w:p w14:paraId="77DB0E7E" w14:textId="4A3958CE" w:rsidR="00517CE0" w:rsidRPr="00D554C8" w:rsidRDefault="00517CE0" w:rsidP="00D554C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E2D6E">
        <w:rPr>
          <w:rStyle w:val="Znakapoznpodarou"/>
          <w:rFonts w:asciiTheme="minorHAnsi" w:hAnsiTheme="minorHAnsi" w:cstheme="minorHAnsi"/>
        </w:rPr>
        <w:footnoteRef/>
      </w:r>
      <w:r w:rsidRPr="004E2D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E2D6E">
        <w:rPr>
          <w:rFonts w:asciiTheme="minorHAnsi" w:hAnsiTheme="minorHAnsi" w:cstheme="minorHAnsi"/>
        </w:rPr>
        <w:t xml:space="preserve">Částku ve výši 390 206 622,73 Kč poskytlo </w:t>
      </w:r>
      <w:proofErr w:type="spellStart"/>
      <w:r w:rsidRPr="004E2D6E">
        <w:rPr>
          <w:rFonts w:asciiTheme="minorHAnsi" w:hAnsiTheme="minorHAnsi" w:cstheme="minorHAnsi"/>
        </w:rPr>
        <w:t>MZd</w:t>
      </w:r>
      <w:proofErr w:type="spellEnd"/>
      <w:r w:rsidRPr="004E2D6E">
        <w:rPr>
          <w:rFonts w:asciiTheme="minorHAnsi" w:hAnsiTheme="minorHAnsi" w:cstheme="minorHAnsi"/>
        </w:rPr>
        <w:t xml:space="preserve"> zálohově předem v případě vakcíny </w:t>
      </w:r>
      <w:r>
        <w:rPr>
          <w:rFonts w:asciiTheme="minorHAnsi" w:hAnsiTheme="minorHAnsi" w:cstheme="minorHAnsi"/>
        </w:rPr>
        <w:t xml:space="preserve">firmy </w:t>
      </w:r>
      <w:r w:rsidRPr="004E2D6E">
        <w:rPr>
          <w:rFonts w:asciiTheme="minorHAnsi" w:hAnsiTheme="minorHAnsi" w:cstheme="minorHAnsi"/>
        </w:rPr>
        <w:t xml:space="preserve">Moderna na „Marketing </w:t>
      </w:r>
      <w:proofErr w:type="spellStart"/>
      <w:r w:rsidRPr="004E2D6E">
        <w:rPr>
          <w:rFonts w:asciiTheme="minorHAnsi" w:hAnsiTheme="minorHAnsi" w:cstheme="minorHAnsi"/>
        </w:rPr>
        <w:t>authorization</w:t>
      </w:r>
      <w:proofErr w:type="spellEnd"/>
      <w:r w:rsidRPr="004E2D6E">
        <w:rPr>
          <w:rFonts w:asciiTheme="minorHAnsi" w:hAnsiTheme="minorHAnsi" w:cstheme="minorHAnsi"/>
        </w:rPr>
        <w:t xml:space="preserve"> </w:t>
      </w:r>
      <w:proofErr w:type="spellStart"/>
      <w:r w:rsidRPr="004E2D6E">
        <w:rPr>
          <w:rFonts w:asciiTheme="minorHAnsi" w:hAnsiTheme="minorHAnsi" w:cstheme="minorHAnsi"/>
        </w:rPr>
        <w:t>payment</w:t>
      </w:r>
      <w:proofErr w:type="spellEnd"/>
      <w:r w:rsidRPr="004E2D6E">
        <w:rPr>
          <w:rFonts w:asciiTheme="minorHAnsi" w:hAnsiTheme="minorHAnsi" w:cstheme="minorHAnsi"/>
        </w:rPr>
        <w:t>“, tato částka je průběžně odečítána od následných fakturací.</w:t>
      </w:r>
    </w:p>
  </w:footnote>
  <w:footnote w:id="42">
    <w:p w14:paraId="29C7E59F" w14:textId="1510C223" w:rsidR="00517CE0" w:rsidRPr="004E2D6E" w:rsidRDefault="00517CE0" w:rsidP="004E2D6E">
      <w:pPr>
        <w:pStyle w:val="Textpoznpodarou"/>
        <w:ind w:left="284" w:hanging="284"/>
        <w:rPr>
          <w:rFonts w:ascii="Calibri" w:hAnsi="Calibri" w:cs="Calibri"/>
        </w:rPr>
      </w:pPr>
      <w:r w:rsidRPr="004E2D6E">
        <w:rPr>
          <w:rStyle w:val="Znakapoznpodarou"/>
          <w:rFonts w:ascii="Calibri" w:hAnsi="Calibri" w:cs="Calibri"/>
        </w:rPr>
        <w:footnoteRef/>
      </w:r>
      <w:r w:rsidRPr="004E2D6E">
        <w:rPr>
          <w:rFonts w:ascii="Calibri" w:hAnsi="Calibri" w:cs="Calibri"/>
        </w:rPr>
        <w:t xml:space="preserve"> </w:t>
      </w:r>
      <w:r w:rsidRPr="004E2D6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Viz </w:t>
      </w:r>
      <w:hyperlink r:id="rId3" w:anchor="documents" w:history="1">
        <w:r w:rsidRPr="004E2D6E">
          <w:rPr>
            <w:rStyle w:val="Hypertextovodkaz"/>
            <w:rFonts w:ascii="Calibri" w:hAnsi="Calibri" w:cs="Calibri"/>
          </w:rPr>
          <w:t>https://ec.europa.eu/info/live-work-travel-eu/coronavirus-response/public-health/eu-vaccines-strategy_cs#documents</w:t>
        </w:r>
      </w:hyperlink>
      <w:r w:rsidRPr="004E2D6E">
        <w:rPr>
          <w:rStyle w:val="Hypertextovodkaz"/>
          <w:rFonts w:ascii="Calibri" w:hAnsi="Calibri" w:cs="Calibri"/>
          <w:color w:val="auto"/>
          <w:u w:val="none"/>
        </w:rPr>
        <w:t>.</w:t>
      </w:r>
    </w:p>
  </w:footnote>
  <w:footnote w:id="43">
    <w:p w14:paraId="74C0C353" w14:textId="0493D63A" w:rsidR="00517CE0" w:rsidRPr="004E2D6E" w:rsidRDefault="00517CE0" w:rsidP="00D554C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E2D6E">
        <w:rPr>
          <w:rStyle w:val="Znakapoznpodarou"/>
          <w:rFonts w:ascii="Calibri" w:hAnsi="Calibri" w:cs="Calibri"/>
        </w:rPr>
        <w:footnoteRef/>
      </w:r>
      <w:r w:rsidRPr="004E2D6E">
        <w:rPr>
          <w:rFonts w:ascii="Calibri" w:hAnsi="Calibri" w:cs="Calibri"/>
        </w:rPr>
        <w:t xml:space="preserve"> </w:t>
      </w:r>
      <w:r w:rsidRPr="004E2D6E">
        <w:rPr>
          <w:rFonts w:ascii="Calibri" w:hAnsi="Calibri" w:cs="Calibri"/>
        </w:rPr>
        <w:tab/>
      </w:r>
      <w:proofErr w:type="spellStart"/>
      <w:r w:rsidRPr="004E2D6E">
        <w:rPr>
          <w:rFonts w:ascii="Calibri" w:hAnsi="Calibri" w:cs="Calibri"/>
        </w:rPr>
        <w:t>MZd</w:t>
      </w:r>
      <w:proofErr w:type="spellEnd"/>
      <w:r w:rsidRPr="004E2D6E">
        <w:rPr>
          <w:rFonts w:ascii="Calibri" w:hAnsi="Calibri" w:cs="Calibri"/>
        </w:rPr>
        <w:t xml:space="preserve"> nezveřejňuje APA a</w:t>
      </w:r>
      <w:r>
        <w:rPr>
          <w:rFonts w:ascii="Calibri" w:hAnsi="Calibri" w:cs="Calibri"/>
        </w:rPr>
        <w:t>ni</w:t>
      </w:r>
      <w:r w:rsidRPr="004E2D6E">
        <w:rPr>
          <w:rFonts w:ascii="Calibri" w:hAnsi="Calibri" w:cs="Calibri"/>
        </w:rPr>
        <w:t xml:space="preserve"> PA v registru smluv, a to s odkazem na § 11 odst. 1 písm. c) zákona č. 106/1999 Sb. Dle </w:t>
      </w:r>
      <w:proofErr w:type="spellStart"/>
      <w:r w:rsidRPr="004E2D6E">
        <w:rPr>
          <w:rFonts w:ascii="Calibri" w:hAnsi="Calibri" w:cs="Calibri"/>
        </w:rPr>
        <w:t>MZd</w:t>
      </w:r>
      <w:proofErr w:type="spellEnd"/>
      <w:r w:rsidRPr="004E2D6E">
        <w:rPr>
          <w:rFonts w:ascii="Calibri" w:hAnsi="Calibri" w:cs="Calibri"/>
        </w:rPr>
        <w:t xml:space="preserve"> se jedná o informace poskytnuté Evropskou unií, jež nedala k poskytnutí souhlas ve smyslu čl. 4 </w:t>
      </w:r>
      <w:r>
        <w:rPr>
          <w:rFonts w:ascii="Calibri" w:hAnsi="Calibri" w:cs="Calibri"/>
        </w:rPr>
        <w:t>n</w:t>
      </w:r>
      <w:r w:rsidRPr="004E2D6E">
        <w:rPr>
          <w:rFonts w:ascii="Calibri" w:hAnsi="Calibri" w:cs="Calibri"/>
        </w:rPr>
        <w:t>ařízení Evropského parlamentu a Rady (ES) č. 1049/2001 ze dne 30. května 2001</w:t>
      </w:r>
      <w:r>
        <w:rPr>
          <w:rFonts w:ascii="Calibri" w:hAnsi="Calibri" w:cs="Calibri"/>
        </w:rPr>
        <w:t>,</w:t>
      </w:r>
      <w:r w:rsidRPr="004E2D6E">
        <w:rPr>
          <w:rFonts w:ascii="Calibri" w:hAnsi="Calibri" w:cs="Calibri"/>
        </w:rPr>
        <w:t xml:space="preserve"> o přístupu veřejnosti k dokumentům Evropského parlamentu, Rady a Komise. Viz také odpověď </w:t>
      </w:r>
      <w:proofErr w:type="spellStart"/>
      <w:r w:rsidRPr="004E2D6E">
        <w:rPr>
          <w:rFonts w:ascii="Calibri" w:hAnsi="Calibri" w:cs="Calibri"/>
        </w:rPr>
        <w:t>MZd</w:t>
      </w:r>
      <w:proofErr w:type="spellEnd"/>
      <w:r w:rsidRPr="004E2D6E">
        <w:rPr>
          <w:rFonts w:ascii="Calibri" w:hAnsi="Calibri" w:cs="Calibri"/>
        </w:rPr>
        <w:t xml:space="preserve"> na žádost o informaci dle zákona č. 106/1999 Sb. zveřejněná na web. stránkách </w:t>
      </w:r>
      <w:proofErr w:type="spellStart"/>
      <w:r w:rsidRPr="004E2D6E">
        <w:rPr>
          <w:rFonts w:ascii="Calibri" w:hAnsi="Calibri" w:cs="Calibri"/>
        </w:rPr>
        <w:t>MZd</w:t>
      </w:r>
      <w:proofErr w:type="spellEnd"/>
      <w:r w:rsidRPr="004E2D6E">
        <w:rPr>
          <w:rFonts w:ascii="Calibri" w:hAnsi="Calibri" w:cs="Calibri"/>
        </w:rPr>
        <w:t xml:space="preserve">: </w:t>
      </w:r>
      <w:hyperlink r:id="rId4" w:history="1">
        <w:r w:rsidRPr="004E2D6E">
          <w:rPr>
            <w:rStyle w:val="Hypertextovodkaz"/>
            <w:rFonts w:ascii="Calibri" w:hAnsi="Calibri" w:cs="Calibri"/>
          </w:rPr>
          <w:t>https://www.mzcr.cz/zadost-o-informace-ze-dne-9-3-2022/</w:t>
        </w:r>
      </w:hyperlink>
      <w:r w:rsidRPr="004E2D6E">
        <w:rPr>
          <w:rStyle w:val="Hypertextovodkaz"/>
          <w:rFonts w:ascii="Calibri" w:hAnsi="Calibri" w:cs="Calibri"/>
          <w:color w:val="auto"/>
          <w:u w:val="none"/>
        </w:rPr>
        <w:t>.</w:t>
      </w:r>
    </w:p>
  </w:footnote>
  <w:footnote w:id="44">
    <w:p w14:paraId="22123AB2" w14:textId="179871AF" w:rsidR="00517CE0" w:rsidRPr="00D6697C" w:rsidRDefault="00517CE0" w:rsidP="00D6697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D6697C">
        <w:rPr>
          <w:rStyle w:val="Znakapoznpodarou"/>
          <w:rFonts w:ascii="Calibri" w:hAnsi="Calibri" w:cs="Calibri"/>
        </w:rPr>
        <w:footnoteRef/>
      </w:r>
      <w:r w:rsidRPr="00D669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D6697C">
        <w:rPr>
          <w:rFonts w:ascii="Calibri" w:hAnsi="Calibri" w:cs="Calibri"/>
        </w:rPr>
        <w:t xml:space="preserve">COVAX, celým názvem Covid-19 </w:t>
      </w:r>
      <w:proofErr w:type="spellStart"/>
      <w:r w:rsidRPr="00D6697C">
        <w:rPr>
          <w:rFonts w:ascii="Calibri" w:hAnsi="Calibri" w:cs="Calibri"/>
        </w:rPr>
        <w:t>Vaccines</w:t>
      </w:r>
      <w:proofErr w:type="spellEnd"/>
      <w:r w:rsidRPr="00D6697C">
        <w:rPr>
          <w:rFonts w:ascii="Calibri" w:hAnsi="Calibri" w:cs="Calibri"/>
        </w:rPr>
        <w:t xml:space="preserve"> </w:t>
      </w:r>
      <w:proofErr w:type="spellStart"/>
      <w:r w:rsidRPr="00D6697C">
        <w:rPr>
          <w:rFonts w:ascii="Calibri" w:hAnsi="Calibri" w:cs="Calibri"/>
        </w:rPr>
        <w:t>Global</w:t>
      </w:r>
      <w:proofErr w:type="spellEnd"/>
      <w:r w:rsidRPr="00D6697C">
        <w:rPr>
          <w:rFonts w:ascii="Calibri" w:hAnsi="Calibri" w:cs="Calibri"/>
        </w:rPr>
        <w:t xml:space="preserve"> Access, je mezinárodní iniciativa usilující o větší dostupnost vakcín proti </w:t>
      </w:r>
      <w:r>
        <w:rPr>
          <w:rFonts w:ascii="Calibri" w:hAnsi="Calibri" w:cs="Calibri"/>
        </w:rPr>
        <w:t>covidu</w:t>
      </w:r>
      <w:r w:rsidRPr="00D6697C">
        <w:rPr>
          <w:rFonts w:ascii="Calibri" w:hAnsi="Calibri" w:cs="Calibri"/>
        </w:rPr>
        <w:t>-19. Založily ji v dubnu 2020 společně Světová zdravotnická organizace, aliance GAVI a</w:t>
      </w:r>
      <w:r>
        <w:rPr>
          <w:rFonts w:ascii="Calibri" w:hAnsi="Calibri" w:cs="Calibri"/>
        </w:rPr>
        <w:t> </w:t>
      </w:r>
      <w:r w:rsidRPr="00D6697C">
        <w:rPr>
          <w:rFonts w:ascii="Calibri" w:hAnsi="Calibri" w:cs="Calibri"/>
        </w:rPr>
        <w:t xml:space="preserve">Koalice pro inovativní epidemickou připravenost. Iniciativa má zajistit bezplatné očkování pro 92 chudých zemí a je financována v rámci rozvojové spolupráce. Do července 2020 se </w:t>
      </w:r>
      <w:r>
        <w:rPr>
          <w:rFonts w:ascii="Calibri" w:hAnsi="Calibri" w:cs="Calibri"/>
        </w:rPr>
        <w:t xml:space="preserve">do ní </w:t>
      </w:r>
      <w:r w:rsidRPr="00D6697C">
        <w:rPr>
          <w:rFonts w:ascii="Calibri" w:hAnsi="Calibri" w:cs="Calibri"/>
        </w:rPr>
        <w:t>zapojilo 165 zemí, které představují až 60 % světové populace</w:t>
      </w:r>
      <w:r>
        <w:rPr>
          <w:rFonts w:ascii="Calibri" w:hAnsi="Calibri" w:cs="Calibri"/>
        </w:rPr>
        <w:t>;</w:t>
      </w:r>
      <w:r w:rsidRPr="00D6697C">
        <w:rPr>
          <w:rFonts w:ascii="Calibri" w:hAnsi="Calibri" w:cs="Calibri"/>
        </w:rPr>
        <w:t xml:space="preserve"> akci podpořila Evropská komise, v říjnu 2020 se přidala Čína a v lednu 2021 USA. (</w:t>
      </w:r>
      <w:r>
        <w:rPr>
          <w:rFonts w:ascii="Calibri" w:hAnsi="Calibri" w:cs="Calibri"/>
        </w:rPr>
        <w:t>Z</w:t>
      </w:r>
      <w:r w:rsidRPr="00D6697C">
        <w:rPr>
          <w:rFonts w:ascii="Calibri" w:hAnsi="Calibri" w:cs="Calibri"/>
        </w:rPr>
        <w:t>droj: Wikipedie</w:t>
      </w:r>
      <w:r>
        <w:rPr>
          <w:rFonts w:ascii="Calibri" w:hAnsi="Calibri" w:cs="Calibri"/>
        </w:rPr>
        <w:t>.</w:t>
      </w:r>
      <w:r w:rsidRPr="00D6697C">
        <w:rPr>
          <w:rFonts w:ascii="Calibri" w:hAnsi="Calibri" w:cs="Calibri"/>
        </w:rPr>
        <w:t>)</w:t>
      </w:r>
    </w:p>
  </w:footnote>
  <w:footnote w:id="45">
    <w:p w14:paraId="306275BD" w14:textId="4E4E0032" w:rsidR="00517CE0" w:rsidRPr="006E4683" w:rsidRDefault="00517CE0" w:rsidP="00092A97">
      <w:pPr>
        <w:pStyle w:val="Textpoznpodarou"/>
        <w:ind w:left="284" w:hanging="284"/>
        <w:jc w:val="both"/>
        <w:rPr>
          <w:rFonts w:asciiTheme="minorHAnsi" w:hAnsiTheme="minorHAnsi" w:cstheme="minorHAnsi"/>
          <w:i/>
        </w:rPr>
      </w:pPr>
      <w:r w:rsidRPr="006E4683">
        <w:rPr>
          <w:rStyle w:val="Znakapoznpodarou"/>
          <w:rFonts w:asciiTheme="minorHAnsi" w:hAnsiTheme="minorHAnsi" w:cstheme="minorHAnsi"/>
        </w:rPr>
        <w:footnoteRef/>
      </w:r>
      <w:r w:rsidRPr="006E46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„</w:t>
      </w:r>
      <w:r w:rsidRPr="006E4683">
        <w:rPr>
          <w:rFonts w:asciiTheme="minorHAnsi" w:hAnsiTheme="minorHAnsi" w:cstheme="minorHAnsi"/>
        </w:rPr>
        <w:t>Rámcová smlouva o zajištění a úhradě distribuce léčivých přípravků obsahujících očkovací látku proti onemocnění COVID-19 vyvolanému původcem SARS-CoV-2</w:t>
      </w:r>
      <w:r>
        <w:rPr>
          <w:rFonts w:asciiTheme="minorHAnsi" w:hAnsiTheme="minorHAnsi" w:cstheme="minorHAnsi"/>
        </w:rPr>
        <w:t>“</w:t>
      </w:r>
      <w:r w:rsidRPr="006E4683">
        <w:rPr>
          <w:rFonts w:asciiTheme="minorHAnsi" w:hAnsiTheme="minorHAnsi" w:cstheme="minorHAnsi"/>
        </w:rPr>
        <w:t xml:space="preserve"> stanoví: „</w:t>
      </w:r>
      <w:r w:rsidRPr="006E4683">
        <w:rPr>
          <w:rFonts w:asciiTheme="minorHAnsi" w:hAnsiTheme="minorHAnsi" w:cstheme="minorHAnsi"/>
          <w:i/>
        </w:rPr>
        <w:t>Distributor se zavazuje pravidelně předávat pojišťovnám a MZ ČR... informace o množství očkovacích látek proti COVID-19, a to v</w:t>
      </w:r>
      <w:r>
        <w:rPr>
          <w:rFonts w:asciiTheme="minorHAnsi" w:hAnsiTheme="minorHAnsi" w:cstheme="minorHAnsi"/>
          <w:i/>
        </w:rPr>
        <w:t> </w:t>
      </w:r>
      <w:r w:rsidRPr="006E4683">
        <w:rPr>
          <w:rFonts w:asciiTheme="minorHAnsi" w:hAnsiTheme="minorHAnsi" w:cstheme="minorHAnsi"/>
          <w:i/>
        </w:rPr>
        <w:t>následujícím rozsahu:</w:t>
      </w:r>
    </w:p>
    <w:p w14:paraId="4C4B9A8B" w14:textId="05EA651E" w:rsidR="00517CE0" w:rsidRPr="006E4683" w:rsidRDefault="00517CE0" w:rsidP="004E2D6E">
      <w:pPr>
        <w:pStyle w:val="Textpoznpodarou"/>
        <w:ind w:left="284"/>
        <w:jc w:val="both"/>
        <w:rPr>
          <w:rFonts w:asciiTheme="minorHAnsi" w:hAnsiTheme="minorHAnsi" w:cstheme="minorHAnsi"/>
          <w:i/>
        </w:rPr>
      </w:pPr>
      <w:r w:rsidRPr="006E4683">
        <w:rPr>
          <w:rFonts w:asciiTheme="minorHAnsi" w:hAnsiTheme="minorHAnsi" w:cstheme="minorHAnsi"/>
          <w:i/>
        </w:rPr>
        <w:t xml:space="preserve">a) jednou za 3 měsíce přehled o aktuálním množství dávek očkovacích látek proti COVID-19 v </w:t>
      </w:r>
      <w:r>
        <w:rPr>
          <w:rFonts w:asciiTheme="minorHAnsi" w:hAnsiTheme="minorHAnsi" w:cstheme="minorHAnsi"/>
          <w:i/>
        </w:rPr>
        <w:t>c</w:t>
      </w:r>
      <w:r w:rsidRPr="006E4683">
        <w:rPr>
          <w:rFonts w:asciiTheme="minorHAnsi" w:hAnsiTheme="minorHAnsi" w:cstheme="minorHAnsi"/>
          <w:i/>
        </w:rPr>
        <w:t>entrálním skladu, případně v distribučním řetězci;</w:t>
      </w:r>
    </w:p>
    <w:p w14:paraId="0B7499E5" w14:textId="11C56D5F" w:rsidR="00517CE0" w:rsidRPr="006E4683" w:rsidRDefault="00517CE0" w:rsidP="004E2D6E">
      <w:pPr>
        <w:pStyle w:val="Textpoznpodarou"/>
        <w:ind w:left="284"/>
        <w:jc w:val="both"/>
        <w:rPr>
          <w:rFonts w:asciiTheme="minorHAnsi" w:hAnsiTheme="minorHAnsi" w:cstheme="minorHAnsi"/>
        </w:rPr>
      </w:pPr>
      <w:r w:rsidRPr="006E4683">
        <w:rPr>
          <w:rFonts w:asciiTheme="minorHAnsi" w:hAnsiTheme="minorHAnsi" w:cstheme="minorHAnsi"/>
          <w:i/>
        </w:rPr>
        <w:t xml:space="preserve">b) jednou za pracovní den přehled o celkovém množství dávek očkovacích látek proti COVID-19, které byly předány </w:t>
      </w:r>
      <w:r>
        <w:rPr>
          <w:rFonts w:asciiTheme="minorHAnsi" w:hAnsiTheme="minorHAnsi" w:cstheme="minorHAnsi"/>
          <w:i/>
        </w:rPr>
        <w:t>p</w:t>
      </w:r>
      <w:r w:rsidRPr="006E4683">
        <w:rPr>
          <w:rFonts w:asciiTheme="minorHAnsi" w:hAnsiTheme="minorHAnsi" w:cstheme="minorHAnsi"/>
          <w:i/>
        </w:rPr>
        <w:t>raktickým lékařům v daném pracovním dni, případně ve dnech pracovního klidu, které mu bezprostředně předcházely, včetně identifikace praktického lékaře a množství dávek očkovacích látek proti COVID-19, které mu bylo předáno.</w:t>
      </w:r>
      <w:r w:rsidRPr="006E4683">
        <w:rPr>
          <w:rFonts w:asciiTheme="minorHAnsi" w:hAnsiTheme="minorHAnsi" w:cstheme="minorHAnsi"/>
        </w:rPr>
        <w:t>“</w:t>
      </w:r>
    </w:p>
  </w:footnote>
  <w:footnote w:id="46">
    <w:p w14:paraId="1340A00A" w14:textId="7D05172A" w:rsidR="00517CE0" w:rsidRPr="00A21AC3" w:rsidRDefault="00517CE0" w:rsidP="004E2D6E">
      <w:pPr>
        <w:pStyle w:val="Textpoznpodarou"/>
        <w:ind w:left="284" w:hanging="284"/>
        <w:rPr>
          <w:rFonts w:asciiTheme="minorHAnsi" w:hAnsiTheme="minorHAnsi" w:cstheme="minorHAnsi"/>
        </w:rPr>
      </w:pPr>
      <w:r w:rsidRPr="0066297E">
        <w:rPr>
          <w:rStyle w:val="Znakapoznpodarou"/>
          <w:rFonts w:asciiTheme="minorHAnsi" w:hAnsiTheme="minorHAnsi" w:cstheme="minorHAnsi"/>
        </w:rPr>
        <w:footnoteRef/>
      </w:r>
      <w:r>
        <w:t xml:space="preserve"> </w:t>
      </w:r>
      <w:r>
        <w:tab/>
      </w:r>
      <w:r w:rsidRPr="004E2D6E">
        <w:rPr>
          <w:rFonts w:ascii="Calibri" w:hAnsi="Calibri" w:cs="Calibri"/>
        </w:rPr>
        <w:t>Informační systém</w:t>
      </w:r>
      <w:r>
        <w:t xml:space="preserve"> </w:t>
      </w:r>
      <w:r w:rsidRPr="004E2D6E">
        <w:rPr>
          <w:rFonts w:asciiTheme="minorHAnsi" w:hAnsiTheme="minorHAnsi" w:cstheme="minorHAnsi"/>
          <w:i/>
        </w:rPr>
        <w:t>Evidenční dotační systém</w:t>
      </w:r>
      <w:r w:rsidRPr="00A21AC3">
        <w:rPr>
          <w:rFonts w:asciiTheme="minorHAnsi" w:hAnsiTheme="minorHAnsi" w:cstheme="minorHAnsi"/>
        </w:rPr>
        <w:t>/</w:t>
      </w:r>
      <w:r w:rsidRPr="004E2D6E">
        <w:rPr>
          <w:rFonts w:asciiTheme="minorHAnsi" w:hAnsiTheme="minorHAnsi" w:cstheme="minorHAnsi"/>
          <w:i/>
        </w:rPr>
        <w:t>Správa majetku ve vlastnictví státu</w:t>
      </w:r>
      <w:r w:rsidRPr="00A21AC3">
        <w:rPr>
          <w:rFonts w:asciiTheme="minorHAnsi" w:hAnsiTheme="minorHAnsi" w:cstheme="minorHAnsi"/>
        </w:rPr>
        <w:t>.</w:t>
      </w:r>
    </w:p>
  </w:footnote>
  <w:footnote w:id="47">
    <w:p w14:paraId="31485BCD" w14:textId="77777777" w:rsidR="00517CE0" w:rsidRPr="00101A7B" w:rsidRDefault="00517CE0" w:rsidP="003A523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01A7B">
        <w:rPr>
          <w:rStyle w:val="Znakapoznpodarou"/>
          <w:rFonts w:ascii="Calibri" w:hAnsi="Calibri" w:cs="Calibri"/>
        </w:rPr>
        <w:footnoteRef/>
      </w:r>
      <w:r w:rsidRPr="00101A7B">
        <w:rPr>
          <w:rFonts w:ascii="Calibri" w:hAnsi="Calibri" w:cs="Calibri"/>
        </w:rPr>
        <w:t xml:space="preserve"> </w:t>
      </w:r>
      <w:r w:rsidRPr="00101A7B">
        <w:rPr>
          <w:rFonts w:ascii="Calibri" w:hAnsi="Calibri" w:cs="Calibri"/>
        </w:rPr>
        <w:tab/>
        <w:t>Významnost (</w:t>
      </w:r>
      <w:proofErr w:type="spellStart"/>
      <w:r w:rsidRPr="00101A7B">
        <w:rPr>
          <w:rFonts w:ascii="Calibri" w:hAnsi="Calibri" w:cs="Calibri"/>
        </w:rPr>
        <w:t>materialita</w:t>
      </w:r>
      <w:proofErr w:type="spellEnd"/>
      <w:r w:rsidRPr="00101A7B">
        <w:rPr>
          <w:rFonts w:ascii="Calibri" w:hAnsi="Calibri" w:cs="Calibri"/>
        </w:rPr>
        <w:t>) reprezentuje u ÚZ hodnotu nesprávností, jejíž překročení by již mohlo ovlivnit přiměřeně znalého uživatele</w:t>
      </w:r>
      <w:r>
        <w:rPr>
          <w:rFonts w:ascii="Calibri" w:hAnsi="Calibri" w:cs="Calibri"/>
        </w:rPr>
        <w:t xml:space="preserve"> ÚZ</w:t>
      </w:r>
      <w:r w:rsidRPr="00101A7B">
        <w:rPr>
          <w:rFonts w:ascii="Calibri" w:hAnsi="Calibri" w:cs="Calibri"/>
        </w:rPr>
        <w:t xml:space="preserve">. Při stanovení významnosti postupuje NKÚ v souladu s </w:t>
      </w:r>
      <w:r w:rsidRPr="00101A7B">
        <w:rPr>
          <w:rFonts w:ascii="Calibri" w:hAnsi="Calibri" w:cs="Calibri"/>
          <w:i/>
        </w:rPr>
        <w:t>Kontrolními standardy NKÚ</w:t>
      </w:r>
      <w:r w:rsidRPr="00101A7B">
        <w:rPr>
          <w:rFonts w:ascii="Calibri" w:hAnsi="Calibri" w:cs="Calibri"/>
        </w:rPr>
        <w:t xml:space="preserve"> a zohledňuje příklady dobré praxe vyplývající z mezinárodních standardů nejvyšších kontrolních institucí (ISSAI) pro finanční audit.</w:t>
      </w:r>
    </w:p>
  </w:footnote>
  <w:footnote w:id="48">
    <w:p w14:paraId="3FF69BD8" w14:textId="47569A06" w:rsidR="00517CE0" w:rsidRPr="004E2D6E" w:rsidRDefault="00517CE0" w:rsidP="003A523F">
      <w:pPr>
        <w:spacing w:after="0"/>
        <w:ind w:left="284" w:hanging="284"/>
        <w:jc w:val="both"/>
        <w:rPr>
          <w:rStyle w:val="Znakapoznpodarou"/>
          <w:rFonts w:cs="Calibri"/>
          <w:sz w:val="20"/>
          <w:szCs w:val="20"/>
          <w:vertAlign w:val="baseline"/>
        </w:rPr>
      </w:pPr>
      <w:r w:rsidRPr="004F6A74">
        <w:rPr>
          <w:rStyle w:val="Znakapoznpodarou"/>
          <w:rFonts w:cs="Calibri"/>
          <w:sz w:val="20"/>
          <w:szCs w:val="20"/>
        </w:rPr>
        <w:footnoteRef/>
      </w:r>
      <w:r w:rsidRPr="004F6A74">
        <w:rPr>
          <w:rFonts w:cs="Calibri"/>
          <w:sz w:val="20"/>
          <w:szCs w:val="20"/>
        </w:rPr>
        <w:t xml:space="preserve"> </w:t>
      </w:r>
      <w:r w:rsidRPr="004F6A74">
        <w:rPr>
          <w:rFonts w:cs="Calibri"/>
          <w:sz w:val="20"/>
          <w:szCs w:val="20"/>
        </w:rPr>
        <w:tab/>
        <w:t xml:space="preserve">Pro posouzení významnosti zjištěných nesprávností v údajích účetní závěrky byla stanovena </w:t>
      </w:r>
      <w:r>
        <w:rPr>
          <w:rFonts w:cs="Calibri"/>
          <w:sz w:val="20"/>
          <w:szCs w:val="20"/>
        </w:rPr>
        <w:t xml:space="preserve">hladina </w:t>
      </w:r>
      <w:r w:rsidRPr="004F6A74">
        <w:rPr>
          <w:rFonts w:cs="Calibri"/>
          <w:sz w:val="20"/>
          <w:szCs w:val="20"/>
        </w:rPr>
        <w:t>významnost</w:t>
      </w:r>
      <w:r>
        <w:rPr>
          <w:rFonts w:cs="Calibri"/>
          <w:sz w:val="20"/>
          <w:szCs w:val="20"/>
        </w:rPr>
        <w:t>i</w:t>
      </w:r>
      <w:r w:rsidRPr="004F6A74">
        <w:rPr>
          <w:rFonts w:cs="Calibri"/>
          <w:sz w:val="20"/>
          <w:szCs w:val="20"/>
        </w:rPr>
        <w:t xml:space="preserve"> ve výši 2 % z nákladů, které byly vykázány ve výši 28 434 mil. Kč.</w:t>
      </w:r>
    </w:p>
  </w:footnote>
  <w:footnote w:id="49">
    <w:p w14:paraId="72C5752C" w14:textId="77777777" w:rsidR="00517CE0" w:rsidRPr="00D554C8" w:rsidRDefault="00517CE0" w:rsidP="00742B94">
      <w:pPr>
        <w:pStyle w:val="Textpoznpodarou"/>
        <w:ind w:left="284" w:hanging="284"/>
        <w:rPr>
          <w:rFonts w:asciiTheme="minorHAnsi" w:hAnsiTheme="minorHAnsi" w:cstheme="minorHAnsi"/>
        </w:rPr>
      </w:pPr>
      <w:r w:rsidRPr="00D554C8">
        <w:rPr>
          <w:rStyle w:val="Znakapoznpodarou"/>
          <w:rFonts w:asciiTheme="minorHAnsi" w:hAnsiTheme="minorHAnsi" w:cstheme="minorHAnsi"/>
        </w:rPr>
        <w:footnoteRef/>
      </w:r>
      <w:r w:rsidRPr="00D554C8">
        <w:rPr>
          <w:rFonts w:asciiTheme="minorHAnsi" w:hAnsiTheme="minorHAnsi" w:cstheme="minorHAnsi"/>
        </w:rPr>
        <w:t xml:space="preserve"> </w:t>
      </w:r>
      <w:r w:rsidRPr="00D554C8">
        <w:rPr>
          <w:rFonts w:asciiTheme="minorHAnsi" w:hAnsiTheme="minorHAnsi" w:cstheme="minorHAnsi"/>
        </w:rPr>
        <w:tab/>
        <w:t xml:space="preserve">Dostupné z: </w:t>
      </w:r>
      <w:hyperlink r:id="rId5" w:history="1">
        <w:r w:rsidRPr="00D554C8">
          <w:rPr>
            <w:rStyle w:val="Hypertextovodkaz"/>
            <w:rFonts w:asciiTheme="minorHAnsi" w:hAnsiTheme="minorHAnsi" w:cstheme="minorHAnsi"/>
          </w:rPr>
          <w:t>https://monitor.statnipokladna.cz/ucetni-jednotka/00024341/rozpocet/vydaje-druhovy?rad=j&amp;obdobi=2112</w:t>
        </w:r>
      </w:hyperlink>
      <w:r w:rsidRPr="00D554C8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50">
    <w:p w14:paraId="1C2D12AC" w14:textId="77777777" w:rsidR="00517CE0" w:rsidRPr="00D554C8" w:rsidRDefault="00517CE0" w:rsidP="00224ECC">
      <w:pPr>
        <w:pStyle w:val="Textpoznpodarou"/>
        <w:ind w:left="284" w:hanging="284"/>
        <w:rPr>
          <w:rFonts w:asciiTheme="minorHAnsi" w:hAnsiTheme="minorHAnsi" w:cstheme="minorHAnsi"/>
        </w:rPr>
      </w:pPr>
      <w:r w:rsidRPr="00D554C8">
        <w:rPr>
          <w:rStyle w:val="Znakapoznpodarou"/>
          <w:rFonts w:asciiTheme="minorHAnsi" w:hAnsiTheme="minorHAnsi" w:cstheme="minorHAnsi"/>
        </w:rPr>
        <w:footnoteRef/>
      </w:r>
      <w:r w:rsidRPr="00D554C8">
        <w:rPr>
          <w:rFonts w:asciiTheme="minorHAnsi" w:hAnsiTheme="minorHAnsi" w:cstheme="minorHAnsi"/>
        </w:rPr>
        <w:t xml:space="preserve"> </w:t>
      </w:r>
      <w:r w:rsidRPr="00D554C8">
        <w:rPr>
          <w:rFonts w:asciiTheme="minorHAnsi" w:hAnsiTheme="minorHAnsi" w:cstheme="minorHAnsi"/>
        </w:rPr>
        <w:tab/>
        <w:t>Tj. 2 % z celkových výdajů k 31. prosinci 2021.</w:t>
      </w:r>
    </w:p>
  </w:footnote>
  <w:footnote w:id="51">
    <w:p w14:paraId="0832035D" w14:textId="605FA415" w:rsidR="00517CE0" w:rsidRPr="00223E25" w:rsidRDefault="00517CE0" w:rsidP="00374646">
      <w:pPr>
        <w:spacing w:after="0"/>
        <w:ind w:left="284" w:hanging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6E0067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E0067">
        <w:rPr>
          <w:rFonts w:asciiTheme="minorHAnsi" w:hAnsiTheme="minorHAnsi" w:cstheme="minorHAnsi"/>
          <w:sz w:val="20"/>
          <w:szCs w:val="20"/>
        </w:rPr>
        <w:tab/>
      </w:r>
      <w:r w:rsidRPr="006E0067">
        <w:rPr>
          <w:rFonts w:asciiTheme="minorHAnsi" w:eastAsia="Calibri" w:hAnsiTheme="minorHAnsi" w:cstheme="minorHAnsi"/>
          <w:sz w:val="20"/>
          <w:szCs w:val="20"/>
        </w:rPr>
        <w:t>U podmíněných závazků lze očekávat, resp. nelze vyloučit, potenciálně významný dopad na budoucí výdaje státního rozpočtu, což vyplývá ze zákona č. 23/2017 Sb., o pravidlech rozpočtové odpovědnosti. Přesto nejsou vyhláškou č. 419/2001 Sb. tyto skutečnosti stanoveny jako informace povinn</w:t>
      </w:r>
      <w:r>
        <w:rPr>
          <w:rFonts w:asciiTheme="minorHAnsi" w:eastAsia="Calibri" w:hAnsiTheme="minorHAnsi" w:cstheme="minorHAnsi"/>
          <w:sz w:val="20"/>
          <w:szCs w:val="20"/>
        </w:rPr>
        <w:t>ě</w:t>
      </w:r>
      <w:r w:rsidRPr="006E006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</w:rPr>
        <w:t xml:space="preserve">uváděné </w:t>
      </w:r>
      <w:r w:rsidRPr="006E0067">
        <w:rPr>
          <w:rFonts w:asciiTheme="minorHAnsi" w:eastAsia="Calibri" w:hAnsiTheme="minorHAnsi" w:cstheme="minorHAnsi"/>
          <w:sz w:val="20"/>
          <w:szCs w:val="20"/>
        </w:rPr>
        <w:t>v průvodní zprávě závěrečného účtu.</w:t>
      </w:r>
    </w:p>
  </w:footnote>
  <w:footnote w:id="52">
    <w:p w14:paraId="01B7C714" w14:textId="5026938B" w:rsidR="00517CE0" w:rsidRPr="00677942" w:rsidRDefault="00517CE0" w:rsidP="004E2D6E">
      <w:pPr>
        <w:pStyle w:val="Textpoznpodarou"/>
        <w:ind w:left="284" w:hanging="284"/>
        <w:rPr>
          <w:rFonts w:asciiTheme="minorHAnsi" w:hAnsiTheme="minorHAnsi" w:cstheme="minorHAnsi"/>
        </w:rPr>
      </w:pPr>
      <w:r w:rsidRPr="00677942">
        <w:rPr>
          <w:rStyle w:val="Znakapoznpodarou"/>
          <w:rFonts w:asciiTheme="minorHAnsi" w:hAnsiTheme="minorHAnsi" w:cstheme="minorHAnsi"/>
        </w:rPr>
        <w:footnoteRef/>
      </w:r>
      <w:r w:rsidRPr="006779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77942">
        <w:rPr>
          <w:rFonts w:asciiTheme="minorHAnsi" w:hAnsiTheme="minorHAnsi" w:cstheme="minorHAnsi"/>
        </w:rPr>
        <w:t>Stav k datu 8. února 2022</w:t>
      </w:r>
      <w:r>
        <w:rPr>
          <w:rFonts w:asciiTheme="minorHAnsi" w:hAnsiTheme="minorHAnsi" w:cstheme="minorHAnsi"/>
        </w:rPr>
        <w:t>.</w:t>
      </w:r>
    </w:p>
  </w:footnote>
  <w:footnote w:id="53">
    <w:p w14:paraId="025CF7E7" w14:textId="72F71422" w:rsidR="00517CE0" w:rsidRPr="00080ABC" w:rsidRDefault="00517CE0" w:rsidP="004E2D6E">
      <w:pPr>
        <w:pStyle w:val="Textpoznpodarou"/>
        <w:ind w:left="284" w:hanging="284"/>
        <w:rPr>
          <w:rFonts w:ascii="Calibri" w:hAnsi="Calibri" w:cs="Calibri"/>
        </w:rPr>
      </w:pPr>
      <w:r w:rsidRPr="00080ABC">
        <w:rPr>
          <w:rStyle w:val="Znakapoznpodarou"/>
          <w:rFonts w:ascii="Calibri" w:hAnsi="Calibri" w:cs="Calibri"/>
        </w:rPr>
        <w:footnoteRef/>
      </w:r>
      <w:r w:rsidRPr="00080A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080ABC">
        <w:rPr>
          <w:rFonts w:ascii="Calibri" w:hAnsi="Calibri" w:cs="Calibri"/>
        </w:rPr>
        <w:t>Zákon č. 99/1963 Sb., občanský soudní řád.</w:t>
      </w:r>
    </w:p>
  </w:footnote>
  <w:footnote w:id="54">
    <w:p w14:paraId="439EFDC9" w14:textId="7AB0E30D" w:rsidR="00517CE0" w:rsidRPr="001A7DE5" w:rsidRDefault="00517CE0" w:rsidP="0066297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A7DE5">
        <w:rPr>
          <w:rStyle w:val="Znakapoznpodarou"/>
          <w:rFonts w:asciiTheme="minorHAnsi" w:hAnsiTheme="minorHAnsi" w:cstheme="minorHAnsi"/>
        </w:rPr>
        <w:footnoteRef/>
      </w:r>
      <w:r w:rsidRPr="001A7D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A7DE5">
        <w:rPr>
          <w:rFonts w:asciiTheme="minorHAnsi" w:hAnsiTheme="minorHAnsi" w:cstheme="minorHAnsi"/>
        </w:rPr>
        <w:t>S účinností od 1. dubna 2020 došlo k novel</w:t>
      </w:r>
      <w:r>
        <w:rPr>
          <w:rFonts w:asciiTheme="minorHAnsi" w:hAnsiTheme="minorHAnsi" w:cstheme="minorHAnsi"/>
        </w:rPr>
        <w:t>izaci</w:t>
      </w:r>
      <w:r w:rsidRPr="001A7DE5">
        <w:rPr>
          <w:rFonts w:asciiTheme="minorHAnsi" w:hAnsiTheme="minorHAnsi" w:cstheme="minorHAnsi"/>
        </w:rPr>
        <w:t xml:space="preserve"> zákona č. 219/2000 Sb., a to zákonem č. 118/2020 Sb.</w:t>
      </w:r>
      <w:r w:rsidRPr="0004679A">
        <w:rPr>
          <w:rFonts w:asciiTheme="minorHAnsi" w:hAnsiTheme="minorHAnsi" w:cstheme="minorHAnsi"/>
        </w:rPr>
        <w:t xml:space="preserve">, kterým se mění zákon č. 219/2000 Sb., o majetku České republiky a jejím vystupování v právních vztazích, ve znění pozdějších předpisů, a zákon č. 82/1998 Sb., o odpovědnosti za škodu způsobenou při výkonu veřejné moci rozhodnutím nebo nesprávným úředním postupem, ve znění pozdějších předpisů. </w:t>
      </w:r>
      <w:r w:rsidRPr="001A7DE5">
        <w:rPr>
          <w:rFonts w:asciiTheme="minorHAnsi" w:hAnsiTheme="minorHAnsi" w:cstheme="minorHAnsi"/>
        </w:rPr>
        <w:t>Předmětem novely byla zejména tzv. dělená subjektivita státu, t</w:t>
      </w:r>
      <w:r>
        <w:rPr>
          <w:rFonts w:asciiTheme="minorHAnsi" w:hAnsiTheme="minorHAnsi" w:cstheme="minorHAnsi"/>
        </w:rPr>
        <w:t>j.</w:t>
      </w:r>
      <w:r w:rsidRPr="001A7DE5">
        <w:rPr>
          <w:rFonts w:asciiTheme="minorHAnsi" w:hAnsiTheme="minorHAnsi" w:cstheme="minorHAnsi"/>
        </w:rPr>
        <w:t xml:space="preserve"> že právní osobnost a svéprávnost státu se dělí mezi jednotlivé organizační složky, které právní osobnost a svéprávnost státu naplňují samostatně a vzájemně nezávisle, a to i ve smyslu majetku, se kterým jsou tyto organizační složky příslušné hospodařit.</w:t>
      </w:r>
      <w:r>
        <w:rPr>
          <w:rFonts w:asciiTheme="minorHAnsi" w:hAnsiTheme="minorHAnsi" w:cstheme="minorHAnsi"/>
        </w:rPr>
        <w:t xml:space="preserve"> Uvedená novela má dopad i na případy uplatňování nároků na náhradu vzniklé škody, kdy škoda se dle této nové právní úpravy váže a posuzuje ve vztahu k majetku konkrétní organizační složky státu, nikoliv ke státu obecně.</w:t>
      </w:r>
    </w:p>
  </w:footnote>
  <w:footnote w:id="55">
    <w:p w14:paraId="457AE095" w14:textId="77777777" w:rsidR="00517CE0" w:rsidRPr="0057330E" w:rsidRDefault="00517CE0" w:rsidP="006D40B2">
      <w:pPr>
        <w:pStyle w:val="Textpoznpodarou"/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223E25">
        <w:rPr>
          <w:rStyle w:val="Znakapoznpodarou"/>
          <w:rFonts w:asciiTheme="minorHAnsi" w:hAnsiTheme="minorHAnsi" w:cstheme="minorHAnsi"/>
        </w:rPr>
        <w:footnoteRef/>
      </w:r>
      <w:r w:rsidRPr="00223E25">
        <w:rPr>
          <w:rFonts w:asciiTheme="minorHAnsi" w:hAnsiTheme="minorHAnsi" w:cstheme="minorHAnsi"/>
        </w:rPr>
        <w:t xml:space="preserve"> </w:t>
      </w:r>
      <w:r w:rsidRPr="00223E25">
        <w:rPr>
          <w:rFonts w:asciiTheme="minorHAnsi" w:hAnsiTheme="minorHAnsi" w:cstheme="minorHAnsi"/>
        </w:rPr>
        <w:tab/>
        <w:t>Náklady jsou v příslušném roce spotřebované ekonomické zdroje bez ohledu na to, zda v tomto období došlo k jejich úhradě.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CCA8E" w14:textId="77777777" w:rsidR="00517CE0" w:rsidRPr="002F5988" w:rsidRDefault="00517CE0" w:rsidP="002F5988">
    <w:pPr>
      <w:pStyle w:val="Zhlav"/>
      <w:jc w:val="right"/>
    </w:pPr>
    <w:r>
      <w:t>Příloha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939CD" w14:textId="77777777" w:rsidR="00517CE0" w:rsidRDefault="00517CE0" w:rsidP="002F5988">
    <w:pPr>
      <w:pStyle w:val="Zhlav"/>
      <w:jc w:val="right"/>
    </w:pPr>
    <w: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5pt;height:8.45pt;visibility:visible;mso-wrap-style:square" o:bullet="t">
        <v:imagedata r:id="rId1" o:title=""/>
      </v:shape>
    </w:pict>
  </w:numPicBullet>
  <w:numPicBullet w:numPicBulletId="1">
    <w:pict>
      <v:shape id="_x0000_i1027" type="#_x0000_t75" style="width:8.45pt;height:8.45pt;visibility:visible;mso-wrap-style:square" o:bullet="t">
        <v:imagedata r:id="rId2" o:title=""/>
      </v:shape>
    </w:pict>
  </w:numPicBullet>
  <w:numPicBullet w:numPicBulletId="2">
    <w:pict>
      <v:shape id="_x0000_i1028" type="#_x0000_t75" style="width:8.45pt;height:7.4pt;visibility:visible;mso-wrap-style:square" o:bullet="t">
        <v:imagedata r:id="rId3" o:title=""/>
      </v:shape>
    </w:pict>
  </w:numPicBullet>
  <w:numPicBullet w:numPicBulletId="3">
    <w:pict>
      <v:shape id="_x0000_i1029" type="#_x0000_t75" style="width:8.45pt;height:7.4pt;visibility:visible;mso-wrap-style:square" o:bullet="t">
        <v:imagedata r:id="rId4" o:title=""/>
      </v:shape>
    </w:pict>
  </w:numPicBullet>
  <w:abstractNum w:abstractNumId="0" w15:restartNumberingAfterBreak="0">
    <w:nsid w:val="02150AE6"/>
    <w:multiLevelType w:val="hybridMultilevel"/>
    <w:tmpl w:val="4AFAB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18AE"/>
    <w:multiLevelType w:val="hybridMultilevel"/>
    <w:tmpl w:val="2744C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7014"/>
    <w:multiLevelType w:val="hybridMultilevel"/>
    <w:tmpl w:val="00D07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74E7"/>
    <w:multiLevelType w:val="hybridMultilevel"/>
    <w:tmpl w:val="CCEE7888"/>
    <w:lvl w:ilvl="0" w:tplc="1A14DA28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A2CDE"/>
    <w:multiLevelType w:val="hybridMultilevel"/>
    <w:tmpl w:val="DC72A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B1641"/>
    <w:multiLevelType w:val="hybridMultilevel"/>
    <w:tmpl w:val="5462C47E"/>
    <w:lvl w:ilvl="0" w:tplc="B9A46670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3258E"/>
    <w:multiLevelType w:val="hybridMultilevel"/>
    <w:tmpl w:val="0646EC58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86935"/>
    <w:multiLevelType w:val="hybridMultilevel"/>
    <w:tmpl w:val="B00439D6"/>
    <w:lvl w:ilvl="0" w:tplc="7DAE0F7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8E342A7"/>
    <w:multiLevelType w:val="hybridMultilevel"/>
    <w:tmpl w:val="A60EE112"/>
    <w:lvl w:ilvl="0" w:tplc="89C0EE16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9" w15:restartNumberingAfterBreak="0">
    <w:nsid w:val="2BCA258B"/>
    <w:multiLevelType w:val="hybridMultilevel"/>
    <w:tmpl w:val="D7C2C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72064"/>
    <w:multiLevelType w:val="hybridMultilevel"/>
    <w:tmpl w:val="BDCA95C2"/>
    <w:lvl w:ilvl="0" w:tplc="C02CD3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21F99"/>
    <w:multiLevelType w:val="hybridMultilevel"/>
    <w:tmpl w:val="CF36F41A"/>
    <w:lvl w:ilvl="0" w:tplc="48D80D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6AB1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22EA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60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AC49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07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6AF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4D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3A65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8B4BB0"/>
    <w:multiLevelType w:val="hybridMultilevel"/>
    <w:tmpl w:val="D4762AE8"/>
    <w:lvl w:ilvl="0" w:tplc="7DAE0F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EE1670"/>
    <w:multiLevelType w:val="hybridMultilevel"/>
    <w:tmpl w:val="51A45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27A4B"/>
    <w:multiLevelType w:val="hybridMultilevel"/>
    <w:tmpl w:val="B9626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8BF0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7FFA"/>
    <w:multiLevelType w:val="hybridMultilevel"/>
    <w:tmpl w:val="A16AE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4090A"/>
    <w:multiLevelType w:val="hybridMultilevel"/>
    <w:tmpl w:val="0E620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A6F2F"/>
    <w:multiLevelType w:val="hybridMultilevel"/>
    <w:tmpl w:val="4ECE846A"/>
    <w:lvl w:ilvl="0" w:tplc="CE2CED6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5E02F03C">
      <w:start w:val="1"/>
      <w:numFmt w:val="lowerLetter"/>
      <w:lvlText w:val="%2."/>
      <w:lvlJc w:val="left"/>
      <w:pPr>
        <w:ind w:left="1440" w:hanging="360"/>
      </w:pPr>
    </w:lvl>
    <w:lvl w:ilvl="2" w:tplc="ADE6C7EE" w:tentative="1">
      <w:start w:val="1"/>
      <w:numFmt w:val="lowerRoman"/>
      <w:lvlText w:val="%3."/>
      <w:lvlJc w:val="right"/>
      <w:pPr>
        <w:ind w:left="2160" w:hanging="180"/>
      </w:pPr>
    </w:lvl>
    <w:lvl w:ilvl="3" w:tplc="A98E3622" w:tentative="1">
      <w:start w:val="1"/>
      <w:numFmt w:val="decimal"/>
      <w:lvlText w:val="%4."/>
      <w:lvlJc w:val="left"/>
      <w:pPr>
        <w:ind w:left="2880" w:hanging="360"/>
      </w:pPr>
    </w:lvl>
    <w:lvl w:ilvl="4" w:tplc="FE6AD990" w:tentative="1">
      <w:start w:val="1"/>
      <w:numFmt w:val="lowerLetter"/>
      <w:lvlText w:val="%5."/>
      <w:lvlJc w:val="left"/>
      <w:pPr>
        <w:ind w:left="3600" w:hanging="360"/>
      </w:pPr>
    </w:lvl>
    <w:lvl w:ilvl="5" w:tplc="F84C1D10" w:tentative="1">
      <w:start w:val="1"/>
      <w:numFmt w:val="lowerRoman"/>
      <w:lvlText w:val="%6."/>
      <w:lvlJc w:val="right"/>
      <w:pPr>
        <w:ind w:left="4320" w:hanging="180"/>
      </w:pPr>
    </w:lvl>
    <w:lvl w:ilvl="6" w:tplc="4F10AFD4" w:tentative="1">
      <w:start w:val="1"/>
      <w:numFmt w:val="decimal"/>
      <w:lvlText w:val="%7."/>
      <w:lvlJc w:val="left"/>
      <w:pPr>
        <w:ind w:left="5040" w:hanging="360"/>
      </w:pPr>
    </w:lvl>
    <w:lvl w:ilvl="7" w:tplc="C2E42DB0" w:tentative="1">
      <w:start w:val="1"/>
      <w:numFmt w:val="lowerLetter"/>
      <w:lvlText w:val="%8."/>
      <w:lvlJc w:val="left"/>
      <w:pPr>
        <w:ind w:left="5760" w:hanging="360"/>
      </w:pPr>
    </w:lvl>
    <w:lvl w:ilvl="8" w:tplc="0DF0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23367"/>
    <w:multiLevelType w:val="hybridMultilevel"/>
    <w:tmpl w:val="7A52131E"/>
    <w:lvl w:ilvl="0" w:tplc="1FDA5940">
      <w:start w:val="1"/>
      <w:numFmt w:val="bullet"/>
      <w:lvlText w:val=""/>
      <w:lvlJc w:val="left"/>
      <w:pPr>
        <w:ind w:left="357" w:hanging="36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19" w15:restartNumberingAfterBreak="0">
    <w:nsid w:val="4DD0607A"/>
    <w:multiLevelType w:val="hybridMultilevel"/>
    <w:tmpl w:val="192E4448"/>
    <w:lvl w:ilvl="0" w:tplc="744C268C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D5755B"/>
    <w:multiLevelType w:val="hybridMultilevel"/>
    <w:tmpl w:val="F91406B6"/>
    <w:lvl w:ilvl="0" w:tplc="7C960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D1476"/>
    <w:multiLevelType w:val="hybridMultilevel"/>
    <w:tmpl w:val="71763970"/>
    <w:lvl w:ilvl="0" w:tplc="07E680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6062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DC7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18A4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2C42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8E2C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84F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08B9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F0B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49F1A91"/>
    <w:multiLevelType w:val="hybridMultilevel"/>
    <w:tmpl w:val="C2606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B5DAD"/>
    <w:multiLevelType w:val="hybridMultilevel"/>
    <w:tmpl w:val="DCAC4A92"/>
    <w:lvl w:ilvl="0" w:tplc="7DAE0F7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AA3C35"/>
    <w:multiLevelType w:val="hybridMultilevel"/>
    <w:tmpl w:val="7F6480C0"/>
    <w:lvl w:ilvl="0" w:tplc="C02CD3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8258C"/>
    <w:multiLevelType w:val="hybridMultilevel"/>
    <w:tmpl w:val="31A87A2A"/>
    <w:lvl w:ilvl="0" w:tplc="D6865288">
      <w:start w:val="1"/>
      <w:numFmt w:val="bullet"/>
      <w:lvlText w:val=""/>
      <w:lvlJc w:val="left"/>
      <w:pPr>
        <w:ind w:left="357" w:hanging="36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6" w15:restartNumberingAfterBreak="0">
    <w:nsid w:val="5D2633FA"/>
    <w:multiLevelType w:val="hybridMultilevel"/>
    <w:tmpl w:val="65F0FE06"/>
    <w:lvl w:ilvl="0" w:tplc="7DAE0F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EBD456A"/>
    <w:multiLevelType w:val="multilevel"/>
    <w:tmpl w:val="FC2EF4CC"/>
    <w:lvl w:ilvl="0">
      <w:start w:val="1"/>
      <w:numFmt w:val="decimal"/>
      <w:lvlText w:val="%1"/>
      <w:lvlJc w:val="left"/>
      <w:pPr>
        <w:ind w:left="680" w:hanging="396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134" w:hanging="85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"/>
      <w:lvlJc w:val="left"/>
      <w:pPr>
        <w:ind w:left="1304" w:hanging="10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18" w:hanging="1134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2157" w:hanging="45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5" w:hanging="45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9" w:hanging="453"/>
      </w:pPr>
      <w:rPr>
        <w:rFonts w:hint="default"/>
      </w:rPr>
    </w:lvl>
  </w:abstractNum>
  <w:abstractNum w:abstractNumId="28" w15:restartNumberingAfterBreak="0">
    <w:nsid w:val="5F13215C"/>
    <w:multiLevelType w:val="hybridMultilevel"/>
    <w:tmpl w:val="E710E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A0B9B"/>
    <w:multiLevelType w:val="multilevel"/>
    <w:tmpl w:val="B4F6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8F067B"/>
    <w:multiLevelType w:val="hybridMultilevel"/>
    <w:tmpl w:val="89DA1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785224"/>
    <w:multiLevelType w:val="hybridMultilevel"/>
    <w:tmpl w:val="4D7ACC9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F6A7721"/>
    <w:multiLevelType w:val="hybridMultilevel"/>
    <w:tmpl w:val="0EC617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082A06"/>
    <w:multiLevelType w:val="hybridMultilevel"/>
    <w:tmpl w:val="BAE45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D29A8"/>
    <w:multiLevelType w:val="hybridMultilevel"/>
    <w:tmpl w:val="595480B8"/>
    <w:lvl w:ilvl="0" w:tplc="ADA88D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15F56"/>
    <w:multiLevelType w:val="hybridMultilevel"/>
    <w:tmpl w:val="9990C8B4"/>
    <w:lvl w:ilvl="0" w:tplc="04050001">
      <w:start w:val="1"/>
      <w:numFmt w:val="bullet"/>
      <w:lvlText w:val=""/>
      <w:lvlJc w:val="left"/>
      <w:pPr>
        <w:ind w:left="3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15"/>
  </w:num>
  <w:num w:numId="4">
    <w:abstractNumId w:val="16"/>
  </w:num>
  <w:num w:numId="5">
    <w:abstractNumId w:val="32"/>
  </w:num>
  <w:num w:numId="6">
    <w:abstractNumId w:val="30"/>
  </w:num>
  <w:num w:numId="7">
    <w:abstractNumId w:val="31"/>
  </w:num>
  <w:num w:numId="8">
    <w:abstractNumId w:val="35"/>
  </w:num>
  <w:num w:numId="9">
    <w:abstractNumId w:val="34"/>
  </w:num>
  <w:num w:numId="10">
    <w:abstractNumId w:val="3"/>
  </w:num>
  <w:num w:numId="11">
    <w:abstractNumId w:val="8"/>
  </w:num>
  <w:num w:numId="12">
    <w:abstractNumId w:val="18"/>
  </w:num>
  <w:num w:numId="13">
    <w:abstractNumId w:val="25"/>
  </w:num>
  <w:num w:numId="14">
    <w:abstractNumId w:val="19"/>
  </w:num>
  <w:num w:numId="15">
    <w:abstractNumId w:val="23"/>
  </w:num>
  <w:num w:numId="16">
    <w:abstractNumId w:val="7"/>
  </w:num>
  <w:num w:numId="17">
    <w:abstractNumId w:val="12"/>
  </w:num>
  <w:num w:numId="18">
    <w:abstractNumId w:val="26"/>
  </w:num>
  <w:num w:numId="19">
    <w:abstractNumId w:val="6"/>
  </w:num>
  <w:num w:numId="20">
    <w:abstractNumId w:val="1"/>
  </w:num>
  <w:num w:numId="21">
    <w:abstractNumId w:val="2"/>
  </w:num>
  <w:num w:numId="22">
    <w:abstractNumId w:val="28"/>
  </w:num>
  <w:num w:numId="23">
    <w:abstractNumId w:val="4"/>
  </w:num>
  <w:num w:numId="24">
    <w:abstractNumId w:val="3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9"/>
  </w:num>
  <w:num w:numId="28">
    <w:abstractNumId w:val="27"/>
  </w:num>
  <w:num w:numId="29">
    <w:abstractNumId w:val="21"/>
  </w:num>
  <w:num w:numId="30">
    <w:abstractNumId w:val="11"/>
  </w:num>
  <w:num w:numId="31">
    <w:abstractNumId w:val="0"/>
  </w:num>
  <w:num w:numId="32">
    <w:abstractNumId w:val="20"/>
  </w:num>
  <w:num w:numId="33">
    <w:abstractNumId w:val="14"/>
  </w:num>
  <w:num w:numId="34">
    <w:abstractNumId w:val="24"/>
  </w:num>
  <w:num w:numId="35">
    <w:abstractNumId w:val="10"/>
  </w:num>
  <w:num w:numId="36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62"/>
    <w:rsid w:val="00000293"/>
    <w:rsid w:val="000006C9"/>
    <w:rsid w:val="00000F8C"/>
    <w:rsid w:val="000010CB"/>
    <w:rsid w:val="000015DC"/>
    <w:rsid w:val="00001D77"/>
    <w:rsid w:val="0000214D"/>
    <w:rsid w:val="00002B29"/>
    <w:rsid w:val="000030C9"/>
    <w:rsid w:val="000039E4"/>
    <w:rsid w:val="0000465F"/>
    <w:rsid w:val="00004E99"/>
    <w:rsid w:val="00004EF9"/>
    <w:rsid w:val="00005413"/>
    <w:rsid w:val="0000654C"/>
    <w:rsid w:val="00006589"/>
    <w:rsid w:val="00006AE8"/>
    <w:rsid w:val="00006E0D"/>
    <w:rsid w:val="00007008"/>
    <w:rsid w:val="000102DC"/>
    <w:rsid w:val="00010388"/>
    <w:rsid w:val="00010565"/>
    <w:rsid w:val="0001056A"/>
    <w:rsid w:val="00010948"/>
    <w:rsid w:val="00010B7B"/>
    <w:rsid w:val="00010B99"/>
    <w:rsid w:val="00010BF4"/>
    <w:rsid w:val="00011209"/>
    <w:rsid w:val="000116ED"/>
    <w:rsid w:val="0001175A"/>
    <w:rsid w:val="000118B2"/>
    <w:rsid w:val="000118D1"/>
    <w:rsid w:val="00012047"/>
    <w:rsid w:val="00012090"/>
    <w:rsid w:val="000121C2"/>
    <w:rsid w:val="00012334"/>
    <w:rsid w:val="00012D33"/>
    <w:rsid w:val="0001308F"/>
    <w:rsid w:val="000136D6"/>
    <w:rsid w:val="00013D01"/>
    <w:rsid w:val="00013F0F"/>
    <w:rsid w:val="00013F4A"/>
    <w:rsid w:val="00014250"/>
    <w:rsid w:val="00014A34"/>
    <w:rsid w:val="000150C6"/>
    <w:rsid w:val="0001554C"/>
    <w:rsid w:val="00015BEA"/>
    <w:rsid w:val="00015F85"/>
    <w:rsid w:val="00016CB1"/>
    <w:rsid w:val="00016D88"/>
    <w:rsid w:val="00017CCE"/>
    <w:rsid w:val="00017D5E"/>
    <w:rsid w:val="00017EA4"/>
    <w:rsid w:val="000202F3"/>
    <w:rsid w:val="000205FD"/>
    <w:rsid w:val="000209B1"/>
    <w:rsid w:val="00021041"/>
    <w:rsid w:val="0002107A"/>
    <w:rsid w:val="00021226"/>
    <w:rsid w:val="00022153"/>
    <w:rsid w:val="000221DC"/>
    <w:rsid w:val="000233DE"/>
    <w:rsid w:val="0002359A"/>
    <w:rsid w:val="00024CEB"/>
    <w:rsid w:val="00025046"/>
    <w:rsid w:val="00025582"/>
    <w:rsid w:val="000263DE"/>
    <w:rsid w:val="000264EB"/>
    <w:rsid w:val="00026B84"/>
    <w:rsid w:val="00026FB4"/>
    <w:rsid w:val="0002708F"/>
    <w:rsid w:val="00027C18"/>
    <w:rsid w:val="000300F2"/>
    <w:rsid w:val="000305CE"/>
    <w:rsid w:val="00031611"/>
    <w:rsid w:val="00031DBA"/>
    <w:rsid w:val="00031FF6"/>
    <w:rsid w:val="00032777"/>
    <w:rsid w:val="00033006"/>
    <w:rsid w:val="000333D7"/>
    <w:rsid w:val="000340C7"/>
    <w:rsid w:val="000342EB"/>
    <w:rsid w:val="00034649"/>
    <w:rsid w:val="0003469E"/>
    <w:rsid w:val="000351D6"/>
    <w:rsid w:val="0003552A"/>
    <w:rsid w:val="00035C23"/>
    <w:rsid w:val="000365D9"/>
    <w:rsid w:val="000365ED"/>
    <w:rsid w:val="00036961"/>
    <w:rsid w:val="000370B8"/>
    <w:rsid w:val="000370E9"/>
    <w:rsid w:val="00037390"/>
    <w:rsid w:val="000377B3"/>
    <w:rsid w:val="00037903"/>
    <w:rsid w:val="000405AC"/>
    <w:rsid w:val="0004116C"/>
    <w:rsid w:val="000412D1"/>
    <w:rsid w:val="00041308"/>
    <w:rsid w:val="00041B06"/>
    <w:rsid w:val="0004276A"/>
    <w:rsid w:val="000428C2"/>
    <w:rsid w:val="00042F32"/>
    <w:rsid w:val="00042F6E"/>
    <w:rsid w:val="000434F0"/>
    <w:rsid w:val="0004392B"/>
    <w:rsid w:val="000443A1"/>
    <w:rsid w:val="00044496"/>
    <w:rsid w:val="00044B71"/>
    <w:rsid w:val="00044D26"/>
    <w:rsid w:val="00044F4C"/>
    <w:rsid w:val="000453AD"/>
    <w:rsid w:val="0004572A"/>
    <w:rsid w:val="0004593F"/>
    <w:rsid w:val="00045D1D"/>
    <w:rsid w:val="00045D4B"/>
    <w:rsid w:val="0004614B"/>
    <w:rsid w:val="0004679A"/>
    <w:rsid w:val="00046890"/>
    <w:rsid w:val="000473BB"/>
    <w:rsid w:val="00047E28"/>
    <w:rsid w:val="00050275"/>
    <w:rsid w:val="00050BF8"/>
    <w:rsid w:val="0005152A"/>
    <w:rsid w:val="00051D13"/>
    <w:rsid w:val="0005238E"/>
    <w:rsid w:val="0005245C"/>
    <w:rsid w:val="0005257E"/>
    <w:rsid w:val="0005321F"/>
    <w:rsid w:val="0005392D"/>
    <w:rsid w:val="00054593"/>
    <w:rsid w:val="00054662"/>
    <w:rsid w:val="00054A5F"/>
    <w:rsid w:val="00054D70"/>
    <w:rsid w:val="00054DA8"/>
    <w:rsid w:val="00055027"/>
    <w:rsid w:val="00055401"/>
    <w:rsid w:val="00055581"/>
    <w:rsid w:val="0005626F"/>
    <w:rsid w:val="000562E0"/>
    <w:rsid w:val="0005659D"/>
    <w:rsid w:val="00056E58"/>
    <w:rsid w:val="00056F1A"/>
    <w:rsid w:val="000570C7"/>
    <w:rsid w:val="00057126"/>
    <w:rsid w:val="00057428"/>
    <w:rsid w:val="00057871"/>
    <w:rsid w:val="000604FC"/>
    <w:rsid w:val="000605EE"/>
    <w:rsid w:val="00060CDE"/>
    <w:rsid w:val="000615D0"/>
    <w:rsid w:val="00062738"/>
    <w:rsid w:val="00063109"/>
    <w:rsid w:val="00063528"/>
    <w:rsid w:val="00063906"/>
    <w:rsid w:val="000641B2"/>
    <w:rsid w:val="00064721"/>
    <w:rsid w:val="0006539C"/>
    <w:rsid w:val="000653A9"/>
    <w:rsid w:val="00065568"/>
    <w:rsid w:val="00066AC4"/>
    <w:rsid w:val="000700FC"/>
    <w:rsid w:val="00070DDD"/>
    <w:rsid w:val="00071B5F"/>
    <w:rsid w:val="0007244A"/>
    <w:rsid w:val="000728F2"/>
    <w:rsid w:val="00072EA0"/>
    <w:rsid w:val="00073218"/>
    <w:rsid w:val="00074829"/>
    <w:rsid w:val="00074B90"/>
    <w:rsid w:val="0007561C"/>
    <w:rsid w:val="00075A94"/>
    <w:rsid w:val="00076191"/>
    <w:rsid w:val="00076344"/>
    <w:rsid w:val="00076557"/>
    <w:rsid w:val="00076EA6"/>
    <w:rsid w:val="000775C3"/>
    <w:rsid w:val="000777CF"/>
    <w:rsid w:val="00077ACA"/>
    <w:rsid w:val="00080832"/>
    <w:rsid w:val="00080C2B"/>
    <w:rsid w:val="00080C55"/>
    <w:rsid w:val="0008172A"/>
    <w:rsid w:val="00081853"/>
    <w:rsid w:val="00081916"/>
    <w:rsid w:val="000819E2"/>
    <w:rsid w:val="00082128"/>
    <w:rsid w:val="000822BF"/>
    <w:rsid w:val="00082C74"/>
    <w:rsid w:val="0008321B"/>
    <w:rsid w:val="000834FD"/>
    <w:rsid w:val="000837B5"/>
    <w:rsid w:val="0008453D"/>
    <w:rsid w:val="00084969"/>
    <w:rsid w:val="00084BDF"/>
    <w:rsid w:val="000851F9"/>
    <w:rsid w:val="00085D01"/>
    <w:rsid w:val="00085F16"/>
    <w:rsid w:val="000867C9"/>
    <w:rsid w:val="00086872"/>
    <w:rsid w:val="0008695C"/>
    <w:rsid w:val="00086A17"/>
    <w:rsid w:val="00086BCD"/>
    <w:rsid w:val="000872BF"/>
    <w:rsid w:val="00090070"/>
    <w:rsid w:val="00090DB9"/>
    <w:rsid w:val="000919BC"/>
    <w:rsid w:val="00091AD5"/>
    <w:rsid w:val="0009214F"/>
    <w:rsid w:val="0009232A"/>
    <w:rsid w:val="00092816"/>
    <w:rsid w:val="00092A97"/>
    <w:rsid w:val="00093120"/>
    <w:rsid w:val="00094908"/>
    <w:rsid w:val="00095272"/>
    <w:rsid w:val="0009634F"/>
    <w:rsid w:val="0009689F"/>
    <w:rsid w:val="00096C21"/>
    <w:rsid w:val="0009702E"/>
    <w:rsid w:val="000A0E8B"/>
    <w:rsid w:val="000A13E8"/>
    <w:rsid w:val="000A1E9B"/>
    <w:rsid w:val="000A2AD8"/>
    <w:rsid w:val="000A36E9"/>
    <w:rsid w:val="000A3F7E"/>
    <w:rsid w:val="000A4006"/>
    <w:rsid w:val="000A5267"/>
    <w:rsid w:val="000A560C"/>
    <w:rsid w:val="000A5714"/>
    <w:rsid w:val="000A5A79"/>
    <w:rsid w:val="000A5BDF"/>
    <w:rsid w:val="000A5C4F"/>
    <w:rsid w:val="000A5D44"/>
    <w:rsid w:val="000A5ECA"/>
    <w:rsid w:val="000A5F4A"/>
    <w:rsid w:val="000A7032"/>
    <w:rsid w:val="000A72DC"/>
    <w:rsid w:val="000A7370"/>
    <w:rsid w:val="000A75DF"/>
    <w:rsid w:val="000A78B3"/>
    <w:rsid w:val="000B0C14"/>
    <w:rsid w:val="000B169C"/>
    <w:rsid w:val="000B1794"/>
    <w:rsid w:val="000B2255"/>
    <w:rsid w:val="000B25A8"/>
    <w:rsid w:val="000B3825"/>
    <w:rsid w:val="000B4ABD"/>
    <w:rsid w:val="000B4B91"/>
    <w:rsid w:val="000B59DC"/>
    <w:rsid w:val="000B63A1"/>
    <w:rsid w:val="000B773E"/>
    <w:rsid w:val="000B7B7B"/>
    <w:rsid w:val="000B7E39"/>
    <w:rsid w:val="000B7ED0"/>
    <w:rsid w:val="000C04E6"/>
    <w:rsid w:val="000C06CC"/>
    <w:rsid w:val="000C0A47"/>
    <w:rsid w:val="000C1D99"/>
    <w:rsid w:val="000C1DDA"/>
    <w:rsid w:val="000C3F19"/>
    <w:rsid w:val="000C5100"/>
    <w:rsid w:val="000C591E"/>
    <w:rsid w:val="000C5D6A"/>
    <w:rsid w:val="000C6002"/>
    <w:rsid w:val="000C69E5"/>
    <w:rsid w:val="000C70AB"/>
    <w:rsid w:val="000C7DE9"/>
    <w:rsid w:val="000C7E19"/>
    <w:rsid w:val="000C7FCA"/>
    <w:rsid w:val="000D1BFE"/>
    <w:rsid w:val="000D1EC1"/>
    <w:rsid w:val="000D22A5"/>
    <w:rsid w:val="000D36D6"/>
    <w:rsid w:val="000D4F43"/>
    <w:rsid w:val="000D610D"/>
    <w:rsid w:val="000D72DE"/>
    <w:rsid w:val="000D7A9E"/>
    <w:rsid w:val="000D7EB0"/>
    <w:rsid w:val="000E044D"/>
    <w:rsid w:val="000E04F4"/>
    <w:rsid w:val="000E082C"/>
    <w:rsid w:val="000E0A92"/>
    <w:rsid w:val="000E0B18"/>
    <w:rsid w:val="000E0D2F"/>
    <w:rsid w:val="000E12F1"/>
    <w:rsid w:val="000E25B5"/>
    <w:rsid w:val="000E2836"/>
    <w:rsid w:val="000E31D2"/>
    <w:rsid w:val="000E3621"/>
    <w:rsid w:val="000E3FF6"/>
    <w:rsid w:val="000E4ED7"/>
    <w:rsid w:val="000E4F78"/>
    <w:rsid w:val="000E6343"/>
    <w:rsid w:val="000E6A8C"/>
    <w:rsid w:val="000E7644"/>
    <w:rsid w:val="000E7694"/>
    <w:rsid w:val="000E7D3E"/>
    <w:rsid w:val="000F09F5"/>
    <w:rsid w:val="000F1B9C"/>
    <w:rsid w:val="000F209F"/>
    <w:rsid w:val="000F2220"/>
    <w:rsid w:val="000F2B19"/>
    <w:rsid w:val="000F3849"/>
    <w:rsid w:val="000F3D0A"/>
    <w:rsid w:val="000F3E30"/>
    <w:rsid w:val="000F42EF"/>
    <w:rsid w:val="000F55E2"/>
    <w:rsid w:val="000F5927"/>
    <w:rsid w:val="000F5C65"/>
    <w:rsid w:val="000F6340"/>
    <w:rsid w:val="000F6A74"/>
    <w:rsid w:val="000F7A2B"/>
    <w:rsid w:val="000F7AA7"/>
    <w:rsid w:val="00100FAA"/>
    <w:rsid w:val="00101A7B"/>
    <w:rsid w:val="00101CEF"/>
    <w:rsid w:val="00103B10"/>
    <w:rsid w:val="00103E92"/>
    <w:rsid w:val="001055C3"/>
    <w:rsid w:val="0010571E"/>
    <w:rsid w:val="00105C43"/>
    <w:rsid w:val="00106007"/>
    <w:rsid w:val="00106409"/>
    <w:rsid w:val="001073F7"/>
    <w:rsid w:val="001076FC"/>
    <w:rsid w:val="00107771"/>
    <w:rsid w:val="001077EB"/>
    <w:rsid w:val="00107D03"/>
    <w:rsid w:val="0011154F"/>
    <w:rsid w:val="001118F1"/>
    <w:rsid w:val="0011193F"/>
    <w:rsid w:val="00111F82"/>
    <w:rsid w:val="00111FB1"/>
    <w:rsid w:val="00112642"/>
    <w:rsid w:val="00112DFF"/>
    <w:rsid w:val="00113B06"/>
    <w:rsid w:val="00113F2D"/>
    <w:rsid w:val="00114033"/>
    <w:rsid w:val="001141E0"/>
    <w:rsid w:val="00114527"/>
    <w:rsid w:val="00114660"/>
    <w:rsid w:val="00114968"/>
    <w:rsid w:val="00114FEE"/>
    <w:rsid w:val="00115015"/>
    <w:rsid w:val="00116A85"/>
    <w:rsid w:val="00116D27"/>
    <w:rsid w:val="00117093"/>
    <w:rsid w:val="0011741A"/>
    <w:rsid w:val="00120064"/>
    <w:rsid w:val="001202CB"/>
    <w:rsid w:val="00120652"/>
    <w:rsid w:val="00121228"/>
    <w:rsid w:val="001217F1"/>
    <w:rsid w:val="001218EF"/>
    <w:rsid w:val="00121D77"/>
    <w:rsid w:val="00121D7E"/>
    <w:rsid w:val="00122AE0"/>
    <w:rsid w:val="00122BD1"/>
    <w:rsid w:val="00122E3A"/>
    <w:rsid w:val="00122E42"/>
    <w:rsid w:val="001231C4"/>
    <w:rsid w:val="00124183"/>
    <w:rsid w:val="00124187"/>
    <w:rsid w:val="00124C3F"/>
    <w:rsid w:val="00124CA1"/>
    <w:rsid w:val="00124FA7"/>
    <w:rsid w:val="0012538B"/>
    <w:rsid w:val="0012623F"/>
    <w:rsid w:val="00126597"/>
    <w:rsid w:val="001268C7"/>
    <w:rsid w:val="001276E3"/>
    <w:rsid w:val="001317BD"/>
    <w:rsid w:val="001318BD"/>
    <w:rsid w:val="00131ED0"/>
    <w:rsid w:val="00132400"/>
    <w:rsid w:val="00132EEE"/>
    <w:rsid w:val="0013359B"/>
    <w:rsid w:val="001336DC"/>
    <w:rsid w:val="00133A17"/>
    <w:rsid w:val="00133BC2"/>
    <w:rsid w:val="00133CBE"/>
    <w:rsid w:val="001344EE"/>
    <w:rsid w:val="00134F55"/>
    <w:rsid w:val="00135042"/>
    <w:rsid w:val="001355D1"/>
    <w:rsid w:val="00135658"/>
    <w:rsid w:val="00135727"/>
    <w:rsid w:val="00135C1E"/>
    <w:rsid w:val="00136983"/>
    <w:rsid w:val="00137C89"/>
    <w:rsid w:val="00141652"/>
    <w:rsid w:val="00141B7D"/>
    <w:rsid w:val="00141F5F"/>
    <w:rsid w:val="001426DD"/>
    <w:rsid w:val="001433FE"/>
    <w:rsid w:val="00143AB8"/>
    <w:rsid w:val="001441BA"/>
    <w:rsid w:val="00144E09"/>
    <w:rsid w:val="00144E9E"/>
    <w:rsid w:val="001468C2"/>
    <w:rsid w:val="00146B0E"/>
    <w:rsid w:val="00147136"/>
    <w:rsid w:val="00147308"/>
    <w:rsid w:val="00147575"/>
    <w:rsid w:val="00147585"/>
    <w:rsid w:val="00147B9E"/>
    <w:rsid w:val="00147FEF"/>
    <w:rsid w:val="0015019D"/>
    <w:rsid w:val="001504D4"/>
    <w:rsid w:val="0015058F"/>
    <w:rsid w:val="00150A18"/>
    <w:rsid w:val="00151259"/>
    <w:rsid w:val="001519E4"/>
    <w:rsid w:val="001529C4"/>
    <w:rsid w:val="00152AD3"/>
    <w:rsid w:val="001530C7"/>
    <w:rsid w:val="00153444"/>
    <w:rsid w:val="00153A11"/>
    <w:rsid w:val="00153EAA"/>
    <w:rsid w:val="00155063"/>
    <w:rsid w:val="0015589D"/>
    <w:rsid w:val="00155BF6"/>
    <w:rsid w:val="00155F56"/>
    <w:rsid w:val="001569F8"/>
    <w:rsid w:val="001579AE"/>
    <w:rsid w:val="00157F5E"/>
    <w:rsid w:val="00160F7E"/>
    <w:rsid w:val="00161572"/>
    <w:rsid w:val="00161C6F"/>
    <w:rsid w:val="0016246A"/>
    <w:rsid w:val="0016319B"/>
    <w:rsid w:val="00163CD9"/>
    <w:rsid w:val="001645E7"/>
    <w:rsid w:val="00164642"/>
    <w:rsid w:val="00164D18"/>
    <w:rsid w:val="0016566E"/>
    <w:rsid w:val="001658FB"/>
    <w:rsid w:val="00165A9E"/>
    <w:rsid w:val="00165E7D"/>
    <w:rsid w:val="00166481"/>
    <w:rsid w:val="0016764F"/>
    <w:rsid w:val="00167779"/>
    <w:rsid w:val="00171017"/>
    <w:rsid w:val="00171682"/>
    <w:rsid w:val="00171B28"/>
    <w:rsid w:val="00171D33"/>
    <w:rsid w:val="00173DB0"/>
    <w:rsid w:val="001745D2"/>
    <w:rsid w:val="00174F1F"/>
    <w:rsid w:val="001755B0"/>
    <w:rsid w:val="00175C4F"/>
    <w:rsid w:val="00175DD4"/>
    <w:rsid w:val="00175EAB"/>
    <w:rsid w:val="00175F87"/>
    <w:rsid w:val="00176D6E"/>
    <w:rsid w:val="00177AF2"/>
    <w:rsid w:val="0018011D"/>
    <w:rsid w:val="00180384"/>
    <w:rsid w:val="00180B90"/>
    <w:rsid w:val="00181225"/>
    <w:rsid w:val="00181402"/>
    <w:rsid w:val="00181725"/>
    <w:rsid w:val="00181B91"/>
    <w:rsid w:val="0018212D"/>
    <w:rsid w:val="0018243E"/>
    <w:rsid w:val="00182DA3"/>
    <w:rsid w:val="00182ED1"/>
    <w:rsid w:val="00183A42"/>
    <w:rsid w:val="00183CD9"/>
    <w:rsid w:val="00183D64"/>
    <w:rsid w:val="00183FB9"/>
    <w:rsid w:val="001842ED"/>
    <w:rsid w:val="00184895"/>
    <w:rsid w:val="001848D6"/>
    <w:rsid w:val="00184BF9"/>
    <w:rsid w:val="001866A7"/>
    <w:rsid w:val="00186EEC"/>
    <w:rsid w:val="00187AEF"/>
    <w:rsid w:val="00187C99"/>
    <w:rsid w:val="00190AD2"/>
    <w:rsid w:val="001918C8"/>
    <w:rsid w:val="0019218B"/>
    <w:rsid w:val="00192BAA"/>
    <w:rsid w:val="001937B5"/>
    <w:rsid w:val="00193985"/>
    <w:rsid w:val="00193A3D"/>
    <w:rsid w:val="0019444D"/>
    <w:rsid w:val="0019449C"/>
    <w:rsid w:val="001944AC"/>
    <w:rsid w:val="00194BE1"/>
    <w:rsid w:val="00194BE8"/>
    <w:rsid w:val="00194E00"/>
    <w:rsid w:val="00195F00"/>
    <w:rsid w:val="001A07D1"/>
    <w:rsid w:val="001A1065"/>
    <w:rsid w:val="001A164B"/>
    <w:rsid w:val="001A2929"/>
    <w:rsid w:val="001A3920"/>
    <w:rsid w:val="001A447E"/>
    <w:rsid w:val="001A4824"/>
    <w:rsid w:val="001A482C"/>
    <w:rsid w:val="001A4F28"/>
    <w:rsid w:val="001A5200"/>
    <w:rsid w:val="001A5764"/>
    <w:rsid w:val="001A58EA"/>
    <w:rsid w:val="001A601C"/>
    <w:rsid w:val="001A663B"/>
    <w:rsid w:val="001A6A35"/>
    <w:rsid w:val="001A6D72"/>
    <w:rsid w:val="001A7309"/>
    <w:rsid w:val="001A79A3"/>
    <w:rsid w:val="001A7DE5"/>
    <w:rsid w:val="001B06A1"/>
    <w:rsid w:val="001B0BE7"/>
    <w:rsid w:val="001B1165"/>
    <w:rsid w:val="001B189F"/>
    <w:rsid w:val="001B19A8"/>
    <w:rsid w:val="001B1CD4"/>
    <w:rsid w:val="001B2E9E"/>
    <w:rsid w:val="001B35E0"/>
    <w:rsid w:val="001B3E7F"/>
    <w:rsid w:val="001B4272"/>
    <w:rsid w:val="001B461B"/>
    <w:rsid w:val="001B480B"/>
    <w:rsid w:val="001B48A7"/>
    <w:rsid w:val="001B5272"/>
    <w:rsid w:val="001B571E"/>
    <w:rsid w:val="001B5B1F"/>
    <w:rsid w:val="001B62A8"/>
    <w:rsid w:val="001B65AD"/>
    <w:rsid w:val="001B6780"/>
    <w:rsid w:val="001B68B4"/>
    <w:rsid w:val="001B76B0"/>
    <w:rsid w:val="001B76BE"/>
    <w:rsid w:val="001B7A4A"/>
    <w:rsid w:val="001B7A5B"/>
    <w:rsid w:val="001B7E65"/>
    <w:rsid w:val="001C0001"/>
    <w:rsid w:val="001C160A"/>
    <w:rsid w:val="001C1977"/>
    <w:rsid w:val="001C215C"/>
    <w:rsid w:val="001C2B16"/>
    <w:rsid w:val="001C3EBA"/>
    <w:rsid w:val="001C456E"/>
    <w:rsid w:val="001C48EB"/>
    <w:rsid w:val="001C4B29"/>
    <w:rsid w:val="001C4BBF"/>
    <w:rsid w:val="001C555C"/>
    <w:rsid w:val="001C649A"/>
    <w:rsid w:val="001C718B"/>
    <w:rsid w:val="001C7332"/>
    <w:rsid w:val="001C7DCC"/>
    <w:rsid w:val="001D0338"/>
    <w:rsid w:val="001D0B2E"/>
    <w:rsid w:val="001D11EF"/>
    <w:rsid w:val="001D163A"/>
    <w:rsid w:val="001D1E4D"/>
    <w:rsid w:val="001D24A7"/>
    <w:rsid w:val="001D24FB"/>
    <w:rsid w:val="001D2A6F"/>
    <w:rsid w:val="001D2BA9"/>
    <w:rsid w:val="001D2F47"/>
    <w:rsid w:val="001D2FF8"/>
    <w:rsid w:val="001D36D2"/>
    <w:rsid w:val="001D3757"/>
    <w:rsid w:val="001D383E"/>
    <w:rsid w:val="001D4050"/>
    <w:rsid w:val="001D48C1"/>
    <w:rsid w:val="001D4C2D"/>
    <w:rsid w:val="001D57E4"/>
    <w:rsid w:val="001D794A"/>
    <w:rsid w:val="001D7EAE"/>
    <w:rsid w:val="001E0315"/>
    <w:rsid w:val="001E0C8B"/>
    <w:rsid w:val="001E0CB2"/>
    <w:rsid w:val="001E1607"/>
    <w:rsid w:val="001E2CCE"/>
    <w:rsid w:val="001E3234"/>
    <w:rsid w:val="001E389E"/>
    <w:rsid w:val="001E416B"/>
    <w:rsid w:val="001E453B"/>
    <w:rsid w:val="001E45D2"/>
    <w:rsid w:val="001E4832"/>
    <w:rsid w:val="001E58E4"/>
    <w:rsid w:val="001E5E41"/>
    <w:rsid w:val="001E63C1"/>
    <w:rsid w:val="001E668D"/>
    <w:rsid w:val="001E684C"/>
    <w:rsid w:val="001E68F5"/>
    <w:rsid w:val="001E691E"/>
    <w:rsid w:val="001E6D4C"/>
    <w:rsid w:val="001E6D9E"/>
    <w:rsid w:val="001E73D7"/>
    <w:rsid w:val="001E73FA"/>
    <w:rsid w:val="001E78A1"/>
    <w:rsid w:val="001E792F"/>
    <w:rsid w:val="001E79D0"/>
    <w:rsid w:val="001E7D4B"/>
    <w:rsid w:val="001F0066"/>
    <w:rsid w:val="001F0AC0"/>
    <w:rsid w:val="001F0BB9"/>
    <w:rsid w:val="001F1A1E"/>
    <w:rsid w:val="001F1A92"/>
    <w:rsid w:val="001F1F57"/>
    <w:rsid w:val="001F217D"/>
    <w:rsid w:val="001F24A6"/>
    <w:rsid w:val="001F2AF2"/>
    <w:rsid w:val="001F396F"/>
    <w:rsid w:val="001F3DD9"/>
    <w:rsid w:val="001F41D0"/>
    <w:rsid w:val="001F4BFD"/>
    <w:rsid w:val="001F4F92"/>
    <w:rsid w:val="001F5A2A"/>
    <w:rsid w:val="001F5ADA"/>
    <w:rsid w:val="001F6159"/>
    <w:rsid w:val="001F68CD"/>
    <w:rsid w:val="001F6C0A"/>
    <w:rsid w:val="001F740C"/>
    <w:rsid w:val="001F78DB"/>
    <w:rsid w:val="002008C3"/>
    <w:rsid w:val="002010CA"/>
    <w:rsid w:val="002014C2"/>
    <w:rsid w:val="00201C4F"/>
    <w:rsid w:val="00201CD3"/>
    <w:rsid w:val="00202E1D"/>
    <w:rsid w:val="00203788"/>
    <w:rsid w:val="00203A23"/>
    <w:rsid w:val="00203DF0"/>
    <w:rsid w:val="00203F77"/>
    <w:rsid w:val="00204070"/>
    <w:rsid w:val="0020473E"/>
    <w:rsid w:val="0020520F"/>
    <w:rsid w:val="002053F1"/>
    <w:rsid w:val="002054E8"/>
    <w:rsid w:val="002055DA"/>
    <w:rsid w:val="00205C1D"/>
    <w:rsid w:val="0020630C"/>
    <w:rsid w:val="002065FA"/>
    <w:rsid w:val="00206C3F"/>
    <w:rsid w:val="00206F66"/>
    <w:rsid w:val="0020705B"/>
    <w:rsid w:val="002071D2"/>
    <w:rsid w:val="002073BC"/>
    <w:rsid w:val="0020792D"/>
    <w:rsid w:val="00207A52"/>
    <w:rsid w:val="00207AE7"/>
    <w:rsid w:val="00207EEB"/>
    <w:rsid w:val="0021095E"/>
    <w:rsid w:val="002112A1"/>
    <w:rsid w:val="00211708"/>
    <w:rsid w:val="00211909"/>
    <w:rsid w:val="00211A23"/>
    <w:rsid w:val="00211E0B"/>
    <w:rsid w:val="0021388F"/>
    <w:rsid w:val="00213B1D"/>
    <w:rsid w:val="002141AD"/>
    <w:rsid w:val="002142FC"/>
    <w:rsid w:val="002145B6"/>
    <w:rsid w:val="002202D3"/>
    <w:rsid w:val="0022055C"/>
    <w:rsid w:val="00220657"/>
    <w:rsid w:val="00220FB8"/>
    <w:rsid w:val="00221516"/>
    <w:rsid w:val="00221604"/>
    <w:rsid w:val="00221698"/>
    <w:rsid w:val="00221B06"/>
    <w:rsid w:val="00221ED8"/>
    <w:rsid w:val="00222AA0"/>
    <w:rsid w:val="002230D3"/>
    <w:rsid w:val="00223C06"/>
    <w:rsid w:val="00223E25"/>
    <w:rsid w:val="00224417"/>
    <w:rsid w:val="00224ECC"/>
    <w:rsid w:val="0022512B"/>
    <w:rsid w:val="002256BA"/>
    <w:rsid w:val="00225771"/>
    <w:rsid w:val="002257CC"/>
    <w:rsid w:val="002263EC"/>
    <w:rsid w:val="00227273"/>
    <w:rsid w:val="002272FC"/>
    <w:rsid w:val="00227A36"/>
    <w:rsid w:val="00230275"/>
    <w:rsid w:val="00230568"/>
    <w:rsid w:val="00230C75"/>
    <w:rsid w:val="00231A23"/>
    <w:rsid w:val="00231E37"/>
    <w:rsid w:val="00232234"/>
    <w:rsid w:val="002322B2"/>
    <w:rsid w:val="00232971"/>
    <w:rsid w:val="00232DBD"/>
    <w:rsid w:val="00232F32"/>
    <w:rsid w:val="00233035"/>
    <w:rsid w:val="002333D6"/>
    <w:rsid w:val="00233606"/>
    <w:rsid w:val="00233B65"/>
    <w:rsid w:val="002344FC"/>
    <w:rsid w:val="002354F8"/>
    <w:rsid w:val="0023597E"/>
    <w:rsid w:val="0023599C"/>
    <w:rsid w:val="00235C49"/>
    <w:rsid w:val="00236288"/>
    <w:rsid w:val="00236546"/>
    <w:rsid w:val="00236760"/>
    <w:rsid w:val="00236DA8"/>
    <w:rsid w:val="00237D37"/>
    <w:rsid w:val="00237FA9"/>
    <w:rsid w:val="002402B6"/>
    <w:rsid w:val="00241495"/>
    <w:rsid w:val="00241B52"/>
    <w:rsid w:val="00241BAE"/>
    <w:rsid w:val="002420FA"/>
    <w:rsid w:val="00243613"/>
    <w:rsid w:val="00243906"/>
    <w:rsid w:val="00243A2D"/>
    <w:rsid w:val="00243A47"/>
    <w:rsid w:val="00243D16"/>
    <w:rsid w:val="00245288"/>
    <w:rsid w:val="002454E6"/>
    <w:rsid w:val="00247441"/>
    <w:rsid w:val="00247734"/>
    <w:rsid w:val="002477D6"/>
    <w:rsid w:val="00247804"/>
    <w:rsid w:val="00247A0D"/>
    <w:rsid w:val="00247A8C"/>
    <w:rsid w:val="00247AFD"/>
    <w:rsid w:val="002501A9"/>
    <w:rsid w:val="002505D5"/>
    <w:rsid w:val="002513FC"/>
    <w:rsid w:val="0025166D"/>
    <w:rsid w:val="00251B9E"/>
    <w:rsid w:val="00252999"/>
    <w:rsid w:val="00252CA2"/>
    <w:rsid w:val="0025330B"/>
    <w:rsid w:val="00254A73"/>
    <w:rsid w:val="0025582F"/>
    <w:rsid w:val="00255EB2"/>
    <w:rsid w:val="002560D8"/>
    <w:rsid w:val="0025615B"/>
    <w:rsid w:val="002564D1"/>
    <w:rsid w:val="00256578"/>
    <w:rsid w:val="00256992"/>
    <w:rsid w:val="00257E92"/>
    <w:rsid w:val="00260714"/>
    <w:rsid w:val="00261A10"/>
    <w:rsid w:val="00261E6F"/>
    <w:rsid w:val="00261EB6"/>
    <w:rsid w:val="002631C2"/>
    <w:rsid w:val="002633BE"/>
    <w:rsid w:val="00263E20"/>
    <w:rsid w:val="002640B7"/>
    <w:rsid w:val="00264732"/>
    <w:rsid w:val="00264B64"/>
    <w:rsid w:val="00264EE5"/>
    <w:rsid w:val="002653B6"/>
    <w:rsid w:val="00265FC2"/>
    <w:rsid w:val="0026684F"/>
    <w:rsid w:val="00266861"/>
    <w:rsid w:val="002668D3"/>
    <w:rsid w:val="0026773F"/>
    <w:rsid w:val="00267A30"/>
    <w:rsid w:val="00267A31"/>
    <w:rsid w:val="0027012B"/>
    <w:rsid w:val="002701E8"/>
    <w:rsid w:val="00270555"/>
    <w:rsid w:val="002705EA"/>
    <w:rsid w:val="002706A7"/>
    <w:rsid w:val="00270CEC"/>
    <w:rsid w:val="00270EFB"/>
    <w:rsid w:val="00271621"/>
    <w:rsid w:val="00272559"/>
    <w:rsid w:val="00273C0E"/>
    <w:rsid w:val="002748AE"/>
    <w:rsid w:val="00274E0C"/>
    <w:rsid w:val="00275340"/>
    <w:rsid w:val="00276D86"/>
    <w:rsid w:val="00276FF1"/>
    <w:rsid w:val="0028022D"/>
    <w:rsid w:val="002806CD"/>
    <w:rsid w:val="00280ADF"/>
    <w:rsid w:val="00280CE6"/>
    <w:rsid w:val="00280E95"/>
    <w:rsid w:val="002811B0"/>
    <w:rsid w:val="002812CF"/>
    <w:rsid w:val="00281B56"/>
    <w:rsid w:val="0028239D"/>
    <w:rsid w:val="00282745"/>
    <w:rsid w:val="00282A5D"/>
    <w:rsid w:val="00282CC9"/>
    <w:rsid w:val="00282F61"/>
    <w:rsid w:val="00282FA7"/>
    <w:rsid w:val="00283183"/>
    <w:rsid w:val="00284200"/>
    <w:rsid w:val="002844FF"/>
    <w:rsid w:val="0028508F"/>
    <w:rsid w:val="002854EF"/>
    <w:rsid w:val="002856DF"/>
    <w:rsid w:val="00285731"/>
    <w:rsid w:val="00285C02"/>
    <w:rsid w:val="00286527"/>
    <w:rsid w:val="00286962"/>
    <w:rsid w:val="00286992"/>
    <w:rsid w:val="00286A25"/>
    <w:rsid w:val="00286B8D"/>
    <w:rsid w:val="00286DEB"/>
    <w:rsid w:val="00287651"/>
    <w:rsid w:val="00287DDE"/>
    <w:rsid w:val="002902F1"/>
    <w:rsid w:val="00290CBF"/>
    <w:rsid w:val="00291417"/>
    <w:rsid w:val="00292355"/>
    <w:rsid w:val="0029287A"/>
    <w:rsid w:val="00292FE6"/>
    <w:rsid w:val="0029328F"/>
    <w:rsid w:val="0029355C"/>
    <w:rsid w:val="002940F9"/>
    <w:rsid w:val="0029520A"/>
    <w:rsid w:val="00295697"/>
    <w:rsid w:val="00295B5D"/>
    <w:rsid w:val="0029604E"/>
    <w:rsid w:val="0029650F"/>
    <w:rsid w:val="00296948"/>
    <w:rsid w:val="00297BF1"/>
    <w:rsid w:val="00297D3D"/>
    <w:rsid w:val="00297E9E"/>
    <w:rsid w:val="00297F1E"/>
    <w:rsid w:val="002A0082"/>
    <w:rsid w:val="002A0552"/>
    <w:rsid w:val="002A06DE"/>
    <w:rsid w:val="002A1679"/>
    <w:rsid w:val="002A17D6"/>
    <w:rsid w:val="002A1F17"/>
    <w:rsid w:val="002A2279"/>
    <w:rsid w:val="002A28B1"/>
    <w:rsid w:val="002A2937"/>
    <w:rsid w:val="002A2D90"/>
    <w:rsid w:val="002A31A3"/>
    <w:rsid w:val="002A3450"/>
    <w:rsid w:val="002A3A62"/>
    <w:rsid w:val="002A4079"/>
    <w:rsid w:val="002A445D"/>
    <w:rsid w:val="002A4667"/>
    <w:rsid w:val="002A46D6"/>
    <w:rsid w:val="002A4B22"/>
    <w:rsid w:val="002A4CFB"/>
    <w:rsid w:val="002A5276"/>
    <w:rsid w:val="002A60BD"/>
    <w:rsid w:val="002A706D"/>
    <w:rsid w:val="002A77B5"/>
    <w:rsid w:val="002B0534"/>
    <w:rsid w:val="002B0775"/>
    <w:rsid w:val="002B0C1D"/>
    <w:rsid w:val="002B1245"/>
    <w:rsid w:val="002B1835"/>
    <w:rsid w:val="002B25DC"/>
    <w:rsid w:val="002B29AB"/>
    <w:rsid w:val="002B2D52"/>
    <w:rsid w:val="002B33D1"/>
    <w:rsid w:val="002B3F57"/>
    <w:rsid w:val="002B48A1"/>
    <w:rsid w:val="002B4ACE"/>
    <w:rsid w:val="002B4BE1"/>
    <w:rsid w:val="002B4FE0"/>
    <w:rsid w:val="002B5103"/>
    <w:rsid w:val="002B520E"/>
    <w:rsid w:val="002B593E"/>
    <w:rsid w:val="002B59BC"/>
    <w:rsid w:val="002B5BE9"/>
    <w:rsid w:val="002B6C82"/>
    <w:rsid w:val="002B70D5"/>
    <w:rsid w:val="002B738A"/>
    <w:rsid w:val="002B7978"/>
    <w:rsid w:val="002B7E11"/>
    <w:rsid w:val="002C06ED"/>
    <w:rsid w:val="002C1255"/>
    <w:rsid w:val="002C1566"/>
    <w:rsid w:val="002C1B80"/>
    <w:rsid w:val="002C1F2D"/>
    <w:rsid w:val="002C1FF8"/>
    <w:rsid w:val="002C3C7D"/>
    <w:rsid w:val="002C4053"/>
    <w:rsid w:val="002C4512"/>
    <w:rsid w:val="002C45B7"/>
    <w:rsid w:val="002C4FB2"/>
    <w:rsid w:val="002C541F"/>
    <w:rsid w:val="002C5963"/>
    <w:rsid w:val="002C596E"/>
    <w:rsid w:val="002C5DFF"/>
    <w:rsid w:val="002C5EBE"/>
    <w:rsid w:val="002C5FB0"/>
    <w:rsid w:val="002C610A"/>
    <w:rsid w:val="002C616D"/>
    <w:rsid w:val="002C62D6"/>
    <w:rsid w:val="002C6339"/>
    <w:rsid w:val="002C66A8"/>
    <w:rsid w:val="002C6A7C"/>
    <w:rsid w:val="002C7334"/>
    <w:rsid w:val="002C7709"/>
    <w:rsid w:val="002D0B15"/>
    <w:rsid w:val="002D0C97"/>
    <w:rsid w:val="002D24AE"/>
    <w:rsid w:val="002D2A4C"/>
    <w:rsid w:val="002D30C7"/>
    <w:rsid w:val="002D3611"/>
    <w:rsid w:val="002D39E0"/>
    <w:rsid w:val="002D42BE"/>
    <w:rsid w:val="002D454E"/>
    <w:rsid w:val="002D500E"/>
    <w:rsid w:val="002D5086"/>
    <w:rsid w:val="002D512A"/>
    <w:rsid w:val="002D5BDC"/>
    <w:rsid w:val="002E0041"/>
    <w:rsid w:val="002E0571"/>
    <w:rsid w:val="002E0E60"/>
    <w:rsid w:val="002E0FF5"/>
    <w:rsid w:val="002E16B9"/>
    <w:rsid w:val="002E1B90"/>
    <w:rsid w:val="002E1E39"/>
    <w:rsid w:val="002E291B"/>
    <w:rsid w:val="002E2B4E"/>
    <w:rsid w:val="002E324C"/>
    <w:rsid w:val="002E391D"/>
    <w:rsid w:val="002E3A7F"/>
    <w:rsid w:val="002E46CB"/>
    <w:rsid w:val="002E4D79"/>
    <w:rsid w:val="002E54E6"/>
    <w:rsid w:val="002E54F7"/>
    <w:rsid w:val="002E5FCA"/>
    <w:rsid w:val="002E6AB5"/>
    <w:rsid w:val="002E74EE"/>
    <w:rsid w:val="002E79F7"/>
    <w:rsid w:val="002E7E66"/>
    <w:rsid w:val="002F03D1"/>
    <w:rsid w:val="002F05A9"/>
    <w:rsid w:val="002F13D4"/>
    <w:rsid w:val="002F1914"/>
    <w:rsid w:val="002F196C"/>
    <w:rsid w:val="002F1A91"/>
    <w:rsid w:val="002F271F"/>
    <w:rsid w:val="002F29FE"/>
    <w:rsid w:val="002F2E23"/>
    <w:rsid w:val="002F55DD"/>
    <w:rsid w:val="002F5762"/>
    <w:rsid w:val="002F584E"/>
    <w:rsid w:val="002F586B"/>
    <w:rsid w:val="002F5988"/>
    <w:rsid w:val="002F62E6"/>
    <w:rsid w:val="002F660E"/>
    <w:rsid w:val="002F6F90"/>
    <w:rsid w:val="002F71C4"/>
    <w:rsid w:val="002F7564"/>
    <w:rsid w:val="003008F2"/>
    <w:rsid w:val="00300B43"/>
    <w:rsid w:val="00301395"/>
    <w:rsid w:val="00301691"/>
    <w:rsid w:val="0030171D"/>
    <w:rsid w:val="00302C43"/>
    <w:rsid w:val="00302EA8"/>
    <w:rsid w:val="00303714"/>
    <w:rsid w:val="00303DFA"/>
    <w:rsid w:val="0030463F"/>
    <w:rsid w:val="00304A16"/>
    <w:rsid w:val="003060FB"/>
    <w:rsid w:val="003061F0"/>
    <w:rsid w:val="003065EB"/>
    <w:rsid w:val="00306821"/>
    <w:rsid w:val="00306A28"/>
    <w:rsid w:val="00306CED"/>
    <w:rsid w:val="00307089"/>
    <w:rsid w:val="00307299"/>
    <w:rsid w:val="00310273"/>
    <w:rsid w:val="00311840"/>
    <w:rsid w:val="003135C0"/>
    <w:rsid w:val="00313968"/>
    <w:rsid w:val="00313BA7"/>
    <w:rsid w:val="0031446D"/>
    <w:rsid w:val="00314558"/>
    <w:rsid w:val="00315977"/>
    <w:rsid w:val="003165D4"/>
    <w:rsid w:val="003173DA"/>
    <w:rsid w:val="003174BD"/>
    <w:rsid w:val="00317CD3"/>
    <w:rsid w:val="00317D65"/>
    <w:rsid w:val="00320174"/>
    <w:rsid w:val="003211C5"/>
    <w:rsid w:val="00321595"/>
    <w:rsid w:val="00323475"/>
    <w:rsid w:val="00323518"/>
    <w:rsid w:val="003235E8"/>
    <w:rsid w:val="00323ED7"/>
    <w:rsid w:val="00324328"/>
    <w:rsid w:val="00325610"/>
    <w:rsid w:val="00325A25"/>
    <w:rsid w:val="00326274"/>
    <w:rsid w:val="00326719"/>
    <w:rsid w:val="00326C66"/>
    <w:rsid w:val="003275F1"/>
    <w:rsid w:val="00327B06"/>
    <w:rsid w:val="00330263"/>
    <w:rsid w:val="00330FFE"/>
    <w:rsid w:val="003319DD"/>
    <w:rsid w:val="0033247B"/>
    <w:rsid w:val="00333E78"/>
    <w:rsid w:val="0033459D"/>
    <w:rsid w:val="0033466E"/>
    <w:rsid w:val="00334C15"/>
    <w:rsid w:val="00334D28"/>
    <w:rsid w:val="00335A64"/>
    <w:rsid w:val="00335B83"/>
    <w:rsid w:val="00336C97"/>
    <w:rsid w:val="00336FCE"/>
    <w:rsid w:val="0033700B"/>
    <w:rsid w:val="0033740F"/>
    <w:rsid w:val="00337653"/>
    <w:rsid w:val="00337885"/>
    <w:rsid w:val="00337CCB"/>
    <w:rsid w:val="003411FB"/>
    <w:rsid w:val="0034133D"/>
    <w:rsid w:val="00341F93"/>
    <w:rsid w:val="003422CC"/>
    <w:rsid w:val="003426E4"/>
    <w:rsid w:val="003432D5"/>
    <w:rsid w:val="00344C4A"/>
    <w:rsid w:val="0034549B"/>
    <w:rsid w:val="00345BDA"/>
    <w:rsid w:val="00346ADF"/>
    <w:rsid w:val="00346E29"/>
    <w:rsid w:val="00347316"/>
    <w:rsid w:val="00347457"/>
    <w:rsid w:val="00347BCC"/>
    <w:rsid w:val="00350CE5"/>
    <w:rsid w:val="00351258"/>
    <w:rsid w:val="0035154B"/>
    <w:rsid w:val="003518EF"/>
    <w:rsid w:val="0035229C"/>
    <w:rsid w:val="00352670"/>
    <w:rsid w:val="0035336F"/>
    <w:rsid w:val="003539A6"/>
    <w:rsid w:val="00354510"/>
    <w:rsid w:val="0035533B"/>
    <w:rsid w:val="00355810"/>
    <w:rsid w:val="003564CB"/>
    <w:rsid w:val="00356B7D"/>
    <w:rsid w:val="00356C66"/>
    <w:rsid w:val="003570EC"/>
    <w:rsid w:val="00357F64"/>
    <w:rsid w:val="00360011"/>
    <w:rsid w:val="00360D8E"/>
    <w:rsid w:val="0036124F"/>
    <w:rsid w:val="00361537"/>
    <w:rsid w:val="0036192A"/>
    <w:rsid w:val="00361C7A"/>
    <w:rsid w:val="003624E5"/>
    <w:rsid w:val="00362548"/>
    <w:rsid w:val="003634E8"/>
    <w:rsid w:val="003637BB"/>
    <w:rsid w:val="003637C9"/>
    <w:rsid w:val="00363867"/>
    <w:rsid w:val="00363F69"/>
    <w:rsid w:val="003640D1"/>
    <w:rsid w:val="00364606"/>
    <w:rsid w:val="003652CE"/>
    <w:rsid w:val="003653A0"/>
    <w:rsid w:val="00365903"/>
    <w:rsid w:val="00366026"/>
    <w:rsid w:val="0036604E"/>
    <w:rsid w:val="00366859"/>
    <w:rsid w:val="00366983"/>
    <w:rsid w:val="00366B32"/>
    <w:rsid w:val="00366BC2"/>
    <w:rsid w:val="00367CD1"/>
    <w:rsid w:val="00367E2A"/>
    <w:rsid w:val="00370481"/>
    <w:rsid w:val="00370E6F"/>
    <w:rsid w:val="00371092"/>
    <w:rsid w:val="0037115E"/>
    <w:rsid w:val="00371196"/>
    <w:rsid w:val="003715A0"/>
    <w:rsid w:val="00371894"/>
    <w:rsid w:val="00371BF4"/>
    <w:rsid w:val="00371D47"/>
    <w:rsid w:val="00373044"/>
    <w:rsid w:val="0037310D"/>
    <w:rsid w:val="00373721"/>
    <w:rsid w:val="003738A8"/>
    <w:rsid w:val="00374646"/>
    <w:rsid w:val="00375032"/>
    <w:rsid w:val="003755DF"/>
    <w:rsid w:val="00375F55"/>
    <w:rsid w:val="003769E5"/>
    <w:rsid w:val="00376FAE"/>
    <w:rsid w:val="0037709C"/>
    <w:rsid w:val="00377130"/>
    <w:rsid w:val="0037750C"/>
    <w:rsid w:val="00377C5F"/>
    <w:rsid w:val="00377D8F"/>
    <w:rsid w:val="00380502"/>
    <w:rsid w:val="0038058B"/>
    <w:rsid w:val="003808DA"/>
    <w:rsid w:val="0038145B"/>
    <w:rsid w:val="00382976"/>
    <w:rsid w:val="00382BBC"/>
    <w:rsid w:val="00382FBD"/>
    <w:rsid w:val="0038314C"/>
    <w:rsid w:val="0038395C"/>
    <w:rsid w:val="00383BEB"/>
    <w:rsid w:val="00383F1A"/>
    <w:rsid w:val="0038445D"/>
    <w:rsid w:val="00384717"/>
    <w:rsid w:val="003857F0"/>
    <w:rsid w:val="00385F8C"/>
    <w:rsid w:val="003861AF"/>
    <w:rsid w:val="003862F0"/>
    <w:rsid w:val="00386B01"/>
    <w:rsid w:val="00387118"/>
    <w:rsid w:val="003873A4"/>
    <w:rsid w:val="00387654"/>
    <w:rsid w:val="003879E9"/>
    <w:rsid w:val="00387A0E"/>
    <w:rsid w:val="00387D65"/>
    <w:rsid w:val="00390044"/>
    <w:rsid w:val="00391821"/>
    <w:rsid w:val="00391B34"/>
    <w:rsid w:val="003920DE"/>
    <w:rsid w:val="003921D0"/>
    <w:rsid w:val="00392434"/>
    <w:rsid w:val="003929D8"/>
    <w:rsid w:val="00393398"/>
    <w:rsid w:val="003933AB"/>
    <w:rsid w:val="00393A72"/>
    <w:rsid w:val="00395031"/>
    <w:rsid w:val="003952F1"/>
    <w:rsid w:val="00395544"/>
    <w:rsid w:val="003955FA"/>
    <w:rsid w:val="003957E2"/>
    <w:rsid w:val="003964D2"/>
    <w:rsid w:val="00396FF7"/>
    <w:rsid w:val="00397AD4"/>
    <w:rsid w:val="00397C74"/>
    <w:rsid w:val="003A00C2"/>
    <w:rsid w:val="003A04B9"/>
    <w:rsid w:val="003A0501"/>
    <w:rsid w:val="003A0FD6"/>
    <w:rsid w:val="003A1E97"/>
    <w:rsid w:val="003A21C5"/>
    <w:rsid w:val="003A27CD"/>
    <w:rsid w:val="003A2895"/>
    <w:rsid w:val="003A2FA5"/>
    <w:rsid w:val="003A364D"/>
    <w:rsid w:val="003A3AEE"/>
    <w:rsid w:val="003A4602"/>
    <w:rsid w:val="003A4B77"/>
    <w:rsid w:val="003A521C"/>
    <w:rsid w:val="003A523F"/>
    <w:rsid w:val="003A5587"/>
    <w:rsid w:val="003A5F72"/>
    <w:rsid w:val="003A61A5"/>
    <w:rsid w:val="003A6213"/>
    <w:rsid w:val="003A678F"/>
    <w:rsid w:val="003A6939"/>
    <w:rsid w:val="003A6C7D"/>
    <w:rsid w:val="003A6E50"/>
    <w:rsid w:val="003A78E6"/>
    <w:rsid w:val="003B09A2"/>
    <w:rsid w:val="003B0AC7"/>
    <w:rsid w:val="003B0E12"/>
    <w:rsid w:val="003B0F9A"/>
    <w:rsid w:val="003B1447"/>
    <w:rsid w:val="003B21F7"/>
    <w:rsid w:val="003B23D8"/>
    <w:rsid w:val="003B32FC"/>
    <w:rsid w:val="003B3B2E"/>
    <w:rsid w:val="003B3FF1"/>
    <w:rsid w:val="003B42BC"/>
    <w:rsid w:val="003B4E0F"/>
    <w:rsid w:val="003B54C8"/>
    <w:rsid w:val="003B5B51"/>
    <w:rsid w:val="003B699F"/>
    <w:rsid w:val="003B6CDF"/>
    <w:rsid w:val="003B7717"/>
    <w:rsid w:val="003C1E0F"/>
    <w:rsid w:val="003C1FEE"/>
    <w:rsid w:val="003C21D3"/>
    <w:rsid w:val="003C30C4"/>
    <w:rsid w:val="003C3550"/>
    <w:rsid w:val="003C39B6"/>
    <w:rsid w:val="003C3C48"/>
    <w:rsid w:val="003C3F82"/>
    <w:rsid w:val="003C4974"/>
    <w:rsid w:val="003C668A"/>
    <w:rsid w:val="003C6695"/>
    <w:rsid w:val="003C6B59"/>
    <w:rsid w:val="003C6C3A"/>
    <w:rsid w:val="003C6E4B"/>
    <w:rsid w:val="003C7D04"/>
    <w:rsid w:val="003D0A7A"/>
    <w:rsid w:val="003D0BF4"/>
    <w:rsid w:val="003D138C"/>
    <w:rsid w:val="003D167A"/>
    <w:rsid w:val="003D2077"/>
    <w:rsid w:val="003D2549"/>
    <w:rsid w:val="003D2874"/>
    <w:rsid w:val="003D2AEE"/>
    <w:rsid w:val="003D2B47"/>
    <w:rsid w:val="003D2C17"/>
    <w:rsid w:val="003D3350"/>
    <w:rsid w:val="003D3386"/>
    <w:rsid w:val="003D3B02"/>
    <w:rsid w:val="003D43EB"/>
    <w:rsid w:val="003D4CF9"/>
    <w:rsid w:val="003D5D9E"/>
    <w:rsid w:val="003D5FA9"/>
    <w:rsid w:val="003D77B4"/>
    <w:rsid w:val="003D7BCD"/>
    <w:rsid w:val="003E0084"/>
    <w:rsid w:val="003E0CEF"/>
    <w:rsid w:val="003E177A"/>
    <w:rsid w:val="003E1793"/>
    <w:rsid w:val="003E1DB6"/>
    <w:rsid w:val="003E20A2"/>
    <w:rsid w:val="003E2779"/>
    <w:rsid w:val="003E298D"/>
    <w:rsid w:val="003E2EAB"/>
    <w:rsid w:val="003E425C"/>
    <w:rsid w:val="003E466F"/>
    <w:rsid w:val="003E4AEB"/>
    <w:rsid w:val="003E582E"/>
    <w:rsid w:val="003E5E47"/>
    <w:rsid w:val="003E71FF"/>
    <w:rsid w:val="003E75B3"/>
    <w:rsid w:val="003E7636"/>
    <w:rsid w:val="003E79F3"/>
    <w:rsid w:val="003F0379"/>
    <w:rsid w:val="003F0EB8"/>
    <w:rsid w:val="003F1244"/>
    <w:rsid w:val="003F12C5"/>
    <w:rsid w:val="003F1D52"/>
    <w:rsid w:val="003F247B"/>
    <w:rsid w:val="003F2543"/>
    <w:rsid w:val="003F31C8"/>
    <w:rsid w:val="003F327E"/>
    <w:rsid w:val="003F36CA"/>
    <w:rsid w:val="003F3789"/>
    <w:rsid w:val="003F40F6"/>
    <w:rsid w:val="003F4E76"/>
    <w:rsid w:val="003F5954"/>
    <w:rsid w:val="003F59E1"/>
    <w:rsid w:val="003F66C4"/>
    <w:rsid w:val="003F6D54"/>
    <w:rsid w:val="003F709A"/>
    <w:rsid w:val="003F77EA"/>
    <w:rsid w:val="003F7927"/>
    <w:rsid w:val="003F7E17"/>
    <w:rsid w:val="004007A1"/>
    <w:rsid w:val="00401044"/>
    <w:rsid w:val="00401592"/>
    <w:rsid w:val="00401CFF"/>
    <w:rsid w:val="00401DFC"/>
    <w:rsid w:val="00401FCB"/>
    <w:rsid w:val="00402643"/>
    <w:rsid w:val="00402B73"/>
    <w:rsid w:val="00402F5B"/>
    <w:rsid w:val="00403262"/>
    <w:rsid w:val="004035F3"/>
    <w:rsid w:val="00403FB0"/>
    <w:rsid w:val="00404F7D"/>
    <w:rsid w:val="0040538C"/>
    <w:rsid w:val="00405668"/>
    <w:rsid w:val="00405F08"/>
    <w:rsid w:val="004060BE"/>
    <w:rsid w:val="00406FE3"/>
    <w:rsid w:val="00410444"/>
    <w:rsid w:val="00410562"/>
    <w:rsid w:val="00410963"/>
    <w:rsid w:val="00410E09"/>
    <w:rsid w:val="00410F0E"/>
    <w:rsid w:val="00411044"/>
    <w:rsid w:val="004110EC"/>
    <w:rsid w:val="00411527"/>
    <w:rsid w:val="00411630"/>
    <w:rsid w:val="004117CE"/>
    <w:rsid w:val="004123A2"/>
    <w:rsid w:val="0041314B"/>
    <w:rsid w:val="0041378F"/>
    <w:rsid w:val="004139C8"/>
    <w:rsid w:val="00413AA2"/>
    <w:rsid w:val="004145B5"/>
    <w:rsid w:val="00414801"/>
    <w:rsid w:val="00414922"/>
    <w:rsid w:val="00415138"/>
    <w:rsid w:val="00415645"/>
    <w:rsid w:val="00415F77"/>
    <w:rsid w:val="00416341"/>
    <w:rsid w:val="004163D3"/>
    <w:rsid w:val="00416B49"/>
    <w:rsid w:val="004173DA"/>
    <w:rsid w:val="00417433"/>
    <w:rsid w:val="00417569"/>
    <w:rsid w:val="00417F82"/>
    <w:rsid w:val="00420B57"/>
    <w:rsid w:val="00420E03"/>
    <w:rsid w:val="004218DF"/>
    <w:rsid w:val="0042198F"/>
    <w:rsid w:val="004219C5"/>
    <w:rsid w:val="00421C51"/>
    <w:rsid w:val="00421CCE"/>
    <w:rsid w:val="00421EE2"/>
    <w:rsid w:val="004228A6"/>
    <w:rsid w:val="00422CFF"/>
    <w:rsid w:val="0042309E"/>
    <w:rsid w:val="00423150"/>
    <w:rsid w:val="004232AD"/>
    <w:rsid w:val="00423348"/>
    <w:rsid w:val="00423EA0"/>
    <w:rsid w:val="004240B5"/>
    <w:rsid w:val="00424323"/>
    <w:rsid w:val="004245EB"/>
    <w:rsid w:val="0042481C"/>
    <w:rsid w:val="004249DB"/>
    <w:rsid w:val="00424DE4"/>
    <w:rsid w:val="0042576A"/>
    <w:rsid w:val="00425BA9"/>
    <w:rsid w:val="00426241"/>
    <w:rsid w:val="00426C29"/>
    <w:rsid w:val="00426C9B"/>
    <w:rsid w:val="004270B8"/>
    <w:rsid w:val="00427755"/>
    <w:rsid w:val="0043045F"/>
    <w:rsid w:val="00430D48"/>
    <w:rsid w:val="004311BC"/>
    <w:rsid w:val="00431337"/>
    <w:rsid w:val="0043145D"/>
    <w:rsid w:val="0043187C"/>
    <w:rsid w:val="00431D15"/>
    <w:rsid w:val="00431F30"/>
    <w:rsid w:val="00432127"/>
    <w:rsid w:val="004329C9"/>
    <w:rsid w:val="00432A86"/>
    <w:rsid w:val="0043303A"/>
    <w:rsid w:val="00433FFC"/>
    <w:rsid w:val="004340F7"/>
    <w:rsid w:val="00434775"/>
    <w:rsid w:val="00434F47"/>
    <w:rsid w:val="00435138"/>
    <w:rsid w:val="004360FE"/>
    <w:rsid w:val="00436F99"/>
    <w:rsid w:val="00436FAE"/>
    <w:rsid w:val="00437752"/>
    <w:rsid w:val="004378C7"/>
    <w:rsid w:val="00437C41"/>
    <w:rsid w:val="00440984"/>
    <w:rsid w:val="004409DB"/>
    <w:rsid w:val="00441288"/>
    <w:rsid w:val="004412F2"/>
    <w:rsid w:val="00441627"/>
    <w:rsid w:val="0044274D"/>
    <w:rsid w:val="00442943"/>
    <w:rsid w:val="00443BAF"/>
    <w:rsid w:val="00443FE6"/>
    <w:rsid w:val="00445147"/>
    <w:rsid w:val="00445900"/>
    <w:rsid w:val="00445CBB"/>
    <w:rsid w:val="00445E50"/>
    <w:rsid w:val="004469C7"/>
    <w:rsid w:val="00446AA2"/>
    <w:rsid w:val="00446B25"/>
    <w:rsid w:val="00446B75"/>
    <w:rsid w:val="00446DA7"/>
    <w:rsid w:val="00447180"/>
    <w:rsid w:val="0044736D"/>
    <w:rsid w:val="00447586"/>
    <w:rsid w:val="00447728"/>
    <w:rsid w:val="0045029D"/>
    <w:rsid w:val="00450781"/>
    <w:rsid w:val="00450883"/>
    <w:rsid w:val="004508AB"/>
    <w:rsid w:val="0045093D"/>
    <w:rsid w:val="00450C45"/>
    <w:rsid w:val="004512E1"/>
    <w:rsid w:val="00452AB7"/>
    <w:rsid w:val="00452ACB"/>
    <w:rsid w:val="00452CBF"/>
    <w:rsid w:val="0045393E"/>
    <w:rsid w:val="00453B6A"/>
    <w:rsid w:val="00454860"/>
    <w:rsid w:val="00454A54"/>
    <w:rsid w:val="004550FC"/>
    <w:rsid w:val="0045581D"/>
    <w:rsid w:val="00456329"/>
    <w:rsid w:val="004566B8"/>
    <w:rsid w:val="00456AEA"/>
    <w:rsid w:val="00456FCA"/>
    <w:rsid w:val="00457435"/>
    <w:rsid w:val="00457B47"/>
    <w:rsid w:val="00457D3E"/>
    <w:rsid w:val="0046154A"/>
    <w:rsid w:val="00462094"/>
    <w:rsid w:val="00462BF9"/>
    <w:rsid w:val="00462E1E"/>
    <w:rsid w:val="00463376"/>
    <w:rsid w:val="004638F2"/>
    <w:rsid w:val="00463ED9"/>
    <w:rsid w:val="00464118"/>
    <w:rsid w:val="004641C2"/>
    <w:rsid w:val="00464329"/>
    <w:rsid w:val="004649BF"/>
    <w:rsid w:val="0046500E"/>
    <w:rsid w:val="00465B7F"/>
    <w:rsid w:val="00465DAF"/>
    <w:rsid w:val="00466BA1"/>
    <w:rsid w:val="004670E4"/>
    <w:rsid w:val="0046732E"/>
    <w:rsid w:val="00467C0B"/>
    <w:rsid w:val="004702F1"/>
    <w:rsid w:val="004707B3"/>
    <w:rsid w:val="00470B51"/>
    <w:rsid w:val="00470CEF"/>
    <w:rsid w:val="0047192C"/>
    <w:rsid w:val="00471A12"/>
    <w:rsid w:val="00471CBB"/>
    <w:rsid w:val="00472F4E"/>
    <w:rsid w:val="00474B53"/>
    <w:rsid w:val="00474B60"/>
    <w:rsid w:val="004751E9"/>
    <w:rsid w:val="004753F9"/>
    <w:rsid w:val="00476545"/>
    <w:rsid w:val="0047654A"/>
    <w:rsid w:val="0047696E"/>
    <w:rsid w:val="004776B3"/>
    <w:rsid w:val="00477F42"/>
    <w:rsid w:val="00480446"/>
    <w:rsid w:val="00480AAF"/>
    <w:rsid w:val="00480BF6"/>
    <w:rsid w:val="0048142A"/>
    <w:rsid w:val="004814C4"/>
    <w:rsid w:val="00481547"/>
    <w:rsid w:val="00482B06"/>
    <w:rsid w:val="004830A7"/>
    <w:rsid w:val="004839B9"/>
    <w:rsid w:val="00483CE2"/>
    <w:rsid w:val="00483F2C"/>
    <w:rsid w:val="00484687"/>
    <w:rsid w:val="00484F1B"/>
    <w:rsid w:val="00484FCC"/>
    <w:rsid w:val="004850D2"/>
    <w:rsid w:val="00485A80"/>
    <w:rsid w:val="00485E1A"/>
    <w:rsid w:val="00485FED"/>
    <w:rsid w:val="00486073"/>
    <w:rsid w:val="004868FA"/>
    <w:rsid w:val="00487E12"/>
    <w:rsid w:val="004907BB"/>
    <w:rsid w:val="004907D9"/>
    <w:rsid w:val="00491140"/>
    <w:rsid w:val="00491675"/>
    <w:rsid w:val="00491BE0"/>
    <w:rsid w:val="00492821"/>
    <w:rsid w:val="004931F3"/>
    <w:rsid w:val="00493351"/>
    <w:rsid w:val="00493895"/>
    <w:rsid w:val="00493A7D"/>
    <w:rsid w:val="00493E48"/>
    <w:rsid w:val="00493FDA"/>
    <w:rsid w:val="004947A7"/>
    <w:rsid w:val="00494B0F"/>
    <w:rsid w:val="00494D7D"/>
    <w:rsid w:val="00495715"/>
    <w:rsid w:val="004957E9"/>
    <w:rsid w:val="0049594C"/>
    <w:rsid w:val="00495AA8"/>
    <w:rsid w:val="00495B29"/>
    <w:rsid w:val="00495EFD"/>
    <w:rsid w:val="004964DF"/>
    <w:rsid w:val="004966AD"/>
    <w:rsid w:val="00497DD3"/>
    <w:rsid w:val="00497E3E"/>
    <w:rsid w:val="00497F32"/>
    <w:rsid w:val="004A017B"/>
    <w:rsid w:val="004A0534"/>
    <w:rsid w:val="004A0ADF"/>
    <w:rsid w:val="004A124C"/>
    <w:rsid w:val="004A1717"/>
    <w:rsid w:val="004A2DEB"/>
    <w:rsid w:val="004A2E8F"/>
    <w:rsid w:val="004A363D"/>
    <w:rsid w:val="004A3BB1"/>
    <w:rsid w:val="004A3BD3"/>
    <w:rsid w:val="004A4310"/>
    <w:rsid w:val="004A43A8"/>
    <w:rsid w:val="004A482D"/>
    <w:rsid w:val="004A4AEB"/>
    <w:rsid w:val="004A4FC0"/>
    <w:rsid w:val="004A4FD6"/>
    <w:rsid w:val="004A52DD"/>
    <w:rsid w:val="004A5A3E"/>
    <w:rsid w:val="004A6ED0"/>
    <w:rsid w:val="004A7344"/>
    <w:rsid w:val="004B022C"/>
    <w:rsid w:val="004B04D2"/>
    <w:rsid w:val="004B16DD"/>
    <w:rsid w:val="004B172D"/>
    <w:rsid w:val="004B2913"/>
    <w:rsid w:val="004B3999"/>
    <w:rsid w:val="004B4069"/>
    <w:rsid w:val="004B45EC"/>
    <w:rsid w:val="004B4AF0"/>
    <w:rsid w:val="004B583B"/>
    <w:rsid w:val="004B775F"/>
    <w:rsid w:val="004B784C"/>
    <w:rsid w:val="004C0A38"/>
    <w:rsid w:val="004C1496"/>
    <w:rsid w:val="004C15A4"/>
    <w:rsid w:val="004C1B38"/>
    <w:rsid w:val="004C1EC8"/>
    <w:rsid w:val="004C2048"/>
    <w:rsid w:val="004C25B7"/>
    <w:rsid w:val="004C287D"/>
    <w:rsid w:val="004C2AA2"/>
    <w:rsid w:val="004C2DB1"/>
    <w:rsid w:val="004C32C7"/>
    <w:rsid w:val="004C33C8"/>
    <w:rsid w:val="004C3BD3"/>
    <w:rsid w:val="004C3ED4"/>
    <w:rsid w:val="004C42FB"/>
    <w:rsid w:val="004C4830"/>
    <w:rsid w:val="004C5487"/>
    <w:rsid w:val="004C5793"/>
    <w:rsid w:val="004C5C8D"/>
    <w:rsid w:val="004C6544"/>
    <w:rsid w:val="004C6E57"/>
    <w:rsid w:val="004C73BA"/>
    <w:rsid w:val="004C759B"/>
    <w:rsid w:val="004C76A5"/>
    <w:rsid w:val="004C78FD"/>
    <w:rsid w:val="004D05B3"/>
    <w:rsid w:val="004D1174"/>
    <w:rsid w:val="004D1438"/>
    <w:rsid w:val="004D1C8E"/>
    <w:rsid w:val="004D2490"/>
    <w:rsid w:val="004D2F5D"/>
    <w:rsid w:val="004D32AA"/>
    <w:rsid w:val="004D3692"/>
    <w:rsid w:val="004D3BC8"/>
    <w:rsid w:val="004D3CAA"/>
    <w:rsid w:val="004D45A2"/>
    <w:rsid w:val="004D4B30"/>
    <w:rsid w:val="004D4CE9"/>
    <w:rsid w:val="004D53EF"/>
    <w:rsid w:val="004D58CB"/>
    <w:rsid w:val="004D5986"/>
    <w:rsid w:val="004D5A4F"/>
    <w:rsid w:val="004D5EA9"/>
    <w:rsid w:val="004D5F1A"/>
    <w:rsid w:val="004D6020"/>
    <w:rsid w:val="004D6D6E"/>
    <w:rsid w:val="004D795F"/>
    <w:rsid w:val="004E0283"/>
    <w:rsid w:val="004E0354"/>
    <w:rsid w:val="004E0EDD"/>
    <w:rsid w:val="004E0EF5"/>
    <w:rsid w:val="004E1DEA"/>
    <w:rsid w:val="004E2357"/>
    <w:rsid w:val="004E2ADE"/>
    <w:rsid w:val="004E2AF6"/>
    <w:rsid w:val="004E2BD6"/>
    <w:rsid w:val="004E2D6E"/>
    <w:rsid w:val="004E2DFE"/>
    <w:rsid w:val="004E3929"/>
    <w:rsid w:val="004E45DC"/>
    <w:rsid w:val="004E47F2"/>
    <w:rsid w:val="004E51D8"/>
    <w:rsid w:val="004E5CB5"/>
    <w:rsid w:val="004E5F90"/>
    <w:rsid w:val="004E62D1"/>
    <w:rsid w:val="004E681A"/>
    <w:rsid w:val="004E6877"/>
    <w:rsid w:val="004E6DB5"/>
    <w:rsid w:val="004F0384"/>
    <w:rsid w:val="004F0B43"/>
    <w:rsid w:val="004F1277"/>
    <w:rsid w:val="004F15C8"/>
    <w:rsid w:val="004F17CC"/>
    <w:rsid w:val="004F24E4"/>
    <w:rsid w:val="004F2707"/>
    <w:rsid w:val="004F3336"/>
    <w:rsid w:val="004F373C"/>
    <w:rsid w:val="004F408E"/>
    <w:rsid w:val="004F5BF8"/>
    <w:rsid w:val="004F6213"/>
    <w:rsid w:val="004F654B"/>
    <w:rsid w:val="004F6901"/>
    <w:rsid w:val="004F6A74"/>
    <w:rsid w:val="004F758B"/>
    <w:rsid w:val="004F7A10"/>
    <w:rsid w:val="0050080C"/>
    <w:rsid w:val="00500A39"/>
    <w:rsid w:val="00500B62"/>
    <w:rsid w:val="00500C91"/>
    <w:rsid w:val="00501033"/>
    <w:rsid w:val="00501308"/>
    <w:rsid w:val="0050187F"/>
    <w:rsid w:val="0050225B"/>
    <w:rsid w:val="00502271"/>
    <w:rsid w:val="005022D7"/>
    <w:rsid w:val="00502A56"/>
    <w:rsid w:val="00502E84"/>
    <w:rsid w:val="00503693"/>
    <w:rsid w:val="00503751"/>
    <w:rsid w:val="005037D0"/>
    <w:rsid w:val="00503962"/>
    <w:rsid w:val="00503EC8"/>
    <w:rsid w:val="005052CB"/>
    <w:rsid w:val="00505E75"/>
    <w:rsid w:val="00506C08"/>
    <w:rsid w:val="00510195"/>
    <w:rsid w:val="00511295"/>
    <w:rsid w:val="005121AE"/>
    <w:rsid w:val="0051220C"/>
    <w:rsid w:val="005127E7"/>
    <w:rsid w:val="00512897"/>
    <w:rsid w:val="00512D9D"/>
    <w:rsid w:val="0051353E"/>
    <w:rsid w:val="005138A0"/>
    <w:rsid w:val="005139FD"/>
    <w:rsid w:val="005141FD"/>
    <w:rsid w:val="00514807"/>
    <w:rsid w:val="00514AB2"/>
    <w:rsid w:val="00515564"/>
    <w:rsid w:val="00515A03"/>
    <w:rsid w:val="005167CF"/>
    <w:rsid w:val="00516D8B"/>
    <w:rsid w:val="00517CE0"/>
    <w:rsid w:val="0052083E"/>
    <w:rsid w:val="00520B3D"/>
    <w:rsid w:val="00521611"/>
    <w:rsid w:val="005226B4"/>
    <w:rsid w:val="005229EA"/>
    <w:rsid w:val="00522CFA"/>
    <w:rsid w:val="00524918"/>
    <w:rsid w:val="00524C7A"/>
    <w:rsid w:val="005253BC"/>
    <w:rsid w:val="0052587D"/>
    <w:rsid w:val="00525D4F"/>
    <w:rsid w:val="00525FE4"/>
    <w:rsid w:val="0052634B"/>
    <w:rsid w:val="00526ED1"/>
    <w:rsid w:val="005275C1"/>
    <w:rsid w:val="00527A11"/>
    <w:rsid w:val="005313D2"/>
    <w:rsid w:val="00531553"/>
    <w:rsid w:val="005322AA"/>
    <w:rsid w:val="0053282F"/>
    <w:rsid w:val="00532BD4"/>
    <w:rsid w:val="00533382"/>
    <w:rsid w:val="0053413D"/>
    <w:rsid w:val="00534338"/>
    <w:rsid w:val="00535BBA"/>
    <w:rsid w:val="00535C1B"/>
    <w:rsid w:val="00535E10"/>
    <w:rsid w:val="00535EDF"/>
    <w:rsid w:val="00535FCD"/>
    <w:rsid w:val="005362DD"/>
    <w:rsid w:val="00536553"/>
    <w:rsid w:val="00536BCC"/>
    <w:rsid w:val="00536BDC"/>
    <w:rsid w:val="005377D4"/>
    <w:rsid w:val="00537A17"/>
    <w:rsid w:val="005400F8"/>
    <w:rsid w:val="0054059A"/>
    <w:rsid w:val="005408FF"/>
    <w:rsid w:val="005409DD"/>
    <w:rsid w:val="00541078"/>
    <w:rsid w:val="005416B6"/>
    <w:rsid w:val="00541808"/>
    <w:rsid w:val="005422BD"/>
    <w:rsid w:val="00542E4B"/>
    <w:rsid w:val="005449FF"/>
    <w:rsid w:val="005453FA"/>
    <w:rsid w:val="0054571C"/>
    <w:rsid w:val="00545759"/>
    <w:rsid w:val="0054610E"/>
    <w:rsid w:val="005463C0"/>
    <w:rsid w:val="005465F2"/>
    <w:rsid w:val="005466A4"/>
    <w:rsid w:val="00546DCA"/>
    <w:rsid w:val="005471A4"/>
    <w:rsid w:val="005478D8"/>
    <w:rsid w:val="00547CC6"/>
    <w:rsid w:val="00547D0C"/>
    <w:rsid w:val="00547F59"/>
    <w:rsid w:val="0055014D"/>
    <w:rsid w:val="00550879"/>
    <w:rsid w:val="00550F2D"/>
    <w:rsid w:val="005512FE"/>
    <w:rsid w:val="0055132B"/>
    <w:rsid w:val="00551753"/>
    <w:rsid w:val="005517FD"/>
    <w:rsid w:val="005529DF"/>
    <w:rsid w:val="00552E09"/>
    <w:rsid w:val="00552E2B"/>
    <w:rsid w:val="0055303F"/>
    <w:rsid w:val="00553060"/>
    <w:rsid w:val="005530D4"/>
    <w:rsid w:val="00553238"/>
    <w:rsid w:val="00554E3B"/>
    <w:rsid w:val="00554F09"/>
    <w:rsid w:val="00555FF3"/>
    <w:rsid w:val="0055653C"/>
    <w:rsid w:val="0055661D"/>
    <w:rsid w:val="00556A45"/>
    <w:rsid w:val="00556BF1"/>
    <w:rsid w:val="00556D1E"/>
    <w:rsid w:val="0055733F"/>
    <w:rsid w:val="00557379"/>
    <w:rsid w:val="00557716"/>
    <w:rsid w:val="00560E20"/>
    <w:rsid w:val="0056112E"/>
    <w:rsid w:val="00561D7A"/>
    <w:rsid w:val="00562690"/>
    <w:rsid w:val="00562D84"/>
    <w:rsid w:val="005630B8"/>
    <w:rsid w:val="00563BD7"/>
    <w:rsid w:val="00563BEB"/>
    <w:rsid w:val="00563E22"/>
    <w:rsid w:val="00563F09"/>
    <w:rsid w:val="00563FEE"/>
    <w:rsid w:val="00564083"/>
    <w:rsid w:val="00564B23"/>
    <w:rsid w:val="00564E8F"/>
    <w:rsid w:val="00565349"/>
    <w:rsid w:val="00565512"/>
    <w:rsid w:val="005655FB"/>
    <w:rsid w:val="00565F5A"/>
    <w:rsid w:val="00567EFD"/>
    <w:rsid w:val="0057063E"/>
    <w:rsid w:val="0057113F"/>
    <w:rsid w:val="0057162B"/>
    <w:rsid w:val="00571BE9"/>
    <w:rsid w:val="00571F58"/>
    <w:rsid w:val="005721CF"/>
    <w:rsid w:val="0057256E"/>
    <w:rsid w:val="0057330E"/>
    <w:rsid w:val="00573587"/>
    <w:rsid w:val="005745AB"/>
    <w:rsid w:val="00574826"/>
    <w:rsid w:val="005759AF"/>
    <w:rsid w:val="00575BE8"/>
    <w:rsid w:val="00575E1B"/>
    <w:rsid w:val="00576C0A"/>
    <w:rsid w:val="005773AE"/>
    <w:rsid w:val="005775F0"/>
    <w:rsid w:val="005777D3"/>
    <w:rsid w:val="0057798A"/>
    <w:rsid w:val="00577F86"/>
    <w:rsid w:val="005804C4"/>
    <w:rsid w:val="0058089B"/>
    <w:rsid w:val="00580947"/>
    <w:rsid w:val="00581B21"/>
    <w:rsid w:val="00581CE8"/>
    <w:rsid w:val="00581D6B"/>
    <w:rsid w:val="00581F8E"/>
    <w:rsid w:val="00582267"/>
    <w:rsid w:val="00582461"/>
    <w:rsid w:val="00582484"/>
    <w:rsid w:val="005825EF"/>
    <w:rsid w:val="00582C01"/>
    <w:rsid w:val="00582CED"/>
    <w:rsid w:val="00582D23"/>
    <w:rsid w:val="005838FC"/>
    <w:rsid w:val="00584334"/>
    <w:rsid w:val="0058538D"/>
    <w:rsid w:val="00585688"/>
    <w:rsid w:val="0058584E"/>
    <w:rsid w:val="00585F30"/>
    <w:rsid w:val="005863F1"/>
    <w:rsid w:val="00586C12"/>
    <w:rsid w:val="00586C85"/>
    <w:rsid w:val="005874C0"/>
    <w:rsid w:val="00590193"/>
    <w:rsid w:val="0059028E"/>
    <w:rsid w:val="005903C0"/>
    <w:rsid w:val="00590D08"/>
    <w:rsid w:val="00590E2E"/>
    <w:rsid w:val="005913B7"/>
    <w:rsid w:val="00591832"/>
    <w:rsid w:val="00592193"/>
    <w:rsid w:val="00593273"/>
    <w:rsid w:val="00593E6F"/>
    <w:rsid w:val="005948EA"/>
    <w:rsid w:val="00595357"/>
    <w:rsid w:val="00595C6F"/>
    <w:rsid w:val="00595E0E"/>
    <w:rsid w:val="00596B90"/>
    <w:rsid w:val="00596BDB"/>
    <w:rsid w:val="00597612"/>
    <w:rsid w:val="0059781D"/>
    <w:rsid w:val="005A00A0"/>
    <w:rsid w:val="005A07A0"/>
    <w:rsid w:val="005A0F92"/>
    <w:rsid w:val="005A1156"/>
    <w:rsid w:val="005A1523"/>
    <w:rsid w:val="005A17A6"/>
    <w:rsid w:val="005A194D"/>
    <w:rsid w:val="005A1D55"/>
    <w:rsid w:val="005A260B"/>
    <w:rsid w:val="005A3F1A"/>
    <w:rsid w:val="005A413E"/>
    <w:rsid w:val="005A4DBA"/>
    <w:rsid w:val="005A4F48"/>
    <w:rsid w:val="005A50CA"/>
    <w:rsid w:val="005A66F4"/>
    <w:rsid w:val="005A689C"/>
    <w:rsid w:val="005A6A6F"/>
    <w:rsid w:val="005A7618"/>
    <w:rsid w:val="005A78A7"/>
    <w:rsid w:val="005B042E"/>
    <w:rsid w:val="005B0805"/>
    <w:rsid w:val="005B0DF4"/>
    <w:rsid w:val="005B1200"/>
    <w:rsid w:val="005B1FC6"/>
    <w:rsid w:val="005B2A02"/>
    <w:rsid w:val="005B3644"/>
    <w:rsid w:val="005B379B"/>
    <w:rsid w:val="005B385D"/>
    <w:rsid w:val="005B3933"/>
    <w:rsid w:val="005B3C72"/>
    <w:rsid w:val="005B3C91"/>
    <w:rsid w:val="005B41D9"/>
    <w:rsid w:val="005B4815"/>
    <w:rsid w:val="005B4A83"/>
    <w:rsid w:val="005B4C04"/>
    <w:rsid w:val="005B4C77"/>
    <w:rsid w:val="005B521E"/>
    <w:rsid w:val="005B584C"/>
    <w:rsid w:val="005B70AC"/>
    <w:rsid w:val="005B73E0"/>
    <w:rsid w:val="005B74B0"/>
    <w:rsid w:val="005B74CE"/>
    <w:rsid w:val="005B7789"/>
    <w:rsid w:val="005B7807"/>
    <w:rsid w:val="005C15FF"/>
    <w:rsid w:val="005C2203"/>
    <w:rsid w:val="005C25B2"/>
    <w:rsid w:val="005C2D40"/>
    <w:rsid w:val="005C304C"/>
    <w:rsid w:val="005C3250"/>
    <w:rsid w:val="005C3755"/>
    <w:rsid w:val="005C3BCA"/>
    <w:rsid w:val="005C3BF4"/>
    <w:rsid w:val="005C3C2B"/>
    <w:rsid w:val="005C411C"/>
    <w:rsid w:val="005C41A8"/>
    <w:rsid w:val="005C4475"/>
    <w:rsid w:val="005C4622"/>
    <w:rsid w:val="005C4963"/>
    <w:rsid w:val="005C519D"/>
    <w:rsid w:val="005C56B4"/>
    <w:rsid w:val="005C5B58"/>
    <w:rsid w:val="005C6382"/>
    <w:rsid w:val="005C66C2"/>
    <w:rsid w:val="005C67C1"/>
    <w:rsid w:val="005C70C8"/>
    <w:rsid w:val="005D0173"/>
    <w:rsid w:val="005D031D"/>
    <w:rsid w:val="005D0540"/>
    <w:rsid w:val="005D0F32"/>
    <w:rsid w:val="005D1545"/>
    <w:rsid w:val="005D207F"/>
    <w:rsid w:val="005D2188"/>
    <w:rsid w:val="005D2441"/>
    <w:rsid w:val="005D3033"/>
    <w:rsid w:val="005D3ABB"/>
    <w:rsid w:val="005D4659"/>
    <w:rsid w:val="005D4DD4"/>
    <w:rsid w:val="005D5D2C"/>
    <w:rsid w:val="005D5FF4"/>
    <w:rsid w:val="005D6067"/>
    <w:rsid w:val="005D62FB"/>
    <w:rsid w:val="005D65A9"/>
    <w:rsid w:val="005D67D6"/>
    <w:rsid w:val="005D6FC3"/>
    <w:rsid w:val="005D723B"/>
    <w:rsid w:val="005D79F3"/>
    <w:rsid w:val="005D7D07"/>
    <w:rsid w:val="005E09BA"/>
    <w:rsid w:val="005E102C"/>
    <w:rsid w:val="005E1319"/>
    <w:rsid w:val="005E1329"/>
    <w:rsid w:val="005E1998"/>
    <w:rsid w:val="005E231D"/>
    <w:rsid w:val="005E23AC"/>
    <w:rsid w:val="005E2524"/>
    <w:rsid w:val="005E273E"/>
    <w:rsid w:val="005E27BB"/>
    <w:rsid w:val="005E387D"/>
    <w:rsid w:val="005E41D6"/>
    <w:rsid w:val="005E4777"/>
    <w:rsid w:val="005E576C"/>
    <w:rsid w:val="005E5E30"/>
    <w:rsid w:val="005E6054"/>
    <w:rsid w:val="005E63AE"/>
    <w:rsid w:val="005E6CA0"/>
    <w:rsid w:val="005F0312"/>
    <w:rsid w:val="005F0A0B"/>
    <w:rsid w:val="005F179D"/>
    <w:rsid w:val="005F237A"/>
    <w:rsid w:val="005F2754"/>
    <w:rsid w:val="005F2931"/>
    <w:rsid w:val="005F2DA0"/>
    <w:rsid w:val="005F327A"/>
    <w:rsid w:val="005F386C"/>
    <w:rsid w:val="005F3BC0"/>
    <w:rsid w:val="005F3DD6"/>
    <w:rsid w:val="005F3E85"/>
    <w:rsid w:val="005F462F"/>
    <w:rsid w:val="005F4DAE"/>
    <w:rsid w:val="005F4E99"/>
    <w:rsid w:val="005F501C"/>
    <w:rsid w:val="005F51F6"/>
    <w:rsid w:val="005F5320"/>
    <w:rsid w:val="005F59BC"/>
    <w:rsid w:val="005F5FA7"/>
    <w:rsid w:val="005F6102"/>
    <w:rsid w:val="005F61DD"/>
    <w:rsid w:val="005F6DA2"/>
    <w:rsid w:val="005F7187"/>
    <w:rsid w:val="005F745F"/>
    <w:rsid w:val="005F7727"/>
    <w:rsid w:val="005F7A30"/>
    <w:rsid w:val="005F7AE1"/>
    <w:rsid w:val="006005A6"/>
    <w:rsid w:val="0060076C"/>
    <w:rsid w:val="00600E54"/>
    <w:rsid w:val="006016CF"/>
    <w:rsid w:val="00601A8C"/>
    <w:rsid w:val="00601EDC"/>
    <w:rsid w:val="00602135"/>
    <w:rsid w:val="006027A3"/>
    <w:rsid w:val="00602AA8"/>
    <w:rsid w:val="006043BA"/>
    <w:rsid w:val="00604D2C"/>
    <w:rsid w:val="00605746"/>
    <w:rsid w:val="00606269"/>
    <w:rsid w:val="0060687A"/>
    <w:rsid w:val="00606AFB"/>
    <w:rsid w:val="00606C94"/>
    <w:rsid w:val="006070FB"/>
    <w:rsid w:val="00607162"/>
    <w:rsid w:val="00607210"/>
    <w:rsid w:val="00607C92"/>
    <w:rsid w:val="00610133"/>
    <w:rsid w:val="006102DE"/>
    <w:rsid w:val="0061037D"/>
    <w:rsid w:val="006115F5"/>
    <w:rsid w:val="0061230D"/>
    <w:rsid w:val="00612775"/>
    <w:rsid w:val="00612A11"/>
    <w:rsid w:val="00612D84"/>
    <w:rsid w:val="00613C2A"/>
    <w:rsid w:val="00615A72"/>
    <w:rsid w:val="00615B53"/>
    <w:rsid w:val="00615E4C"/>
    <w:rsid w:val="00615F42"/>
    <w:rsid w:val="00616144"/>
    <w:rsid w:val="00616156"/>
    <w:rsid w:val="0061633E"/>
    <w:rsid w:val="00616A11"/>
    <w:rsid w:val="00616ED2"/>
    <w:rsid w:val="00617271"/>
    <w:rsid w:val="0061735F"/>
    <w:rsid w:val="00617556"/>
    <w:rsid w:val="00617B27"/>
    <w:rsid w:val="00617E2D"/>
    <w:rsid w:val="006202A7"/>
    <w:rsid w:val="006204DA"/>
    <w:rsid w:val="00620AB5"/>
    <w:rsid w:val="006212E6"/>
    <w:rsid w:val="00621846"/>
    <w:rsid w:val="006221B8"/>
    <w:rsid w:val="0062220D"/>
    <w:rsid w:val="00622561"/>
    <w:rsid w:val="00622AA1"/>
    <w:rsid w:val="00622DEC"/>
    <w:rsid w:val="00623BF9"/>
    <w:rsid w:val="0062404B"/>
    <w:rsid w:val="0062480A"/>
    <w:rsid w:val="00624A7F"/>
    <w:rsid w:val="00624BC9"/>
    <w:rsid w:val="00624F83"/>
    <w:rsid w:val="0062539E"/>
    <w:rsid w:val="0062642D"/>
    <w:rsid w:val="0062674F"/>
    <w:rsid w:val="006268C3"/>
    <w:rsid w:val="00627021"/>
    <w:rsid w:val="006274E1"/>
    <w:rsid w:val="006310F6"/>
    <w:rsid w:val="0063180E"/>
    <w:rsid w:val="00631C6F"/>
    <w:rsid w:val="006325DF"/>
    <w:rsid w:val="006326EA"/>
    <w:rsid w:val="00632EB8"/>
    <w:rsid w:val="00632F7C"/>
    <w:rsid w:val="006335D5"/>
    <w:rsid w:val="00633830"/>
    <w:rsid w:val="006338F7"/>
    <w:rsid w:val="0063452C"/>
    <w:rsid w:val="006347BE"/>
    <w:rsid w:val="0063520C"/>
    <w:rsid w:val="00635CD5"/>
    <w:rsid w:val="00635D62"/>
    <w:rsid w:val="0063621B"/>
    <w:rsid w:val="006366D4"/>
    <w:rsid w:val="00636F50"/>
    <w:rsid w:val="00637066"/>
    <w:rsid w:val="00637284"/>
    <w:rsid w:val="00637D90"/>
    <w:rsid w:val="00640C33"/>
    <w:rsid w:val="00640FF2"/>
    <w:rsid w:val="00641899"/>
    <w:rsid w:val="00641AC0"/>
    <w:rsid w:val="0064287A"/>
    <w:rsid w:val="006432CB"/>
    <w:rsid w:val="00644E73"/>
    <w:rsid w:val="00644E76"/>
    <w:rsid w:val="0064527C"/>
    <w:rsid w:val="006455AD"/>
    <w:rsid w:val="00646386"/>
    <w:rsid w:val="00646CD4"/>
    <w:rsid w:val="00646D22"/>
    <w:rsid w:val="00646E23"/>
    <w:rsid w:val="00647856"/>
    <w:rsid w:val="00647C92"/>
    <w:rsid w:val="0065031F"/>
    <w:rsid w:val="00650738"/>
    <w:rsid w:val="00650CD7"/>
    <w:rsid w:val="00652222"/>
    <w:rsid w:val="00652818"/>
    <w:rsid w:val="00652BB4"/>
    <w:rsid w:val="00652E21"/>
    <w:rsid w:val="006548B8"/>
    <w:rsid w:val="0065585F"/>
    <w:rsid w:val="00655F71"/>
    <w:rsid w:val="006566F9"/>
    <w:rsid w:val="006568B2"/>
    <w:rsid w:val="00656961"/>
    <w:rsid w:val="00656B7E"/>
    <w:rsid w:val="0065771F"/>
    <w:rsid w:val="0066026C"/>
    <w:rsid w:val="006612FF"/>
    <w:rsid w:val="00661E69"/>
    <w:rsid w:val="006621E5"/>
    <w:rsid w:val="0066297E"/>
    <w:rsid w:val="00663442"/>
    <w:rsid w:val="00663657"/>
    <w:rsid w:val="00663C4F"/>
    <w:rsid w:val="00664567"/>
    <w:rsid w:val="006645BB"/>
    <w:rsid w:val="00664A0E"/>
    <w:rsid w:val="00664D24"/>
    <w:rsid w:val="00664DC0"/>
    <w:rsid w:val="0066549A"/>
    <w:rsid w:val="00665672"/>
    <w:rsid w:val="00666495"/>
    <w:rsid w:val="00666DCA"/>
    <w:rsid w:val="00666FB3"/>
    <w:rsid w:val="006676B0"/>
    <w:rsid w:val="006700B2"/>
    <w:rsid w:val="00671DA0"/>
    <w:rsid w:val="00672086"/>
    <w:rsid w:val="00672D55"/>
    <w:rsid w:val="00672F55"/>
    <w:rsid w:val="00672F76"/>
    <w:rsid w:val="00673511"/>
    <w:rsid w:val="00673642"/>
    <w:rsid w:val="00673AEF"/>
    <w:rsid w:val="00673EB8"/>
    <w:rsid w:val="006744B0"/>
    <w:rsid w:val="00674982"/>
    <w:rsid w:val="00674FF2"/>
    <w:rsid w:val="006750E2"/>
    <w:rsid w:val="00675A11"/>
    <w:rsid w:val="00676472"/>
    <w:rsid w:val="006767AD"/>
    <w:rsid w:val="00676B98"/>
    <w:rsid w:val="00677942"/>
    <w:rsid w:val="00680D51"/>
    <w:rsid w:val="00680F28"/>
    <w:rsid w:val="006811AC"/>
    <w:rsid w:val="00681B87"/>
    <w:rsid w:val="00681C83"/>
    <w:rsid w:val="00681D82"/>
    <w:rsid w:val="00682243"/>
    <w:rsid w:val="0068234C"/>
    <w:rsid w:val="0068285B"/>
    <w:rsid w:val="00682A34"/>
    <w:rsid w:val="00682FEA"/>
    <w:rsid w:val="0068404C"/>
    <w:rsid w:val="006840FC"/>
    <w:rsid w:val="006847C5"/>
    <w:rsid w:val="00684871"/>
    <w:rsid w:val="00684BE4"/>
    <w:rsid w:val="00684F20"/>
    <w:rsid w:val="00684FE1"/>
    <w:rsid w:val="00685420"/>
    <w:rsid w:val="006855EE"/>
    <w:rsid w:val="0068602F"/>
    <w:rsid w:val="00686898"/>
    <w:rsid w:val="00686A98"/>
    <w:rsid w:val="00686CF7"/>
    <w:rsid w:val="00687A4F"/>
    <w:rsid w:val="00687D48"/>
    <w:rsid w:val="00690619"/>
    <w:rsid w:val="006909F8"/>
    <w:rsid w:val="00690CC4"/>
    <w:rsid w:val="00690D75"/>
    <w:rsid w:val="00690DAF"/>
    <w:rsid w:val="0069206B"/>
    <w:rsid w:val="00692D27"/>
    <w:rsid w:val="006934D4"/>
    <w:rsid w:val="00694594"/>
    <w:rsid w:val="0069486E"/>
    <w:rsid w:val="006957FD"/>
    <w:rsid w:val="00695A31"/>
    <w:rsid w:val="00695C99"/>
    <w:rsid w:val="006960EB"/>
    <w:rsid w:val="006967AE"/>
    <w:rsid w:val="0069760A"/>
    <w:rsid w:val="006976BB"/>
    <w:rsid w:val="00697969"/>
    <w:rsid w:val="00697C52"/>
    <w:rsid w:val="006A005B"/>
    <w:rsid w:val="006A00A9"/>
    <w:rsid w:val="006A2419"/>
    <w:rsid w:val="006A2890"/>
    <w:rsid w:val="006A307E"/>
    <w:rsid w:val="006A48EE"/>
    <w:rsid w:val="006A4948"/>
    <w:rsid w:val="006A4E4E"/>
    <w:rsid w:val="006A5F7C"/>
    <w:rsid w:val="006A6565"/>
    <w:rsid w:val="006A674D"/>
    <w:rsid w:val="006A79AB"/>
    <w:rsid w:val="006A7E85"/>
    <w:rsid w:val="006B05F9"/>
    <w:rsid w:val="006B0AA0"/>
    <w:rsid w:val="006B0E62"/>
    <w:rsid w:val="006B0F77"/>
    <w:rsid w:val="006B13FF"/>
    <w:rsid w:val="006B1BCA"/>
    <w:rsid w:val="006B25A0"/>
    <w:rsid w:val="006B2761"/>
    <w:rsid w:val="006B30AD"/>
    <w:rsid w:val="006B3281"/>
    <w:rsid w:val="006B4171"/>
    <w:rsid w:val="006B4DEB"/>
    <w:rsid w:val="006B581B"/>
    <w:rsid w:val="006B5E10"/>
    <w:rsid w:val="006B5E4A"/>
    <w:rsid w:val="006B685D"/>
    <w:rsid w:val="006B6AD1"/>
    <w:rsid w:val="006B6CF2"/>
    <w:rsid w:val="006B71B6"/>
    <w:rsid w:val="006C0537"/>
    <w:rsid w:val="006C0608"/>
    <w:rsid w:val="006C0725"/>
    <w:rsid w:val="006C0856"/>
    <w:rsid w:val="006C0E9F"/>
    <w:rsid w:val="006C11D9"/>
    <w:rsid w:val="006C1817"/>
    <w:rsid w:val="006C2664"/>
    <w:rsid w:val="006C2990"/>
    <w:rsid w:val="006C29BB"/>
    <w:rsid w:val="006C2BF4"/>
    <w:rsid w:val="006C2EC8"/>
    <w:rsid w:val="006C2F01"/>
    <w:rsid w:val="006C3E1F"/>
    <w:rsid w:val="006C3FC5"/>
    <w:rsid w:val="006C4114"/>
    <w:rsid w:val="006C468D"/>
    <w:rsid w:val="006C5A9E"/>
    <w:rsid w:val="006C5D57"/>
    <w:rsid w:val="006C5FF3"/>
    <w:rsid w:val="006C60CB"/>
    <w:rsid w:val="006C650B"/>
    <w:rsid w:val="006C651F"/>
    <w:rsid w:val="006C6817"/>
    <w:rsid w:val="006C6938"/>
    <w:rsid w:val="006C69DB"/>
    <w:rsid w:val="006C6A42"/>
    <w:rsid w:val="006C6B19"/>
    <w:rsid w:val="006C6E80"/>
    <w:rsid w:val="006C7027"/>
    <w:rsid w:val="006C7725"/>
    <w:rsid w:val="006D0DD6"/>
    <w:rsid w:val="006D1134"/>
    <w:rsid w:val="006D19AE"/>
    <w:rsid w:val="006D1C09"/>
    <w:rsid w:val="006D277E"/>
    <w:rsid w:val="006D28BD"/>
    <w:rsid w:val="006D35D1"/>
    <w:rsid w:val="006D3799"/>
    <w:rsid w:val="006D40B2"/>
    <w:rsid w:val="006D42F4"/>
    <w:rsid w:val="006D4C62"/>
    <w:rsid w:val="006D5259"/>
    <w:rsid w:val="006D52EC"/>
    <w:rsid w:val="006D5C75"/>
    <w:rsid w:val="006D6480"/>
    <w:rsid w:val="006D76C6"/>
    <w:rsid w:val="006D77F8"/>
    <w:rsid w:val="006E0067"/>
    <w:rsid w:val="006E0BA4"/>
    <w:rsid w:val="006E0C3E"/>
    <w:rsid w:val="006E1090"/>
    <w:rsid w:val="006E214E"/>
    <w:rsid w:val="006E2F21"/>
    <w:rsid w:val="006E42AC"/>
    <w:rsid w:val="006E4683"/>
    <w:rsid w:val="006E4D88"/>
    <w:rsid w:val="006E4F11"/>
    <w:rsid w:val="006E504C"/>
    <w:rsid w:val="006E6758"/>
    <w:rsid w:val="006E693A"/>
    <w:rsid w:val="006E7462"/>
    <w:rsid w:val="006F0ECE"/>
    <w:rsid w:val="006F151D"/>
    <w:rsid w:val="006F1961"/>
    <w:rsid w:val="006F20BA"/>
    <w:rsid w:val="006F2E83"/>
    <w:rsid w:val="006F3417"/>
    <w:rsid w:val="006F3657"/>
    <w:rsid w:val="006F3F69"/>
    <w:rsid w:val="006F462D"/>
    <w:rsid w:val="006F4FE2"/>
    <w:rsid w:val="006F5B9A"/>
    <w:rsid w:val="006F5FBC"/>
    <w:rsid w:val="006F655F"/>
    <w:rsid w:val="006F667F"/>
    <w:rsid w:val="006F74B2"/>
    <w:rsid w:val="0070021B"/>
    <w:rsid w:val="00700DDE"/>
    <w:rsid w:val="007012B8"/>
    <w:rsid w:val="0070153D"/>
    <w:rsid w:val="00702396"/>
    <w:rsid w:val="00702D4B"/>
    <w:rsid w:val="007030FE"/>
    <w:rsid w:val="00703420"/>
    <w:rsid w:val="00703907"/>
    <w:rsid w:val="007040AA"/>
    <w:rsid w:val="007050C7"/>
    <w:rsid w:val="00705573"/>
    <w:rsid w:val="0070588C"/>
    <w:rsid w:val="007058D8"/>
    <w:rsid w:val="00706A27"/>
    <w:rsid w:val="00706F07"/>
    <w:rsid w:val="00707E4A"/>
    <w:rsid w:val="00707ED7"/>
    <w:rsid w:val="007102F6"/>
    <w:rsid w:val="007104C2"/>
    <w:rsid w:val="007109D7"/>
    <w:rsid w:val="00710DCE"/>
    <w:rsid w:val="00711621"/>
    <w:rsid w:val="00711C27"/>
    <w:rsid w:val="00711D8F"/>
    <w:rsid w:val="00713FF9"/>
    <w:rsid w:val="00714F53"/>
    <w:rsid w:val="00714F84"/>
    <w:rsid w:val="007150C6"/>
    <w:rsid w:val="007153BF"/>
    <w:rsid w:val="00715624"/>
    <w:rsid w:val="00715C07"/>
    <w:rsid w:val="007161EF"/>
    <w:rsid w:val="0071628D"/>
    <w:rsid w:val="007165F3"/>
    <w:rsid w:val="00716B91"/>
    <w:rsid w:val="0071755D"/>
    <w:rsid w:val="00717569"/>
    <w:rsid w:val="00717B10"/>
    <w:rsid w:val="00717FC5"/>
    <w:rsid w:val="00720C07"/>
    <w:rsid w:val="007215AD"/>
    <w:rsid w:val="007217CE"/>
    <w:rsid w:val="00721E1C"/>
    <w:rsid w:val="007222F8"/>
    <w:rsid w:val="0072283D"/>
    <w:rsid w:val="00723890"/>
    <w:rsid w:val="007254E8"/>
    <w:rsid w:val="00725FF3"/>
    <w:rsid w:val="007266D1"/>
    <w:rsid w:val="00727173"/>
    <w:rsid w:val="0072745B"/>
    <w:rsid w:val="00730385"/>
    <w:rsid w:val="007303DB"/>
    <w:rsid w:val="00731036"/>
    <w:rsid w:val="007320C8"/>
    <w:rsid w:val="007321E0"/>
    <w:rsid w:val="007326FC"/>
    <w:rsid w:val="0073319F"/>
    <w:rsid w:val="007331FA"/>
    <w:rsid w:val="00733F92"/>
    <w:rsid w:val="007340FF"/>
    <w:rsid w:val="00735937"/>
    <w:rsid w:val="00735F3A"/>
    <w:rsid w:val="00736127"/>
    <w:rsid w:val="00736EBE"/>
    <w:rsid w:val="00736F0B"/>
    <w:rsid w:val="00736F70"/>
    <w:rsid w:val="00737849"/>
    <w:rsid w:val="00740753"/>
    <w:rsid w:val="00741607"/>
    <w:rsid w:val="00741A9E"/>
    <w:rsid w:val="007421DB"/>
    <w:rsid w:val="0074292C"/>
    <w:rsid w:val="00742B94"/>
    <w:rsid w:val="00742E28"/>
    <w:rsid w:val="00743797"/>
    <w:rsid w:val="00743B19"/>
    <w:rsid w:val="007440F8"/>
    <w:rsid w:val="0074423F"/>
    <w:rsid w:val="00744482"/>
    <w:rsid w:val="0074455A"/>
    <w:rsid w:val="00744F09"/>
    <w:rsid w:val="00745253"/>
    <w:rsid w:val="007461F4"/>
    <w:rsid w:val="00746938"/>
    <w:rsid w:val="00746C9B"/>
    <w:rsid w:val="00747AB8"/>
    <w:rsid w:val="00747FFC"/>
    <w:rsid w:val="00750A43"/>
    <w:rsid w:val="00750FBA"/>
    <w:rsid w:val="00751A84"/>
    <w:rsid w:val="00751C03"/>
    <w:rsid w:val="00751CE9"/>
    <w:rsid w:val="00751F00"/>
    <w:rsid w:val="00752A7B"/>
    <w:rsid w:val="00752AD1"/>
    <w:rsid w:val="007538E4"/>
    <w:rsid w:val="0075475D"/>
    <w:rsid w:val="00755C1B"/>
    <w:rsid w:val="00755C99"/>
    <w:rsid w:val="00755DD7"/>
    <w:rsid w:val="007567C6"/>
    <w:rsid w:val="007568B6"/>
    <w:rsid w:val="00756C60"/>
    <w:rsid w:val="00757611"/>
    <w:rsid w:val="00757862"/>
    <w:rsid w:val="0076032B"/>
    <w:rsid w:val="007603FF"/>
    <w:rsid w:val="00760A63"/>
    <w:rsid w:val="00760ABF"/>
    <w:rsid w:val="00761129"/>
    <w:rsid w:val="007611A2"/>
    <w:rsid w:val="007620B8"/>
    <w:rsid w:val="007626B8"/>
    <w:rsid w:val="00763197"/>
    <w:rsid w:val="007638E7"/>
    <w:rsid w:val="007640A8"/>
    <w:rsid w:val="00765366"/>
    <w:rsid w:val="00765BC9"/>
    <w:rsid w:val="00765E2A"/>
    <w:rsid w:val="00766569"/>
    <w:rsid w:val="007668FB"/>
    <w:rsid w:val="00767827"/>
    <w:rsid w:val="007702CF"/>
    <w:rsid w:val="00770322"/>
    <w:rsid w:val="00770506"/>
    <w:rsid w:val="007719D3"/>
    <w:rsid w:val="00771C15"/>
    <w:rsid w:val="00772221"/>
    <w:rsid w:val="00772303"/>
    <w:rsid w:val="00772A28"/>
    <w:rsid w:val="00774227"/>
    <w:rsid w:val="00774579"/>
    <w:rsid w:val="007745F6"/>
    <w:rsid w:val="00774805"/>
    <w:rsid w:val="00774E76"/>
    <w:rsid w:val="0077583A"/>
    <w:rsid w:val="00776507"/>
    <w:rsid w:val="0077673C"/>
    <w:rsid w:val="0077709F"/>
    <w:rsid w:val="00777119"/>
    <w:rsid w:val="007771C2"/>
    <w:rsid w:val="007771FA"/>
    <w:rsid w:val="00777390"/>
    <w:rsid w:val="007774C3"/>
    <w:rsid w:val="007777A7"/>
    <w:rsid w:val="007814C9"/>
    <w:rsid w:val="00781E9C"/>
    <w:rsid w:val="00782503"/>
    <w:rsid w:val="00782830"/>
    <w:rsid w:val="00782FF9"/>
    <w:rsid w:val="00783492"/>
    <w:rsid w:val="0078374F"/>
    <w:rsid w:val="0078422D"/>
    <w:rsid w:val="00784650"/>
    <w:rsid w:val="00784B42"/>
    <w:rsid w:val="00786318"/>
    <w:rsid w:val="00786390"/>
    <w:rsid w:val="00786803"/>
    <w:rsid w:val="00787191"/>
    <w:rsid w:val="00787729"/>
    <w:rsid w:val="00787916"/>
    <w:rsid w:val="00787F69"/>
    <w:rsid w:val="0079022A"/>
    <w:rsid w:val="0079078A"/>
    <w:rsid w:val="00790A4A"/>
    <w:rsid w:val="00790ECD"/>
    <w:rsid w:val="007910E8"/>
    <w:rsid w:val="007913A6"/>
    <w:rsid w:val="007917EF"/>
    <w:rsid w:val="007932B5"/>
    <w:rsid w:val="007932D2"/>
    <w:rsid w:val="00794491"/>
    <w:rsid w:val="00795D3E"/>
    <w:rsid w:val="0079712A"/>
    <w:rsid w:val="0079722E"/>
    <w:rsid w:val="00797997"/>
    <w:rsid w:val="007A062A"/>
    <w:rsid w:val="007A0E0E"/>
    <w:rsid w:val="007A1349"/>
    <w:rsid w:val="007A1654"/>
    <w:rsid w:val="007A1C05"/>
    <w:rsid w:val="007A22F9"/>
    <w:rsid w:val="007A2400"/>
    <w:rsid w:val="007A29CA"/>
    <w:rsid w:val="007A31B7"/>
    <w:rsid w:val="007A3C4B"/>
    <w:rsid w:val="007A3D08"/>
    <w:rsid w:val="007A4A4C"/>
    <w:rsid w:val="007A63FF"/>
    <w:rsid w:val="007A64BA"/>
    <w:rsid w:val="007A6BB7"/>
    <w:rsid w:val="007A71EB"/>
    <w:rsid w:val="007A7388"/>
    <w:rsid w:val="007A748F"/>
    <w:rsid w:val="007A7522"/>
    <w:rsid w:val="007A7591"/>
    <w:rsid w:val="007B01E8"/>
    <w:rsid w:val="007B0677"/>
    <w:rsid w:val="007B0B30"/>
    <w:rsid w:val="007B100C"/>
    <w:rsid w:val="007B1430"/>
    <w:rsid w:val="007B1AC1"/>
    <w:rsid w:val="007B46B9"/>
    <w:rsid w:val="007B498C"/>
    <w:rsid w:val="007B4E02"/>
    <w:rsid w:val="007B553A"/>
    <w:rsid w:val="007B589C"/>
    <w:rsid w:val="007B6245"/>
    <w:rsid w:val="007B6924"/>
    <w:rsid w:val="007C05E5"/>
    <w:rsid w:val="007C088E"/>
    <w:rsid w:val="007C0E64"/>
    <w:rsid w:val="007C1C1D"/>
    <w:rsid w:val="007C1D16"/>
    <w:rsid w:val="007C1E01"/>
    <w:rsid w:val="007C2EE5"/>
    <w:rsid w:val="007C34C4"/>
    <w:rsid w:val="007C3C40"/>
    <w:rsid w:val="007C3C66"/>
    <w:rsid w:val="007C3C78"/>
    <w:rsid w:val="007C3CD1"/>
    <w:rsid w:val="007C3F78"/>
    <w:rsid w:val="007C4176"/>
    <w:rsid w:val="007C42CA"/>
    <w:rsid w:val="007C43B0"/>
    <w:rsid w:val="007C48B9"/>
    <w:rsid w:val="007C49AC"/>
    <w:rsid w:val="007C58C2"/>
    <w:rsid w:val="007C5D7D"/>
    <w:rsid w:val="007C5E0B"/>
    <w:rsid w:val="007C74D0"/>
    <w:rsid w:val="007C787C"/>
    <w:rsid w:val="007C7C81"/>
    <w:rsid w:val="007D0244"/>
    <w:rsid w:val="007D05BC"/>
    <w:rsid w:val="007D0987"/>
    <w:rsid w:val="007D0B38"/>
    <w:rsid w:val="007D15FE"/>
    <w:rsid w:val="007D1797"/>
    <w:rsid w:val="007D18DF"/>
    <w:rsid w:val="007D1BDA"/>
    <w:rsid w:val="007D22EE"/>
    <w:rsid w:val="007D245A"/>
    <w:rsid w:val="007D251A"/>
    <w:rsid w:val="007D2567"/>
    <w:rsid w:val="007D2B98"/>
    <w:rsid w:val="007D2F7E"/>
    <w:rsid w:val="007D3126"/>
    <w:rsid w:val="007D3608"/>
    <w:rsid w:val="007D39CE"/>
    <w:rsid w:val="007D3B53"/>
    <w:rsid w:val="007D3CA1"/>
    <w:rsid w:val="007D4146"/>
    <w:rsid w:val="007D4CAA"/>
    <w:rsid w:val="007D5C02"/>
    <w:rsid w:val="007D6050"/>
    <w:rsid w:val="007D633C"/>
    <w:rsid w:val="007D67BC"/>
    <w:rsid w:val="007D7EE3"/>
    <w:rsid w:val="007E0113"/>
    <w:rsid w:val="007E0748"/>
    <w:rsid w:val="007E1305"/>
    <w:rsid w:val="007E146D"/>
    <w:rsid w:val="007E1669"/>
    <w:rsid w:val="007E207B"/>
    <w:rsid w:val="007E22DF"/>
    <w:rsid w:val="007E24CE"/>
    <w:rsid w:val="007E2903"/>
    <w:rsid w:val="007E291C"/>
    <w:rsid w:val="007E2953"/>
    <w:rsid w:val="007E3802"/>
    <w:rsid w:val="007E3BF4"/>
    <w:rsid w:val="007E3F8F"/>
    <w:rsid w:val="007E467D"/>
    <w:rsid w:val="007E48AB"/>
    <w:rsid w:val="007E490A"/>
    <w:rsid w:val="007E4F1C"/>
    <w:rsid w:val="007E519A"/>
    <w:rsid w:val="007E54C6"/>
    <w:rsid w:val="007E5640"/>
    <w:rsid w:val="007E58AE"/>
    <w:rsid w:val="007E5DD4"/>
    <w:rsid w:val="007E6100"/>
    <w:rsid w:val="007E6185"/>
    <w:rsid w:val="007E6C0C"/>
    <w:rsid w:val="007E6F1A"/>
    <w:rsid w:val="007E755D"/>
    <w:rsid w:val="007E7613"/>
    <w:rsid w:val="007F0A88"/>
    <w:rsid w:val="007F0CE1"/>
    <w:rsid w:val="007F120A"/>
    <w:rsid w:val="007F1419"/>
    <w:rsid w:val="007F196A"/>
    <w:rsid w:val="007F1C88"/>
    <w:rsid w:val="007F1CE1"/>
    <w:rsid w:val="007F2456"/>
    <w:rsid w:val="007F261F"/>
    <w:rsid w:val="007F2B6B"/>
    <w:rsid w:val="007F2E81"/>
    <w:rsid w:val="007F352D"/>
    <w:rsid w:val="007F391B"/>
    <w:rsid w:val="007F4097"/>
    <w:rsid w:val="007F40EC"/>
    <w:rsid w:val="007F42B0"/>
    <w:rsid w:val="007F4B00"/>
    <w:rsid w:val="007F5510"/>
    <w:rsid w:val="007F55F1"/>
    <w:rsid w:val="007F55F5"/>
    <w:rsid w:val="007F6E2C"/>
    <w:rsid w:val="007F75E3"/>
    <w:rsid w:val="007F7606"/>
    <w:rsid w:val="00800204"/>
    <w:rsid w:val="00800516"/>
    <w:rsid w:val="00800C1B"/>
    <w:rsid w:val="008010F8"/>
    <w:rsid w:val="00802046"/>
    <w:rsid w:val="0080259A"/>
    <w:rsid w:val="0080282E"/>
    <w:rsid w:val="008033FE"/>
    <w:rsid w:val="00803753"/>
    <w:rsid w:val="008038A2"/>
    <w:rsid w:val="0080423C"/>
    <w:rsid w:val="008046B3"/>
    <w:rsid w:val="0080552E"/>
    <w:rsid w:val="00805B7A"/>
    <w:rsid w:val="00811613"/>
    <w:rsid w:val="00811CF7"/>
    <w:rsid w:val="008121AA"/>
    <w:rsid w:val="00812390"/>
    <w:rsid w:val="00812617"/>
    <w:rsid w:val="008126B8"/>
    <w:rsid w:val="00812CBE"/>
    <w:rsid w:val="00813203"/>
    <w:rsid w:val="0081324E"/>
    <w:rsid w:val="00813437"/>
    <w:rsid w:val="0081347E"/>
    <w:rsid w:val="00813622"/>
    <w:rsid w:val="00813BFC"/>
    <w:rsid w:val="00813EF6"/>
    <w:rsid w:val="008149BA"/>
    <w:rsid w:val="00814CF6"/>
    <w:rsid w:val="00814E79"/>
    <w:rsid w:val="00815346"/>
    <w:rsid w:val="00815EC6"/>
    <w:rsid w:val="00816C6F"/>
    <w:rsid w:val="00817E1B"/>
    <w:rsid w:val="008203C0"/>
    <w:rsid w:val="00820829"/>
    <w:rsid w:val="00820AFA"/>
    <w:rsid w:val="00820E5C"/>
    <w:rsid w:val="00821266"/>
    <w:rsid w:val="0082174C"/>
    <w:rsid w:val="00821F6C"/>
    <w:rsid w:val="008222AC"/>
    <w:rsid w:val="00822D03"/>
    <w:rsid w:val="008240FA"/>
    <w:rsid w:val="00824D16"/>
    <w:rsid w:val="00825348"/>
    <w:rsid w:val="0082581A"/>
    <w:rsid w:val="00825C6E"/>
    <w:rsid w:val="0082603F"/>
    <w:rsid w:val="008269E4"/>
    <w:rsid w:val="008273C3"/>
    <w:rsid w:val="00827E24"/>
    <w:rsid w:val="00830DD9"/>
    <w:rsid w:val="00831872"/>
    <w:rsid w:val="00831FC3"/>
    <w:rsid w:val="0083257E"/>
    <w:rsid w:val="008329A2"/>
    <w:rsid w:val="00832DBA"/>
    <w:rsid w:val="0083314C"/>
    <w:rsid w:val="00833A3E"/>
    <w:rsid w:val="008341ED"/>
    <w:rsid w:val="00834457"/>
    <w:rsid w:val="00834976"/>
    <w:rsid w:val="0083568E"/>
    <w:rsid w:val="008363E6"/>
    <w:rsid w:val="008379F2"/>
    <w:rsid w:val="00837EDF"/>
    <w:rsid w:val="0084031C"/>
    <w:rsid w:val="0084044E"/>
    <w:rsid w:val="0084049B"/>
    <w:rsid w:val="008416B4"/>
    <w:rsid w:val="00841975"/>
    <w:rsid w:val="00841D93"/>
    <w:rsid w:val="00841FBE"/>
    <w:rsid w:val="0084279E"/>
    <w:rsid w:val="00842B22"/>
    <w:rsid w:val="00842B38"/>
    <w:rsid w:val="00842C6A"/>
    <w:rsid w:val="00843327"/>
    <w:rsid w:val="00843DF1"/>
    <w:rsid w:val="00843FA7"/>
    <w:rsid w:val="0084436D"/>
    <w:rsid w:val="00844523"/>
    <w:rsid w:val="00845BB7"/>
    <w:rsid w:val="008465AF"/>
    <w:rsid w:val="008467AB"/>
    <w:rsid w:val="00847737"/>
    <w:rsid w:val="00847833"/>
    <w:rsid w:val="0085093F"/>
    <w:rsid w:val="00851238"/>
    <w:rsid w:val="00851C2A"/>
    <w:rsid w:val="00851D0C"/>
    <w:rsid w:val="00851DC3"/>
    <w:rsid w:val="00852210"/>
    <w:rsid w:val="00853140"/>
    <w:rsid w:val="00853A11"/>
    <w:rsid w:val="00854492"/>
    <w:rsid w:val="008545B9"/>
    <w:rsid w:val="008551B0"/>
    <w:rsid w:val="008560E8"/>
    <w:rsid w:val="00856754"/>
    <w:rsid w:val="008567C9"/>
    <w:rsid w:val="0085777C"/>
    <w:rsid w:val="00857C61"/>
    <w:rsid w:val="00857E67"/>
    <w:rsid w:val="0086013E"/>
    <w:rsid w:val="00860D6A"/>
    <w:rsid w:val="00861261"/>
    <w:rsid w:val="008615D8"/>
    <w:rsid w:val="00861E3F"/>
    <w:rsid w:val="0086211F"/>
    <w:rsid w:val="008621B6"/>
    <w:rsid w:val="008630B0"/>
    <w:rsid w:val="00863376"/>
    <w:rsid w:val="00863F1A"/>
    <w:rsid w:val="0086462C"/>
    <w:rsid w:val="00864A2D"/>
    <w:rsid w:val="00864ECC"/>
    <w:rsid w:val="00866402"/>
    <w:rsid w:val="008664C0"/>
    <w:rsid w:val="008665DD"/>
    <w:rsid w:val="0086705E"/>
    <w:rsid w:val="00867315"/>
    <w:rsid w:val="00867AC8"/>
    <w:rsid w:val="00870767"/>
    <w:rsid w:val="0087180F"/>
    <w:rsid w:val="008724F0"/>
    <w:rsid w:val="008728F6"/>
    <w:rsid w:val="0087343A"/>
    <w:rsid w:val="00873821"/>
    <w:rsid w:val="0087383B"/>
    <w:rsid w:val="00873D97"/>
    <w:rsid w:val="00873EAF"/>
    <w:rsid w:val="00873FC6"/>
    <w:rsid w:val="00876A34"/>
    <w:rsid w:val="00876A46"/>
    <w:rsid w:val="00876B67"/>
    <w:rsid w:val="008770EC"/>
    <w:rsid w:val="00877106"/>
    <w:rsid w:val="00877DC8"/>
    <w:rsid w:val="008808A6"/>
    <w:rsid w:val="00880B4B"/>
    <w:rsid w:val="00880DAA"/>
    <w:rsid w:val="008814BA"/>
    <w:rsid w:val="00881C61"/>
    <w:rsid w:val="008827CC"/>
    <w:rsid w:val="008841A8"/>
    <w:rsid w:val="00885ACA"/>
    <w:rsid w:val="008862B9"/>
    <w:rsid w:val="0088641A"/>
    <w:rsid w:val="00886903"/>
    <w:rsid w:val="008872DE"/>
    <w:rsid w:val="00890040"/>
    <w:rsid w:val="00890925"/>
    <w:rsid w:val="00890F72"/>
    <w:rsid w:val="0089247E"/>
    <w:rsid w:val="00892B50"/>
    <w:rsid w:val="00893756"/>
    <w:rsid w:val="00893896"/>
    <w:rsid w:val="008940E5"/>
    <w:rsid w:val="00894C8E"/>
    <w:rsid w:val="00895718"/>
    <w:rsid w:val="00896409"/>
    <w:rsid w:val="00896E6E"/>
    <w:rsid w:val="00897C8D"/>
    <w:rsid w:val="00897D04"/>
    <w:rsid w:val="00897FCA"/>
    <w:rsid w:val="008A0176"/>
    <w:rsid w:val="008A03BD"/>
    <w:rsid w:val="008A0E15"/>
    <w:rsid w:val="008A160F"/>
    <w:rsid w:val="008A1A05"/>
    <w:rsid w:val="008A1FA3"/>
    <w:rsid w:val="008A2692"/>
    <w:rsid w:val="008A26DF"/>
    <w:rsid w:val="008A2FF6"/>
    <w:rsid w:val="008A31C1"/>
    <w:rsid w:val="008A3328"/>
    <w:rsid w:val="008A34C3"/>
    <w:rsid w:val="008A49CA"/>
    <w:rsid w:val="008A49F7"/>
    <w:rsid w:val="008A4CC0"/>
    <w:rsid w:val="008A53A8"/>
    <w:rsid w:val="008A5F30"/>
    <w:rsid w:val="008A66B6"/>
    <w:rsid w:val="008A7641"/>
    <w:rsid w:val="008A7E7C"/>
    <w:rsid w:val="008B02AD"/>
    <w:rsid w:val="008B0836"/>
    <w:rsid w:val="008B0AE2"/>
    <w:rsid w:val="008B175D"/>
    <w:rsid w:val="008B1AAA"/>
    <w:rsid w:val="008B2046"/>
    <w:rsid w:val="008B3F7E"/>
    <w:rsid w:val="008B4013"/>
    <w:rsid w:val="008B48D4"/>
    <w:rsid w:val="008B4910"/>
    <w:rsid w:val="008B4BAA"/>
    <w:rsid w:val="008B593C"/>
    <w:rsid w:val="008B5D16"/>
    <w:rsid w:val="008B632A"/>
    <w:rsid w:val="008B6763"/>
    <w:rsid w:val="008B72E2"/>
    <w:rsid w:val="008B797C"/>
    <w:rsid w:val="008B7A99"/>
    <w:rsid w:val="008B7B0C"/>
    <w:rsid w:val="008B7EC5"/>
    <w:rsid w:val="008C0614"/>
    <w:rsid w:val="008C072D"/>
    <w:rsid w:val="008C1273"/>
    <w:rsid w:val="008C14D7"/>
    <w:rsid w:val="008C1CDF"/>
    <w:rsid w:val="008C1F91"/>
    <w:rsid w:val="008C2E16"/>
    <w:rsid w:val="008C2F7F"/>
    <w:rsid w:val="008C3C42"/>
    <w:rsid w:val="008C3F00"/>
    <w:rsid w:val="008C4A3A"/>
    <w:rsid w:val="008C51DA"/>
    <w:rsid w:val="008C54C3"/>
    <w:rsid w:val="008C5754"/>
    <w:rsid w:val="008C5896"/>
    <w:rsid w:val="008C6B5E"/>
    <w:rsid w:val="008C6C35"/>
    <w:rsid w:val="008C757D"/>
    <w:rsid w:val="008C7CEC"/>
    <w:rsid w:val="008C7E2D"/>
    <w:rsid w:val="008C7E5A"/>
    <w:rsid w:val="008D0234"/>
    <w:rsid w:val="008D027C"/>
    <w:rsid w:val="008D0A0E"/>
    <w:rsid w:val="008D1F86"/>
    <w:rsid w:val="008D2181"/>
    <w:rsid w:val="008D2BCC"/>
    <w:rsid w:val="008D381A"/>
    <w:rsid w:val="008D49BB"/>
    <w:rsid w:val="008D4C1F"/>
    <w:rsid w:val="008D562A"/>
    <w:rsid w:val="008D5634"/>
    <w:rsid w:val="008D5A72"/>
    <w:rsid w:val="008D5DFD"/>
    <w:rsid w:val="008D5F5E"/>
    <w:rsid w:val="008D6124"/>
    <w:rsid w:val="008D655F"/>
    <w:rsid w:val="008D6D79"/>
    <w:rsid w:val="008D7339"/>
    <w:rsid w:val="008D77C5"/>
    <w:rsid w:val="008D7A23"/>
    <w:rsid w:val="008D7FE9"/>
    <w:rsid w:val="008E18AD"/>
    <w:rsid w:val="008E1AA9"/>
    <w:rsid w:val="008E1CBC"/>
    <w:rsid w:val="008E2B4A"/>
    <w:rsid w:val="008E3663"/>
    <w:rsid w:val="008E39E1"/>
    <w:rsid w:val="008E3FC2"/>
    <w:rsid w:val="008E4736"/>
    <w:rsid w:val="008E4E1E"/>
    <w:rsid w:val="008E56BF"/>
    <w:rsid w:val="008E58FF"/>
    <w:rsid w:val="008E5DA3"/>
    <w:rsid w:val="008E5E28"/>
    <w:rsid w:val="008E5FBA"/>
    <w:rsid w:val="008E6864"/>
    <w:rsid w:val="008E6938"/>
    <w:rsid w:val="008E6E48"/>
    <w:rsid w:val="008E71A5"/>
    <w:rsid w:val="008F0351"/>
    <w:rsid w:val="008F0AC6"/>
    <w:rsid w:val="008F0D51"/>
    <w:rsid w:val="008F2934"/>
    <w:rsid w:val="008F2E27"/>
    <w:rsid w:val="008F3911"/>
    <w:rsid w:val="008F3AF1"/>
    <w:rsid w:val="008F44BC"/>
    <w:rsid w:val="008F46EE"/>
    <w:rsid w:val="008F4798"/>
    <w:rsid w:val="008F4DAA"/>
    <w:rsid w:val="008F7230"/>
    <w:rsid w:val="008F780B"/>
    <w:rsid w:val="008F7D80"/>
    <w:rsid w:val="008F7F32"/>
    <w:rsid w:val="00900A34"/>
    <w:rsid w:val="00901331"/>
    <w:rsid w:val="0090153E"/>
    <w:rsid w:val="00902397"/>
    <w:rsid w:val="00902664"/>
    <w:rsid w:val="0090292C"/>
    <w:rsid w:val="00902E90"/>
    <w:rsid w:val="00903359"/>
    <w:rsid w:val="009036EA"/>
    <w:rsid w:val="00903D51"/>
    <w:rsid w:val="00904187"/>
    <w:rsid w:val="00904491"/>
    <w:rsid w:val="0090450E"/>
    <w:rsid w:val="00904871"/>
    <w:rsid w:val="00904978"/>
    <w:rsid w:val="00904F96"/>
    <w:rsid w:val="00906654"/>
    <w:rsid w:val="00906808"/>
    <w:rsid w:val="00906D08"/>
    <w:rsid w:val="0090721E"/>
    <w:rsid w:val="009078DD"/>
    <w:rsid w:val="0091072B"/>
    <w:rsid w:val="009107FE"/>
    <w:rsid w:val="00910C92"/>
    <w:rsid w:val="00911046"/>
    <w:rsid w:val="00911643"/>
    <w:rsid w:val="00911B16"/>
    <w:rsid w:val="00911D19"/>
    <w:rsid w:val="009121D7"/>
    <w:rsid w:val="009127B0"/>
    <w:rsid w:val="00912B31"/>
    <w:rsid w:val="00913200"/>
    <w:rsid w:val="00914B96"/>
    <w:rsid w:val="00915F3D"/>
    <w:rsid w:val="00916785"/>
    <w:rsid w:val="009172AF"/>
    <w:rsid w:val="009177D0"/>
    <w:rsid w:val="00917D91"/>
    <w:rsid w:val="0092005D"/>
    <w:rsid w:val="00920135"/>
    <w:rsid w:val="00920BDB"/>
    <w:rsid w:val="00921D7F"/>
    <w:rsid w:val="00921FAA"/>
    <w:rsid w:val="0092230C"/>
    <w:rsid w:val="00922C34"/>
    <w:rsid w:val="0092312B"/>
    <w:rsid w:val="00923725"/>
    <w:rsid w:val="00923D69"/>
    <w:rsid w:val="0092400A"/>
    <w:rsid w:val="009240AC"/>
    <w:rsid w:val="00924384"/>
    <w:rsid w:val="009247F7"/>
    <w:rsid w:val="00924D4E"/>
    <w:rsid w:val="0092527D"/>
    <w:rsid w:val="00925B64"/>
    <w:rsid w:val="00926311"/>
    <w:rsid w:val="00926363"/>
    <w:rsid w:val="00926B71"/>
    <w:rsid w:val="0092707C"/>
    <w:rsid w:val="009273FF"/>
    <w:rsid w:val="009276CE"/>
    <w:rsid w:val="009277AD"/>
    <w:rsid w:val="00927ABA"/>
    <w:rsid w:val="00927F39"/>
    <w:rsid w:val="00930479"/>
    <w:rsid w:val="00930576"/>
    <w:rsid w:val="0093150B"/>
    <w:rsid w:val="009317ED"/>
    <w:rsid w:val="00931C15"/>
    <w:rsid w:val="00931D82"/>
    <w:rsid w:val="00931F13"/>
    <w:rsid w:val="009322A5"/>
    <w:rsid w:val="0093276B"/>
    <w:rsid w:val="00933D6A"/>
    <w:rsid w:val="009348E8"/>
    <w:rsid w:val="00934952"/>
    <w:rsid w:val="009350ED"/>
    <w:rsid w:val="00935504"/>
    <w:rsid w:val="009358FB"/>
    <w:rsid w:val="00935A75"/>
    <w:rsid w:val="00935DF3"/>
    <w:rsid w:val="009363E5"/>
    <w:rsid w:val="00936C02"/>
    <w:rsid w:val="00936D3F"/>
    <w:rsid w:val="009374F1"/>
    <w:rsid w:val="00937703"/>
    <w:rsid w:val="00937A73"/>
    <w:rsid w:val="009402CE"/>
    <w:rsid w:val="009416E0"/>
    <w:rsid w:val="00941984"/>
    <w:rsid w:val="00941B6E"/>
    <w:rsid w:val="00941CA4"/>
    <w:rsid w:val="00941E2F"/>
    <w:rsid w:val="00941E90"/>
    <w:rsid w:val="00941F14"/>
    <w:rsid w:val="0094233A"/>
    <w:rsid w:val="00942492"/>
    <w:rsid w:val="009425DD"/>
    <w:rsid w:val="00942B30"/>
    <w:rsid w:val="00942BF3"/>
    <w:rsid w:val="00942E3E"/>
    <w:rsid w:val="00943CBE"/>
    <w:rsid w:val="00945320"/>
    <w:rsid w:val="00945618"/>
    <w:rsid w:val="00950912"/>
    <w:rsid w:val="00950D12"/>
    <w:rsid w:val="00951261"/>
    <w:rsid w:val="0095134F"/>
    <w:rsid w:val="009514A6"/>
    <w:rsid w:val="0095162C"/>
    <w:rsid w:val="00951BC6"/>
    <w:rsid w:val="00952498"/>
    <w:rsid w:val="00952D1F"/>
    <w:rsid w:val="00952E55"/>
    <w:rsid w:val="00952FA0"/>
    <w:rsid w:val="00953F8F"/>
    <w:rsid w:val="0095492C"/>
    <w:rsid w:val="00955325"/>
    <w:rsid w:val="0095566B"/>
    <w:rsid w:val="00955784"/>
    <w:rsid w:val="00955BFB"/>
    <w:rsid w:val="00955E99"/>
    <w:rsid w:val="00957889"/>
    <w:rsid w:val="009603A1"/>
    <w:rsid w:val="00960B1F"/>
    <w:rsid w:val="009610AC"/>
    <w:rsid w:val="00961C09"/>
    <w:rsid w:val="009620BE"/>
    <w:rsid w:val="00962E94"/>
    <w:rsid w:val="0096405F"/>
    <w:rsid w:val="00964294"/>
    <w:rsid w:val="0096488A"/>
    <w:rsid w:val="0096495F"/>
    <w:rsid w:val="00964C83"/>
    <w:rsid w:val="009652C2"/>
    <w:rsid w:val="009652DC"/>
    <w:rsid w:val="00965820"/>
    <w:rsid w:val="00965F90"/>
    <w:rsid w:val="00966331"/>
    <w:rsid w:val="009674A3"/>
    <w:rsid w:val="009675BF"/>
    <w:rsid w:val="0096760B"/>
    <w:rsid w:val="009710D3"/>
    <w:rsid w:val="009712DF"/>
    <w:rsid w:val="0097145D"/>
    <w:rsid w:val="00971A0D"/>
    <w:rsid w:val="00973537"/>
    <w:rsid w:val="0097411D"/>
    <w:rsid w:val="00974527"/>
    <w:rsid w:val="0097495B"/>
    <w:rsid w:val="0097519D"/>
    <w:rsid w:val="00975675"/>
    <w:rsid w:val="00975E4C"/>
    <w:rsid w:val="00976762"/>
    <w:rsid w:val="00976C43"/>
    <w:rsid w:val="0097756E"/>
    <w:rsid w:val="0097792E"/>
    <w:rsid w:val="0098009F"/>
    <w:rsid w:val="00980596"/>
    <w:rsid w:val="009817CF"/>
    <w:rsid w:val="00981B3C"/>
    <w:rsid w:val="00981BEB"/>
    <w:rsid w:val="00983025"/>
    <w:rsid w:val="0098311D"/>
    <w:rsid w:val="0098384B"/>
    <w:rsid w:val="00983DF1"/>
    <w:rsid w:val="009845A6"/>
    <w:rsid w:val="00985587"/>
    <w:rsid w:val="00985638"/>
    <w:rsid w:val="0098569D"/>
    <w:rsid w:val="009860D0"/>
    <w:rsid w:val="0098620F"/>
    <w:rsid w:val="0098622B"/>
    <w:rsid w:val="0098626D"/>
    <w:rsid w:val="00986748"/>
    <w:rsid w:val="00986F24"/>
    <w:rsid w:val="009870AA"/>
    <w:rsid w:val="00987C68"/>
    <w:rsid w:val="00987C9F"/>
    <w:rsid w:val="00990A0C"/>
    <w:rsid w:val="00991368"/>
    <w:rsid w:val="009919D8"/>
    <w:rsid w:val="00991BFC"/>
    <w:rsid w:val="00991EE7"/>
    <w:rsid w:val="009925F7"/>
    <w:rsid w:val="00992A5D"/>
    <w:rsid w:val="009930C9"/>
    <w:rsid w:val="00993907"/>
    <w:rsid w:val="00995770"/>
    <w:rsid w:val="0099621E"/>
    <w:rsid w:val="0099622C"/>
    <w:rsid w:val="0099645D"/>
    <w:rsid w:val="00996850"/>
    <w:rsid w:val="00996CD2"/>
    <w:rsid w:val="00997573"/>
    <w:rsid w:val="00997EA7"/>
    <w:rsid w:val="009A0289"/>
    <w:rsid w:val="009A02B1"/>
    <w:rsid w:val="009A0566"/>
    <w:rsid w:val="009A1F98"/>
    <w:rsid w:val="009A267D"/>
    <w:rsid w:val="009A376B"/>
    <w:rsid w:val="009A4156"/>
    <w:rsid w:val="009A4237"/>
    <w:rsid w:val="009A502B"/>
    <w:rsid w:val="009A5088"/>
    <w:rsid w:val="009A50E5"/>
    <w:rsid w:val="009A51AE"/>
    <w:rsid w:val="009A5ED2"/>
    <w:rsid w:val="009A6157"/>
    <w:rsid w:val="009A66D8"/>
    <w:rsid w:val="009A6A9B"/>
    <w:rsid w:val="009A785F"/>
    <w:rsid w:val="009B1F14"/>
    <w:rsid w:val="009B2607"/>
    <w:rsid w:val="009B2A90"/>
    <w:rsid w:val="009B57B3"/>
    <w:rsid w:val="009B5B10"/>
    <w:rsid w:val="009B6040"/>
    <w:rsid w:val="009B60D4"/>
    <w:rsid w:val="009B6778"/>
    <w:rsid w:val="009B6ABB"/>
    <w:rsid w:val="009B6FFA"/>
    <w:rsid w:val="009B71EA"/>
    <w:rsid w:val="009B7D2B"/>
    <w:rsid w:val="009C1214"/>
    <w:rsid w:val="009C16AC"/>
    <w:rsid w:val="009C1955"/>
    <w:rsid w:val="009C1D0F"/>
    <w:rsid w:val="009C2182"/>
    <w:rsid w:val="009C3736"/>
    <w:rsid w:val="009C3A50"/>
    <w:rsid w:val="009C4862"/>
    <w:rsid w:val="009C4CCE"/>
    <w:rsid w:val="009C5484"/>
    <w:rsid w:val="009C54D5"/>
    <w:rsid w:val="009C559B"/>
    <w:rsid w:val="009C6098"/>
    <w:rsid w:val="009C67ED"/>
    <w:rsid w:val="009C6BE5"/>
    <w:rsid w:val="009C6CCA"/>
    <w:rsid w:val="009C717C"/>
    <w:rsid w:val="009D10A2"/>
    <w:rsid w:val="009D10CF"/>
    <w:rsid w:val="009D254F"/>
    <w:rsid w:val="009D355F"/>
    <w:rsid w:val="009D3800"/>
    <w:rsid w:val="009D3CEA"/>
    <w:rsid w:val="009D3FD0"/>
    <w:rsid w:val="009D42AF"/>
    <w:rsid w:val="009D4806"/>
    <w:rsid w:val="009D4B10"/>
    <w:rsid w:val="009D5159"/>
    <w:rsid w:val="009D6FEE"/>
    <w:rsid w:val="009D7C97"/>
    <w:rsid w:val="009D7CE8"/>
    <w:rsid w:val="009D7EB8"/>
    <w:rsid w:val="009E0159"/>
    <w:rsid w:val="009E0447"/>
    <w:rsid w:val="009E060C"/>
    <w:rsid w:val="009E1123"/>
    <w:rsid w:val="009E1D5E"/>
    <w:rsid w:val="009E1F1F"/>
    <w:rsid w:val="009E1F6A"/>
    <w:rsid w:val="009E2554"/>
    <w:rsid w:val="009E32D1"/>
    <w:rsid w:val="009E46A4"/>
    <w:rsid w:val="009E5009"/>
    <w:rsid w:val="009E5203"/>
    <w:rsid w:val="009E57D6"/>
    <w:rsid w:val="009E5BD7"/>
    <w:rsid w:val="009E69F0"/>
    <w:rsid w:val="009E712F"/>
    <w:rsid w:val="009E715B"/>
    <w:rsid w:val="009E7304"/>
    <w:rsid w:val="009E775D"/>
    <w:rsid w:val="009E791C"/>
    <w:rsid w:val="009E7F05"/>
    <w:rsid w:val="009F0126"/>
    <w:rsid w:val="009F018F"/>
    <w:rsid w:val="009F0793"/>
    <w:rsid w:val="009F0CA6"/>
    <w:rsid w:val="009F1B47"/>
    <w:rsid w:val="009F1C77"/>
    <w:rsid w:val="009F20AA"/>
    <w:rsid w:val="009F2E65"/>
    <w:rsid w:val="009F3233"/>
    <w:rsid w:val="009F327A"/>
    <w:rsid w:val="009F35C8"/>
    <w:rsid w:val="009F38B1"/>
    <w:rsid w:val="009F3BD4"/>
    <w:rsid w:val="009F44E6"/>
    <w:rsid w:val="009F4763"/>
    <w:rsid w:val="009F485A"/>
    <w:rsid w:val="009F4AD8"/>
    <w:rsid w:val="009F53DB"/>
    <w:rsid w:val="009F57CC"/>
    <w:rsid w:val="009F6022"/>
    <w:rsid w:val="009F6226"/>
    <w:rsid w:val="009F6D1C"/>
    <w:rsid w:val="009F786B"/>
    <w:rsid w:val="009F797B"/>
    <w:rsid w:val="009F7D01"/>
    <w:rsid w:val="00A00010"/>
    <w:rsid w:val="00A00033"/>
    <w:rsid w:val="00A00F11"/>
    <w:rsid w:val="00A0165B"/>
    <w:rsid w:val="00A017A3"/>
    <w:rsid w:val="00A018BD"/>
    <w:rsid w:val="00A01F1B"/>
    <w:rsid w:val="00A01FC5"/>
    <w:rsid w:val="00A02511"/>
    <w:rsid w:val="00A02D75"/>
    <w:rsid w:val="00A0370E"/>
    <w:rsid w:val="00A039F2"/>
    <w:rsid w:val="00A03D68"/>
    <w:rsid w:val="00A04607"/>
    <w:rsid w:val="00A04AED"/>
    <w:rsid w:val="00A05257"/>
    <w:rsid w:val="00A05597"/>
    <w:rsid w:val="00A06052"/>
    <w:rsid w:val="00A06EE9"/>
    <w:rsid w:val="00A0762F"/>
    <w:rsid w:val="00A077C6"/>
    <w:rsid w:val="00A07DE6"/>
    <w:rsid w:val="00A100BE"/>
    <w:rsid w:val="00A10162"/>
    <w:rsid w:val="00A11FF6"/>
    <w:rsid w:val="00A12002"/>
    <w:rsid w:val="00A121D3"/>
    <w:rsid w:val="00A1236E"/>
    <w:rsid w:val="00A12882"/>
    <w:rsid w:val="00A13246"/>
    <w:rsid w:val="00A135C5"/>
    <w:rsid w:val="00A138A9"/>
    <w:rsid w:val="00A13A73"/>
    <w:rsid w:val="00A14BF2"/>
    <w:rsid w:val="00A14D08"/>
    <w:rsid w:val="00A1529B"/>
    <w:rsid w:val="00A15F37"/>
    <w:rsid w:val="00A160DA"/>
    <w:rsid w:val="00A16619"/>
    <w:rsid w:val="00A1675E"/>
    <w:rsid w:val="00A16E32"/>
    <w:rsid w:val="00A16EC6"/>
    <w:rsid w:val="00A1771E"/>
    <w:rsid w:val="00A17978"/>
    <w:rsid w:val="00A1799D"/>
    <w:rsid w:val="00A204D4"/>
    <w:rsid w:val="00A21459"/>
    <w:rsid w:val="00A2184F"/>
    <w:rsid w:val="00A21AC3"/>
    <w:rsid w:val="00A221FD"/>
    <w:rsid w:val="00A22952"/>
    <w:rsid w:val="00A237F0"/>
    <w:rsid w:val="00A2472A"/>
    <w:rsid w:val="00A24AAC"/>
    <w:rsid w:val="00A24C8F"/>
    <w:rsid w:val="00A25186"/>
    <w:rsid w:val="00A2585B"/>
    <w:rsid w:val="00A25BE9"/>
    <w:rsid w:val="00A26691"/>
    <w:rsid w:val="00A269ED"/>
    <w:rsid w:val="00A26CDA"/>
    <w:rsid w:val="00A26E4A"/>
    <w:rsid w:val="00A278EA"/>
    <w:rsid w:val="00A30CD9"/>
    <w:rsid w:val="00A3170C"/>
    <w:rsid w:val="00A322CB"/>
    <w:rsid w:val="00A33361"/>
    <w:rsid w:val="00A33719"/>
    <w:rsid w:val="00A33E95"/>
    <w:rsid w:val="00A34C9E"/>
    <w:rsid w:val="00A35684"/>
    <w:rsid w:val="00A35838"/>
    <w:rsid w:val="00A35F6B"/>
    <w:rsid w:val="00A36905"/>
    <w:rsid w:val="00A36C62"/>
    <w:rsid w:val="00A36F3A"/>
    <w:rsid w:val="00A3736C"/>
    <w:rsid w:val="00A3756B"/>
    <w:rsid w:val="00A4077C"/>
    <w:rsid w:val="00A40A8C"/>
    <w:rsid w:val="00A414C8"/>
    <w:rsid w:val="00A418CD"/>
    <w:rsid w:val="00A41DA2"/>
    <w:rsid w:val="00A41FA0"/>
    <w:rsid w:val="00A428C1"/>
    <w:rsid w:val="00A428DD"/>
    <w:rsid w:val="00A42FE7"/>
    <w:rsid w:val="00A449CE"/>
    <w:rsid w:val="00A45819"/>
    <w:rsid w:val="00A46958"/>
    <w:rsid w:val="00A46FBF"/>
    <w:rsid w:val="00A500B4"/>
    <w:rsid w:val="00A50967"/>
    <w:rsid w:val="00A50B68"/>
    <w:rsid w:val="00A5208D"/>
    <w:rsid w:val="00A52745"/>
    <w:rsid w:val="00A52B92"/>
    <w:rsid w:val="00A52BF7"/>
    <w:rsid w:val="00A52F21"/>
    <w:rsid w:val="00A54100"/>
    <w:rsid w:val="00A5506D"/>
    <w:rsid w:val="00A555E5"/>
    <w:rsid w:val="00A556C8"/>
    <w:rsid w:val="00A5665E"/>
    <w:rsid w:val="00A56878"/>
    <w:rsid w:val="00A56AEA"/>
    <w:rsid w:val="00A56B67"/>
    <w:rsid w:val="00A57CB8"/>
    <w:rsid w:val="00A60497"/>
    <w:rsid w:val="00A60C5D"/>
    <w:rsid w:val="00A60E2B"/>
    <w:rsid w:val="00A60F40"/>
    <w:rsid w:val="00A628FA"/>
    <w:rsid w:val="00A63102"/>
    <w:rsid w:val="00A6331F"/>
    <w:rsid w:val="00A637FA"/>
    <w:rsid w:val="00A640AE"/>
    <w:rsid w:val="00A644FC"/>
    <w:rsid w:val="00A647F4"/>
    <w:rsid w:val="00A6549B"/>
    <w:rsid w:val="00A6638A"/>
    <w:rsid w:val="00A70D4E"/>
    <w:rsid w:val="00A71002"/>
    <w:rsid w:val="00A7261F"/>
    <w:rsid w:val="00A72717"/>
    <w:rsid w:val="00A7348F"/>
    <w:rsid w:val="00A73898"/>
    <w:rsid w:val="00A7490F"/>
    <w:rsid w:val="00A75D02"/>
    <w:rsid w:val="00A75E55"/>
    <w:rsid w:val="00A75F33"/>
    <w:rsid w:val="00A771A5"/>
    <w:rsid w:val="00A77239"/>
    <w:rsid w:val="00A772B2"/>
    <w:rsid w:val="00A773DA"/>
    <w:rsid w:val="00A7759D"/>
    <w:rsid w:val="00A777C4"/>
    <w:rsid w:val="00A77C5B"/>
    <w:rsid w:val="00A80924"/>
    <w:rsid w:val="00A80B37"/>
    <w:rsid w:val="00A81C41"/>
    <w:rsid w:val="00A8236D"/>
    <w:rsid w:val="00A829E9"/>
    <w:rsid w:val="00A83AB5"/>
    <w:rsid w:val="00A8572C"/>
    <w:rsid w:val="00A857A5"/>
    <w:rsid w:val="00A859D0"/>
    <w:rsid w:val="00A86A19"/>
    <w:rsid w:val="00A86D2F"/>
    <w:rsid w:val="00A877B4"/>
    <w:rsid w:val="00A93B5A"/>
    <w:rsid w:val="00A93E91"/>
    <w:rsid w:val="00A942CB"/>
    <w:rsid w:val="00A94CCD"/>
    <w:rsid w:val="00A95548"/>
    <w:rsid w:val="00A956E7"/>
    <w:rsid w:val="00A959A4"/>
    <w:rsid w:val="00A95DCE"/>
    <w:rsid w:val="00A95EB8"/>
    <w:rsid w:val="00A96949"/>
    <w:rsid w:val="00A96EC8"/>
    <w:rsid w:val="00A96FD8"/>
    <w:rsid w:val="00A97466"/>
    <w:rsid w:val="00A97504"/>
    <w:rsid w:val="00AA0261"/>
    <w:rsid w:val="00AA04F9"/>
    <w:rsid w:val="00AA099C"/>
    <w:rsid w:val="00AA09C4"/>
    <w:rsid w:val="00AA100D"/>
    <w:rsid w:val="00AA15AA"/>
    <w:rsid w:val="00AA18A0"/>
    <w:rsid w:val="00AA18A7"/>
    <w:rsid w:val="00AA197B"/>
    <w:rsid w:val="00AA20E7"/>
    <w:rsid w:val="00AA2533"/>
    <w:rsid w:val="00AA28DF"/>
    <w:rsid w:val="00AA299F"/>
    <w:rsid w:val="00AA2D05"/>
    <w:rsid w:val="00AA34F9"/>
    <w:rsid w:val="00AA3707"/>
    <w:rsid w:val="00AA3962"/>
    <w:rsid w:val="00AA3C31"/>
    <w:rsid w:val="00AA3C3C"/>
    <w:rsid w:val="00AA4143"/>
    <w:rsid w:val="00AA4646"/>
    <w:rsid w:val="00AA46BA"/>
    <w:rsid w:val="00AA4E1F"/>
    <w:rsid w:val="00AA4FD5"/>
    <w:rsid w:val="00AA633C"/>
    <w:rsid w:val="00AA6794"/>
    <w:rsid w:val="00AB0B60"/>
    <w:rsid w:val="00AB0C12"/>
    <w:rsid w:val="00AB0DFB"/>
    <w:rsid w:val="00AB0FF4"/>
    <w:rsid w:val="00AB10C6"/>
    <w:rsid w:val="00AB129E"/>
    <w:rsid w:val="00AB16E6"/>
    <w:rsid w:val="00AB1F75"/>
    <w:rsid w:val="00AB2BD3"/>
    <w:rsid w:val="00AB4161"/>
    <w:rsid w:val="00AB4BA0"/>
    <w:rsid w:val="00AB50E7"/>
    <w:rsid w:val="00AB5A6D"/>
    <w:rsid w:val="00AB5DF0"/>
    <w:rsid w:val="00AB5F69"/>
    <w:rsid w:val="00AB61E3"/>
    <w:rsid w:val="00AB7EA8"/>
    <w:rsid w:val="00AC0ACE"/>
    <w:rsid w:val="00AC112F"/>
    <w:rsid w:val="00AC1417"/>
    <w:rsid w:val="00AC15F8"/>
    <w:rsid w:val="00AC1867"/>
    <w:rsid w:val="00AC1D6D"/>
    <w:rsid w:val="00AC25D0"/>
    <w:rsid w:val="00AC271B"/>
    <w:rsid w:val="00AC34D2"/>
    <w:rsid w:val="00AC3932"/>
    <w:rsid w:val="00AC4259"/>
    <w:rsid w:val="00AC43CC"/>
    <w:rsid w:val="00AC44B1"/>
    <w:rsid w:val="00AC5728"/>
    <w:rsid w:val="00AC5A0E"/>
    <w:rsid w:val="00AC5B2E"/>
    <w:rsid w:val="00AC6B2D"/>
    <w:rsid w:val="00AC6F3B"/>
    <w:rsid w:val="00AC7068"/>
    <w:rsid w:val="00AC738F"/>
    <w:rsid w:val="00AC7CAF"/>
    <w:rsid w:val="00AC7DB5"/>
    <w:rsid w:val="00AC7DF4"/>
    <w:rsid w:val="00AD0CA8"/>
    <w:rsid w:val="00AD2396"/>
    <w:rsid w:val="00AD3A64"/>
    <w:rsid w:val="00AD4107"/>
    <w:rsid w:val="00AD4ADD"/>
    <w:rsid w:val="00AD643B"/>
    <w:rsid w:val="00AD6968"/>
    <w:rsid w:val="00AD7C22"/>
    <w:rsid w:val="00AD7C84"/>
    <w:rsid w:val="00AD7D39"/>
    <w:rsid w:val="00AD7F2B"/>
    <w:rsid w:val="00AE1330"/>
    <w:rsid w:val="00AE1FFB"/>
    <w:rsid w:val="00AE21AE"/>
    <w:rsid w:val="00AE224A"/>
    <w:rsid w:val="00AE26FF"/>
    <w:rsid w:val="00AE2EBB"/>
    <w:rsid w:val="00AE46A1"/>
    <w:rsid w:val="00AE470F"/>
    <w:rsid w:val="00AE4B12"/>
    <w:rsid w:val="00AE5596"/>
    <w:rsid w:val="00AE55B5"/>
    <w:rsid w:val="00AE5B52"/>
    <w:rsid w:val="00AE7A36"/>
    <w:rsid w:val="00AF004C"/>
    <w:rsid w:val="00AF022B"/>
    <w:rsid w:val="00AF0AB0"/>
    <w:rsid w:val="00AF0C4B"/>
    <w:rsid w:val="00AF12FA"/>
    <w:rsid w:val="00AF2925"/>
    <w:rsid w:val="00AF3204"/>
    <w:rsid w:val="00AF379A"/>
    <w:rsid w:val="00AF3A64"/>
    <w:rsid w:val="00AF3C62"/>
    <w:rsid w:val="00AF3FC2"/>
    <w:rsid w:val="00AF4181"/>
    <w:rsid w:val="00AF4A6C"/>
    <w:rsid w:val="00AF4B43"/>
    <w:rsid w:val="00AF5183"/>
    <w:rsid w:val="00AF5440"/>
    <w:rsid w:val="00AF653E"/>
    <w:rsid w:val="00AF6D72"/>
    <w:rsid w:val="00AF72D0"/>
    <w:rsid w:val="00AF758E"/>
    <w:rsid w:val="00AF7B55"/>
    <w:rsid w:val="00AF7E2F"/>
    <w:rsid w:val="00B003C8"/>
    <w:rsid w:val="00B0051F"/>
    <w:rsid w:val="00B007A2"/>
    <w:rsid w:val="00B00AEC"/>
    <w:rsid w:val="00B01CAE"/>
    <w:rsid w:val="00B01E55"/>
    <w:rsid w:val="00B020BB"/>
    <w:rsid w:val="00B022F8"/>
    <w:rsid w:val="00B027D7"/>
    <w:rsid w:val="00B0347B"/>
    <w:rsid w:val="00B035D1"/>
    <w:rsid w:val="00B03EA6"/>
    <w:rsid w:val="00B03FEA"/>
    <w:rsid w:val="00B048D5"/>
    <w:rsid w:val="00B057B3"/>
    <w:rsid w:val="00B05876"/>
    <w:rsid w:val="00B05F4F"/>
    <w:rsid w:val="00B07170"/>
    <w:rsid w:val="00B078B1"/>
    <w:rsid w:val="00B07F38"/>
    <w:rsid w:val="00B10975"/>
    <w:rsid w:val="00B1117E"/>
    <w:rsid w:val="00B1171E"/>
    <w:rsid w:val="00B11939"/>
    <w:rsid w:val="00B11D5E"/>
    <w:rsid w:val="00B12570"/>
    <w:rsid w:val="00B13070"/>
    <w:rsid w:val="00B13568"/>
    <w:rsid w:val="00B143AD"/>
    <w:rsid w:val="00B144F7"/>
    <w:rsid w:val="00B15087"/>
    <w:rsid w:val="00B15320"/>
    <w:rsid w:val="00B15EA8"/>
    <w:rsid w:val="00B15F89"/>
    <w:rsid w:val="00B160BC"/>
    <w:rsid w:val="00B16BE9"/>
    <w:rsid w:val="00B16D10"/>
    <w:rsid w:val="00B171F6"/>
    <w:rsid w:val="00B17FF9"/>
    <w:rsid w:val="00B209EE"/>
    <w:rsid w:val="00B223ED"/>
    <w:rsid w:val="00B22EF1"/>
    <w:rsid w:val="00B2373F"/>
    <w:rsid w:val="00B23FCB"/>
    <w:rsid w:val="00B246DA"/>
    <w:rsid w:val="00B27066"/>
    <w:rsid w:val="00B2722B"/>
    <w:rsid w:val="00B2752E"/>
    <w:rsid w:val="00B27974"/>
    <w:rsid w:val="00B279AF"/>
    <w:rsid w:val="00B3079B"/>
    <w:rsid w:val="00B30899"/>
    <w:rsid w:val="00B30F37"/>
    <w:rsid w:val="00B31304"/>
    <w:rsid w:val="00B31C3D"/>
    <w:rsid w:val="00B324FC"/>
    <w:rsid w:val="00B328A2"/>
    <w:rsid w:val="00B32C03"/>
    <w:rsid w:val="00B32FA7"/>
    <w:rsid w:val="00B339DE"/>
    <w:rsid w:val="00B33BF7"/>
    <w:rsid w:val="00B33CB9"/>
    <w:rsid w:val="00B33CC7"/>
    <w:rsid w:val="00B34019"/>
    <w:rsid w:val="00B348F5"/>
    <w:rsid w:val="00B351C5"/>
    <w:rsid w:val="00B35432"/>
    <w:rsid w:val="00B35632"/>
    <w:rsid w:val="00B35C4A"/>
    <w:rsid w:val="00B360DC"/>
    <w:rsid w:val="00B36253"/>
    <w:rsid w:val="00B370E8"/>
    <w:rsid w:val="00B3779A"/>
    <w:rsid w:val="00B37C61"/>
    <w:rsid w:val="00B37CEC"/>
    <w:rsid w:val="00B406C8"/>
    <w:rsid w:val="00B40BB1"/>
    <w:rsid w:val="00B40E76"/>
    <w:rsid w:val="00B41352"/>
    <w:rsid w:val="00B4161E"/>
    <w:rsid w:val="00B41D61"/>
    <w:rsid w:val="00B41E33"/>
    <w:rsid w:val="00B4276F"/>
    <w:rsid w:val="00B42AE8"/>
    <w:rsid w:val="00B44033"/>
    <w:rsid w:val="00B442B6"/>
    <w:rsid w:val="00B442CE"/>
    <w:rsid w:val="00B45498"/>
    <w:rsid w:val="00B4665B"/>
    <w:rsid w:val="00B468C8"/>
    <w:rsid w:val="00B4738C"/>
    <w:rsid w:val="00B500E7"/>
    <w:rsid w:val="00B50410"/>
    <w:rsid w:val="00B5079B"/>
    <w:rsid w:val="00B507A7"/>
    <w:rsid w:val="00B5096E"/>
    <w:rsid w:val="00B5152A"/>
    <w:rsid w:val="00B5318E"/>
    <w:rsid w:val="00B53D75"/>
    <w:rsid w:val="00B54D66"/>
    <w:rsid w:val="00B54F45"/>
    <w:rsid w:val="00B553A6"/>
    <w:rsid w:val="00B55890"/>
    <w:rsid w:val="00B565D3"/>
    <w:rsid w:val="00B56AA2"/>
    <w:rsid w:val="00B56CEA"/>
    <w:rsid w:val="00B57013"/>
    <w:rsid w:val="00B57597"/>
    <w:rsid w:val="00B57F1A"/>
    <w:rsid w:val="00B609F2"/>
    <w:rsid w:val="00B6192D"/>
    <w:rsid w:val="00B61A1D"/>
    <w:rsid w:val="00B62E7C"/>
    <w:rsid w:val="00B630BC"/>
    <w:rsid w:val="00B6380A"/>
    <w:rsid w:val="00B63DFD"/>
    <w:rsid w:val="00B63E31"/>
    <w:rsid w:val="00B63E5D"/>
    <w:rsid w:val="00B63EDA"/>
    <w:rsid w:val="00B64690"/>
    <w:rsid w:val="00B647D9"/>
    <w:rsid w:val="00B64CF6"/>
    <w:rsid w:val="00B64DD4"/>
    <w:rsid w:val="00B650DB"/>
    <w:rsid w:val="00B65289"/>
    <w:rsid w:val="00B65793"/>
    <w:rsid w:val="00B65AA7"/>
    <w:rsid w:val="00B65B0C"/>
    <w:rsid w:val="00B65B6A"/>
    <w:rsid w:val="00B65BDC"/>
    <w:rsid w:val="00B660AB"/>
    <w:rsid w:val="00B671A7"/>
    <w:rsid w:val="00B671FC"/>
    <w:rsid w:val="00B67234"/>
    <w:rsid w:val="00B6741C"/>
    <w:rsid w:val="00B67C67"/>
    <w:rsid w:val="00B7018D"/>
    <w:rsid w:val="00B70C6C"/>
    <w:rsid w:val="00B71402"/>
    <w:rsid w:val="00B716BB"/>
    <w:rsid w:val="00B718E0"/>
    <w:rsid w:val="00B7190B"/>
    <w:rsid w:val="00B71C3A"/>
    <w:rsid w:val="00B7238F"/>
    <w:rsid w:val="00B72D4A"/>
    <w:rsid w:val="00B733E5"/>
    <w:rsid w:val="00B73640"/>
    <w:rsid w:val="00B73817"/>
    <w:rsid w:val="00B73CDA"/>
    <w:rsid w:val="00B742F5"/>
    <w:rsid w:val="00B7495C"/>
    <w:rsid w:val="00B754DD"/>
    <w:rsid w:val="00B7593C"/>
    <w:rsid w:val="00B75B9C"/>
    <w:rsid w:val="00B75EA3"/>
    <w:rsid w:val="00B7676A"/>
    <w:rsid w:val="00B76C88"/>
    <w:rsid w:val="00B7738C"/>
    <w:rsid w:val="00B77DDC"/>
    <w:rsid w:val="00B77ECB"/>
    <w:rsid w:val="00B807C5"/>
    <w:rsid w:val="00B819C1"/>
    <w:rsid w:val="00B82E1F"/>
    <w:rsid w:val="00B83057"/>
    <w:rsid w:val="00B8437D"/>
    <w:rsid w:val="00B844B8"/>
    <w:rsid w:val="00B847CC"/>
    <w:rsid w:val="00B85259"/>
    <w:rsid w:val="00B85592"/>
    <w:rsid w:val="00B85827"/>
    <w:rsid w:val="00B85D2E"/>
    <w:rsid w:val="00B85E6B"/>
    <w:rsid w:val="00B8607C"/>
    <w:rsid w:val="00B879FB"/>
    <w:rsid w:val="00B87E5F"/>
    <w:rsid w:val="00B9024A"/>
    <w:rsid w:val="00B90A56"/>
    <w:rsid w:val="00B922BC"/>
    <w:rsid w:val="00B9236E"/>
    <w:rsid w:val="00B9251A"/>
    <w:rsid w:val="00B92712"/>
    <w:rsid w:val="00B92BDD"/>
    <w:rsid w:val="00B92D9A"/>
    <w:rsid w:val="00B931B2"/>
    <w:rsid w:val="00B936B2"/>
    <w:rsid w:val="00B93BAE"/>
    <w:rsid w:val="00B93CEB"/>
    <w:rsid w:val="00B94144"/>
    <w:rsid w:val="00B9426B"/>
    <w:rsid w:val="00B94677"/>
    <w:rsid w:val="00B94944"/>
    <w:rsid w:val="00B94DFC"/>
    <w:rsid w:val="00B950BD"/>
    <w:rsid w:val="00B964BE"/>
    <w:rsid w:val="00B96841"/>
    <w:rsid w:val="00B9754B"/>
    <w:rsid w:val="00B97C4B"/>
    <w:rsid w:val="00B97FB2"/>
    <w:rsid w:val="00BA001C"/>
    <w:rsid w:val="00BA0967"/>
    <w:rsid w:val="00BA0D87"/>
    <w:rsid w:val="00BA0F46"/>
    <w:rsid w:val="00BA10E7"/>
    <w:rsid w:val="00BA1342"/>
    <w:rsid w:val="00BA157C"/>
    <w:rsid w:val="00BA1A35"/>
    <w:rsid w:val="00BA20EC"/>
    <w:rsid w:val="00BA273E"/>
    <w:rsid w:val="00BA2B93"/>
    <w:rsid w:val="00BA33D4"/>
    <w:rsid w:val="00BA40F3"/>
    <w:rsid w:val="00BA429B"/>
    <w:rsid w:val="00BA4486"/>
    <w:rsid w:val="00BA4A08"/>
    <w:rsid w:val="00BA61B4"/>
    <w:rsid w:val="00BA6374"/>
    <w:rsid w:val="00BA6E7E"/>
    <w:rsid w:val="00BA72F9"/>
    <w:rsid w:val="00BA7F10"/>
    <w:rsid w:val="00BA7F5E"/>
    <w:rsid w:val="00BB0A48"/>
    <w:rsid w:val="00BB0E2D"/>
    <w:rsid w:val="00BB1C88"/>
    <w:rsid w:val="00BB1D4B"/>
    <w:rsid w:val="00BB1F08"/>
    <w:rsid w:val="00BB20C2"/>
    <w:rsid w:val="00BB21E7"/>
    <w:rsid w:val="00BB2B8B"/>
    <w:rsid w:val="00BB2EED"/>
    <w:rsid w:val="00BB39A6"/>
    <w:rsid w:val="00BB4028"/>
    <w:rsid w:val="00BB4066"/>
    <w:rsid w:val="00BB4B3B"/>
    <w:rsid w:val="00BB5BEC"/>
    <w:rsid w:val="00BB6793"/>
    <w:rsid w:val="00BB7137"/>
    <w:rsid w:val="00BB7329"/>
    <w:rsid w:val="00BB74C7"/>
    <w:rsid w:val="00BB77D1"/>
    <w:rsid w:val="00BB7D14"/>
    <w:rsid w:val="00BB7DA9"/>
    <w:rsid w:val="00BB7ECE"/>
    <w:rsid w:val="00BC00C1"/>
    <w:rsid w:val="00BC0C34"/>
    <w:rsid w:val="00BC1340"/>
    <w:rsid w:val="00BC13B9"/>
    <w:rsid w:val="00BC17ED"/>
    <w:rsid w:val="00BC18A7"/>
    <w:rsid w:val="00BC47BC"/>
    <w:rsid w:val="00BC5704"/>
    <w:rsid w:val="00BC6074"/>
    <w:rsid w:val="00BC60EA"/>
    <w:rsid w:val="00BC6298"/>
    <w:rsid w:val="00BC63CC"/>
    <w:rsid w:val="00BC6C74"/>
    <w:rsid w:val="00BC6C9B"/>
    <w:rsid w:val="00BD0976"/>
    <w:rsid w:val="00BD0A52"/>
    <w:rsid w:val="00BD0DA4"/>
    <w:rsid w:val="00BD137E"/>
    <w:rsid w:val="00BD15B5"/>
    <w:rsid w:val="00BD1756"/>
    <w:rsid w:val="00BD17EB"/>
    <w:rsid w:val="00BD1851"/>
    <w:rsid w:val="00BD1935"/>
    <w:rsid w:val="00BD23A2"/>
    <w:rsid w:val="00BD2EAB"/>
    <w:rsid w:val="00BD4356"/>
    <w:rsid w:val="00BD47DE"/>
    <w:rsid w:val="00BD4838"/>
    <w:rsid w:val="00BD4892"/>
    <w:rsid w:val="00BD489D"/>
    <w:rsid w:val="00BD4B1F"/>
    <w:rsid w:val="00BD4E31"/>
    <w:rsid w:val="00BD4E68"/>
    <w:rsid w:val="00BD5488"/>
    <w:rsid w:val="00BD55A4"/>
    <w:rsid w:val="00BD6244"/>
    <w:rsid w:val="00BD6285"/>
    <w:rsid w:val="00BD6B66"/>
    <w:rsid w:val="00BD6CCF"/>
    <w:rsid w:val="00BD74F5"/>
    <w:rsid w:val="00BE08D3"/>
    <w:rsid w:val="00BE0DA1"/>
    <w:rsid w:val="00BE1738"/>
    <w:rsid w:val="00BE17E5"/>
    <w:rsid w:val="00BE1F4E"/>
    <w:rsid w:val="00BE28C6"/>
    <w:rsid w:val="00BE3B82"/>
    <w:rsid w:val="00BE4CFF"/>
    <w:rsid w:val="00BE5004"/>
    <w:rsid w:val="00BE52B3"/>
    <w:rsid w:val="00BE5F9D"/>
    <w:rsid w:val="00BE5FDD"/>
    <w:rsid w:val="00BE6F64"/>
    <w:rsid w:val="00BE73C9"/>
    <w:rsid w:val="00BE79BF"/>
    <w:rsid w:val="00BE7F32"/>
    <w:rsid w:val="00BF0440"/>
    <w:rsid w:val="00BF0C6B"/>
    <w:rsid w:val="00BF0C81"/>
    <w:rsid w:val="00BF0D25"/>
    <w:rsid w:val="00BF0DAB"/>
    <w:rsid w:val="00BF110D"/>
    <w:rsid w:val="00BF1617"/>
    <w:rsid w:val="00BF277A"/>
    <w:rsid w:val="00BF30D9"/>
    <w:rsid w:val="00BF36E0"/>
    <w:rsid w:val="00BF36FD"/>
    <w:rsid w:val="00BF395C"/>
    <w:rsid w:val="00BF433E"/>
    <w:rsid w:val="00BF493E"/>
    <w:rsid w:val="00BF4A6E"/>
    <w:rsid w:val="00BF536A"/>
    <w:rsid w:val="00BF59BC"/>
    <w:rsid w:val="00BF5F53"/>
    <w:rsid w:val="00BF6772"/>
    <w:rsid w:val="00BF6997"/>
    <w:rsid w:val="00BF726F"/>
    <w:rsid w:val="00BF749F"/>
    <w:rsid w:val="00BF7606"/>
    <w:rsid w:val="00C0030F"/>
    <w:rsid w:val="00C0057C"/>
    <w:rsid w:val="00C00B71"/>
    <w:rsid w:val="00C00C80"/>
    <w:rsid w:val="00C014E4"/>
    <w:rsid w:val="00C02436"/>
    <w:rsid w:val="00C02608"/>
    <w:rsid w:val="00C02639"/>
    <w:rsid w:val="00C03629"/>
    <w:rsid w:val="00C03A4A"/>
    <w:rsid w:val="00C04075"/>
    <w:rsid w:val="00C04489"/>
    <w:rsid w:val="00C04844"/>
    <w:rsid w:val="00C05510"/>
    <w:rsid w:val="00C05582"/>
    <w:rsid w:val="00C05A88"/>
    <w:rsid w:val="00C06665"/>
    <w:rsid w:val="00C0679B"/>
    <w:rsid w:val="00C074F1"/>
    <w:rsid w:val="00C07715"/>
    <w:rsid w:val="00C107F1"/>
    <w:rsid w:val="00C11DE4"/>
    <w:rsid w:val="00C12473"/>
    <w:rsid w:val="00C12C40"/>
    <w:rsid w:val="00C130DC"/>
    <w:rsid w:val="00C13157"/>
    <w:rsid w:val="00C132DE"/>
    <w:rsid w:val="00C13CB8"/>
    <w:rsid w:val="00C14417"/>
    <w:rsid w:val="00C14926"/>
    <w:rsid w:val="00C14C19"/>
    <w:rsid w:val="00C14D2E"/>
    <w:rsid w:val="00C14E26"/>
    <w:rsid w:val="00C156EF"/>
    <w:rsid w:val="00C15718"/>
    <w:rsid w:val="00C159BE"/>
    <w:rsid w:val="00C15CDB"/>
    <w:rsid w:val="00C166AE"/>
    <w:rsid w:val="00C16899"/>
    <w:rsid w:val="00C1695F"/>
    <w:rsid w:val="00C16E3A"/>
    <w:rsid w:val="00C172CD"/>
    <w:rsid w:val="00C17834"/>
    <w:rsid w:val="00C17DC7"/>
    <w:rsid w:val="00C2018D"/>
    <w:rsid w:val="00C20336"/>
    <w:rsid w:val="00C20B1D"/>
    <w:rsid w:val="00C212D0"/>
    <w:rsid w:val="00C21FB6"/>
    <w:rsid w:val="00C22775"/>
    <w:rsid w:val="00C2277E"/>
    <w:rsid w:val="00C22D02"/>
    <w:rsid w:val="00C22E30"/>
    <w:rsid w:val="00C22FE3"/>
    <w:rsid w:val="00C23A97"/>
    <w:rsid w:val="00C24CD6"/>
    <w:rsid w:val="00C25214"/>
    <w:rsid w:val="00C26420"/>
    <w:rsid w:val="00C266C0"/>
    <w:rsid w:val="00C26754"/>
    <w:rsid w:val="00C271FD"/>
    <w:rsid w:val="00C2778F"/>
    <w:rsid w:val="00C30899"/>
    <w:rsid w:val="00C317B0"/>
    <w:rsid w:val="00C31BF9"/>
    <w:rsid w:val="00C32364"/>
    <w:rsid w:val="00C32A01"/>
    <w:rsid w:val="00C32C07"/>
    <w:rsid w:val="00C33132"/>
    <w:rsid w:val="00C331DA"/>
    <w:rsid w:val="00C33362"/>
    <w:rsid w:val="00C33752"/>
    <w:rsid w:val="00C338BC"/>
    <w:rsid w:val="00C341C2"/>
    <w:rsid w:val="00C34CC0"/>
    <w:rsid w:val="00C35359"/>
    <w:rsid w:val="00C35D38"/>
    <w:rsid w:val="00C35E3B"/>
    <w:rsid w:val="00C36079"/>
    <w:rsid w:val="00C362F7"/>
    <w:rsid w:val="00C366FC"/>
    <w:rsid w:val="00C37166"/>
    <w:rsid w:val="00C40653"/>
    <w:rsid w:val="00C406E6"/>
    <w:rsid w:val="00C40742"/>
    <w:rsid w:val="00C40841"/>
    <w:rsid w:val="00C40956"/>
    <w:rsid w:val="00C409E7"/>
    <w:rsid w:val="00C40A19"/>
    <w:rsid w:val="00C40DD4"/>
    <w:rsid w:val="00C417B7"/>
    <w:rsid w:val="00C424ED"/>
    <w:rsid w:val="00C439E8"/>
    <w:rsid w:val="00C43C6E"/>
    <w:rsid w:val="00C44ADE"/>
    <w:rsid w:val="00C44F12"/>
    <w:rsid w:val="00C452A0"/>
    <w:rsid w:val="00C45AD0"/>
    <w:rsid w:val="00C45B56"/>
    <w:rsid w:val="00C46423"/>
    <w:rsid w:val="00C465F9"/>
    <w:rsid w:val="00C47251"/>
    <w:rsid w:val="00C479F1"/>
    <w:rsid w:val="00C47AB0"/>
    <w:rsid w:val="00C47BC0"/>
    <w:rsid w:val="00C5131D"/>
    <w:rsid w:val="00C51914"/>
    <w:rsid w:val="00C51F0F"/>
    <w:rsid w:val="00C51F38"/>
    <w:rsid w:val="00C520E8"/>
    <w:rsid w:val="00C52804"/>
    <w:rsid w:val="00C52A59"/>
    <w:rsid w:val="00C52E1A"/>
    <w:rsid w:val="00C53072"/>
    <w:rsid w:val="00C53B82"/>
    <w:rsid w:val="00C546B6"/>
    <w:rsid w:val="00C55985"/>
    <w:rsid w:val="00C56885"/>
    <w:rsid w:val="00C56DED"/>
    <w:rsid w:val="00C60ABB"/>
    <w:rsid w:val="00C60D60"/>
    <w:rsid w:val="00C617AE"/>
    <w:rsid w:val="00C61E3A"/>
    <w:rsid w:val="00C61E7D"/>
    <w:rsid w:val="00C62B22"/>
    <w:rsid w:val="00C633EB"/>
    <w:rsid w:val="00C63FBD"/>
    <w:rsid w:val="00C64237"/>
    <w:rsid w:val="00C64E66"/>
    <w:rsid w:val="00C6684D"/>
    <w:rsid w:val="00C66B9F"/>
    <w:rsid w:val="00C66C5F"/>
    <w:rsid w:val="00C67C92"/>
    <w:rsid w:val="00C70E3A"/>
    <w:rsid w:val="00C71B0C"/>
    <w:rsid w:val="00C71B56"/>
    <w:rsid w:val="00C71B77"/>
    <w:rsid w:val="00C72B58"/>
    <w:rsid w:val="00C7349C"/>
    <w:rsid w:val="00C73D75"/>
    <w:rsid w:val="00C73F48"/>
    <w:rsid w:val="00C746E4"/>
    <w:rsid w:val="00C74B55"/>
    <w:rsid w:val="00C74FBC"/>
    <w:rsid w:val="00C76B39"/>
    <w:rsid w:val="00C777AA"/>
    <w:rsid w:val="00C801D9"/>
    <w:rsid w:val="00C80B0F"/>
    <w:rsid w:val="00C811A3"/>
    <w:rsid w:val="00C81244"/>
    <w:rsid w:val="00C81454"/>
    <w:rsid w:val="00C817FB"/>
    <w:rsid w:val="00C81AD9"/>
    <w:rsid w:val="00C8202A"/>
    <w:rsid w:val="00C82278"/>
    <w:rsid w:val="00C824F8"/>
    <w:rsid w:val="00C82699"/>
    <w:rsid w:val="00C82753"/>
    <w:rsid w:val="00C82846"/>
    <w:rsid w:val="00C83265"/>
    <w:rsid w:val="00C83FD1"/>
    <w:rsid w:val="00C84584"/>
    <w:rsid w:val="00C84949"/>
    <w:rsid w:val="00C84DE3"/>
    <w:rsid w:val="00C853A1"/>
    <w:rsid w:val="00C853FE"/>
    <w:rsid w:val="00C854EE"/>
    <w:rsid w:val="00C85F67"/>
    <w:rsid w:val="00C86E71"/>
    <w:rsid w:val="00C87024"/>
    <w:rsid w:val="00C8761C"/>
    <w:rsid w:val="00C87D77"/>
    <w:rsid w:val="00C907BA"/>
    <w:rsid w:val="00C90E95"/>
    <w:rsid w:val="00C90F38"/>
    <w:rsid w:val="00C910FE"/>
    <w:rsid w:val="00C91418"/>
    <w:rsid w:val="00C936AD"/>
    <w:rsid w:val="00C94B43"/>
    <w:rsid w:val="00C94D69"/>
    <w:rsid w:val="00C9525D"/>
    <w:rsid w:val="00C952E0"/>
    <w:rsid w:val="00C95394"/>
    <w:rsid w:val="00C96734"/>
    <w:rsid w:val="00C96B06"/>
    <w:rsid w:val="00C97123"/>
    <w:rsid w:val="00C97371"/>
    <w:rsid w:val="00C97D7C"/>
    <w:rsid w:val="00C97ED8"/>
    <w:rsid w:val="00CA0177"/>
    <w:rsid w:val="00CA063F"/>
    <w:rsid w:val="00CA0747"/>
    <w:rsid w:val="00CA0A4E"/>
    <w:rsid w:val="00CA1396"/>
    <w:rsid w:val="00CA1D35"/>
    <w:rsid w:val="00CA1E22"/>
    <w:rsid w:val="00CA221F"/>
    <w:rsid w:val="00CA2CE5"/>
    <w:rsid w:val="00CA2D2A"/>
    <w:rsid w:val="00CA3561"/>
    <w:rsid w:val="00CA50F5"/>
    <w:rsid w:val="00CA519E"/>
    <w:rsid w:val="00CA587F"/>
    <w:rsid w:val="00CA5B95"/>
    <w:rsid w:val="00CA6CBC"/>
    <w:rsid w:val="00CA72AE"/>
    <w:rsid w:val="00CA744D"/>
    <w:rsid w:val="00CB100C"/>
    <w:rsid w:val="00CB13DC"/>
    <w:rsid w:val="00CB1690"/>
    <w:rsid w:val="00CB1B65"/>
    <w:rsid w:val="00CB2BAC"/>
    <w:rsid w:val="00CB2FF6"/>
    <w:rsid w:val="00CB304D"/>
    <w:rsid w:val="00CB39F5"/>
    <w:rsid w:val="00CB3EC2"/>
    <w:rsid w:val="00CB4223"/>
    <w:rsid w:val="00CB4645"/>
    <w:rsid w:val="00CB4ED4"/>
    <w:rsid w:val="00CB4EE1"/>
    <w:rsid w:val="00CB530B"/>
    <w:rsid w:val="00CB541E"/>
    <w:rsid w:val="00CB5DA7"/>
    <w:rsid w:val="00CB6633"/>
    <w:rsid w:val="00CB7A50"/>
    <w:rsid w:val="00CB7B14"/>
    <w:rsid w:val="00CC0706"/>
    <w:rsid w:val="00CC0742"/>
    <w:rsid w:val="00CC07F8"/>
    <w:rsid w:val="00CC1AFE"/>
    <w:rsid w:val="00CC207A"/>
    <w:rsid w:val="00CC21FD"/>
    <w:rsid w:val="00CC22D4"/>
    <w:rsid w:val="00CC2710"/>
    <w:rsid w:val="00CC272D"/>
    <w:rsid w:val="00CC2ADF"/>
    <w:rsid w:val="00CC3517"/>
    <w:rsid w:val="00CC38E5"/>
    <w:rsid w:val="00CC583A"/>
    <w:rsid w:val="00CC62DF"/>
    <w:rsid w:val="00CC68CE"/>
    <w:rsid w:val="00CC75E7"/>
    <w:rsid w:val="00CC7D82"/>
    <w:rsid w:val="00CD03AB"/>
    <w:rsid w:val="00CD1515"/>
    <w:rsid w:val="00CD1870"/>
    <w:rsid w:val="00CD2009"/>
    <w:rsid w:val="00CD2142"/>
    <w:rsid w:val="00CD2841"/>
    <w:rsid w:val="00CD2FE1"/>
    <w:rsid w:val="00CD41AB"/>
    <w:rsid w:val="00CD4295"/>
    <w:rsid w:val="00CD4AE2"/>
    <w:rsid w:val="00CD5914"/>
    <w:rsid w:val="00CD5C63"/>
    <w:rsid w:val="00CD609F"/>
    <w:rsid w:val="00CD6334"/>
    <w:rsid w:val="00CD75D0"/>
    <w:rsid w:val="00CD7785"/>
    <w:rsid w:val="00CE0195"/>
    <w:rsid w:val="00CE0DC1"/>
    <w:rsid w:val="00CE1D2B"/>
    <w:rsid w:val="00CE3276"/>
    <w:rsid w:val="00CE32FA"/>
    <w:rsid w:val="00CE3980"/>
    <w:rsid w:val="00CE3C16"/>
    <w:rsid w:val="00CE4009"/>
    <w:rsid w:val="00CE4424"/>
    <w:rsid w:val="00CE4D3D"/>
    <w:rsid w:val="00CE51CA"/>
    <w:rsid w:val="00CE51E5"/>
    <w:rsid w:val="00CE5E4F"/>
    <w:rsid w:val="00CE668D"/>
    <w:rsid w:val="00CE748B"/>
    <w:rsid w:val="00CE7A77"/>
    <w:rsid w:val="00CF0850"/>
    <w:rsid w:val="00CF0BDB"/>
    <w:rsid w:val="00CF0C77"/>
    <w:rsid w:val="00CF14A6"/>
    <w:rsid w:val="00CF18F9"/>
    <w:rsid w:val="00CF2F57"/>
    <w:rsid w:val="00CF32E5"/>
    <w:rsid w:val="00CF35ED"/>
    <w:rsid w:val="00CF3DC6"/>
    <w:rsid w:val="00CF4288"/>
    <w:rsid w:val="00CF455E"/>
    <w:rsid w:val="00CF46DA"/>
    <w:rsid w:val="00CF48DC"/>
    <w:rsid w:val="00CF59A7"/>
    <w:rsid w:val="00CF6602"/>
    <w:rsid w:val="00CF7198"/>
    <w:rsid w:val="00CF72B0"/>
    <w:rsid w:val="00CF7492"/>
    <w:rsid w:val="00CF7C0B"/>
    <w:rsid w:val="00D002CF"/>
    <w:rsid w:val="00D01870"/>
    <w:rsid w:val="00D01E14"/>
    <w:rsid w:val="00D029FF"/>
    <w:rsid w:val="00D031C2"/>
    <w:rsid w:val="00D037AA"/>
    <w:rsid w:val="00D03D44"/>
    <w:rsid w:val="00D0424A"/>
    <w:rsid w:val="00D04F88"/>
    <w:rsid w:val="00D04FB9"/>
    <w:rsid w:val="00D05072"/>
    <w:rsid w:val="00D05DC3"/>
    <w:rsid w:val="00D05FC2"/>
    <w:rsid w:val="00D06D43"/>
    <w:rsid w:val="00D100CD"/>
    <w:rsid w:val="00D10374"/>
    <w:rsid w:val="00D104F0"/>
    <w:rsid w:val="00D10667"/>
    <w:rsid w:val="00D1097F"/>
    <w:rsid w:val="00D113F2"/>
    <w:rsid w:val="00D118FD"/>
    <w:rsid w:val="00D11F46"/>
    <w:rsid w:val="00D129A7"/>
    <w:rsid w:val="00D12A3C"/>
    <w:rsid w:val="00D12A57"/>
    <w:rsid w:val="00D12E29"/>
    <w:rsid w:val="00D148CE"/>
    <w:rsid w:val="00D1552C"/>
    <w:rsid w:val="00D16053"/>
    <w:rsid w:val="00D16408"/>
    <w:rsid w:val="00D16D62"/>
    <w:rsid w:val="00D16EAD"/>
    <w:rsid w:val="00D17D41"/>
    <w:rsid w:val="00D17F27"/>
    <w:rsid w:val="00D201FC"/>
    <w:rsid w:val="00D20529"/>
    <w:rsid w:val="00D2056F"/>
    <w:rsid w:val="00D205B6"/>
    <w:rsid w:val="00D207EA"/>
    <w:rsid w:val="00D213E8"/>
    <w:rsid w:val="00D223F2"/>
    <w:rsid w:val="00D224D8"/>
    <w:rsid w:val="00D22BDC"/>
    <w:rsid w:val="00D239E8"/>
    <w:rsid w:val="00D23ACB"/>
    <w:rsid w:val="00D23C56"/>
    <w:rsid w:val="00D23D9E"/>
    <w:rsid w:val="00D24148"/>
    <w:rsid w:val="00D24AF4"/>
    <w:rsid w:val="00D24FA1"/>
    <w:rsid w:val="00D25171"/>
    <w:rsid w:val="00D258F4"/>
    <w:rsid w:val="00D25BD9"/>
    <w:rsid w:val="00D2616D"/>
    <w:rsid w:val="00D263E6"/>
    <w:rsid w:val="00D26592"/>
    <w:rsid w:val="00D26B45"/>
    <w:rsid w:val="00D26BAC"/>
    <w:rsid w:val="00D27360"/>
    <w:rsid w:val="00D27396"/>
    <w:rsid w:val="00D275F9"/>
    <w:rsid w:val="00D27704"/>
    <w:rsid w:val="00D30AE6"/>
    <w:rsid w:val="00D30EF2"/>
    <w:rsid w:val="00D31D2D"/>
    <w:rsid w:val="00D31E6E"/>
    <w:rsid w:val="00D3201F"/>
    <w:rsid w:val="00D32BC9"/>
    <w:rsid w:val="00D32D62"/>
    <w:rsid w:val="00D3347A"/>
    <w:rsid w:val="00D335A0"/>
    <w:rsid w:val="00D33605"/>
    <w:rsid w:val="00D33C70"/>
    <w:rsid w:val="00D3522D"/>
    <w:rsid w:val="00D354C2"/>
    <w:rsid w:val="00D35A8B"/>
    <w:rsid w:val="00D365B8"/>
    <w:rsid w:val="00D366A4"/>
    <w:rsid w:val="00D367E6"/>
    <w:rsid w:val="00D370D4"/>
    <w:rsid w:val="00D3776A"/>
    <w:rsid w:val="00D37A9B"/>
    <w:rsid w:val="00D37E4D"/>
    <w:rsid w:val="00D403F1"/>
    <w:rsid w:val="00D4126E"/>
    <w:rsid w:val="00D417E3"/>
    <w:rsid w:val="00D420AD"/>
    <w:rsid w:val="00D4218A"/>
    <w:rsid w:val="00D42DAB"/>
    <w:rsid w:val="00D42F5E"/>
    <w:rsid w:val="00D43444"/>
    <w:rsid w:val="00D43544"/>
    <w:rsid w:val="00D437E7"/>
    <w:rsid w:val="00D43C4E"/>
    <w:rsid w:val="00D44055"/>
    <w:rsid w:val="00D4412C"/>
    <w:rsid w:val="00D44352"/>
    <w:rsid w:val="00D4489F"/>
    <w:rsid w:val="00D47ACB"/>
    <w:rsid w:val="00D47F83"/>
    <w:rsid w:val="00D50DCE"/>
    <w:rsid w:val="00D51A1F"/>
    <w:rsid w:val="00D51D32"/>
    <w:rsid w:val="00D51F02"/>
    <w:rsid w:val="00D529F8"/>
    <w:rsid w:val="00D52A12"/>
    <w:rsid w:val="00D53232"/>
    <w:rsid w:val="00D537E1"/>
    <w:rsid w:val="00D537F9"/>
    <w:rsid w:val="00D5389A"/>
    <w:rsid w:val="00D53A6E"/>
    <w:rsid w:val="00D542D3"/>
    <w:rsid w:val="00D54DAC"/>
    <w:rsid w:val="00D554C8"/>
    <w:rsid w:val="00D55A03"/>
    <w:rsid w:val="00D56081"/>
    <w:rsid w:val="00D5627E"/>
    <w:rsid w:val="00D571AC"/>
    <w:rsid w:val="00D57AC8"/>
    <w:rsid w:val="00D57B0C"/>
    <w:rsid w:val="00D6011A"/>
    <w:rsid w:val="00D6064E"/>
    <w:rsid w:val="00D6078C"/>
    <w:rsid w:val="00D60EE1"/>
    <w:rsid w:val="00D60F5E"/>
    <w:rsid w:val="00D61033"/>
    <w:rsid w:val="00D61343"/>
    <w:rsid w:val="00D61A7A"/>
    <w:rsid w:val="00D61A7F"/>
    <w:rsid w:val="00D61EA5"/>
    <w:rsid w:val="00D624A5"/>
    <w:rsid w:val="00D624EF"/>
    <w:rsid w:val="00D62D53"/>
    <w:rsid w:val="00D6379A"/>
    <w:rsid w:val="00D6436C"/>
    <w:rsid w:val="00D65274"/>
    <w:rsid w:val="00D6552A"/>
    <w:rsid w:val="00D6680B"/>
    <w:rsid w:val="00D6697C"/>
    <w:rsid w:val="00D66B50"/>
    <w:rsid w:val="00D66D34"/>
    <w:rsid w:val="00D66FFC"/>
    <w:rsid w:val="00D6732F"/>
    <w:rsid w:val="00D67801"/>
    <w:rsid w:val="00D71A28"/>
    <w:rsid w:val="00D71C60"/>
    <w:rsid w:val="00D72480"/>
    <w:rsid w:val="00D7331F"/>
    <w:rsid w:val="00D73861"/>
    <w:rsid w:val="00D73C22"/>
    <w:rsid w:val="00D74282"/>
    <w:rsid w:val="00D744E4"/>
    <w:rsid w:val="00D74791"/>
    <w:rsid w:val="00D74D66"/>
    <w:rsid w:val="00D75199"/>
    <w:rsid w:val="00D75277"/>
    <w:rsid w:val="00D75415"/>
    <w:rsid w:val="00D75CC0"/>
    <w:rsid w:val="00D75EAE"/>
    <w:rsid w:val="00D75F19"/>
    <w:rsid w:val="00D76A27"/>
    <w:rsid w:val="00D76A4D"/>
    <w:rsid w:val="00D76AC4"/>
    <w:rsid w:val="00D816F4"/>
    <w:rsid w:val="00D81912"/>
    <w:rsid w:val="00D8238F"/>
    <w:rsid w:val="00D825D6"/>
    <w:rsid w:val="00D85452"/>
    <w:rsid w:val="00D85514"/>
    <w:rsid w:val="00D8683C"/>
    <w:rsid w:val="00D873AF"/>
    <w:rsid w:val="00D879BB"/>
    <w:rsid w:val="00D9059D"/>
    <w:rsid w:val="00D90A66"/>
    <w:rsid w:val="00D90B09"/>
    <w:rsid w:val="00D90F1A"/>
    <w:rsid w:val="00D92085"/>
    <w:rsid w:val="00D9217D"/>
    <w:rsid w:val="00D9218A"/>
    <w:rsid w:val="00D9229A"/>
    <w:rsid w:val="00D92399"/>
    <w:rsid w:val="00D9255C"/>
    <w:rsid w:val="00D92EA4"/>
    <w:rsid w:val="00D9354C"/>
    <w:rsid w:val="00D93F9A"/>
    <w:rsid w:val="00D93FE4"/>
    <w:rsid w:val="00D941DE"/>
    <w:rsid w:val="00D9452A"/>
    <w:rsid w:val="00D95774"/>
    <w:rsid w:val="00D95C64"/>
    <w:rsid w:val="00D95F53"/>
    <w:rsid w:val="00D96176"/>
    <w:rsid w:val="00D96206"/>
    <w:rsid w:val="00D966F6"/>
    <w:rsid w:val="00D96722"/>
    <w:rsid w:val="00D96F31"/>
    <w:rsid w:val="00D97612"/>
    <w:rsid w:val="00D979EE"/>
    <w:rsid w:val="00D97E65"/>
    <w:rsid w:val="00DA031C"/>
    <w:rsid w:val="00DA040F"/>
    <w:rsid w:val="00DA0658"/>
    <w:rsid w:val="00DA08FB"/>
    <w:rsid w:val="00DA13E2"/>
    <w:rsid w:val="00DA1772"/>
    <w:rsid w:val="00DA1D73"/>
    <w:rsid w:val="00DA2698"/>
    <w:rsid w:val="00DA26B6"/>
    <w:rsid w:val="00DA2E28"/>
    <w:rsid w:val="00DA3023"/>
    <w:rsid w:val="00DA32B7"/>
    <w:rsid w:val="00DA32F8"/>
    <w:rsid w:val="00DA3605"/>
    <w:rsid w:val="00DA38B0"/>
    <w:rsid w:val="00DA56BB"/>
    <w:rsid w:val="00DA5790"/>
    <w:rsid w:val="00DA5B07"/>
    <w:rsid w:val="00DA5F54"/>
    <w:rsid w:val="00DA609B"/>
    <w:rsid w:val="00DA681F"/>
    <w:rsid w:val="00DA68DB"/>
    <w:rsid w:val="00DA6A88"/>
    <w:rsid w:val="00DA7442"/>
    <w:rsid w:val="00DA77D7"/>
    <w:rsid w:val="00DA7A4E"/>
    <w:rsid w:val="00DB0290"/>
    <w:rsid w:val="00DB08EF"/>
    <w:rsid w:val="00DB0CBC"/>
    <w:rsid w:val="00DB203F"/>
    <w:rsid w:val="00DB2AC1"/>
    <w:rsid w:val="00DB31F1"/>
    <w:rsid w:val="00DB3899"/>
    <w:rsid w:val="00DB3975"/>
    <w:rsid w:val="00DB408A"/>
    <w:rsid w:val="00DB44A2"/>
    <w:rsid w:val="00DB44C5"/>
    <w:rsid w:val="00DB49B4"/>
    <w:rsid w:val="00DB4F9B"/>
    <w:rsid w:val="00DB5A84"/>
    <w:rsid w:val="00DB5EA6"/>
    <w:rsid w:val="00DB63C9"/>
    <w:rsid w:val="00DB6C92"/>
    <w:rsid w:val="00DB6C9A"/>
    <w:rsid w:val="00DB783D"/>
    <w:rsid w:val="00DB7CED"/>
    <w:rsid w:val="00DC06D0"/>
    <w:rsid w:val="00DC0A33"/>
    <w:rsid w:val="00DC0F11"/>
    <w:rsid w:val="00DC1380"/>
    <w:rsid w:val="00DC1F27"/>
    <w:rsid w:val="00DC2519"/>
    <w:rsid w:val="00DC2BBC"/>
    <w:rsid w:val="00DC40AD"/>
    <w:rsid w:val="00DC4129"/>
    <w:rsid w:val="00DC554E"/>
    <w:rsid w:val="00DC68F7"/>
    <w:rsid w:val="00DC6D7B"/>
    <w:rsid w:val="00DC7496"/>
    <w:rsid w:val="00DC7A44"/>
    <w:rsid w:val="00DD08C0"/>
    <w:rsid w:val="00DD1E81"/>
    <w:rsid w:val="00DD321E"/>
    <w:rsid w:val="00DD3464"/>
    <w:rsid w:val="00DD3903"/>
    <w:rsid w:val="00DD3B3F"/>
    <w:rsid w:val="00DD516E"/>
    <w:rsid w:val="00DD56F0"/>
    <w:rsid w:val="00DD59BB"/>
    <w:rsid w:val="00DD5AEB"/>
    <w:rsid w:val="00DD5C1A"/>
    <w:rsid w:val="00DD5E24"/>
    <w:rsid w:val="00DD5F2D"/>
    <w:rsid w:val="00DD6B68"/>
    <w:rsid w:val="00DD6C78"/>
    <w:rsid w:val="00DD6EE1"/>
    <w:rsid w:val="00DD7970"/>
    <w:rsid w:val="00DD79C6"/>
    <w:rsid w:val="00DD7C27"/>
    <w:rsid w:val="00DE0188"/>
    <w:rsid w:val="00DE06F3"/>
    <w:rsid w:val="00DE0B98"/>
    <w:rsid w:val="00DE11C2"/>
    <w:rsid w:val="00DE13D3"/>
    <w:rsid w:val="00DE1D62"/>
    <w:rsid w:val="00DE1F4B"/>
    <w:rsid w:val="00DE25AC"/>
    <w:rsid w:val="00DE36C1"/>
    <w:rsid w:val="00DE3790"/>
    <w:rsid w:val="00DE3CF0"/>
    <w:rsid w:val="00DE3E98"/>
    <w:rsid w:val="00DE3F53"/>
    <w:rsid w:val="00DE410E"/>
    <w:rsid w:val="00DE42E3"/>
    <w:rsid w:val="00DE51EE"/>
    <w:rsid w:val="00DE5BD4"/>
    <w:rsid w:val="00DE6626"/>
    <w:rsid w:val="00DE78CB"/>
    <w:rsid w:val="00DF0B52"/>
    <w:rsid w:val="00DF0DF6"/>
    <w:rsid w:val="00DF1B14"/>
    <w:rsid w:val="00DF1C73"/>
    <w:rsid w:val="00DF2873"/>
    <w:rsid w:val="00DF373B"/>
    <w:rsid w:val="00DF37D3"/>
    <w:rsid w:val="00DF4D59"/>
    <w:rsid w:val="00DF564A"/>
    <w:rsid w:val="00DF573B"/>
    <w:rsid w:val="00DF5AB3"/>
    <w:rsid w:val="00DF5EC8"/>
    <w:rsid w:val="00DF60CD"/>
    <w:rsid w:val="00DF6276"/>
    <w:rsid w:val="00DF63F9"/>
    <w:rsid w:val="00DF667C"/>
    <w:rsid w:val="00DF6819"/>
    <w:rsid w:val="00DF7C62"/>
    <w:rsid w:val="00E00889"/>
    <w:rsid w:val="00E009AA"/>
    <w:rsid w:val="00E00F70"/>
    <w:rsid w:val="00E0117C"/>
    <w:rsid w:val="00E016D0"/>
    <w:rsid w:val="00E01895"/>
    <w:rsid w:val="00E01C21"/>
    <w:rsid w:val="00E028E5"/>
    <w:rsid w:val="00E02D50"/>
    <w:rsid w:val="00E02F7D"/>
    <w:rsid w:val="00E0387D"/>
    <w:rsid w:val="00E05522"/>
    <w:rsid w:val="00E05753"/>
    <w:rsid w:val="00E05FAE"/>
    <w:rsid w:val="00E0626F"/>
    <w:rsid w:val="00E0671D"/>
    <w:rsid w:val="00E06FB3"/>
    <w:rsid w:val="00E0735B"/>
    <w:rsid w:val="00E073A2"/>
    <w:rsid w:val="00E0797F"/>
    <w:rsid w:val="00E07C86"/>
    <w:rsid w:val="00E1052F"/>
    <w:rsid w:val="00E10598"/>
    <w:rsid w:val="00E1077D"/>
    <w:rsid w:val="00E108AF"/>
    <w:rsid w:val="00E1090B"/>
    <w:rsid w:val="00E10C1B"/>
    <w:rsid w:val="00E10CE1"/>
    <w:rsid w:val="00E111AA"/>
    <w:rsid w:val="00E112A5"/>
    <w:rsid w:val="00E1138C"/>
    <w:rsid w:val="00E11ED6"/>
    <w:rsid w:val="00E11F05"/>
    <w:rsid w:val="00E11F44"/>
    <w:rsid w:val="00E1206A"/>
    <w:rsid w:val="00E12426"/>
    <w:rsid w:val="00E133D4"/>
    <w:rsid w:val="00E1340F"/>
    <w:rsid w:val="00E13BD4"/>
    <w:rsid w:val="00E14C27"/>
    <w:rsid w:val="00E14DF3"/>
    <w:rsid w:val="00E14F49"/>
    <w:rsid w:val="00E153D6"/>
    <w:rsid w:val="00E159AE"/>
    <w:rsid w:val="00E15B38"/>
    <w:rsid w:val="00E15BD3"/>
    <w:rsid w:val="00E1609A"/>
    <w:rsid w:val="00E16149"/>
    <w:rsid w:val="00E16499"/>
    <w:rsid w:val="00E16C86"/>
    <w:rsid w:val="00E17AE0"/>
    <w:rsid w:val="00E20979"/>
    <w:rsid w:val="00E20D3B"/>
    <w:rsid w:val="00E21748"/>
    <w:rsid w:val="00E218B8"/>
    <w:rsid w:val="00E21EF6"/>
    <w:rsid w:val="00E21FE5"/>
    <w:rsid w:val="00E22232"/>
    <w:rsid w:val="00E2243E"/>
    <w:rsid w:val="00E224EE"/>
    <w:rsid w:val="00E23194"/>
    <w:rsid w:val="00E232F0"/>
    <w:rsid w:val="00E235CA"/>
    <w:rsid w:val="00E23807"/>
    <w:rsid w:val="00E24610"/>
    <w:rsid w:val="00E24B84"/>
    <w:rsid w:val="00E25364"/>
    <w:rsid w:val="00E25921"/>
    <w:rsid w:val="00E26324"/>
    <w:rsid w:val="00E26325"/>
    <w:rsid w:val="00E2656A"/>
    <w:rsid w:val="00E2659A"/>
    <w:rsid w:val="00E27D89"/>
    <w:rsid w:val="00E27E65"/>
    <w:rsid w:val="00E301D2"/>
    <w:rsid w:val="00E311D9"/>
    <w:rsid w:val="00E315F3"/>
    <w:rsid w:val="00E319E0"/>
    <w:rsid w:val="00E31A3B"/>
    <w:rsid w:val="00E3250E"/>
    <w:rsid w:val="00E32AFC"/>
    <w:rsid w:val="00E3337E"/>
    <w:rsid w:val="00E33808"/>
    <w:rsid w:val="00E338EA"/>
    <w:rsid w:val="00E33943"/>
    <w:rsid w:val="00E3406A"/>
    <w:rsid w:val="00E3419E"/>
    <w:rsid w:val="00E35131"/>
    <w:rsid w:val="00E35890"/>
    <w:rsid w:val="00E360E3"/>
    <w:rsid w:val="00E36324"/>
    <w:rsid w:val="00E36631"/>
    <w:rsid w:val="00E368D8"/>
    <w:rsid w:val="00E37232"/>
    <w:rsid w:val="00E3748D"/>
    <w:rsid w:val="00E40494"/>
    <w:rsid w:val="00E4114E"/>
    <w:rsid w:val="00E41616"/>
    <w:rsid w:val="00E418A4"/>
    <w:rsid w:val="00E424A1"/>
    <w:rsid w:val="00E42812"/>
    <w:rsid w:val="00E43B71"/>
    <w:rsid w:val="00E43E22"/>
    <w:rsid w:val="00E43F6E"/>
    <w:rsid w:val="00E455D4"/>
    <w:rsid w:val="00E45F42"/>
    <w:rsid w:val="00E462CE"/>
    <w:rsid w:val="00E468AC"/>
    <w:rsid w:val="00E468DD"/>
    <w:rsid w:val="00E46A0E"/>
    <w:rsid w:val="00E47BA8"/>
    <w:rsid w:val="00E500A1"/>
    <w:rsid w:val="00E500FD"/>
    <w:rsid w:val="00E50396"/>
    <w:rsid w:val="00E50600"/>
    <w:rsid w:val="00E50B34"/>
    <w:rsid w:val="00E51204"/>
    <w:rsid w:val="00E512BC"/>
    <w:rsid w:val="00E51C0B"/>
    <w:rsid w:val="00E51FDF"/>
    <w:rsid w:val="00E525CC"/>
    <w:rsid w:val="00E534B0"/>
    <w:rsid w:val="00E544AA"/>
    <w:rsid w:val="00E5459F"/>
    <w:rsid w:val="00E54A5F"/>
    <w:rsid w:val="00E55251"/>
    <w:rsid w:val="00E55D04"/>
    <w:rsid w:val="00E55EED"/>
    <w:rsid w:val="00E55FAC"/>
    <w:rsid w:val="00E56897"/>
    <w:rsid w:val="00E56B76"/>
    <w:rsid w:val="00E575C2"/>
    <w:rsid w:val="00E57CFB"/>
    <w:rsid w:val="00E60017"/>
    <w:rsid w:val="00E612A2"/>
    <w:rsid w:val="00E613A1"/>
    <w:rsid w:val="00E6240D"/>
    <w:rsid w:val="00E62519"/>
    <w:rsid w:val="00E6291C"/>
    <w:rsid w:val="00E636EB"/>
    <w:rsid w:val="00E63C3F"/>
    <w:rsid w:val="00E6425E"/>
    <w:rsid w:val="00E64769"/>
    <w:rsid w:val="00E64EBD"/>
    <w:rsid w:val="00E6515A"/>
    <w:rsid w:val="00E65FFF"/>
    <w:rsid w:val="00E66681"/>
    <w:rsid w:val="00E674DF"/>
    <w:rsid w:val="00E676DA"/>
    <w:rsid w:val="00E706AA"/>
    <w:rsid w:val="00E70756"/>
    <w:rsid w:val="00E70E87"/>
    <w:rsid w:val="00E70ED0"/>
    <w:rsid w:val="00E71D49"/>
    <w:rsid w:val="00E720D7"/>
    <w:rsid w:val="00E72C9A"/>
    <w:rsid w:val="00E73343"/>
    <w:rsid w:val="00E73779"/>
    <w:rsid w:val="00E74095"/>
    <w:rsid w:val="00E74C2D"/>
    <w:rsid w:val="00E74CF9"/>
    <w:rsid w:val="00E75224"/>
    <w:rsid w:val="00E7535E"/>
    <w:rsid w:val="00E75CF2"/>
    <w:rsid w:val="00E76D23"/>
    <w:rsid w:val="00E775AA"/>
    <w:rsid w:val="00E77BBF"/>
    <w:rsid w:val="00E77C0C"/>
    <w:rsid w:val="00E77D9E"/>
    <w:rsid w:val="00E80263"/>
    <w:rsid w:val="00E80277"/>
    <w:rsid w:val="00E80840"/>
    <w:rsid w:val="00E80E88"/>
    <w:rsid w:val="00E81474"/>
    <w:rsid w:val="00E81674"/>
    <w:rsid w:val="00E81D3A"/>
    <w:rsid w:val="00E83899"/>
    <w:rsid w:val="00E84A53"/>
    <w:rsid w:val="00E84C9A"/>
    <w:rsid w:val="00E84EA4"/>
    <w:rsid w:val="00E851D5"/>
    <w:rsid w:val="00E85A61"/>
    <w:rsid w:val="00E85EFE"/>
    <w:rsid w:val="00E86085"/>
    <w:rsid w:val="00E8649D"/>
    <w:rsid w:val="00E871AA"/>
    <w:rsid w:val="00E87CCE"/>
    <w:rsid w:val="00E915EB"/>
    <w:rsid w:val="00E917E1"/>
    <w:rsid w:val="00E919A1"/>
    <w:rsid w:val="00E91FF5"/>
    <w:rsid w:val="00E9262F"/>
    <w:rsid w:val="00E929D7"/>
    <w:rsid w:val="00E92FC0"/>
    <w:rsid w:val="00E93037"/>
    <w:rsid w:val="00E932F6"/>
    <w:rsid w:val="00E9361A"/>
    <w:rsid w:val="00E93B2F"/>
    <w:rsid w:val="00E93E4A"/>
    <w:rsid w:val="00E94BCC"/>
    <w:rsid w:val="00E94F28"/>
    <w:rsid w:val="00E9563C"/>
    <w:rsid w:val="00E95C11"/>
    <w:rsid w:val="00E960EE"/>
    <w:rsid w:val="00E9679A"/>
    <w:rsid w:val="00E96E6B"/>
    <w:rsid w:val="00EA0637"/>
    <w:rsid w:val="00EA06A4"/>
    <w:rsid w:val="00EA094C"/>
    <w:rsid w:val="00EA0963"/>
    <w:rsid w:val="00EA0BDA"/>
    <w:rsid w:val="00EA0DB3"/>
    <w:rsid w:val="00EA1240"/>
    <w:rsid w:val="00EA1E03"/>
    <w:rsid w:val="00EA1F6B"/>
    <w:rsid w:val="00EA29CC"/>
    <w:rsid w:val="00EA2F8B"/>
    <w:rsid w:val="00EA35AC"/>
    <w:rsid w:val="00EA3FD4"/>
    <w:rsid w:val="00EA44A3"/>
    <w:rsid w:val="00EA4CF3"/>
    <w:rsid w:val="00EA5103"/>
    <w:rsid w:val="00EA563D"/>
    <w:rsid w:val="00EA577C"/>
    <w:rsid w:val="00EA6249"/>
    <w:rsid w:val="00EA628D"/>
    <w:rsid w:val="00EA6647"/>
    <w:rsid w:val="00EA66CC"/>
    <w:rsid w:val="00EA6C1D"/>
    <w:rsid w:val="00EA6CA8"/>
    <w:rsid w:val="00EA6E7C"/>
    <w:rsid w:val="00EA71EB"/>
    <w:rsid w:val="00EA736C"/>
    <w:rsid w:val="00EB0560"/>
    <w:rsid w:val="00EB0724"/>
    <w:rsid w:val="00EB0A96"/>
    <w:rsid w:val="00EB212D"/>
    <w:rsid w:val="00EB2E17"/>
    <w:rsid w:val="00EB3291"/>
    <w:rsid w:val="00EB3FE1"/>
    <w:rsid w:val="00EB4352"/>
    <w:rsid w:val="00EB50B6"/>
    <w:rsid w:val="00EB57E9"/>
    <w:rsid w:val="00EB57EB"/>
    <w:rsid w:val="00EB5838"/>
    <w:rsid w:val="00EB5F6F"/>
    <w:rsid w:val="00EB6315"/>
    <w:rsid w:val="00EC1B25"/>
    <w:rsid w:val="00EC2BBE"/>
    <w:rsid w:val="00EC2FB2"/>
    <w:rsid w:val="00EC339E"/>
    <w:rsid w:val="00EC3A0D"/>
    <w:rsid w:val="00EC3E31"/>
    <w:rsid w:val="00EC4E38"/>
    <w:rsid w:val="00EC5B74"/>
    <w:rsid w:val="00EC6196"/>
    <w:rsid w:val="00EC6B2A"/>
    <w:rsid w:val="00EC6D44"/>
    <w:rsid w:val="00EC722B"/>
    <w:rsid w:val="00EC73A4"/>
    <w:rsid w:val="00EC7499"/>
    <w:rsid w:val="00EC7650"/>
    <w:rsid w:val="00EC79D2"/>
    <w:rsid w:val="00EC7FEE"/>
    <w:rsid w:val="00ED0A13"/>
    <w:rsid w:val="00ED0B0F"/>
    <w:rsid w:val="00ED1ECF"/>
    <w:rsid w:val="00ED2790"/>
    <w:rsid w:val="00ED2DBF"/>
    <w:rsid w:val="00ED2F1E"/>
    <w:rsid w:val="00ED3047"/>
    <w:rsid w:val="00ED3205"/>
    <w:rsid w:val="00ED347C"/>
    <w:rsid w:val="00ED3E43"/>
    <w:rsid w:val="00ED3F44"/>
    <w:rsid w:val="00ED505F"/>
    <w:rsid w:val="00ED5143"/>
    <w:rsid w:val="00ED60CB"/>
    <w:rsid w:val="00ED6174"/>
    <w:rsid w:val="00ED6741"/>
    <w:rsid w:val="00ED6997"/>
    <w:rsid w:val="00ED69DA"/>
    <w:rsid w:val="00ED73DF"/>
    <w:rsid w:val="00ED7FAD"/>
    <w:rsid w:val="00EE018D"/>
    <w:rsid w:val="00EE1666"/>
    <w:rsid w:val="00EE189C"/>
    <w:rsid w:val="00EE1DA4"/>
    <w:rsid w:val="00EE22F8"/>
    <w:rsid w:val="00EE36C4"/>
    <w:rsid w:val="00EE492B"/>
    <w:rsid w:val="00EE514D"/>
    <w:rsid w:val="00EE6359"/>
    <w:rsid w:val="00EE63BB"/>
    <w:rsid w:val="00EE6F0D"/>
    <w:rsid w:val="00EE7930"/>
    <w:rsid w:val="00EE7AF3"/>
    <w:rsid w:val="00EE7C77"/>
    <w:rsid w:val="00EF2443"/>
    <w:rsid w:val="00EF284B"/>
    <w:rsid w:val="00EF3204"/>
    <w:rsid w:val="00EF32F8"/>
    <w:rsid w:val="00EF43E6"/>
    <w:rsid w:val="00EF5D04"/>
    <w:rsid w:val="00EF6018"/>
    <w:rsid w:val="00EF65D1"/>
    <w:rsid w:val="00EF663E"/>
    <w:rsid w:val="00EF6FC0"/>
    <w:rsid w:val="00F00A24"/>
    <w:rsid w:val="00F00C1B"/>
    <w:rsid w:val="00F00C6E"/>
    <w:rsid w:val="00F0130B"/>
    <w:rsid w:val="00F01A3D"/>
    <w:rsid w:val="00F01C29"/>
    <w:rsid w:val="00F01EB2"/>
    <w:rsid w:val="00F02066"/>
    <w:rsid w:val="00F020C3"/>
    <w:rsid w:val="00F02134"/>
    <w:rsid w:val="00F0213D"/>
    <w:rsid w:val="00F0275F"/>
    <w:rsid w:val="00F03BD1"/>
    <w:rsid w:val="00F03F19"/>
    <w:rsid w:val="00F04633"/>
    <w:rsid w:val="00F048DD"/>
    <w:rsid w:val="00F04BD7"/>
    <w:rsid w:val="00F04FF0"/>
    <w:rsid w:val="00F05073"/>
    <w:rsid w:val="00F0538D"/>
    <w:rsid w:val="00F054EE"/>
    <w:rsid w:val="00F06243"/>
    <w:rsid w:val="00F063BC"/>
    <w:rsid w:val="00F06F8E"/>
    <w:rsid w:val="00F0746C"/>
    <w:rsid w:val="00F07D07"/>
    <w:rsid w:val="00F11124"/>
    <w:rsid w:val="00F11463"/>
    <w:rsid w:val="00F1149E"/>
    <w:rsid w:val="00F127DF"/>
    <w:rsid w:val="00F1295A"/>
    <w:rsid w:val="00F13BB9"/>
    <w:rsid w:val="00F13C39"/>
    <w:rsid w:val="00F13F21"/>
    <w:rsid w:val="00F14139"/>
    <w:rsid w:val="00F14289"/>
    <w:rsid w:val="00F142FA"/>
    <w:rsid w:val="00F145F5"/>
    <w:rsid w:val="00F14722"/>
    <w:rsid w:val="00F14BE6"/>
    <w:rsid w:val="00F15777"/>
    <w:rsid w:val="00F15E93"/>
    <w:rsid w:val="00F15F28"/>
    <w:rsid w:val="00F16CC4"/>
    <w:rsid w:val="00F16E98"/>
    <w:rsid w:val="00F1719F"/>
    <w:rsid w:val="00F172AF"/>
    <w:rsid w:val="00F17530"/>
    <w:rsid w:val="00F17CB7"/>
    <w:rsid w:val="00F17CE3"/>
    <w:rsid w:val="00F21C42"/>
    <w:rsid w:val="00F21E06"/>
    <w:rsid w:val="00F21FAB"/>
    <w:rsid w:val="00F2233D"/>
    <w:rsid w:val="00F22491"/>
    <w:rsid w:val="00F2295D"/>
    <w:rsid w:val="00F2296B"/>
    <w:rsid w:val="00F2298B"/>
    <w:rsid w:val="00F230DA"/>
    <w:rsid w:val="00F233E1"/>
    <w:rsid w:val="00F23D4A"/>
    <w:rsid w:val="00F245BB"/>
    <w:rsid w:val="00F24D4F"/>
    <w:rsid w:val="00F24F9A"/>
    <w:rsid w:val="00F254E7"/>
    <w:rsid w:val="00F26302"/>
    <w:rsid w:val="00F270A2"/>
    <w:rsid w:val="00F27594"/>
    <w:rsid w:val="00F279C1"/>
    <w:rsid w:val="00F27C73"/>
    <w:rsid w:val="00F27DC8"/>
    <w:rsid w:val="00F30112"/>
    <w:rsid w:val="00F3073A"/>
    <w:rsid w:val="00F30BA1"/>
    <w:rsid w:val="00F30CC4"/>
    <w:rsid w:val="00F30F2D"/>
    <w:rsid w:val="00F31657"/>
    <w:rsid w:val="00F323B3"/>
    <w:rsid w:val="00F323EF"/>
    <w:rsid w:val="00F32448"/>
    <w:rsid w:val="00F32922"/>
    <w:rsid w:val="00F32C40"/>
    <w:rsid w:val="00F3395E"/>
    <w:rsid w:val="00F34C02"/>
    <w:rsid w:val="00F34EC5"/>
    <w:rsid w:val="00F3504D"/>
    <w:rsid w:val="00F3598C"/>
    <w:rsid w:val="00F36DC7"/>
    <w:rsid w:val="00F37279"/>
    <w:rsid w:val="00F37663"/>
    <w:rsid w:val="00F37799"/>
    <w:rsid w:val="00F37BEB"/>
    <w:rsid w:val="00F37D4B"/>
    <w:rsid w:val="00F40713"/>
    <w:rsid w:val="00F4099F"/>
    <w:rsid w:val="00F40CE2"/>
    <w:rsid w:val="00F410B5"/>
    <w:rsid w:val="00F41706"/>
    <w:rsid w:val="00F41954"/>
    <w:rsid w:val="00F41A40"/>
    <w:rsid w:val="00F41CB6"/>
    <w:rsid w:val="00F42496"/>
    <w:rsid w:val="00F42BEB"/>
    <w:rsid w:val="00F42D25"/>
    <w:rsid w:val="00F4342A"/>
    <w:rsid w:val="00F44618"/>
    <w:rsid w:val="00F44E64"/>
    <w:rsid w:val="00F45AA0"/>
    <w:rsid w:val="00F45D35"/>
    <w:rsid w:val="00F46CDD"/>
    <w:rsid w:val="00F47FFB"/>
    <w:rsid w:val="00F50268"/>
    <w:rsid w:val="00F51365"/>
    <w:rsid w:val="00F51D71"/>
    <w:rsid w:val="00F520D0"/>
    <w:rsid w:val="00F52215"/>
    <w:rsid w:val="00F52CB3"/>
    <w:rsid w:val="00F52D53"/>
    <w:rsid w:val="00F52F6B"/>
    <w:rsid w:val="00F53CB6"/>
    <w:rsid w:val="00F545FE"/>
    <w:rsid w:val="00F54D0E"/>
    <w:rsid w:val="00F55A83"/>
    <w:rsid w:val="00F55B92"/>
    <w:rsid w:val="00F56051"/>
    <w:rsid w:val="00F561D0"/>
    <w:rsid w:val="00F563A5"/>
    <w:rsid w:val="00F56A6C"/>
    <w:rsid w:val="00F56C49"/>
    <w:rsid w:val="00F5704D"/>
    <w:rsid w:val="00F571E9"/>
    <w:rsid w:val="00F57B2D"/>
    <w:rsid w:val="00F60812"/>
    <w:rsid w:val="00F60871"/>
    <w:rsid w:val="00F60FDE"/>
    <w:rsid w:val="00F617AD"/>
    <w:rsid w:val="00F6225B"/>
    <w:rsid w:val="00F633CE"/>
    <w:rsid w:val="00F63871"/>
    <w:rsid w:val="00F64046"/>
    <w:rsid w:val="00F64160"/>
    <w:rsid w:val="00F647F8"/>
    <w:rsid w:val="00F64846"/>
    <w:rsid w:val="00F65158"/>
    <w:rsid w:val="00F65FDA"/>
    <w:rsid w:val="00F667EA"/>
    <w:rsid w:val="00F6696E"/>
    <w:rsid w:val="00F670D4"/>
    <w:rsid w:val="00F676E4"/>
    <w:rsid w:val="00F67934"/>
    <w:rsid w:val="00F67970"/>
    <w:rsid w:val="00F70464"/>
    <w:rsid w:val="00F70932"/>
    <w:rsid w:val="00F70EAC"/>
    <w:rsid w:val="00F710D1"/>
    <w:rsid w:val="00F71588"/>
    <w:rsid w:val="00F71891"/>
    <w:rsid w:val="00F71A27"/>
    <w:rsid w:val="00F71FC9"/>
    <w:rsid w:val="00F72678"/>
    <w:rsid w:val="00F727D7"/>
    <w:rsid w:val="00F73BEB"/>
    <w:rsid w:val="00F73C4A"/>
    <w:rsid w:val="00F73E57"/>
    <w:rsid w:val="00F741D2"/>
    <w:rsid w:val="00F74AD4"/>
    <w:rsid w:val="00F74C0E"/>
    <w:rsid w:val="00F74E8B"/>
    <w:rsid w:val="00F754C2"/>
    <w:rsid w:val="00F75A4B"/>
    <w:rsid w:val="00F75C5D"/>
    <w:rsid w:val="00F762BF"/>
    <w:rsid w:val="00F7649B"/>
    <w:rsid w:val="00F76AE7"/>
    <w:rsid w:val="00F77E1F"/>
    <w:rsid w:val="00F80074"/>
    <w:rsid w:val="00F802FB"/>
    <w:rsid w:val="00F80462"/>
    <w:rsid w:val="00F81A0C"/>
    <w:rsid w:val="00F8246C"/>
    <w:rsid w:val="00F8319F"/>
    <w:rsid w:val="00F8401C"/>
    <w:rsid w:val="00F84367"/>
    <w:rsid w:val="00F84DF6"/>
    <w:rsid w:val="00F856EE"/>
    <w:rsid w:val="00F85AA8"/>
    <w:rsid w:val="00F85B6F"/>
    <w:rsid w:val="00F85EEF"/>
    <w:rsid w:val="00F8743A"/>
    <w:rsid w:val="00F87C66"/>
    <w:rsid w:val="00F90072"/>
    <w:rsid w:val="00F9013C"/>
    <w:rsid w:val="00F91286"/>
    <w:rsid w:val="00F91483"/>
    <w:rsid w:val="00F91DAF"/>
    <w:rsid w:val="00F921A7"/>
    <w:rsid w:val="00F92B8C"/>
    <w:rsid w:val="00F93573"/>
    <w:rsid w:val="00F938C3"/>
    <w:rsid w:val="00F93A3B"/>
    <w:rsid w:val="00F93B03"/>
    <w:rsid w:val="00F93D29"/>
    <w:rsid w:val="00F93D3D"/>
    <w:rsid w:val="00F94683"/>
    <w:rsid w:val="00F94732"/>
    <w:rsid w:val="00F94E95"/>
    <w:rsid w:val="00F94EE7"/>
    <w:rsid w:val="00F94F3C"/>
    <w:rsid w:val="00F9608B"/>
    <w:rsid w:val="00F96F26"/>
    <w:rsid w:val="00F97677"/>
    <w:rsid w:val="00F97A53"/>
    <w:rsid w:val="00F97BE1"/>
    <w:rsid w:val="00F97FE2"/>
    <w:rsid w:val="00FA08FC"/>
    <w:rsid w:val="00FA0928"/>
    <w:rsid w:val="00FA1361"/>
    <w:rsid w:val="00FA17CE"/>
    <w:rsid w:val="00FA1A3E"/>
    <w:rsid w:val="00FA1AA8"/>
    <w:rsid w:val="00FA1F9F"/>
    <w:rsid w:val="00FA1FEB"/>
    <w:rsid w:val="00FA2FE2"/>
    <w:rsid w:val="00FA3A2E"/>
    <w:rsid w:val="00FA3F34"/>
    <w:rsid w:val="00FA59C5"/>
    <w:rsid w:val="00FA62C7"/>
    <w:rsid w:val="00FA7E9D"/>
    <w:rsid w:val="00FB12CD"/>
    <w:rsid w:val="00FB15C1"/>
    <w:rsid w:val="00FB2152"/>
    <w:rsid w:val="00FB2260"/>
    <w:rsid w:val="00FB26D0"/>
    <w:rsid w:val="00FB2D9F"/>
    <w:rsid w:val="00FB30C0"/>
    <w:rsid w:val="00FB371E"/>
    <w:rsid w:val="00FB3B00"/>
    <w:rsid w:val="00FB3BBE"/>
    <w:rsid w:val="00FB3BF5"/>
    <w:rsid w:val="00FB4418"/>
    <w:rsid w:val="00FB4E08"/>
    <w:rsid w:val="00FB4F9E"/>
    <w:rsid w:val="00FB50A5"/>
    <w:rsid w:val="00FB54EB"/>
    <w:rsid w:val="00FB5758"/>
    <w:rsid w:val="00FB6093"/>
    <w:rsid w:val="00FB6581"/>
    <w:rsid w:val="00FB67B9"/>
    <w:rsid w:val="00FB7387"/>
    <w:rsid w:val="00FB7802"/>
    <w:rsid w:val="00FB7C06"/>
    <w:rsid w:val="00FC04F8"/>
    <w:rsid w:val="00FC0815"/>
    <w:rsid w:val="00FC0886"/>
    <w:rsid w:val="00FC18FB"/>
    <w:rsid w:val="00FC1F13"/>
    <w:rsid w:val="00FC2246"/>
    <w:rsid w:val="00FC25C0"/>
    <w:rsid w:val="00FC289A"/>
    <w:rsid w:val="00FC2C95"/>
    <w:rsid w:val="00FC2E22"/>
    <w:rsid w:val="00FC33CB"/>
    <w:rsid w:val="00FC3830"/>
    <w:rsid w:val="00FC3AF4"/>
    <w:rsid w:val="00FC4832"/>
    <w:rsid w:val="00FC4A9D"/>
    <w:rsid w:val="00FC517B"/>
    <w:rsid w:val="00FC53F8"/>
    <w:rsid w:val="00FC5F8D"/>
    <w:rsid w:val="00FC606C"/>
    <w:rsid w:val="00FC6C42"/>
    <w:rsid w:val="00FC6F63"/>
    <w:rsid w:val="00FC728E"/>
    <w:rsid w:val="00FC74F5"/>
    <w:rsid w:val="00FC7BFA"/>
    <w:rsid w:val="00FD005D"/>
    <w:rsid w:val="00FD0106"/>
    <w:rsid w:val="00FD148C"/>
    <w:rsid w:val="00FD17E3"/>
    <w:rsid w:val="00FD1DC1"/>
    <w:rsid w:val="00FD364D"/>
    <w:rsid w:val="00FD417D"/>
    <w:rsid w:val="00FD4424"/>
    <w:rsid w:val="00FD4E62"/>
    <w:rsid w:val="00FD4FB3"/>
    <w:rsid w:val="00FD5E03"/>
    <w:rsid w:val="00FD5F9E"/>
    <w:rsid w:val="00FD606C"/>
    <w:rsid w:val="00FD643A"/>
    <w:rsid w:val="00FD66B5"/>
    <w:rsid w:val="00FD7047"/>
    <w:rsid w:val="00FD713B"/>
    <w:rsid w:val="00FD7464"/>
    <w:rsid w:val="00FD7CB7"/>
    <w:rsid w:val="00FD7D80"/>
    <w:rsid w:val="00FD7DA7"/>
    <w:rsid w:val="00FD7F20"/>
    <w:rsid w:val="00FE1AB7"/>
    <w:rsid w:val="00FE22FF"/>
    <w:rsid w:val="00FE2C6E"/>
    <w:rsid w:val="00FE3CA3"/>
    <w:rsid w:val="00FE479E"/>
    <w:rsid w:val="00FE50B4"/>
    <w:rsid w:val="00FE5672"/>
    <w:rsid w:val="00FE598F"/>
    <w:rsid w:val="00FE62B5"/>
    <w:rsid w:val="00FE68FB"/>
    <w:rsid w:val="00FE78BA"/>
    <w:rsid w:val="00FE79CF"/>
    <w:rsid w:val="00FF054A"/>
    <w:rsid w:val="00FF06D3"/>
    <w:rsid w:val="00FF06DD"/>
    <w:rsid w:val="00FF0989"/>
    <w:rsid w:val="00FF100A"/>
    <w:rsid w:val="00FF12E5"/>
    <w:rsid w:val="00FF193F"/>
    <w:rsid w:val="00FF23C6"/>
    <w:rsid w:val="00FF39DF"/>
    <w:rsid w:val="00FF4223"/>
    <w:rsid w:val="00FF42F7"/>
    <w:rsid w:val="00FF4466"/>
    <w:rsid w:val="00FF474B"/>
    <w:rsid w:val="00FF480A"/>
    <w:rsid w:val="00FF5260"/>
    <w:rsid w:val="00FF5995"/>
    <w:rsid w:val="00FF714A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4F12E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6EBE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3045F"/>
    <w:pPr>
      <w:keepNext/>
      <w:numPr>
        <w:ilvl w:val="1"/>
        <w:numId w:val="2"/>
      </w:numPr>
      <w:spacing w:after="0"/>
      <w:jc w:val="both"/>
      <w:outlineLvl w:val="2"/>
    </w:pPr>
    <w:rPr>
      <w:rFonts w:cs="Calibr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466E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,Nadpis pro KZ,Odstavec_muj,odrážky,List Paragraph_0,List Paragraph,Odstavec cíl se seznamem,List Paragraph (Czech Tourism),Odstavec se seznamem5,Odstavec_muj1,Odstavec_muj2,Odstavec_muj3,Nad1,List Paragraph1,Odstavec_muj4,Nad2,3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stavec_muj Char,odrážky Char,List Paragraph_0 Char,List Paragraph Char,Odstavec cíl se seznamem Char,List Paragraph (Czech Tourism) Char,Odstavec se seznamem5 Char,Odstavec_muj1 Char,Nad1 Char"/>
    <w:link w:val="Odstavecseseznamem"/>
    <w:uiPriority w:val="34"/>
    <w:qFormat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3045F"/>
    <w:rPr>
      <w:rFonts w:ascii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PGI Fußnote Ziffer,PGI Fußnote Ziffer + Times New Roman,Zúžené o ...,number,BVI fnr,Footnote symbol,Footnote Reference Superscript,Appel note de bas de p,Appel note de bas de page,Légende,Char Car Car Car Car"/>
    <w:basedOn w:val="Standardnpsmoodstavce"/>
    <w:uiPriority w:val="99"/>
    <w:qFormat/>
    <w:rsid w:val="002B7978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99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unhideWhenUsed/>
    <w:rsid w:val="00AD7C22"/>
    <w:pPr>
      <w:spacing w:after="100"/>
      <w:ind w:left="240"/>
    </w:pPr>
  </w:style>
  <w:style w:type="numbering" w:customStyle="1" w:styleId="Bezseznamu1">
    <w:name w:val="Bez seznamu1"/>
    <w:next w:val="Bezseznamu"/>
    <w:uiPriority w:val="99"/>
    <w:semiHidden/>
    <w:unhideWhenUsed/>
    <w:rsid w:val="00B53D75"/>
  </w:style>
  <w:style w:type="table" w:customStyle="1" w:styleId="Mkatabulky1">
    <w:name w:val="Mřížka tabulky1"/>
    <w:basedOn w:val="Normlntabulka"/>
    <w:next w:val="Mkatabulky"/>
    <w:uiPriority w:val="59"/>
    <w:rsid w:val="00B53D75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236DA8"/>
    <w:rPr>
      <w:i/>
      <w:iCs/>
    </w:rPr>
  </w:style>
  <w:style w:type="numbering" w:customStyle="1" w:styleId="Bezseznamu2">
    <w:name w:val="Bez seznamu2"/>
    <w:next w:val="Bezseznamu"/>
    <w:uiPriority w:val="99"/>
    <w:semiHidden/>
    <w:unhideWhenUsed/>
    <w:rsid w:val="00E6240D"/>
  </w:style>
  <w:style w:type="character" w:styleId="slostrnky">
    <w:name w:val="page number"/>
    <w:basedOn w:val="Standardnpsmoodstavce"/>
    <w:semiHidden/>
    <w:rsid w:val="00E6240D"/>
  </w:style>
  <w:style w:type="numbering" w:customStyle="1" w:styleId="Bezseznamu11">
    <w:name w:val="Bez seznamu11"/>
    <w:next w:val="Bezseznamu"/>
    <w:uiPriority w:val="99"/>
    <w:semiHidden/>
    <w:unhideWhenUsed/>
    <w:rsid w:val="00E6240D"/>
  </w:style>
  <w:style w:type="paragraph" w:customStyle="1" w:styleId="Titulek1">
    <w:name w:val="Titulek1"/>
    <w:basedOn w:val="Normln"/>
    <w:next w:val="Normln"/>
    <w:uiPriority w:val="35"/>
    <w:unhideWhenUsed/>
    <w:qFormat/>
    <w:rsid w:val="00E6240D"/>
    <w:pPr>
      <w:keepNext/>
      <w:tabs>
        <w:tab w:val="left" w:pos="1134"/>
        <w:tab w:val="right" w:pos="9356"/>
      </w:tabs>
      <w:spacing w:after="40"/>
      <w:jc w:val="both"/>
    </w:pPr>
    <w:rPr>
      <w:b/>
      <w:iCs/>
      <w:sz w:val="20"/>
      <w:szCs w:val="18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E6240D"/>
    <w:pPr>
      <w:spacing w:after="0"/>
      <w:jc w:val="both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E6240D"/>
    <w:pPr>
      <w:keepNext/>
      <w:keepLines/>
      <w:pageBreakBefore/>
      <w:spacing w:before="240" w:after="240"/>
      <w:ind w:left="432" w:hanging="432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E6240D"/>
    <w:pPr>
      <w:spacing w:after="100"/>
      <w:jc w:val="both"/>
    </w:pPr>
    <w:rPr>
      <w:rFonts w:eastAsia="Calibri"/>
      <w:szCs w:val="22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E6240D"/>
    <w:pPr>
      <w:spacing w:after="100"/>
      <w:ind w:left="240"/>
      <w:jc w:val="both"/>
    </w:pPr>
    <w:rPr>
      <w:rFonts w:eastAsia="Calibri"/>
      <w:szCs w:val="22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E6240D"/>
    <w:pPr>
      <w:spacing w:after="100"/>
      <w:ind w:left="480"/>
      <w:jc w:val="both"/>
    </w:pPr>
    <w:rPr>
      <w:rFonts w:eastAsia="Calibri"/>
      <w:szCs w:val="22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E6240D"/>
    <w:pPr>
      <w:spacing w:after="100" w:line="259" w:lineRule="auto"/>
      <w:ind w:left="660"/>
      <w:jc w:val="both"/>
    </w:pPr>
    <w:rPr>
      <w:sz w:val="22"/>
      <w:szCs w:val="22"/>
      <w:lang w:eastAsia="cs-CZ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E6240D"/>
    <w:pPr>
      <w:spacing w:after="100" w:line="259" w:lineRule="auto"/>
      <w:ind w:left="880"/>
      <w:jc w:val="both"/>
    </w:pPr>
    <w:rPr>
      <w:sz w:val="22"/>
      <w:szCs w:val="22"/>
      <w:lang w:eastAsia="cs-CZ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E6240D"/>
    <w:pPr>
      <w:spacing w:after="100" w:line="259" w:lineRule="auto"/>
      <w:ind w:left="1100"/>
      <w:jc w:val="both"/>
    </w:pPr>
    <w:rPr>
      <w:sz w:val="22"/>
      <w:szCs w:val="22"/>
      <w:lang w:eastAsia="cs-CZ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E6240D"/>
    <w:pPr>
      <w:spacing w:after="100" w:line="259" w:lineRule="auto"/>
      <w:ind w:left="1320"/>
      <w:jc w:val="both"/>
    </w:pPr>
    <w:rPr>
      <w:sz w:val="22"/>
      <w:szCs w:val="22"/>
      <w:lang w:eastAsia="cs-CZ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E6240D"/>
    <w:pPr>
      <w:spacing w:after="100" w:line="259" w:lineRule="auto"/>
      <w:ind w:left="1540"/>
      <w:jc w:val="both"/>
    </w:pPr>
    <w:rPr>
      <w:sz w:val="22"/>
      <w:szCs w:val="22"/>
      <w:lang w:eastAsia="cs-CZ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E6240D"/>
    <w:pPr>
      <w:spacing w:after="100" w:line="259" w:lineRule="auto"/>
      <w:ind w:left="1760"/>
      <w:jc w:val="both"/>
    </w:pPr>
    <w:rPr>
      <w:sz w:val="22"/>
      <w:szCs w:val="22"/>
      <w:lang w:eastAsia="cs-CZ"/>
    </w:rPr>
  </w:style>
  <w:style w:type="character" w:customStyle="1" w:styleId="Hypertextovodkaz1">
    <w:name w:val="Hypertextový odkaz1"/>
    <w:basedOn w:val="Standardnpsmoodstavce"/>
    <w:uiPriority w:val="99"/>
    <w:unhideWhenUsed/>
    <w:rsid w:val="00E6240D"/>
    <w:rPr>
      <w:color w:val="0563C1"/>
      <w:u w:val="single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E6240D"/>
    <w:pPr>
      <w:spacing w:after="0"/>
      <w:jc w:val="both"/>
    </w:pPr>
    <w:rPr>
      <w:rFonts w:eastAsia="Calibri"/>
      <w:szCs w:val="22"/>
    </w:rPr>
  </w:style>
  <w:style w:type="paragraph" w:customStyle="1" w:styleId="Textkomente1">
    <w:name w:val="Text komentáře1"/>
    <w:basedOn w:val="Normln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b/>
      <w:bCs/>
    </w:rPr>
  </w:style>
  <w:style w:type="table" w:customStyle="1" w:styleId="Mkatabulky11">
    <w:name w:val="Mřížka tabulky11"/>
    <w:basedOn w:val="Normlntabulka"/>
    <w:next w:val="Mkatabulky"/>
    <w:uiPriority w:val="3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1">
    <w:name w:val="Text pozn. pod čarou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E6240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5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97612"/>
    <w:rPr>
      <w:color w:val="000000"/>
      <w:sz w:val="28"/>
      <w:szCs w:val="28"/>
    </w:rPr>
  </w:style>
  <w:style w:type="character" w:customStyle="1" w:styleId="A4">
    <w:name w:val="A4"/>
    <w:uiPriority w:val="99"/>
    <w:rsid w:val="00597612"/>
    <w:rPr>
      <w:color w:val="000000"/>
      <w:sz w:val="60"/>
      <w:szCs w:val="60"/>
    </w:rPr>
  </w:style>
  <w:style w:type="character" w:customStyle="1" w:styleId="A5">
    <w:name w:val="A5"/>
    <w:uiPriority w:val="99"/>
    <w:rsid w:val="00597612"/>
    <w:rPr>
      <w:b/>
      <w:bCs/>
      <w:color w:val="000000"/>
      <w:sz w:val="40"/>
      <w:szCs w:val="40"/>
    </w:rPr>
  </w:style>
  <w:style w:type="paragraph" w:customStyle="1" w:styleId="publishdate">
    <w:name w:val="publishdate"/>
    <w:basedOn w:val="Normln"/>
    <w:rsid w:val="0049594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customStyle="1" w:styleId="promotext">
    <w:name w:val="promotext"/>
    <w:basedOn w:val="Normln"/>
    <w:rsid w:val="0049594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594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character" w:customStyle="1" w:styleId="icon">
    <w:name w:val="icon"/>
    <w:basedOn w:val="Standardnpsmoodstavce"/>
    <w:rsid w:val="0049594C"/>
  </w:style>
  <w:style w:type="character" w:customStyle="1" w:styleId="counter">
    <w:name w:val="counter"/>
    <w:basedOn w:val="Standardnpsmoodstavce"/>
    <w:rsid w:val="0049594C"/>
  </w:style>
  <w:style w:type="character" w:customStyle="1" w:styleId="label">
    <w:name w:val="label"/>
    <w:basedOn w:val="Standardnpsmoodstavce"/>
    <w:rsid w:val="0049594C"/>
  </w:style>
  <w:style w:type="character" w:customStyle="1" w:styleId="fileinfo">
    <w:name w:val="fileinfo"/>
    <w:basedOn w:val="Standardnpsmoodstavce"/>
    <w:rsid w:val="0049594C"/>
  </w:style>
  <w:style w:type="paragraph" w:customStyle="1" w:styleId="aboutauthor">
    <w:name w:val="aboutauthor"/>
    <w:basedOn w:val="Normln"/>
    <w:rsid w:val="0049594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character" w:customStyle="1" w:styleId="audible">
    <w:name w:val="audible"/>
    <w:basedOn w:val="Standardnpsmoodstavce"/>
    <w:rsid w:val="0049594C"/>
  </w:style>
  <w:style w:type="character" w:customStyle="1" w:styleId="Nzev1">
    <w:name w:val="Název1"/>
    <w:basedOn w:val="Standardnpsmoodstavce"/>
    <w:rsid w:val="0049594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17A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D256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32FA7"/>
    <w:rPr>
      <w:color w:val="605E5C"/>
      <w:shd w:val="clear" w:color="auto" w:fill="E1DFDD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B57597"/>
    <w:rPr>
      <w:rFonts w:ascii="Calibri" w:hAnsi="Calibri" w:cs="Calibri"/>
      <w:b/>
      <w:bCs/>
      <w:sz w:val="24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B57597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57597"/>
    <w:pPr>
      <w:spacing w:after="100"/>
      <w:ind w:left="48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1027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2595">
                          <w:marLeft w:val="0"/>
                          <w:marRight w:val="0"/>
                          <w:marTop w:val="120"/>
                          <w:marBottom w:val="300"/>
                          <w:divBdr>
                            <w:top w:val="single" w:sz="6" w:space="0" w:color="E5E5E5"/>
                            <w:left w:val="none" w:sz="0" w:space="0" w:color="auto"/>
                            <w:bottom w:val="single" w:sz="6" w:space="0" w:color="E5E5E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3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0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info/live-work-travel-eu/coronavirus-response/public-health/eu-vaccines-strategy_cs" TargetMode="External"/><Relationship Id="rId2" Type="http://schemas.openxmlformats.org/officeDocument/2006/relationships/hyperlink" Target="https://ec.europa.eu/info/live-work-travel-eu/coronavirus-response/safe-covid-19-vaccines-europeans/questions-and-answers-covid-19-vaccination-eu_cs" TargetMode="External"/><Relationship Id="rId1" Type="http://schemas.openxmlformats.org/officeDocument/2006/relationships/hyperlink" Target="https://eur-lex.europa.eu/legal-content/CS/TXT/?uri=CELEX:52020DC0245" TargetMode="External"/><Relationship Id="rId5" Type="http://schemas.openxmlformats.org/officeDocument/2006/relationships/hyperlink" Target="https://monitor.statnipokladna.cz/ucetni-jednotka/00024341/rozpocet/vydaje-druhovy?rad=j&amp;obdobi=2112" TargetMode="External"/><Relationship Id="rId4" Type="http://schemas.openxmlformats.org/officeDocument/2006/relationships/hyperlink" Target="https://www.mzcr.cz/zadost-o-informace-ze-dne-9-3-2022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 Přehled o změnách vlastního kapitálu</c:v>
                </c:pt>
              </c:strCache>
            </c:strRef>
          </c:tx>
          <c:spPr>
            <a:solidFill>
              <a:srgbClr val="007A37"/>
            </a:solidFill>
          </c:spPr>
          <c:dPt>
            <c:idx val="0"/>
            <c:bubble3D val="0"/>
            <c:spPr>
              <a:solidFill>
                <a:srgbClr val="007A3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439-463F-98AD-DDAF450E03B7}"/>
              </c:ext>
            </c:extLst>
          </c:dPt>
          <c:dPt>
            <c:idx val="1"/>
            <c:bubble3D val="0"/>
            <c:spPr>
              <a:solidFill>
                <a:srgbClr val="007A3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39-463F-98AD-DDAF450E03B7}"/>
              </c:ext>
            </c:extLst>
          </c:dPt>
          <c:dPt>
            <c:idx val="2"/>
            <c:bubble3D val="0"/>
            <c:spPr>
              <a:solidFill>
                <a:srgbClr val="007A3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439-463F-98AD-DDAF450E03B7}"/>
              </c:ext>
            </c:extLst>
          </c:dPt>
          <c:dPt>
            <c:idx val="3"/>
            <c:bubble3D val="0"/>
            <c:spPr>
              <a:solidFill>
                <a:srgbClr val="007A3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439-463F-98AD-DDAF450E03B7}"/>
              </c:ext>
            </c:extLst>
          </c:dPt>
          <c:dPt>
            <c:idx val="4"/>
            <c:bubble3D val="0"/>
            <c:spPr>
              <a:solidFill>
                <a:srgbClr val="007A3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439-463F-98AD-DDAF450E03B7}"/>
              </c:ext>
            </c:extLst>
          </c:dPt>
          <c:dLbls>
            <c:dLbl>
              <c:idx val="0"/>
              <c:layout>
                <c:manualLayout>
                  <c:x val="0.19264745635867053"/>
                  <c:y val="-0.1096071096613084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Přehled o změnách vlastního kapitálu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68801160128954"/>
                      <c:h val="0.2247668060469604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439-463F-98AD-DDAF450E03B7}"/>
                </c:ext>
              </c:extLst>
            </c:dLbl>
            <c:dLbl>
              <c:idx val="1"/>
              <c:layout>
                <c:manualLayout>
                  <c:x val="0.1481479658792651"/>
                  <c:y val="4.5634920634920632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Výkaz zisku </a:t>
                    </a:r>
                    <a:br>
                      <a:rPr lang="en-US">
                        <a:solidFill>
                          <a:sysClr val="windowText" lastClr="000000"/>
                        </a:solidFill>
                      </a:rPr>
                    </a:br>
                    <a:r>
                      <a:rPr lang="en-US">
                        <a:solidFill>
                          <a:sysClr val="windowText" lastClr="000000"/>
                        </a:solidFill>
                      </a:rPr>
                      <a:t>a ztráty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39-463F-98AD-DDAF450E03B7}"/>
                </c:ext>
              </c:extLst>
            </c:dLbl>
            <c:dLbl>
              <c:idx val="2"/>
              <c:layout>
                <c:manualLayout>
                  <c:x val="3.0231000424794695E-3"/>
                  <c:y val="0.1631169857386352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/>
                        </a:solidFill>
                      </a:rPr>
                      <a:t>Příloha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39-463F-98AD-DDAF450E03B7}"/>
                </c:ext>
              </c:extLst>
            </c:dLbl>
            <c:dLbl>
              <c:idx val="3"/>
              <c:layout>
                <c:manualLayout>
                  <c:x val="-0.12428134458839525"/>
                  <c:y val="3.667533677942878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/>
                        </a:solidFill>
                      </a:rPr>
                      <a:t>Rozvaha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439-463F-98AD-DDAF450E03B7}"/>
                </c:ext>
              </c:extLst>
            </c:dLbl>
            <c:dLbl>
              <c:idx val="4"/>
              <c:layout>
                <c:manualLayout>
                  <c:x val="-0.19710793380659991"/>
                  <c:y val="-9.845457561613096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 algn="ctr">
                      <a:defRPr sz="900" b="0" i="0" u="none" strike="noStrike" kern="1200" baseline="0">
                        <a:ln>
                          <a:noFill/>
                        </a:ln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Přehled </a:t>
                    </a:r>
                    <a:br>
                      <a:rPr lang="en-US">
                        <a:solidFill>
                          <a:schemeClr val="tx1"/>
                        </a:solidFill>
                      </a:rPr>
                    </a:br>
                    <a:r>
                      <a:rPr lang="en-US">
                        <a:solidFill>
                          <a:schemeClr val="tx1"/>
                        </a:solidFill>
                      </a:rPr>
                      <a:t>o peněžních tocích</a:t>
                    </a:r>
                  </a:p>
                </c:rich>
              </c:tx>
              <c:spPr>
                <a:solidFill>
                  <a:schemeClr val="lt1"/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 algn="ctr">
                    <a:defRPr sz="900" b="0" i="0" u="none" strike="noStrike" kern="1200" baseline="0">
                      <a:ln>
                        <a:noFill/>
                      </a:ln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ound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7577857942795203"/>
                      <c:h val="0.2262367573947112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F439-463F-98AD-DDAF450E03B7}"/>
                </c:ext>
              </c:extLst>
            </c:dLbl>
            <c:spPr>
              <a:solidFill>
                <a:schemeClr val="lt1"/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List1!$A$2:$A$6</c:f>
              <c:strCache>
                <c:ptCount val="5"/>
                <c:pt idx="0">
                  <c:v>Sloupec 2</c:v>
                </c:pt>
                <c:pt idx="3">
                  <c:v>Příloha</c:v>
                </c:pt>
                <c:pt idx="4">
                  <c:v>5. čtvrt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439-463F-98AD-DDAF450E03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0F923-7150-41FF-A829-D5640C567F8E}">
  <ds:schemaRefs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A4ACFF5-2852-4BE7-B0D3-1BF69DEAA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BAA9F5-526A-472F-95E4-25409E15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50</Pages>
  <Words>18923</Words>
  <Characters>111650</Characters>
  <Application>Microsoft Office Word</Application>
  <DocSecurity>0</DocSecurity>
  <Lines>930</Lines>
  <Paragraphs>260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21/24 - Závěrečný účet kapitoly státního rozpočtu Ministerstvo zdravotnictví za rok 2021, účetní závěrka MZ za rok 2021 a údaje předkládané MZ pro hodnocení plnění státního rozpočtu za rok 2021</vt:lpstr>
    </vt:vector>
  </TitlesOfParts>
  <Company>NKU</Company>
  <LinksUpToDate>false</LinksUpToDate>
  <CharactersWithSpaces>130313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21/24 - Závěrečný účet kapitoly státního rozpočtu Ministerstvo zdravotnictví za rok 2021, účetní závěrka Ministerstva zdravotnictví za rok 2021 a údaje předkládané Ministerstvem zdravotnictví pro hodnocení plnění státního rozpočtu za rok 2021</dc:title>
  <dc:subject>Kontrolní závěr z kontrolní akce NKÚ č. 21/24 - Závěrečný účet kapitoly státního rozpočtu Ministerstvo zdravotnictví za rok 2021, účetní závěrka Ministerstva zdravotnictví za rok 2021 a údaje předkládané Ministerstvem zdravotnictví pro hodnocení plnění státního rozpočtu za rok 2021</dc:subject>
  <dc:creator>Nejvyšší kontrolní úřad</dc:creator>
  <cp:keywords>kontrolní závěr; ministerstvo zdravotnictví; MZd</cp:keywords>
  <cp:lastModifiedBy>KOKRDA Daniel</cp:lastModifiedBy>
  <cp:revision>4</cp:revision>
  <cp:lastPrinted>2022-07-12T07:41:00Z</cp:lastPrinted>
  <dcterms:created xsi:type="dcterms:W3CDTF">2022-07-12T07:37:00Z</dcterms:created>
  <dcterms:modified xsi:type="dcterms:W3CDTF">2022-07-12T07:42:00Z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19/03-NKU30/1082/19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7.10.2019</vt:lpwstr>
  </property>
  <property fmtid="{D5CDD505-2E9C-101B-9397-08002B2CF9AE}" pid="12" name="DisplayName_CJCol">
    <vt:lpwstr>&lt;TABLE&gt;&lt;TR&gt;&lt;TD&gt;Č.j.:&lt;/TD&gt;&lt;TD&gt;19/03-NKU30/1082/19&lt;/TD&gt;&lt;/TR&gt;&lt;TR&gt;&lt;TD&gt;&lt;/TD&gt;&lt;TD&gt;&lt;/TD&gt;&lt;/TR&gt;&lt;/TABLE&gt;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19-13020/NKU</vt:lpwstr>
  </property>
  <property fmtid="{D5CDD505-2E9C-101B-9397-08002B2CF9AE}" pid="18" name="Key_BarCode_Pisemnost">
    <vt:lpwstr>*B000344466*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19/03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19/03 – do připomínek</vt:lpwstr>
  </property>
  <property fmtid="{D5CDD505-2E9C-101B-9397-08002B2CF9AE}" pid="37" name="Zkratka_SpisovyUzel_PoziceZodpo_Pisemnost">
    <vt:lpwstr>30</vt:lpwstr>
  </property>
</Properties>
</file>