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CC10" w14:textId="77777777" w:rsidR="001018A6" w:rsidRDefault="001018A6" w:rsidP="00EF0245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5A79E3C0" wp14:editId="112325E1">
            <wp:simplePos x="3387256" y="818984"/>
            <wp:positionH relativeFrom="margin">
              <wp:align>center</wp:align>
            </wp:positionH>
            <wp:positionV relativeFrom="paragraph">
              <wp:align>top</wp:align>
            </wp:positionV>
            <wp:extent cx="786765" cy="560705"/>
            <wp:effectExtent l="0" t="0" r="0" b="0"/>
            <wp:wrapTopAndBottom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4D580E" w14:textId="77777777" w:rsidR="001018A6" w:rsidRDefault="001018A6" w:rsidP="00EF0245">
      <w:pPr>
        <w:jc w:val="center"/>
      </w:pPr>
    </w:p>
    <w:p w14:paraId="1D37ED8D" w14:textId="77777777" w:rsidR="001018A6" w:rsidRDefault="001018A6" w:rsidP="00EF0245">
      <w:pPr>
        <w:jc w:val="center"/>
      </w:pPr>
    </w:p>
    <w:p w14:paraId="05A0F33F" w14:textId="77777777" w:rsidR="001018A6" w:rsidRDefault="001018A6" w:rsidP="00EF0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Kontrolní závěr z kontrolní akce</w:t>
      </w:r>
    </w:p>
    <w:p w14:paraId="0AA07422" w14:textId="77777777" w:rsidR="001018A6" w:rsidRDefault="001018A6" w:rsidP="00EF0245">
      <w:pPr>
        <w:jc w:val="center"/>
        <w:rPr>
          <w:sz w:val="28"/>
          <w:szCs w:val="28"/>
        </w:rPr>
      </w:pPr>
    </w:p>
    <w:p w14:paraId="4893F153" w14:textId="77777777" w:rsidR="001018A6" w:rsidRPr="009D5213" w:rsidRDefault="009D5213" w:rsidP="00EF0245">
      <w:pPr>
        <w:jc w:val="center"/>
        <w:rPr>
          <w:b/>
          <w:sz w:val="28"/>
          <w:szCs w:val="28"/>
        </w:rPr>
      </w:pPr>
      <w:r w:rsidRPr="009D5213">
        <w:rPr>
          <w:b/>
          <w:sz w:val="28"/>
          <w:szCs w:val="28"/>
        </w:rPr>
        <w:t>20/14</w:t>
      </w:r>
    </w:p>
    <w:p w14:paraId="6E9DE719" w14:textId="77777777" w:rsidR="001018A6" w:rsidRPr="00C5301B" w:rsidRDefault="009D5213" w:rsidP="00EF024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Podpora využívání veřejné hromadné dopravy ve městech v elektrické trakci z ope</w:t>
      </w:r>
      <w:r w:rsidR="00C5301B">
        <w:rPr>
          <w:b/>
          <w:sz w:val="28"/>
          <w:szCs w:val="28"/>
        </w:rPr>
        <w:t xml:space="preserve">račního programu </w:t>
      </w:r>
      <w:r w:rsidR="00C5301B" w:rsidRPr="00C5301B">
        <w:rPr>
          <w:b/>
          <w:i/>
          <w:sz w:val="28"/>
          <w:szCs w:val="28"/>
        </w:rPr>
        <w:t>Doprava 2014</w:t>
      </w:r>
      <w:r w:rsidR="00C5301B" w:rsidRPr="00C5301B">
        <w:rPr>
          <w:rFonts w:asciiTheme="minorHAnsi" w:hAnsiTheme="minorHAnsi" w:cstheme="minorHAnsi"/>
          <w:b/>
          <w:i/>
        </w:rPr>
        <w:t>–</w:t>
      </w:r>
      <w:r w:rsidRPr="00C5301B">
        <w:rPr>
          <w:b/>
          <w:i/>
          <w:sz w:val="28"/>
          <w:szCs w:val="28"/>
        </w:rPr>
        <w:t>2020</w:t>
      </w:r>
    </w:p>
    <w:p w14:paraId="3AB7A424" w14:textId="77777777" w:rsidR="001018A6" w:rsidRDefault="001018A6" w:rsidP="001018A6"/>
    <w:p w14:paraId="3220CEDF" w14:textId="77777777" w:rsidR="001018A6" w:rsidRDefault="001018A6" w:rsidP="001018A6"/>
    <w:p w14:paraId="2FAD1A07" w14:textId="77777777" w:rsidR="001018A6" w:rsidRDefault="001018A6" w:rsidP="001018A6">
      <w:r>
        <w:t>Kontrolní akce byla zařazena do plánu kontrolní činnosti Nejvyššího kontrolního úřadu (dále také „NKÚ“) na rok 20</w:t>
      </w:r>
      <w:r w:rsidR="009D5213">
        <w:t>20</w:t>
      </w:r>
      <w:r>
        <w:t xml:space="preserve"> pod číslem </w:t>
      </w:r>
      <w:r w:rsidR="009D5213">
        <w:t>20</w:t>
      </w:r>
      <w:r>
        <w:t>/</w:t>
      </w:r>
      <w:r w:rsidR="009D5213">
        <w:t>14</w:t>
      </w:r>
      <w:r>
        <w:t>. Kontrolní akci řídil a kontrolní závěr vypracoval člen NKÚ Ing. Jan Málek.</w:t>
      </w:r>
    </w:p>
    <w:p w14:paraId="1ECC504B" w14:textId="77777777" w:rsidR="001018A6" w:rsidRDefault="001018A6" w:rsidP="001018A6"/>
    <w:p w14:paraId="1F31073E" w14:textId="77777777" w:rsidR="001018A6" w:rsidRDefault="001018A6" w:rsidP="001018A6">
      <w:r>
        <w:t xml:space="preserve">Cílem kontroly bylo prověřit, </w:t>
      </w:r>
      <w:r w:rsidR="009D5213">
        <w:t>zda jsou peněžní prostředky v rámci podpory veřejné hromadné dopravy ve městech v elektrické trakci z ope</w:t>
      </w:r>
      <w:r w:rsidR="00C5301B">
        <w:t xml:space="preserve">račního programu </w:t>
      </w:r>
      <w:r w:rsidR="00C5301B" w:rsidRPr="00C5301B">
        <w:rPr>
          <w:i/>
        </w:rPr>
        <w:t>Doprava 2014–</w:t>
      </w:r>
      <w:r w:rsidR="009D5213" w:rsidRPr="00C5301B">
        <w:rPr>
          <w:i/>
        </w:rPr>
        <w:t>2020</w:t>
      </w:r>
      <w:r w:rsidR="0080420A">
        <w:t xml:space="preserve"> poskytovány </w:t>
      </w:r>
      <w:r w:rsidR="009D5213">
        <w:t>a čerpány efektivně, účelně a hospodárně.</w:t>
      </w:r>
    </w:p>
    <w:p w14:paraId="36EF9FA1" w14:textId="77777777" w:rsidR="001018A6" w:rsidRDefault="001018A6" w:rsidP="001018A6"/>
    <w:p w14:paraId="21CBAF9E" w14:textId="77777777" w:rsidR="001018A6" w:rsidRDefault="001018A6" w:rsidP="001018A6">
      <w:r>
        <w:t>Kontrola</w:t>
      </w:r>
      <w:r w:rsidR="005D4419">
        <w:t xml:space="preserve"> byla prováděna u kontrolovaných</w:t>
      </w:r>
      <w:r w:rsidR="009D5213">
        <w:t xml:space="preserve"> </w:t>
      </w:r>
      <w:r>
        <w:t xml:space="preserve">osob v období od </w:t>
      </w:r>
      <w:r w:rsidR="009D5213">
        <w:t>června</w:t>
      </w:r>
      <w:r w:rsidR="00C51CFF">
        <w:t xml:space="preserve"> </w:t>
      </w:r>
      <w:r>
        <w:t>20</w:t>
      </w:r>
      <w:r w:rsidR="009D5213">
        <w:t>20</w:t>
      </w:r>
      <w:r>
        <w:t xml:space="preserve"> do </w:t>
      </w:r>
      <w:r w:rsidR="009D5213">
        <w:t>ledna</w:t>
      </w:r>
      <w:r w:rsidR="00C51CFF">
        <w:t xml:space="preserve"> </w:t>
      </w:r>
      <w:r>
        <w:t>20</w:t>
      </w:r>
      <w:r w:rsidR="00C51CFF">
        <w:t>2</w:t>
      </w:r>
      <w:r w:rsidR="009D5213">
        <w:t>1</w:t>
      </w:r>
      <w:r>
        <w:t>. Kontrolováno bylo období od roku 201</w:t>
      </w:r>
      <w:r w:rsidR="009D5213">
        <w:t>5</w:t>
      </w:r>
      <w:r>
        <w:t xml:space="preserve"> do </w:t>
      </w:r>
      <w:r w:rsidR="009D5213">
        <w:t>31. 10.</w:t>
      </w:r>
      <w:r>
        <w:t xml:space="preserve"> 20</w:t>
      </w:r>
      <w:r w:rsidR="009D5213">
        <w:t>20</w:t>
      </w:r>
      <w:r>
        <w:t xml:space="preserve">, v případě věcných souvislostí i období předcházející a následující. </w:t>
      </w:r>
    </w:p>
    <w:p w14:paraId="1E1D08DB" w14:textId="77777777" w:rsidR="001018A6" w:rsidRDefault="001018A6" w:rsidP="001018A6"/>
    <w:p w14:paraId="5AE985D6" w14:textId="77777777" w:rsidR="001018A6" w:rsidRDefault="001018A6" w:rsidP="001018A6"/>
    <w:p w14:paraId="4BC03922" w14:textId="77777777" w:rsidR="001018A6" w:rsidRPr="0008210D" w:rsidRDefault="001018A6" w:rsidP="00607851">
      <w:pPr>
        <w:rPr>
          <w:b/>
        </w:rPr>
      </w:pPr>
      <w:r w:rsidRPr="0008210D">
        <w:rPr>
          <w:b/>
        </w:rPr>
        <w:t>Kontrolované osoby:</w:t>
      </w:r>
    </w:p>
    <w:p w14:paraId="285CB7C0" w14:textId="4F4D8388" w:rsidR="00311491" w:rsidRPr="0008210D" w:rsidRDefault="001018A6" w:rsidP="00607851">
      <w:r w:rsidRPr="0008210D">
        <w:t>Minist</w:t>
      </w:r>
      <w:r w:rsidR="003B504D" w:rsidRPr="0008210D">
        <w:t>erstvo dopravy</w:t>
      </w:r>
      <w:r w:rsidR="00614B3B" w:rsidRPr="0008210D">
        <w:t xml:space="preserve"> (dále také „MD“)</w:t>
      </w:r>
      <w:r w:rsidR="00F27105">
        <w:t>,</w:t>
      </w:r>
      <w:r w:rsidR="00607851" w:rsidRPr="0008210D">
        <w:t xml:space="preserve"> </w:t>
      </w:r>
    </w:p>
    <w:p w14:paraId="080217E5" w14:textId="7FAB765A" w:rsidR="00311491" w:rsidRPr="0008210D" w:rsidRDefault="00F27105" w:rsidP="00607851">
      <w:r>
        <w:t>s</w:t>
      </w:r>
      <w:r w:rsidR="003B504D" w:rsidRPr="0008210D">
        <w:t>tatutární město Plzeň,</w:t>
      </w:r>
      <w:r w:rsidR="00607851" w:rsidRPr="0008210D">
        <w:t xml:space="preserve"> </w:t>
      </w:r>
    </w:p>
    <w:p w14:paraId="535B692F" w14:textId="6FE862D6" w:rsidR="00311491" w:rsidRPr="0008210D" w:rsidRDefault="003B504D" w:rsidP="00607851">
      <w:r w:rsidRPr="0008210D">
        <w:t xml:space="preserve">Plzeňské </w:t>
      </w:r>
      <w:r w:rsidR="00614B3B" w:rsidRPr="0008210D">
        <w:t>městské dopravní podniky, a.s.</w:t>
      </w:r>
      <w:r w:rsidR="00F27105">
        <w:t>,</w:t>
      </w:r>
      <w:r w:rsidR="00607851" w:rsidRPr="0008210D">
        <w:t xml:space="preserve"> </w:t>
      </w:r>
    </w:p>
    <w:p w14:paraId="74DF045E" w14:textId="372471D1" w:rsidR="00311491" w:rsidRPr="0008210D" w:rsidRDefault="003B504D" w:rsidP="00607851">
      <w:r w:rsidRPr="0008210D">
        <w:t>Dopravní podnik města Brna, a.s.</w:t>
      </w:r>
      <w:r w:rsidR="00F27105">
        <w:t>,</w:t>
      </w:r>
      <w:r w:rsidR="00607851" w:rsidRPr="0008210D">
        <w:t xml:space="preserve"> </w:t>
      </w:r>
    </w:p>
    <w:p w14:paraId="2AB77140" w14:textId="0C2F315A" w:rsidR="003B504D" w:rsidRPr="0008210D" w:rsidRDefault="00F27105" w:rsidP="00607851">
      <w:r>
        <w:t>s</w:t>
      </w:r>
      <w:r w:rsidR="003B504D" w:rsidRPr="0008210D">
        <w:t>tatutární město Olomouc</w:t>
      </w:r>
      <w:r>
        <w:t>,</w:t>
      </w:r>
      <w:r w:rsidR="00607851" w:rsidRPr="0008210D">
        <w:t xml:space="preserve"> </w:t>
      </w:r>
    </w:p>
    <w:p w14:paraId="5A807BB1" w14:textId="0984F5AF" w:rsidR="00311491" w:rsidRPr="0008210D" w:rsidRDefault="003B504D" w:rsidP="00607851">
      <w:r w:rsidRPr="0008210D">
        <w:t>Doprav</w:t>
      </w:r>
      <w:r w:rsidR="00ED73B8" w:rsidRPr="0008210D">
        <w:t>ní podnik města Olomouce, a.s.</w:t>
      </w:r>
      <w:r w:rsidR="00F27105">
        <w:t>,</w:t>
      </w:r>
      <w:r w:rsidR="00607851" w:rsidRPr="0008210D">
        <w:t xml:space="preserve"> </w:t>
      </w:r>
    </w:p>
    <w:p w14:paraId="0E160E2B" w14:textId="4CD1DF97" w:rsidR="003B504D" w:rsidRPr="0008210D" w:rsidRDefault="003B504D" w:rsidP="00607851">
      <w:r w:rsidRPr="0008210D">
        <w:t>Dopravní podnik Ostrava a.s.</w:t>
      </w:r>
    </w:p>
    <w:p w14:paraId="7F2A4B6D" w14:textId="77777777" w:rsidR="003B504D" w:rsidRDefault="003B504D" w:rsidP="001018A6"/>
    <w:p w14:paraId="149CA390" w14:textId="77777777" w:rsidR="001018A6" w:rsidRDefault="001018A6" w:rsidP="001018A6"/>
    <w:p w14:paraId="583B94AB" w14:textId="77777777" w:rsidR="001018A6" w:rsidRDefault="001018A6" w:rsidP="001018A6">
      <w:pPr>
        <w:spacing w:after="120"/>
      </w:pPr>
      <w:r>
        <w:rPr>
          <w:b/>
          <w:i/>
          <w:spacing w:val="60"/>
        </w:rPr>
        <w:t>Kolegium NKÚ</w:t>
      </w:r>
      <w:r>
        <w:rPr>
          <w:spacing w:val="60"/>
        </w:rPr>
        <w:t xml:space="preserve"> </w:t>
      </w:r>
      <w:r>
        <w:t xml:space="preserve">na svém </w:t>
      </w:r>
      <w:r w:rsidR="00CE48DE">
        <w:t>VIII</w:t>
      </w:r>
      <w:r w:rsidR="002D51DE">
        <w:t>.</w:t>
      </w:r>
      <w:r w:rsidR="008A064C">
        <w:t xml:space="preserve"> </w:t>
      </w:r>
      <w:r>
        <w:t>jednání, které se konalo dne</w:t>
      </w:r>
      <w:r w:rsidR="008A064C">
        <w:t xml:space="preserve"> </w:t>
      </w:r>
      <w:r w:rsidR="00CE48DE">
        <w:t xml:space="preserve">10. května </w:t>
      </w:r>
      <w:r w:rsidR="002D51DE">
        <w:t>202</w:t>
      </w:r>
      <w:r w:rsidR="003B504D">
        <w:t>1</w:t>
      </w:r>
      <w:r>
        <w:t xml:space="preserve">, </w:t>
      </w:r>
    </w:p>
    <w:p w14:paraId="00C3374C" w14:textId="77777777" w:rsidR="001018A6" w:rsidRDefault="001018A6" w:rsidP="001018A6">
      <w:pPr>
        <w:spacing w:after="120"/>
      </w:pPr>
      <w:r>
        <w:rPr>
          <w:b/>
          <w:i/>
          <w:spacing w:val="60"/>
        </w:rPr>
        <w:t xml:space="preserve">schválilo </w:t>
      </w:r>
      <w:r w:rsidR="00035960">
        <w:t xml:space="preserve">usnesením č. </w:t>
      </w:r>
      <w:r w:rsidR="00B77DDE">
        <w:t>12</w:t>
      </w:r>
      <w:r w:rsidR="0080420A">
        <w:t>/</w:t>
      </w:r>
      <w:r w:rsidR="00CE48DE">
        <w:t>VIII</w:t>
      </w:r>
      <w:r w:rsidR="003B504D">
        <w:t>/2021</w:t>
      </w:r>
    </w:p>
    <w:p w14:paraId="5C2D038C" w14:textId="77777777" w:rsidR="001018A6" w:rsidRDefault="001018A6" w:rsidP="001018A6">
      <w:r>
        <w:rPr>
          <w:b/>
          <w:i/>
          <w:spacing w:val="60"/>
        </w:rPr>
        <w:t xml:space="preserve">kontrolní závěr </w:t>
      </w:r>
      <w:r>
        <w:t>v tomto znění:</w:t>
      </w:r>
    </w:p>
    <w:p w14:paraId="45EE00C1" w14:textId="77777777" w:rsidR="001018A6" w:rsidRPr="00E62916" w:rsidRDefault="001018A6" w:rsidP="00E62916"/>
    <w:p w14:paraId="569FCAD2" w14:textId="77777777" w:rsidR="008C7149" w:rsidRPr="00E62916" w:rsidRDefault="008C7149" w:rsidP="00E62916"/>
    <w:p w14:paraId="4B34CAE8" w14:textId="77777777" w:rsidR="001018A6" w:rsidRDefault="001018A6" w:rsidP="001018A6">
      <w:pPr>
        <w:ind w:left="567" w:hanging="567"/>
        <w:rPr>
          <w:sz w:val="20"/>
        </w:rPr>
      </w:pPr>
      <w:r>
        <w:rPr>
          <w:b/>
          <w:sz w:val="20"/>
        </w:rPr>
        <w:t>Pozn.:</w:t>
      </w:r>
      <w:r>
        <w:rPr>
          <w:sz w:val="20"/>
        </w:rPr>
        <w:tab/>
        <w:t>Právní předpisy uvedené v tomto kontrolním závěru jsou aplikovány ve znění účinném pro kontrolované období.</w:t>
      </w:r>
    </w:p>
    <w:p w14:paraId="43590058" w14:textId="77777777" w:rsidR="008C7149" w:rsidRDefault="008C7149">
      <w:pPr>
        <w:spacing w:after="160" w:line="259" w:lineRule="auto"/>
        <w:jc w:val="left"/>
        <w:rPr>
          <w:rFonts w:asciiTheme="minorHAnsi" w:eastAsiaTheme="minorHAnsi" w:hAnsiTheme="minorHAnsi" w:cstheme="minorHAnsi"/>
          <w:color w:val="BDD6EE" w:themeColor="accent1" w:themeTint="66"/>
          <w:sz w:val="40"/>
          <w:szCs w:val="40"/>
        </w:rPr>
      </w:pPr>
      <w:r>
        <w:rPr>
          <w:rFonts w:asciiTheme="minorHAnsi" w:eastAsiaTheme="minorHAnsi" w:hAnsiTheme="minorHAnsi" w:cstheme="minorHAnsi"/>
          <w:color w:val="BDD6EE" w:themeColor="accent1" w:themeTint="66"/>
          <w:sz w:val="40"/>
          <w:szCs w:val="40"/>
        </w:rPr>
        <w:br w:type="page"/>
      </w:r>
    </w:p>
    <w:p w14:paraId="486F168C" w14:textId="77777777" w:rsidR="00FC11F3" w:rsidRPr="005953AF" w:rsidRDefault="00770880" w:rsidP="00FC11F3">
      <w:pPr>
        <w:jc w:val="center"/>
        <w:rPr>
          <w:rFonts w:asciiTheme="minorHAnsi" w:eastAsiaTheme="minorHAnsi" w:hAnsiTheme="minorHAnsi" w:cstheme="minorHAnsi"/>
          <w:color w:val="2E74B5" w:themeColor="accent1" w:themeShade="BF"/>
          <w:sz w:val="40"/>
          <w:szCs w:val="40"/>
        </w:rPr>
      </w:pPr>
      <w:r w:rsidRPr="005953AF">
        <w:rPr>
          <w:rFonts w:asciiTheme="minorHAnsi" w:eastAsiaTheme="minorHAnsi" w:hAnsiTheme="minorHAnsi" w:cstheme="minorHAnsi"/>
          <w:color w:val="2E74B5" w:themeColor="accent1" w:themeShade="BF"/>
          <w:sz w:val="40"/>
          <w:szCs w:val="40"/>
        </w:rPr>
        <w:lastRenderedPageBreak/>
        <w:t>Podpora</w:t>
      </w:r>
      <w:r w:rsidRPr="005953AF">
        <w:rPr>
          <w:rFonts w:asciiTheme="minorHAnsi" w:eastAsiaTheme="minorHAnsi" w:hAnsiTheme="minorHAnsi" w:cstheme="minorHAnsi"/>
          <w:color w:val="2E74B5" w:themeColor="accent1" w:themeShade="BF"/>
          <w:sz w:val="50"/>
          <w:szCs w:val="50"/>
        </w:rPr>
        <w:t xml:space="preserve"> </w:t>
      </w:r>
      <w:r w:rsidRPr="005953AF">
        <w:rPr>
          <w:rFonts w:asciiTheme="minorHAnsi" w:eastAsiaTheme="minorHAnsi" w:hAnsiTheme="minorHAnsi" w:cstheme="minorHAnsi"/>
          <w:color w:val="2E74B5" w:themeColor="accent1" w:themeShade="BF"/>
          <w:sz w:val="40"/>
          <w:szCs w:val="40"/>
        </w:rPr>
        <w:t>veřejné hromadné dopravy</w:t>
      </w:r>
    </w:p>
    <w:p w14:paraId="68C0C5E2" w14:textId="77777777" w:rsidR="00FC11F3" w:rsidRDefault="00FC11F3" w:rsidP="00FC11F3">
      <w:pPr>
        <w:jc w:val="center"/>
        <w:rPr>
          <w:b/>
          <w:sz w:val="28"/>
          <w:szCs w:val="28"/>
        </w:rPr>
      </w:pPr>
    </w:p>
    <w:p w14:paraId="467464D0" w14:textId="77777777" w:rsidR="00FC11F3" w:rsidRDefault="00FC11F3" w:rsidP="00FC11F3">
      <w:pPr>
        <w:jc w:val="center"/>
        <w:rPr>
          <w:b/>
          <w:sz w:val="28"/>
          <w:szCs w:val="28"/>
        </w:rPr>
      </w:pPr>
    </w:p>
    <w:tbl>
      <w:tblPr>
        <w:tblStyle w:val="Mkatabulky"/>
        <w:tblW w:w="765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402"/>
        <w:gridCol w:w="4252"/>
      </w:tblGrid>
      <w:tr w:rsidR="00667501" w:rsidRPr="00770880" w14:paraId="7B56FBE4" w14:textId="77777777" w:rsidTr="00FC11F3">
        <w:trPr>
          <w:trHeight w:val="1918"/>
          <w:jc w:val="center"/>
        </w:trPr>
        <w:tc>
          <w:tcPr>
            <w:tcW w:w="3402" w:type="dxa"/>
          </w:tcPr>
          <w:p w14:paraId="7A4C671C" w14:textId="77777777" w:rsidR="00667501" w:rsidRPr="00895435" w:rsidRDefault="00667501" w:rsidP="00B55ED4">
            <w:pPr>
              <w:ind w:right="-121"/>
              <w:jc w:val="center"/>
              <w:rPr>
                <w:rStyle w:val="A5"/>
                <w:sz w:val="36"/>
                <w:szCs w:val="36"/>
              </w:rPr>
            </w:pPr>
            <w:r w:rsidRPr="00895435">
              <w:rPr>
                <w:rStyle w:val="A5"/>
                <w:sz w:val="36"/>
                <w:szCs w:val="36"/>
              </w:rPr>
              <w:t>11 700 mil.</w:t>
            </w:r>
            <w:r>
              <w:rPr>
                <w:rStyle w:val="A5"/>
                <w:sz w:val="36"/>
                <w:szCs w:val="36"/>
              </w:rPr>
              <w:t xml:space="preserve"> </w:t>
            </w:r>
            <w:r w:rsidRPr="00895435">
              <w:rPr>
                <w:rStyle w:val="A5"/>
                <w:sz w:val="36"/>
                <w:szCs w:val="36"/>
              </w:rPr>
              <w:t>Kč</w:t>
            </w:r>
          </w:p>
          <w:p w14:paraId="601C9E6C" w14:textId="77777777" w:rsidR="00667501" w:rsidRDefault="00667501" w:rsidP="00B55ED4">
            <w:pPr>
              <w:jc w:val="center"/>
              <w:rPr>
                <w:b/>
              </w:rPr>
            </w:pPr>
          </w:p>
          <w:p w14:paraId="44F67BD0" w14:textId="77777777" w:rsidR="00667501" w:rsidRDefault="00667501" w:rsidP="00B55ED4">
            <w:pPr>
              <w:jc w:val="center"/>
              <w:rPr>
                <w:b/>
              </w:rPr>
            </w:pPr>
            <w:r>
              <w:rPr>
                <w:b/>
              </w:rPr>
              <w:t>Celková alokace</w:t>
            </w:r>
          </w:p>
          <w:p w14:paraId="3EF8A797" w14:textId="77777777" w:rsidR="00FC11F3" w:rsidRPr="000B1716" w:rsidRDefault="00FC11F3" w:rsidP="00B55ED4">
            <w:pPr>
              <w:jc w:val="center"/>
              <w:rPr>
                <w:rStyle w:val="A1"/>
                <w:b/>
                <w:bCs/>
                <w:sz w:val="22"/>
                <w:szCs w:val="22"/>
              </w:rPr>
            </w:pPr>
          </w:p>
        </w:tc>
        <w:tc>
          <w:tcPr>
            <w:tcW w:w="4252" w:type="dxa"/>
          </w:tcPr>
          <w:p w14:paraId="64421B34" w14:textId="77777777" w:rsidR="00667501" w:rsidRDefault="00667501" w:rsidP="00B55ED4">
            <w:pPr>
              <w:jc w:val="center"/>
              <w:rPr>
                <w:b/>
                <w:sz w:val="36"/>
                <w:szCs w:val="36"/>
                <w:lang w:eastAsia="cs-CZ"/>
              </w:rPr>
            </w:pPr>
            <w:r w:rsidRPr="00895435">
              <w:rPr>
                <w:b/>
                <w:sz w:val="36"/>
                <w:szCs w:val="36"/>
                <w:lang w:eastAsia="cs-CZ"/>
              </w:rPr>
              <w:t>7 755,809 mil. Kč</w:t>
            </w:r>
          </w:p>
          <w:p w14:paraId="571A8171" w14:textId="79C3CCC8" w:rsidR="00667501" w:rsidRPr="00895435" w:rsidRDefault="00667501" w:rsidP="00B55ED4">
            <w:pPr>
              <w:jc w:val="center"/>
              <w:rPr>
                <w:rStyle w:val="A5"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eastAsia="cs-CZ"/>
              </w:rPr>
              <w:t>(66</w:t>
            </w:r>
            <w:r w:rsidR="00F27105">
              <w:rPr>
                <w:b/>
                <w:sz w:val="36"/>
                <w:szCs w:val="36"/>
                <w:lang w:eastAsia="cs-CZ"/>
              </w:rPr>
              <w:t> </w:t>
            </w:r>
            <w:r>
              <w:rPr>
                <w:b/>
                <w:sz w:val="36"/>
                <w:szCs w:val="36"/>
                <w:lang w:eastAsia="cs-CZ"/>
              </w:rPr>
              <w:t>%)</w:t>
            </w:r>
          </w:p>
          <w:p w14:paraId="2EE4A6F1" w14:textId="77777777" w:rsidR="00667501" w:rsidRDefault="00667501" w:rsidP="00B55ED4">
            <w:pPr>
              <w:jc w:val="center"/>
              <w:rPr>
                <w:b/>
              </w:rPr>
            </w:pPr>
          </w:p>
          <w:p w14:paraId="14E52BB1" w14:textId="77777777" w:rsidR="00667501" w:rsidRPr="00895435" w:rsidRDefault="00667501" w:rsidP="00B55ED4">
            <w:pPr>
              <w:jc w:val="center"/>
            </w:pPr>
            <w:r>
              <w:t>Výše prostředků, které budou vyčerpány z celkové alokace</w:t>
            </w:r>
          </w:p>
          <w:p w14:paraId="36C9EB5C" w14:textId="77777777" w:rsidR="00667501" w:rsidRPr="000B1716" w:rsidRDefault="00667501" w:rsidP="00B55ED4">
            <w:pPr>
              <w:jc w:val="center"/>
              <w:rPr>
                <w:rStyle w:val="A1"/>
                <w:sz w:val="22"/>
                <w:szCs w:val="22"/>
              </w:rPr>
            </w:pPr>
          </w:p>
        </w:tc>
      </w:tr>
      <w:tr w:rsidR="00667501" w:rsidRPr="00770880" w14:paraId="34360BC6" w14:textId="77777777" w:rsidTr="00FC11F3">
        <w:trPr>
          <w:trHeight w:val="1918"/>
          <w:jc w:val="center"/>
        </w:trPr>
        <w:tc>
          <w:tcPr>
            <w:tcW w:w="3402" w:type="dxa"/>
          </w:tcPr>
          <w:p w14:paraId="530A4101" w14:textId="77777777" w:rsidR="00667501" w:rsidRPr="00895435" w:rsidRDefault="00667501" w:rsidP="00B55ED4">
            <w:pPr>
              <w:jc w:val="center"/>
              <w:rPr>
                <w:b/>
                <w:sz w:val="36"/>
                <w:szCs w:val="36"/>
                <w:lang w:eastAsia="cs-CZ"/>
              </w:rPr>
            </w:pPr>
            <w:r>
              <w:rPr>
                <w:b/>
                <w:sz w:val="36"/>
                <w:szCs w:val="36"/>
                <w:lang w:eastAsia="cs-CZ"/>
              </w:rPr>
              <w:t>42</w:t>
            </w:r>
          </w:p>
          <w:p w14:paraId="4B6CA1D9" w14:textId="77777777" w:rsidR="00667501" w:rsidRPr="00895435" w:rsidRDefault="00667501" w:rsidP="00B55ED4">
            <w:pPr>
              <w:jc w:val="center"/>
              <w:rPr>
                <w:rStyle w:val="A5"/>
                <w:sz w:val="22"/>
                <w:szCs w:val="22"/>
              </w:rPr>
            </w:pPr>
          </w:p>
          <w:p w14:paraId="2189DD8C" w14:textId="77777777" w:rsidR="00667501" w:rsidRPr="000B1716" w:rsidRDefault="00667501" w:rsidP="00B55ED4">
            <w:pPr>
              <w:jc w:val="center"/>
            </w:pPr>
            <w:r>
              <w:t>Celkový počet schválených projektů</w:t>
            </w:r>
          </w:p>
          <w:p w14:paraId="410503EC" w14:textId="77777777" w:rsidR="00667501" w:rsidRDefault="00667501" w:rsidP="00B55ED4">
            <w:pPr>
              <w:ind w:right="-121"/>
              <w:jc w:val="center"/>
              <w:rPr>
                <w:rStyle w:val="A1"/>
                <w:rFonts w:ascii="Calibri Light" w:hAnsi="Calibri Light" w:cs="Calibri Light"/>
              </w:rPr>
            </w:pPr>
          </w:p>
        </w:tc>
        <w:tc>
          <w:tcPr>
            <w:tcW w:w="4252" w:type="dxa"/>
          </w:tcPr>
          <w:p w14:paraId="78745A2F" w14:textId="77777777" w:rsidR="00667501" w:rsidRPr="00030B9E" w:rsidRDefault="00667501" w:rsidP="00B55ED4">
            <w:pPr>
              <w:jc w:val="center"/>
              <w:rPr>
                <w:b/>
                <w:sz w:val="36"/>
                <w:szCs w:val="36"/>
                <w:lang w:eastAsia="cs-CZ"/>
              </w:rPr>
            </w:pPr>
            <w:r>
              <w:rPr>
                <w:b/>
                <w:sz w:val="36"/>
                <w:szCs w:val="36"/>
                <w:lang w:eastAsia="cs-CZ"/>
              </w:rPr>
              <w:t>9</w:t>
            </w:r>
          </w:p>
          <w:p w14:paraId="22B4BB08" w14:textId="77777777" w:rsidR="00667501" w:rsidRPr="00895435" w:rsidRDefault="00667501" w:rsidP="00B55ED4">
            <w:pPr>
              <w:jc w:val="center"/>
            </w:pPr>
            <w:r>
              <w:rPr>
                <w:b/>
                <w:sz w:val="20"/>
                <w:szCs w:val="20"/>
              </w:rPr>
              <w:br/>
            </w:r>
            <w:r w:rsidRPr="00895435">
              <w:t xml:space="preserve">Celkový počet </w:t>
            </w:r>
            <w:r>
              <w:t>ukončených</w:t>
            </w:r>
            <w:r w:rsidRPr="00895435">
              <w:t xml:space="preserve"> projektů </w:t>
            </w:r>
            <w:r>
              <w:t>k datu 31. 10. 2020</w:t>
            </w:r>
          </w:p>
          <w:p w14:paraId="0A77E26C" w14:textId="77777777" w:rsidR="00667501" w:rsidRDefault="00667501" w:rsidP="00B55ED4">
            <w:pPr>
              <w:jc w:val="center"/>
              <w:rPr>
                <w:rStyle w:val="A1"/>
                <w:rFonts w:ascii="Calibri Light" w:hAnsi="Calibri Light" w:cs="Calibri Light"/>
              </w:rPr>
            </w:pPr>
          </w:p>
        </w:tc>
      </w:tr>
    </w:tbl>
    <w:p w14:paraId="186E69CC" w14:textId="77777777" w:rsidR="005972AF" w:rsidRDefault="005972AF" w:rsidP="007C00F0">
      <w:pPr>
        <w:jc w:val="center"/>
        <w:rPr>
          <w:b/>
          <w:sz w:val="28"/>
          <w:szCs w:val="28"/>
        </w:rPr>
      </w:pPr>
    </w:p>
    <w:p w14:paraId="5EDD79CB" w14:textId="77777777" w:rsidR="00F11AFA" w:rsidRDefault="00667501" w:rsidP="007C00F0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75036B94" wp14:editId="37BCEFCC">
            <wp:simplePos x="0" y="0"/>
            <wp:positionH relativeFrom="column">
              <wp:posOffset>140970</wp:posOffset>
            </wp:positionH>
            <wp:positionV relativeFrom="paragraph">
              <wp:posOffset>306070</wp:posOffset>
            </wp:positionV>
            <wp:extent cx="5486400" cy="4086860"/>
            <wp:effectExtent l="0" t="0" r="0" b="8890"/>
            <wp:wrapTopAndBottom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653E8" w14:textId="77777777" w:rsidR="005972AF" w:rsidRDefault="005972AF" w:rsidP="007C00F0">
      <w:pPr>
        <w:jc w:val="center"/>
        <w:rPr>
          <w:b/>
          <w:sz w:val="28"/>
          <w:szCs w:val="28"/>
        </w:rPr>
      </w:pPr>
    </w:p>
    <w:p w14:paraId="2F1DF274" w14:textId="77777777" w:rsidR="00667501" w:rsidRDefault="00667501">
      <w:pPr>
        <w:spacing w:after="160" w:line="259" w:lineRule="auto"/>
        <w:jc w:val="left"/>
        <w:rPr>
          <w:rFonts w:eastAsiaTheme="minorHAnsi" w:cs="Arial"/>
          <w:b/>
          <w:color w:val="000000"/>
        </w:rPr>
      </w:pPr>
      <w:r>
        <w:rPr>
          <w:b/>
        </w:rPr>
        <w:br w:type="page"/>
      </w:r>
    </w:p>
    <w:p w14:paraId="2AEB19B1" w14:textId="77777777" w:rsidR="00461601" w:rsidRPr="0008210D" w:rsidRDefault="00461601" w:rsidP="00481C38">
      <w:pPr>
        <w:pStyle w:val="KP-normlntext"/>
        <w:jc w:val="center"/>
        <w:rPr>
          <w:b/>
          <w:color w:val="000000" w:themeColor="text1"/>
          <w:sz w:val="28"/>
        </w:rPr>
      </w:pPr>
      <w:r w:rsidRPr="0008210D">
        <w:rPr>
          <w:b/>
          <w:color w:val="000000" w:themeColor="text1"/>
          <w:sz w:val="28"/>
        </w:rPr>
        <w:lastRenderedPageBreak/>
        <w:t>I. Shrnutí a vyhodnocení</w:t>
      </w:r>
    </w:p>
    <w:p w14:paraId="18457511" w14:textId="08E7A801" w:rsidR="00461601" w:rsidRPr="0008210D" w:rsidRDefault="00461601" w:rsidP="00C368F2">
      <w:pPr>
        <w:pStyle w:val="KP-normlntext"/>
        <w:rPr>
          <w:color w:val="000000" w:themeColor="text1"/>
        </w:rPr>
      </w:pPr>
      <w:r w:rsidRPr="0008210D">
        <w:rPr>
          <w:color w:val="000000" w:themeColor="text1"/>
        </w:rPr>
        <w:t xml:space="preserve">NKÚ provedl kontrolu prostředků Evropské unie (dále také „EU“) </w:t>
      </w:r>
      <w:r w:rsidR="00F16B6D">
        <w:rPr>
          <w:color w:val="000000" w:themeColor="text1"/>
        </w:rPr>
        <w:t xml:space="preserve">poskytovaných </w:t>
      </w:r>
      <w:r w:rsidRPr="0008210D">
        <w:rPr>
          <w:color w:val="000000" w:themeColor="text1"/>
        </w:rPr>
        <w:t>z ope</w:t>
      </w:r>
      <w:r w:rsidR="009E095F" w:rsidRPr="0008210D">
        <w:rPr>
          <w:color w:val="000000" w:themeColor="text1"/>
        </w:rPr>
        <w:t xml:space="preserve">račního programu </w:t>
      </w:r>
      <w:r w:rsidR="009E095F" w:rsidRPr="00121AA0">
        <w:rPr>
          <w:i/>
          <w:color w:val="000000" w:themeColor="text1"/>
        </w:rPr>
        <w:t>Doprava 2014–</w:t>
      </w:r>
      <w:r w:rsidRPr="00121AA0">
        <w:rPr>
          <w:i/>
          <w:color w:val="000000" w:themeColor="text1"/>
        </w:rPr>
        <w:t>2020</w:t>
      </w:r>
      <w:r w:rsidR="00F16B6D">
        <w:rPr>
          <w:color w:val="000000" w:themeColor="text1"/>
        </w:rPr>
        <w:t xml:space="preserve"> prostřednictvím</w:t>
      </w:r>
      <w:r w:rsidRPr="0008210D">
        <w:rPr>
          <w:color w:val="000000" w:themeColor="text1"/>
        </w:rPr>
        <w:t xml:space="preserve"> specifick</w:t>
      </w:r>
      <w:r w:rsidR="00F16B6D">
        <w:rPr>
          <w:color w:val="000000" w:themeColor="text1"/>
        </w:rPr>
        <w:t>ého</w:t>
      </w:r>
      <w:r w:rsidRPr="0008210D">
        <w:rPr>
          <w:color w:val="000000" w:themeColor="text1"/>
        </w:rPr>
        <w:t xml:space="preserve"> cíl</w:t>
      </w:r>
      <w:r w:rsidR="00F16B6D">
        <w:rPr>
          <w:color w:val="000000" w:themeColor="text1"/>
        </w:rPr>
        <w:t>e</w:t>
      </w:r>
      <w:r w:rsidRPr="0008210D">
        <w:rPr>
          <w:color w:val="000000" w:themeColor="text1"/>
        </w:rPr>
        <w:t xml:space="preserve"> 1.4 – </w:t>
      </w:r>
      <w:r w:rsidRPr="00121AA0">
        <w:rPr>
          <w:i/>
          <w:color w:val="000000" w:themeColor="text1"/>
        </w:rPr>
        <w:t>Vytvoření podmínek pro zvýšení využívání veřejné hromadné dopravy ve městech v elektrické trakci</w:t>
      </w:r>
      <w:r w:rsidRPr="0008210D">
        <w:rPr>
          <w:color w:val="000000" w:themeColor="text1"/>
        </w:rPr>
        <w:t xml:space="preserve"> (dále také „SC 1.4“) s celkovou alokací 11 700 mil. Kč. </w:t>
      </w:r>
      <w:r w:rsidR="00761F05" w:rsidRPr="0008210D">
        <w:rPr>
          <w:rFonts w:asciiTheme="minorHAnsi" w:hAnsiTheme="minorHAnsi" w:cstheme="minorHAnsi"/>
          <w:iCs/>
          <w:color w:val="000000" w:themeColor="text1"/>
          <w:lang w:eastAsia="cs-CZ" w:bidi="cs-CZ"/>
        </w:rPr>
        <w:t>Stavební náklady na 1 km trati se pohybovaly v intervalu od 33 mil. Kč do 122 mil. Kč.</w:t>
      </w:r>
      <w:r w:rsidR="00761F05" w:rsidRPr="00121AA0">
        <w:rPr>
          <w:color w:val="000000" w:themeColor="text1"/>
        </w:rPr>
        <w:t xml:space="preserve"> </w:t>
      </w:r>
      <w:r w:rsidR="00761F05" w:rsidRPr="0008210D">
        <w:rPr>
          <w:color w:val="000000" w:themeColor="text1"/>
        </w:rPr>
        <w:t>Náklady na novostavbu 1 km tramvajové trati např. činily cca</w:t>
      </w:r>
      <w:r w:rsidR="009E278F">
        <w:rPr>
          <w:color w:val="000000" w:themeColor="text1"/>
        </w:rPr>
        <w:t> </w:t>
      </w:r>
      <w:r w:rsidR="00761F05" w:rsidRPr="0008210D">
        <w:rPr>
          <w:color w:val="000000" w:themeColor="text1"/>
        </w:rPr>
        <w:t>94 mil.</w:t>
      </w:r>
      <w:r w:rsidR="009E278F">
        <w:rPr>
          <w:color w:val="000000" w:themeColor="text1"/>
        </w:rPr>
        <w:t> </w:t>
      </w:r>
      <w:r w:rsidR="00761F05" w:rsidRPr="0008210D">
        <w:rPr>
          <w:color w:val="000000" w:themeColor="text1"/>
        </w:rPr>
        <w:t xml:space="preserve">Kč, náklady na modernizaci 1 km tramvajové trati činily cca 65 mil. Kč a náklady na rekonstrukci 1 km tramvajové trati činily cca 33 mil. Kč. </w:t>
      </w:r>
      <w:r w:rsidR="007B1375" w:rsidRPr="0008210D">
        <w:rPr>
          <w:color w:val="000000" w:themeColor="text1"/>
        </w:rPr>
        <w:t xml:space="preserve">Cílem kontroly bylo prověřit, zda jsou peněžní prostředky v rámci podpory veřejné hromadné dopravy ve městech v elektrické trakci z operačního programu </w:t>
      </w:r>
      <w:r w:rsidR="00B76AA5" w:rsidRPr="00121AA0">
        <w:rPr>
          <w:i/>
          <w:color w:val="000000" w:themeColor="text1"/>
        </w:rPr>
        <w:t>Doprava 2014–2020</w:t>
      </w:r>
      <w:r w:rsidR="00B76AA5" w:rsidRPr="0008210D">
        <w:rPr>
          <w:color w:val="000000" w:themeColor="text1"/>
        </w:rPr>
        <w:t xml:space="preserve"> poskytovány a </w:t>
      </w:r>
      <w:r w:rsidR="007B1375" w:rsidRPr="0008210D">
        <w:rPr>
          <w:color w:val="000000" w:themeColor="text1"/>
        </w:rPr>
        <w:t>čerpány efektivně, účelně a hospodárně.</w:t>
      </w:r>
    </w:p>
    <w:p w14:paraId="3BA8D7E1" w14:textId="77777777" w:rsidR="003302F0" w:rsidRPr="0008210D" w:rsidRDefault="003302F0" w:rsidP="00C368F2">
      <w:pPr>
        <w:pStyle w:val="KP-normlntext"/>
        <w:rPr>
          <w:color w:val="000000" w:themeColor="text1"/>
        </w:rPr>
      </w:pPr>
      <w:r w:rsidRPr="0008210D">
        <w:rPr>
          <w:color w:val="000000" w:themeColor="text1"/>
        </w:rPr>
        <w:t xml:space="preserve">V oblasti hospodárnosti výdajů nebyly u 12 kontrolovaných projektů s celkovou výší podpory 1 423,303 mil. Kč zjištěny nedostatky.  </w:t>
      </w:r>
    </w:p>
    <w:p w14:paraId="576EB03F" w14:textId="77777777" w:rsidR="002F6235" w:rsidRPr="0008210D" w:rsidRDefault="002F6235" w:rsidP="003E008A">
      <w:pPr>
        <w:pStyle w:val="KP-normlntext"/>
        <w:spacing w:after="0"/>
        <w:rPr>
          <w:color w:val="000000" w:themeColor="text1"/>
        </w:rPr>
      </w:pPr>
      <w:r w:rsidRPr="0008210D">
        <w:rPr>
          <w:color w:val="000000" w:themeColor="text1"/>
        </w:rPr>
        <w:t>V oblasti efektivnosti a účelnosti byly zjištěny následující nedostatky:</w:t>
      </w:r>
    </w:p>
    <w:p w14:paraId="4C6C551A" w14:textId="77777777" w:rsidR="00400225" w:rsidRPr="0008210D" w:rsidRDefault="00461601" w:rsidP="004A4C30">
      <w:pPr>
        <w:pStyle w:val="KP-normlntext"/>
        <w:numPr>
          <w:ilvl w:val="0"/>
          <w:numId w:val="6"/>
        </w:numPr>
        <w:spacing w:after="0"/>
        <w:ind w:left="284" w:hanging="284"/>
        <w:rPr>
          <w:color w:val="000000" w:themeColor="text1"/>
        </w:rPr>
      </w:pPr>
      <w:r w:rsidRPr="0008210D">
        <w:rPr>
          <w:b/>
          <w:color w:val="000000" w:themeColor="text1"/>
        </w:rPr>
        <w:t>Kontrolou bylo zjištěno, že</w:t>
      </w:r>
      <w:r w:rsidR="00481C38" w:rsidRPr="0008210D">
        <w:rPr>
          <w:b/>
          <w:color w:val="000000" w:themeColor="text1"/>
        </w:rPr>
        <w:t xml:space="preserve"> </w:t>
      </w:r>
      <w:r w:rsidR="00CB5770" w:rsidRPr="0008210D">
        <w:rPr>
          <w:b/>
          <w:color w:val="000000" w:themeColor="text1"/>
        </w:rPr>
        <w:t xml:space="preserve">investované finanční prostředky přispívají k částečnému plnění očekávaných cílů, jejich přínos je však jen obtížně vyhodnotitelný. </w:t>
      </w:r>
      <w:r w:rsidR="00CA00A8" w:rsidRPr="0008210D">
        <w:rPr>
          <w:b/>
          <w:color w:val="000000" w:themeColor="text1"/>
        </w:rPr>
        <w:t xml:space="preserve">MD nenastavilo </w:t>
      </w:r>
      <w:r w:rsidR="00F2033F" w:rsidRPr="0008210D">
        <w:rPr>
          <w:b/>
          <w:color w:val="000000" w:themeColor="text1"/>
        </w:rPr>
        <w:t>ukazatele</w:t>
      </w:r>
      <w:r w:rsidR="00CA00A8" w:rsidRPr="0008210D">
        <w:rPr>
          <w:b/>
          <w:color w:val="000000" w:themeColor="text1"/>
        </w:rPr>
        <w:t xml:space="preserve"> pro hodnocení podpory tak, aby bylo schopno vyhodnotit skutečné přínosy podpory</w:t>
      </w:r>
      <w:r w:rsidR="00FE6EE1" w:rsidRPr="0008210D">
        <w:rPr>
          <w:b/>
          <w:color w:val="000000" w:themeColor="text1"/>
        </w:rPr>
        <w:t xml:space="preserve">. </w:t>
      </w:r>
      <w:r w:rsidRPr="0008210D">
        <w:rPr>
          <w:b/>
          <w:color w:val="000000" w:themeColor="text1"/>
        </w:rPr>
        <w:t xml:space="preserve">MD stanovilo </w:t>
      </w:r>
      <w:r w:rsidR="003E71BF" w:rsidRPr="0008210D">
        <w:rPr>
          <w:b/>
          <w:color w:val="000000" w:themeColor="text1"/>
        </w:rPr>
        <w:t xml:space="preserve">v programových dokumentech </w:t>
      </w:r>
      <w:r w:rsidR="00E776FF" w:rsidRPr="0008210D">
        <w:rPr>
          <w:b/>
          <w:color w:val="000000" w:themeColor="text1"/>
        </w:rPr>
        <w:t>ukazatele</w:t>
      </w:r>
      <w:r w:rsidRPr="0008210D">
        <w:rPr>
          <w:b/>
          <w:color w:val="000000" w:themeColor="text1"/>
        </w:rPr>
        <w:t xml:space="preserve">, které hodnotí výstupy podpory </w:t>
      </w:r>
      <w:r w:rsidR="00274476" w:rsidRPr="0008210D">
        <w:rPr>
          <w:b/>
          <w:color w:val="000000" w:themeColor="text1"/>
        </w:rPr>
        <w:t xml:space="preserve">pouze </w:t>
      </w:r>
      <w:r w:rsidR="00F2033F" w:rsidRPr="0008210D">
        <w:rPr>
          <w:b/>
          <w:color w:val="000000" w:themeColor="text1"/>
        </w:rPr>
        <w:t>z</w:t>
      </w:r>
      <w:r w:rsidR="00F2033F" w:rsidRPr="0008210D">
        <w:rPr>
          <w:rFonts w:cs="Calibri"/>
          <w:b/>
          <w:bCs/>
          <w:color w:val="000000" w:themeColor="text1"/>
        </w:rPr>
        <w:t> hlediska technických parametrů, tj. naplnění očekávaného počtu nových zařízení a délky nových tratí v</w:t>
      </w:r>
      <w:r w:rsidR="00BF104E" w:rsidRPr="0008210D">
        <w:rPr>
          <w:rFonts w:cs="Calibri"/>
          <w:b/>
          <w:bCs/>
          <w:color w:val="000000" w:themeColor="text1"/>
        </w:rPr>
        <w:t> k</w:t>
      </w:r>
      <w:r w:rsidR="00400225" w:rsidRPr="0008210D">
        <w:rPr>
          <w:rFonts w:cs="Calibri"/>
          <w:b/>
          <w:bCs/>
          <w:color w:val="000000" w:themeColor="text1"/>
        </w:rPr>
        <w:t>ilometrech</w:t>
      </w:r>
      <w:r w:rsidR="00BF104E" w:rsidRPr="0008210D">
        <w:rPr>
          <w:rFonts w:cs="Calibri"/>
          <w:b/>
          <w:bCs/>
          <w:color w:val="000000" w:themeColor="text1"/>
        </w:rPr>
        <w:t>.</w:t>
      </w:r>
      <w:r w:rsidRPr="0008210D">
        <w:rPr>
          <w:b/>
          <w:color w:val="000000" w:themeColor="text1"/>
        </w:rPr>
        <w:t xml:space="preserve"> </w:t>
      </w:r>
    </w:p>
    <w:p w14:paraId="730995B7" w14:textId="77777777" w:rsidR="00461601" w:rsidRPr="0008210D" w:rsidRDefault="00461601" w:rsidP="004A4C30">
      <w:pPr>
        <w:pStyle w:val="KP-normlntext"/>
        <w:numPr>
          <w:ilvl w:val="0"/>
          <w:numId w:val="6"/>
        </w:numPr>
        <w:spacing w:after="0"/>
        <w:ind w:left="284" w:hanging="284"/>
        <w:rPr>
          <w:rFonts w:eastAsia="Calibri"/>
          <w:color w:val="000000" w:themeColor="text1"/>
        </w:rPr>
      </w:pPr>
      <w:r w:rsidRPr="0008210D">
        <w:rPr>
          <w:b/>
          <w:color w:val="000000" w:themeColor="text1"/>
        </w:rPr>
        <w:t xml:space="preserve">MD tak nebude moci prostřednictvím </w:t>
      </w:r>
      <w:r w:rsidR="00724B51" w:rsidRPr="0008210D">
        <w:rPr>
          <w:b/>
          <w:color w:val="000000" w:themeColor="text1"/>
        </w:rPr>
        <w:t xml:space="preserve">stanovených </w:t>
      </w:r>
      <w:r w:rsidR="00E776FF" w:rsidRPr="0008210D">
        <w:rPr>
          <w:b/>
          <w:color w:val="000000" w:themeColor="text1"/>
        </w:rPr>
        <w:t>ukazatelů</w:t>
      </w:r>
      <w:r w:rsidR="003B7CA1" w:rsidRPr="0008210D">
        <w:rPr>
          <w:b/>
          <w:color w:val="000000" w:themeColor="text1"/>
        </w:rPr>
        <w:t xml:space="preserve"> </w:t>
      </w:r>
      <w:r w:rsidRPr="0008210D">
        <w:rPr>
          <w:rFonts w:eastAsia="Calibri"/>
          <w:b/>
          <w:color w:val="000000" w:themeColor="text1"/>
        </w:rPr>
        <w:t>vyhodnotit, zda vlivem podpory došlo k</w:t>
      </w:r>
      <w:r w:rsidR="00FE6EE1" w:rsidRPr="0008210D">
        <w:rPr>
          <w:rFonts w:eastAsia="Calibri"/>
          <w:b/>
          <w:color w:val="000000" w:themeColor="text1"/>
        </w:rPr>
        <w:t>e</w:t>
      </w:r>
      <w:r w:rsidRPr="0008210D">
        <w:rPr>
          <w:rFonts w:eastAsia="Calibri"/>
          <w:b/>
          <w:color w:val="000000" w:themeColor="text1"/>
        </w:rPr>
        <w:t> zvýšení využívání veřejné hromadné dopravy na úkor automobilové dopravy, zda se snížily emise škodlivých</w:t>
      </w:r>
      <w:r w:rsidR="009E095F" w:rsidRPr="0008210D">
        <w:rPr>
          <w:rFonts w:eastAsia="Calibri"/>
          <w:b/>
          <w:color w:val="000000" w:themeColor="text1"/>
        </w:rPr>
        <w:t xml:space="preserve"> látek a zda byly zkvalitněny a </w:t>
      </w:r>
      <w:r w:rsidR="00A75359" w:rsidRPr="0008210D">
        <w:rPr>
          <w:rFonts w:eastAsia="Calibri"/>
          <w:b/>
          <w:color w:val="000000" w:themeColor="text1"/>
        </w:rPr>
        <w:t>zrychleny spoje a </w:t>
      </w:r>
      <w:r w:rsidRPr="0008210D">
        <w:rPr>
          <w:rFonts w:eastAsia="Calibri"/>
          <w:b/>
          <w:color w:val="000000" w:themeColor="text1"/>
        </w:rPr>
        <w:t>uspokojeny přepravní potřeby ve městech</w:t>
      </w:r>
      <w:r w:rsidR="00BC6A62" w:rsidRPr="0008210D">
        <w:rPr>
          <w:rFonts w:eastAsia="Calibri"/>
          <w:b/>
          <w:color w:val="000000" w:themeColor="text1"/>
        </w:rPr>
        <w:t>.</w:t>
      </w:r>
      <w:r w:rsidR="00FE6EE1" w:rsidRPr="0008210D">
        <w:rPr>
          <w:rFonts w:eastAsia="Calibri"/>
          <w:color w:val="000000" w:themeColor="text1"/>
        </w:rPr>
        <w:t xml:space="preserve"> </w:t>
      </w:r>
      <w:r w:rsidRPr="0008210D">
        <w:rPr>
          <w:color w:val="000000" w:themeColor="text1"/>
        </w:rPr>
        <w:t xml:space="preserve">MD plánuje vyhodnotit plnění cílů a přínosy podpory </w:t>
      </w:r>
      <w:r w:rsidR="00C34A12" w:rsidRPr="0008210D">
        <w:rPr>
          <w:color w:val="000000" w:themeColor="text1"/>
        </w:rPr>
        <w:t xml:space="preserve">až </w:t>
      </w:r>
      <w:r w:rsidR="00A12932" w:rsidRPr="0008210D">
        <w:rPr>
          <w:color w:val="000000" w:themeColor="text1"/>
        </w:rPr>
        <w:t>na závěr programového období</w:t>
      </w:r>
      <w:r w:rsidR="00C34A12" w:rsidRPr="0008210D">
        <w:rPr>
          <w:color w:val="000000" w:themeColor="text1"/>
        </w:rPr>
        <w:t xml:space="preserve"> </w:t>
      </w:r>
      <w:r w:rsidRPr="0008210D">
        <w:rPr>
          <w:color w:val="000000" w:themeColor="text1"/>
        </w:rPr>
        <w:t xml:space="preserve">prostřednictvím hodnocení, jehož obsah </w:t>
      </w:r>
      <w:r w:rsidR="00FE6EE1" w:rsidRPr="0008210D">
        <w:rPr>
          <w:color w:val="000000" w:themeColor="text1"/>
        </w:rPr>
        <w:t xml:space="preserve">si </w:t>
      </w:r>
      <w:r w:rsidRPr="0008210D">
        <w:rPr>
          <w:color w:val="000000" w:themeColor="text1"/>
        </w:rPr>
        <w:t>teprve u</w:t>
      </w:r>
      <w:r w:rsidR="00FE6EE1" w:rsidRPr="0008210D">
        <w:rPr>
          <w:color w:val="000000" w:themeColor="text1"/>
        </w:rPr>
        <w:t>jasňuje</w:t>
      </w:r>
      <w:r w:rsidRPr="0008210D">
        <w:rPr>
          <w:color w:val="000000" w:themeColor="text1"/>
        </w:rPr>
        <w:t xml:space="preserve">. </w:t>
      </w:r>
      <w:r w:rsidR="00CB5770" w:rsidRPr="0008210D">
        <w:rPr>
          <w:rFonts w:eastAsia="Calibri"/>
          <w:color w:val="000000" w:themeColor="text1"/>
        </w:rPr>
        <w:t>Tímto přístupem MD neplní povinnost kontinuálně sledovat a</w:t>
      </w:r>
      <w:r w:rsidR="003E008A">
        <w:rPr>
          <w:rFonts w:eastAsia="Calibri"/>
          <w:color w:val="000000" w:themeColor="text1"/>
        </w:rPr>
        <w:t> </w:t>
      </w:r>
      <w:r w:rsidR="00CB5770" w:rsidRPr="0008210D">
        <w:rPr>
          <w:rFonts w:eastAsia="Calibri"/>
          <w:color w:val="000000" w:themeColor="text1"/>
        </w:rPr>
        <w:t>vyhodnocovat účelnost a efektivnost vynakládaných finančních prostředků, danou správci rozpočtové kapitoly rozpočtovými pravidly</w:t>
      </w:r>
      <w:r w:rsidR="00CB5770" w:rsidRPr="0008210D">
        <w:rPr>
          <w:color w:val="000000" w:themeColor="text1"/>
        </w:rPr>
        <w:t xml:space="preserve"> a zákonem o finanční kontrole.</w:t>
      </w:r>
    </w:p>
    <w:p w14:paraId="51C1946D" w14:textId="652E7352" w:rsidR="007651EB" w:rsidRPr="0008210D" w:rsidRDefault="000C6ACA" w:rsidP="004A4C30">
      <w:pPr>
        <w:pStyle w:val="KP-normlntext"/>
        <w:numPr>
          <w:ilvl w:val="0"/>
          <w:numId w:val="6"/>
        </w:numPr>
        <w:spacing w:after="0"/>
        <w:ind w:left="284" w:hanging="284"/>
        <w:rPr>
          <w:b/>
          <w:color w:val="000000" w:themeColor="text1"/>
        </w:rPr>
      </w:pPr>
      <w:r w:rsidRPr="0008210D">
        <w:rPr>
          <w:rFonts w:eastAsia="Calibri"/>
          <w:b/>
          <w:color w:val="000000" w:themeColor="text1"/>
        </w:rPr>
        <w:t>K 3</w:t>
      </w:r>
      <w:r w:rsidR="009675BC" w:rsidRPr="0008210D">
        <w:rPr>
          <w:rFonts w:eastAsia="Calibri"/>
          <w:b/>
          <w:color w:val="000000" w:themeColor="text1"/>
        </w:rPr>
        <w:t xml:space="preserve">1. říjnu 2020 bylo ukončeno zatím </w:t>
      </w:r>
      <w:r w:rsidR="00EC2E5C">
        <w:rPr>
          <w:rFonts w:eastAsia="Calibri"/>
          <w:b/>
          <w:color w:val="000000" w:themeColor="text1"/>
        </w:rPr>
        <w:t>devět</w:t>
      </w:r>
      <w:r w:rsidR="00A160C0" w:rsidRPr="0008210D">
        <w:rPr>
          <w:rFonts w:eastAsia="Calibri"/>
          <w:b/>
          <w:color w:val="000000" w:themeColor="text1"/>
        </w:rPr>
        <w:t xml:space="preserve"> </w:t>
      </w:r>
      <w:r w:rsidRPr="0008210D">
        <w:rPr>
          <w:rFonts w:eastAsia="Calibri"/>
          <w:b/>
          <w:color w:val="000000" w:themeColor="text1"/>
        </w:rPr>
        <w:t xml:space="preserve">ze 42 schválených projektů. Míra </w:t>
      </w:r>
      <w:r w:rsidR="00A160C0" w:rsidRPr="0008210D">
        <w:rPr>
          <w:rFonts w:eastAsia="Calibri"/>
          <w:b/>
          <w:color w:val="000000" w:themeColor="text1"/>
        </w:rPr>
        <w:t>čerpání</w:t>
      </w:r>
      <w:r w:rsidRPr="0008210D">
        <w:rPr>
          <w:rFonts w:eastAsia="Calibri"/>
          <w:b/>
          <w:color w:val="000000" w:themeColor="text1"/>
        </w:rPr>
        <w:t xml:space="preserve"> podpory je omezena níz</w:t>
      </w:r>
      <w:r w:rsidR="00A160C0" w:rsidRPr="0008210D">
        <w:rPr>
          <w:rFonts w:eastAsia="Calibri"/>
          <w:b/>
          <w:color w:val="000000" w:themeColor="text1"/>
        </w:rPr>
        <w:t>kou absorpční kapacitou</w:t>
      </w:r>
      <w:r w:rsidR="00BC6A62" w:rsidRPr="0008210D">
        <w:rPr>
          <w:rFonts w:eastAsia="Calibri"/>
          <w:b/>
          <w:color w:val="000000" w:themeColor="text1"/>
        </w:rPr>
        <w:t>.</w:t>
      </w:r>
      <w:r w:rsidR="00A160C0" w:rsidRPr="0008210D">
        <w:rPr>
          <w:rFonts w:eastAsia="Calibri"/>
          <w:b/>
          <w:color w:val="000000" w:themeColor="text1"/>
        </w:rPr>
        <w:t xml:space="preserve"> </w:t>
      </w:r>
      <w:r w:rsidR="00A160C0" w:rsidRPr="0008210D">
        <w:rPr>
          <w:b/>
          <w:color w:val="000000" w:themeColor="text1"/>
        </w:rPr>
        <w:t>Z</w:t>
      </w:r>
      <w:r w:rsidRPr="0008210D">
        <w:rPr>
          <w:b/>
          <w:color w:val="000000" w:themeColor="text1"/>
        </w:rPr>
        <w:t xml:space="preserve"> celkových 11 700 mil. Kč určených pro zvýšení využívání veřejné hromadné dopravy ve městech v elektrické trakci </w:t>
      </w:r>
      <w:r w:rsidR="00D6191E" w:rsidRPr="0008210D">
        <w:rPr>
          <w:b/>
          <w:color w:val="000000" w:themeColor="text1"/>
        </w:rPr>
        <w:t xml:space="preserve">nejméně </w:t>
      </w:r>
      <w:r w:rsidRPr="0008210D">
        <w:rPr>
          <w:b/>
          <w:color w:val="000000" w:themeColor="text1"/>
        </w:rPr>
        <w:t>34 %</w:t>
      </w:r>
      <w:r w:rsidR="00586B4A" w:rsidRPr="0008210D">
        <w:rPr>
          <w:b/>
          <w:color w:val="000000" w:themeColor="text1"/>
        </w:rPr>
        <w:t>,</w:t>
      </w:r>
      <w:r w:rsidR="00A75359" w:rsidRPr="0008210D">
        <w:rPr>
          <w:b/>
          <w:color w:val="000000" w:themeColor="text1"/>
        </w:rPr>
        <w:t xml:space="preserve"> tj. </w:t>
      </w:r>
      <w:r w:rsidRPr="0008210D">
        <w:rPr>
          <w:b/>
          <w:color w:val="000000" w:themeColor="text1"/>
        </w:rPr>
        <w:t>3 944,191 mil. Kč</w:t>
      </w:r>
      <w:r w:rsidR="00134106">
        <w:rPr>
          <w:b/>
          <w:color w:val="000000" w:themeColor="text1"/>
        </w:rPr>
        <w:t>,</w:t>
      </w:r>
      <w:r w:rsidRPr="0008210D">
        <w:rPr>
          <w:b/>
          <w:color w:val="000000" w:themeColor="text1"/>
        </w:rPr>
        <w:t xml:space="preserve"> </w:t>
      </w:r>
      <w:r w:rsidR="008E52EE" w:rsidRPr="0008210D">
        <w:rPr>
          <w:b/>
          <w:color w:val="000000" w:themeColor="text1"/>
        </w:rPr>
        <w:t xml:space="preserve">není </w:t>
      </w:r>
      <w:r w:rsidR="00D6191E" w:rsidRPr="0008210D">
        <w:rPr>
          <w:b/>
          <w:color w:val="000000" w:themeColor="text1"/>
        </w:rPr>
        <w:t>proinvestováno</w:t>
      </w:r>
      <w:r w:rsidRPr="0008210D">
        <w:rPr>
          <w:b/>
          <w:color w:val="000000" w:themeColor="text1"/>
        </w:rPr>
        <w:t>.</w:t>
      </w:r>
      <w:r w:rsidR="003B6F0F" w:rsidRPr="0008210D">
        <w:rPr>
          <w:color w:val="000000" w:themeColor="text1"/>
        </w:rPr>
        <w:t xml:space="preserve"> Důvodem </w:t>
      </w:r>
      <w:r w:rsidR="00F2033F" w:rsidRPr="0008210D">
        <w:rPr>
          <w:color w:val="000000" w:themeColor="text1"/>
        </w:rPr>
        <w:t>je počáteční</w:t>
      </w:r>
      <w:r w:rsidR="00417351" w:rsidRPr="0008210D">
        <w:rPr>
          <w:color w:val="000000" w:themeColor="text1"/>
        </w:rPr>
        <w:t xml:space="preserve"> </w:t>
      </w:r>
      <w:r w:rsidR="003B6F0F" w:rsidRPr="0008210D">
        <w:rPr>
          <w:color w:val="000000" w:themeColor="text1"/>
        </w:rPr>
        <w:t>nedostatek připravených kvalitních</w:t>
      </w:r>
      <w:r w:rsidR="00134106">
        <w:rPr>
          <w:color w:val="000000" w:themeColor="text1"/>
        </w:rPr>
        <w:t xml:space="preserve"> </w:t>
      </w:r>
      <w:r w:rsidR="003B6F0F" w:rsidRPr="0008210D">
        <w:rPr>
          <w:color w:val="000000" w:themeColor="text1"/>
        </w:rPr>
        <w:t xml:space="preserve">projektů a skutečnost, že pro první výzvu k předkládání projektů MD uvažovalo s alokací 5 000 mil. Kč na výstavbu metra trasy D pro </w:t>
      </w:r>
      <w:r w:rsidR="00421642" w:rsidRPr="0008210D">
        <w:rPr>
          <w:color w:val="000000" w:themeColor="text1"/>
        </w:rPr>
        <w:t xml:space="preserve">hlavní </w:t>
      </w:r>
      <w:r w:rsidR="003B6F0F" w:rsidRPr="0008210D">
        <w:rPr>
          <w:color w:val="000000" w:themeColor="text1"/>
        </w:rPr>
        <w:t>město Prah</w:t>
      </w:r>
      <w:r w:rsidR="00134106">
        <w:rPr>
          <w:color w:val="000000" w:themeColor="text1"/>
        </w:rPr>
        <w:t>u</w:t>
      </w:r>
      <w:r w:rsidR="003B6F0F" w:rsidRPr="0008210D">
        <w:rPr>
          <w:color w:val="000000" w:themeColor="text1"/>
        </w:rPr>
        <w:t xml:space="preserve">, </w:t>
      </w:r>
      <w:r w:rsidR="00494268" w:rsidRPr="0008210D">
        <w:rPr>
          <w:color w:val="000000" w:themeColor="text1"/>
        </w:rPr>
        <w:t>kde se příprava zpozdila</w:t>
      </w:r>
      <w:r w:rsidR="003B6F0F" w:rsidRPr="0008210D">
        <w:rPr>
          <w:color w:val="000000" w:themeColor="text1"/>
        </w:rPr>
        <w:t>, a ostatní aglomerace</w:t>
      </w:r>
      <w:r w:rsidR="00051E76" w:rsidRPr="0008210D">
        <w:rPr>
          <w:rStyle w:val="Znakapoznpodarou"/>
          <w:rFonts w:cstheme="minorHAnsi"/>
          <w:color w:val="000000" w:themeColor="text1"/>
        </w:rPr>
        <w:footnoteReference w:id="2"/>
      </w:r>
      <w:r w:rsidR="003B6F0F" w:rsidRPr="0008210D">
        <w:rPr>
          <w:color w:val="000000" w:themeColor="text1"/>
        </w:rPr>
        <w:t xml:space="preserve"> již v druhé výzvě nebyly s</w:t>
      </w:r>
      <w:r w:rsidR="00A160C0" w:rsidRPr="0008210D">
        <w:rPr>
          <w:color w:val="000000" w:themeColor="text1"/>
        </w:rPr>
        <w:t>chopny volné prostředky využít.</w:t>
      </w:r>
      <w:r w:rsidR="00ED2DF2" w:rsidRPr="0008210D">
        <w:rPr>
          <w:color w:val="000000" w:themeColor="text1"/>
        </w:rPr>
        <w:t xml:space="preserve"> </w:t>
      </w:r>
      <w:r w:rsidR="00A75359" w:rsidRPr="0008210D">
        <w:rPr>
          <w:b/>
          <w:color w:val="000000" w:themeColor="text1"/>
        </w:rPr>
        <w:t>V </w:t>
      </w:r>
      <w:r w:rsidR="0023089D" w:rsidRPr="0008210D">
        <w:rPr>
          <w:b/>
          <w:color w:val="000000" w:themeColor="text1"/>
        </w:rPr>
        <w:t>důsledku nedočerpání alokac</w:t>
      </w:r>
      <w:r w:rsidR="00E627D6" w:rsidRPr="0008210D">
        <w:rPr>
          <w:b/>
          <w:color w:val="000000" w:themeColor="text1"/>
        </w:rPr>
        <w:t>e na</w:t>
      </w:r>
      <w:r w:rsidR="00E627D6" w:rsidRPr="0008210D">
        <w:rPr>
          <w:color w:val="000000" w:themeColor="text1"/>
        </w:rPr>
        <w:t xml:space="preserve"> </w:t>
      </w:r>
      <w:r w:rsidR="00E627D6" w:rsidRPr="0008210D">
        <w:rPr>
          <w:b/>
          <w:color w:val="000000" w:themeColor="text1"/>
        </w:rPr>
        <w:t>specifický cíl 1.4</w:t>
      </w:r>
      <w:r w:rsidR="00E627D6" w:rsidRPr="0008210D">
        <w:rPr>
          <w:color w:val="000000" w:themeColor="text1"/>
        </w:rPr>
        <w:t xml:space="preserve"> </w:t>
      </w:r>
      <w:r w:rsidR="0023089D" w:rsidRPr="0008210D">
        <w:rPr>
          <w:b/>
          <w:color w:val="000000" w:themeColor="text1"/>
        </w:rPr>
        <w:t>vzniká riziko, že podpora nepřis</w:t>
      </w:r>
      <w:r w:rsidR="00A75359" w:rsidRPr="0008210D">
        <w:rPr>
          <w:b/>
          <w:color w:val="000000" w:themeColor="text1"/>
        </w:rPr>
        <w:t>pěje v </w:t>
      </w:r>
      <w:r w:rsidR="0023089D" w:rsidRPr="0008210D">
        <w:rPr>
          <w:b/>
          <w:color w:val="000000" w:themeColor="text1"/>
        </w:rPr>
        <w:t xml:space="preserve">maximální možné míře </w:t>
      </w:r>
      <w:r w:rsidR="007651EB" w:rsidRPr="0008210D">
        <w:rPr>
          <w:b/>
          <w:color w:val="000000" w:themeColor="text1"/>
        </w:rPr>
        <w:t>k naplnění cíl</w:t>
      </w:r>
      <w:r w:rsidR="00EC2E5C">
        <w:rPr>
          <w:b/>
          <w:color w:val="000000" w:themeColor="text1"/>
        </w:rPr>
        <w:t>e</w:t>
      </w:r>
      <w:r w:rsidR="007651EB" w:rsidRPr="0008210D">
        <w:rPr>
          <w:b/>
          <w:color w:val="000000" w:themeColor="text1"/>
        </w:rPr>
        <w:t xml:space="preserve"> </w:t>
      </w:r>
      <w:r w:rsidR="00134106">
        <w:rPr>
          <w:b/>
          <w:color w:val="000000" w:themeColor="text1"/>
        </w:rPr>
        <w:t>s</w:t>
      </w:r>
      <w:r w:rsidR="007651EB" w:rsidRPr="0008210D">
        <w:rPr>
          <w:b/>
          <w:color w:val="000000" w:themeColor="text1"/>
        </w:rPr>
        <w:t xml:space="preserve">trategie </w:t>
      </w:r>
      <w:r w:rsidR="007651EB" w:rsidRPr="004A4C30">
        <w:rPr>
          <w:b/>
          <w:i/>
          <w:color w:val="000000" w:themeColor="text1"/>
        </w:rPr>
        <w:t>Evropa 2020</w:t>
      </w:r>
      <w:r w:rsidR="007651EB" w:rsidRPr="0008210D">
        <w:rPr>
          <w:b/>
          <w:color w:val="000000" w:themeColor="text1"/>
        </w:rPr>
        <w:t xml:space="preserve"> zaměřeného na snížení energetické náročnosti včetně dopravního přetížení a emisí ve městech, z kter</w:t>
      </w:r>
      <w:r w:rsidR="00EE5C61" w:rsidRPr="0008210D">
        <w:rPr>
          <w:b/>
          <w:color w:val="000000" w:themeColor="text1"/>
        </w:rPr>
        <w:t xml:space="preserve">é operační program </w:t>
      </w:r>
      <w:r w:rsidR="00EE5C61" w:rsidRPr="00380D38">
        <w:rPr>
          <w:b/>
          <w:i/>
          <w:color w:val="000000" w:themeColor="text1"/>
        </w:rPr>
        <w:t>Doprava 2014</w:t>
      </w:r>
      <w:r w:rsidR="007651EB" w:rsidRPr="00380D38">
        <w:rPr>
          <w:b/>
          <w:i/>
          <w:color w:val="000000" w:themeColor="text1"/>
        </w:rPr>
        <w:t>–</w:t>
      </w:r>
      <w:r w:rsidR="0023089D" w:rsidRPr="00380D38">
        <w:rPr>
          <w:b/>
          <w:i/>
          <w:color w:val="000000" w:themeColor="text1"/>
        </w:rPr>
        <w:t>2020</w:t>
      </w:r>
      <w:r w:rsidR="0023089D" w:rsidRPr="0008210D">
        <w:rPr>
          <w:b/>
          <w:color w:val="000000" w:themeColor="text1"/>
        </w:rPr>
        <w:t xml:space="preserve"> vycházel.</w:t>
      </w:r>
    </w:p>
    <w:p w14:paraId="0A67F8AF" w14:textId="6C6ACCA8" w:rsidR="000C6ACA" w:rsidRPr="0008210D" w:rsidRDefault="000C6ACA" w:rsidP="004A4C30">
      <w:pPr>
        <w:pStyle w:val="KP-normlntext"/>
        <w:numPr>
          <w:ilvl w:val="0"/>
          <w:numId w:val="6"/>
        </w:numPr>
        <w:spacing w:after="0"/>
        <w:ind w:left="284" w:hanging="284"/>
        <w:rPr>
          <w:color w:val="000000" w:themeColor="text1"/>
        </w:rPr>
      </w:pPr>
      <w:r w:rsidRPr="0008210D">
        <w:rPr>
          <w:b/>
          <w:color w:val="000000" w:themeColor="text1"/>
          <w:lang w:eastAsia="cs-CZ"/>
        </w:rPr>
        <w:lastRenderedPageBreak/>
        <w:t xml:space="preserve">Při kontrole administrace projektů bylo zjištěno, že </w:t>
      </w:r>
      <w:r w:rsidR="00CA5ED5">
        <w:rPr>
          <w:b/>
          <w:color w:val="000000" w:themeColor="text1"/>
        </w:rPr>
        <w:t>r</w:t>
      </w:r>
      <w:r w:rsidRPr="0008210D">
        <w:rPr>
          <w:b/>
          <w:color w:val="000000" w:themeColor="text1"/>
        </w:rPr>
        <w:t>ámcové smlouvy</w:t>
      </w:r>
      <w:r w:rsidRPr="0008210D">
        <w:rPr>
          <w:b/>
          <w:color w:val="000000" w:themeColor="text1"/>
          <w:vertAlign w:val="superscript"/>
        </w:rPr>
        <w:footnoteReference w:id="3"/>
      </w:r>
      <w:r w:rsidRPr="0008210D">
        <w:rPr>
          <w:b/>
          <w:color w:val="000000" w:themeColor="text1"/>
        </w:rPr>
        <w:t xml:space="preserve"> </w:t>
      </w:r>
      <w:r w:rsidR="00834461" w:rsidRPr="0008210D">
        <w:rPr>
          <w:b/>
          <w:color w:val="000000" w:themeColor="text1"/>
        </w:rPr>
        <w:t xml:space="preserve">nejsou uzavírány </w:t>
      </w:r>
      <w:r w:rsidRPr="0008210D">
        <w:rPr>
          <w:b/>
          <w:color w:val="000000" w:themeColor="text1"/>
        </w:rPr>
        <w:t>s příjemci podpory bez zbytečného odkladu, nýbrž až s několikaměsíčním odstupem od schválení</w:t>
      </w:r>
      <w:r w:rsidRPr="0008210D">
        <w:rPr>
          <w:b/>
          <w:color w:val="000000" w:themeColor="text1"/>
          <w:vertAlign w:val="superscript"/>
        </w:rPr>
        <w:footnoteReference w:id="4"/>
      </w:r>
      <w:r w:rsidR="00274476" w:rsidRPr="0008210D">
        <w:rPr>
          <w:b/>
          <w:color w:val="000000" w:themeColor="text1"/>
        </w:rPr>
        <w:t xml:space="preserve"> podpory projektu</w:t>
      </w:r>
      <w:r w:rsidRPr="0008210D">
        <w:rPr>
          <w:b/>
          <w:color w:val="000000" w:themeColor="text1"/>
        </w:rPr>
        <w:t xml:space="preserve"> a v některých případech až po ukončení realizace projektu.</w:t>
      </w:r>
      <w:r w:rsidRPr="0008210D">
        <w:rPr>
          <w:color w:val="000000" w:themeColor="text1"/>
        </w:rPr>
        <w:t xml:space="preserve"> V důsledku toho úhrady výdajů před jejich proplacením museli zajistit příjemci sami. Přitom výzvy k předložení žádostí o podporu </w:t>
      </w:r>
      <w:r w:rsidR="009229A5" w:rsidRPr="0008210D">
        <w:rPr>
          <w:color w:val="000000" w:themeColor="text1"/>
        </w:rPr>
        <w:t>předpokládaly</w:t>
      </w:r>
      <w:r w:rsidR="00CA5ED5">
        <w:rPr>
          <w:color w:val="000000" w:themeColor="text1"/>
        </w:rPr>
        <w:t xml:space="preserve"> </w:t>
      </w:r>
      <w:r w:rsidR="00586B4A" w:rsidRPr="0008210D">
        <w:rPr>
          <w:color w:val="000000" w:themeColor="text1"/>
        </w:rPr>
        <w:t>financování</w:t>
      </w:r>
      <w:r w:rsidRPr="0008210D">
        <w:rPr>
          <w:color w:val="000000" w:themeColor="text1"/>
        </w:rPr>
        <w:t xml:space="preserve"> projektů </w:t>
      </w:r>
      <w:r w:rsidR="00EC2E5C">
        <w:rPr>
          <w:color w:val="000000" w:themeColor="text1"/>
        </w:rPr>
        <w:t xml:space="preserve">způsobem </w:t>
      </w:r>
      <w:r w:rsidR="003F5815" w:rsidRPr="0008210D">
        <w:rPr>
          <w:color w:val="000000" w:themeColor="text1"/>
        </w:rPr>
        <w:t>e</w:t>
      </w:r>
      <w:r w:rsidRPr="0008210D">
        <w:rPr>
          <w:color w:val="000000" w:themeColor="text1"/>
        </w:rPr>
        <w:t>x</w:t>
      </w:r>
      <w:r w:rsidR="003E008A">
        <w:rPr>
          <w:color w:val="000000" w:themeColor="text1"/>
        </w:rPr>
        <w:t> </w:t>
      </w:r>
      <w:r w:rsidRPr="0008210D">
        <w:rPr>
          <w:color w:val="000000" w:themeColor="text1"/>
        </w:rPr>
        <w:t xml:space="preserve">ante, tj. před jejich realizací. </w:t>
      </w:r>
    </w:p>
    <w:p w14:paraId="51BC184E" w14:textId="77777777" w:rsidR="006E2C2A" w:rsidRPr="0008210D" w:rsidRDefault="006E2C2A" w:rsidP="007C00F0">
      <w:pPr>
        <w:jc w:val="left"/>
        <w:rPr>
          <w:b/>
          <w:color w:val="000000" w:themeColor="text1"/>
        </w:rPr>
      </w:pPr>
    </w:p>
    <w:p w14:paraId="37FD5429" w14:textId="77777777" w:rsidR="006E2C2A" w:rsidRPr="0008210D" w:rsidRDefault="006E2C2A" w:rsidP="007C00F0">
      <w:pPr>
        <w:jc w:val="left"/>
        <w:rPr>
          <w:b/>
          <w:color w:val="000000" w:themeColor="text1"/>
        </w:rPr>
      </w:pPr>
    </w:p>
    <w:p w14:paraId="0C926AFC" w14:textId="77777777" w:rsidR="00EE6742" w:rsidRPr="0008210D" w:rsidRDefault="00EE6742" w:rsidP="0023030F">
      <w:pPr>
        <w:spacing w:after="120"/>
        <w:jc w:val="center"/>
        <w:rPr>
          <w:b/>
          <w:color w:val="000000" w:themeColor="text1"/>
          <w:sz w:val="28"/>
          <w:szCs w:val="28"/>
        </w:rPr>
      </w:pPr>
      <w:r w:rsidRPr="0008210D">
        <w:rPr>
          <w:b/>
          <w:color w:val="000000" w:themeColor="text1"/>
          <w:sz w:val="28"/>
          <w:szCs w:val="28"/>
        </w:rPr>
        <w:t>II. Informace o kontrolované oblasti</w:t>
      </w:r>
    </w:p>
    <w:p w14:paraId="681F00F7" w14:textId="427EC64E" w:rsidR="00FB7196" w:rsidRPr="0008210D" w:rsidRDefault="00FB7196" w:rsidP="0023030F">
      <w:pPr>
        <w:spacing w:after="120"/>
        <w:rPr>
          <w:rFonts w:asciiTheme="minorHAnsi" w:hAnsiTheme="minorHAnsi" w:cstheme="minorHAnsi"/>
          <w:color w:val="000000" w:themeColor="text1"/>
        </w:rPr>
      </w:pPr>
      <w:r w:rsidRPr="0008210D">
        <w:rPr>
          <w:rFonts w:asciiTheme="minorHAnsi" w:hAnsiTheme="minorHAnsi" w:cstheme="minorHAnsi"/>
          <w:b/>
          <w:color w:val="000000" w:themeColor="text1"/>
        </w:rPr>
        <w:t>Operační p</w:t>
      </w:r>
      <w:r w:rsidR="006D26F5" w:rsidRPr="0008210D">
        <w:rPr>
          <w:rFonts w:asciiTheme="minorHAnsi" w:hAnsiTheme="minorHAnsi" w:cstheme="minorHAnsi"/>
          <w:b/>
          <w:color w:val="000000" w:themeColor="text1"/>
        </w:rPr>
        <w:t xml:space="preserve">rogram </w:t>
      </w:r>
      <w:r w:rsidR="006D26F5" w:rsidRPr="0023051D">
        <w:rPr>
          <w:rFonts w:asciiTheme="minorHAnsi" w:hAnsiTheme="minorHAnsi" w:cstheme="minorHAnsi"/>
          <w:b/>
          <w:i/>
          <w:color w:val="000000" w:themeColor="text1"/>
        </w:rPr>
        <w:t>Doprava 2014</w:t>
      </w:r>
      <w:r w:rsidR="006D26F5" w:rsidRPr="00134106">
        <w:rPr>
          <w:rFonts w:asciiTheme="minorHAnsi" w:hAnsiTheme="minorHAnsi" w:cstheme="minorHAnsi"/>
          <w:b/>
          <w:i/>
          <w:color w:val="000000" w:themeColor="text1"/>
        </w:rPr>
        <w:t>–</w:t>
      </w:r>
      <w:r w:rsidRPr="0023051D">
        <w:rPr>
          <w:rFonts w:asciiTheme="minorHAnsi" w:hAnsiTheme="minorHAnsi" w:cstheme="minorHAnsi"/>
          <w:b/>
          <w:i/>
          <w:color w:val="000000" w:themeColor="text1"/>
        </w:rPr>
        <w:t>2020</w:t>
      </w:r>
      <w:r w:rsidRPr="0008210D">
        <w:rPr>
          <w:rFonts w:asciiTheme="minorHAnsi" w:hAnsiTheme="minorHAnsi" w:cstheme="minorHAnsi"/>
          <w:color w:val="000000" w:themeColor="text1"/>
        </w:rPr>
        <w:t xml:space="preserve"> byl schválen usnes</w:t>
      </w:r>
      <w:r w:rsidR="00927A6D" w:rsidRPr="0008210D">
        <w:rPr>
          <w:rFonts w:asciiTheme="minorHAnsi" w:hAnsiTheme="minorHAnsi" w:cstheme="minorHAnsi"/>
          <w:color w:val="000000" w:themeColor="text1"/>
        </w:rPr>
        <w:t>ením vlády ze dne 9. 7. 2014 č. </w:t>
      </w:r>
      <w:r w:rsidRPr="0008210D">
        <w:rPr>
          <w:rFonts w:asciiTheme="minorHAnsi" w:hAnsiTheme="minorHAnsi" w:cstheme="minorHAnsi"/>
          <w:color w:val="000000" w:themeColor="text1"/>
        </w:rPr>
        <w:t>558</w:t>
      </w:r>
      <w:r w:rsidRPr="0008210D">
        <w:rPr>
          <w:rStyle w:val="Znakapoznpodarou"/>
          <w:rFonts w:asciiTheme="minorHAnsi" w:hAnsiTheme="minorHAnsi" w:cstheme="minorHAnsi"/>
          <w:color w:val="000000" w:themeColor="text1"/>
        </w:rPr>
        <w:footnoteReference w:id="5"/>
      </w:r>
      <w:r w:rsidRPr="0008210D">
        <w:rPr>
          <w:rFonts w:asciiTheme="minorHAnsi" w:hAnsiTheme="minorHAnsi" w:cstheme="minorHAnsi"/>
          <w:color w:val="000000" w:themeColor="text1"/>
        </w:rPr>
        <w:t xml:space="preserve"> a Evropskou komisí dne 11. 5. 2015. Výkonem funkce </w:t>
      </w:r>
      <w:r w:rsidR="00134106">
        <w:rPr>
          <w:rFonts w:asciiTheme="minorHAnsi" w:hAnsiTheme="minorHAnsi" w:cstheme="minorHAnsi"/>
          <w:color w:val="000000" w:themeColor="text1"/>
        </w:rPr>
        <w:t>ř</w:t>
      </w:r>
      <w:r w:rsidRPr="0008210D">
        <w:rPr>
          <w:rFonts w:asciiTheme="minorHAnsi" w:hAnsiTheme="minorHAnsi" w:cstheme="minorHAnsi"/>
          <w:color w:val="000000" w:themeColor="text1"/>
        </w:rPr>
        <w:t>íd</w:t>
      </w:r>
      <w:r w:rsidR="00134106">
        <w:rPr>
          <w:rFonts w:asciiTheme="minorHAnsi" w:hAnsiTheme="minorHAnsi" w:cstheme="minorHAnsi"/>
          <w:color w:val="000000" w:themeColor="text1"/>
        </w:rPr>
        <w:t>i</w:t>
      </w:r>
      <w:r w:rsidRPr="0008210D">
        <w:rPr>
          <w:rFonts w:asciiTheme="minorHAnsi" w:hAnsiTheme="minorHAnsi" w:cstheme="minorHAnsi"/>
          <w:color w:val="000000" w:themeColor="text1"/>
        </w:rPr>
        <w:t xml:space="preserve">cího orgánu </w:t>
      </w:r>
      <w:r w:rsidR="001604BF" w:rsidRPr="0008210D">
        <w:rPr>
          <w:rFonts w:asciiTheme="minorHAnsi" w:hAnsiTheme="minorHAnsi" w:cstheme="minorHAnsi"/>
          <w:color w:val="000000" w:themeColor="text1"/>
        </w:rPr>
        <w:t xml:space="preserve">(dále také „ŘO“) </w:t>
      </w:r>
      <w:r w:rsidR="00134106">
        <w:rPr>
          <w:rFonts w:asciiTheme="minorHAnsi" w:hAnsiTheme="minorHAnsi" w:cstheme="minorHAnsi"/>
          <w:color w:val="000000" w:themeColor="text1"/>
        </w:rPr>
        <w:t>o</w:t>
      </w:r>
      <w:r w:rsidR="00AA2C86" w:rsidRPr="0008210D">
        <w:rPr>
          <w:rFonts w:asciiTheme="minorHAnsi" w:hAnsiTheme="minorHAnsi" w:cstheme="minorHAnsi"/>
          <w:color w:val="000000" w:themeColor="text1"/>
        </w:rPr>
        <w:t>pe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račního programu </w:t>
      </w:r>
      <w:r w:rsidR="00134106" w:rsidRPr="0023051D">
        <w:rPr>
          <w:rFonts w:asciiTheme="minorHAnsi" w:hAnsiTheme="minorHAnsi" w:cstheme="minorHAnsi"/>
          <w:i/>
          <w:color w:val="000000" w:themeColor="text1"/>
        </w:rPr>
        <w:t>D</w:t>
      </w:r>
      <w:r w:rsidR="00927A6D" w:rsidRPr="0023051D">
        <w:rPr>
          <w:rFonts w:asciiTheme="minorHAnsi" w:hAnsiTheme="minorHAnsi" w:cstheme="minorHAnsi"/>
          <w:i/>
          <w:color w:val="000000" w:themeColor="text1"/>
        </w:rPr>
        <w:t>oprava 2014–</w:t>
      </w:r>
      <w:r w:rsidR="00AA2C86" w:rsidRPr="0023051D">
        <w:rPr>
          <w:rFonts w:asciiTheme="minorHAnsi" w:hAnsiTheme="minorHAnsi" w:cstheme="minorHAnsi"/>
          <w:i/>
          <w:color w:val="000000" w:themeColor="text1"/>
        </w:rPr>
        <w:t>2020</w:t>
      </w:r>
      <w:r w:rsidR="00AA2C86" w:rsidRPr="0008210D">
        <w:rPr>
          <w:rFonts w:asciiTheme="minorHAnsi" w:hAnsiTheme="minorHAnsi" w:cstheme="minorHAnsi"/>
          <w:color w:val="000000" w:themeColor="text1"/>
        </w:rPr>
        <w:t xml:space="preserve"> (dále také </w:t>
      </w:r>
      <w:r w:rsidR="00F91FC3" w:rsidRPr="0008210D">
        <w:rPr>
          <w:rFonts w:asciiTheme="minorHAnsi" w:hAnsiTheme="minorHAnsi" w:cstheme="minorHAnsi"/>
          <w:color w:val="000000" w:themeColor="text1"/>
        </w:rPr>
        <w:t>„</w:t>
      </w:r>
      <w:r w:rsidR="00AA2C86" w:rsidRPr="0008210D">
        <w:rPr>
          <w:rFonts w:asciiTheme="minorHAnsi" w:hAnsiTheme="minorHAnsi" w:cstheme="minorHAnsi"/>
          <w:color w:val="000000" w:themeColor="text1"/>
        </w:rPr>
        <w:t>O</w:t>
      </w:r>
      <w:r w:rsidRPr="0008210D">
        <w:rPr>
          <w:rFonts w:asciiTheme="minorHAnsi" w:hAnsiTheme="minorHAnsi" w:cstheme="minorHAnsi"/>
          <w:color w:val="000000" w:themeColor="text1"/>
        </w:rPr>
        <w:t>PD II</w:t>
      </w:r>
      <w:r w:rsidR="00F91FC3" w:rsidRPr="0008210D">
        <w:rPr>
          <w:rFonts w:asciiTheme="minorHAnsi" w:hAnsiTheme="minorHAnsi" w:cstheme="minorHAnsi"/>
          <w:color w:val="000000" w:themeColor="text1"/>
        </w:rPr>
        <w:t>“</w:t>
      </w:r>
      <w:r w:rsidR="00A3296D">
        <w:rPr>
          <w:rFonts w:asciiTheme="minorHAnsi" w:hAnsiTheme="minorHAnsi" w:cstheme="minorHAnsi"/>
          <w:color w:val="000000" w:themeColor="text1"/>
        </w:rPr>
        <w:t xml:space="preserve"> nebo „OPD“</w:t>
      </w:r>
      <w:r w:rsidR="00AA2C86" w:rsidRPr="0008210D">
        <w:rPr>
          <w:rFonts w:asciiTheme="minorHAnsi" w:hAnsiTheme="minorHAnsi" w:cstheme="minorHAnsi"/>
          <w:color w:val="000000" w:themeColor="text1"/>
        </w:rPr>
        <w:t>)</w:t>
      </w:r>
      <w:r w:rsidRPr="0008210D">
        <w:rPr>
          <w:rFonts w:asciiTheme="minorHAnsi" w:hAnsiTheme="minorHAnsi" w:cstheme="minorHAnsi"/>
          <w:color w:val="000000" w:themeColor="text1"/>
        </w:rPr>
        <w:t xml:space="preserve"> byl</w:t>
      </w:r>
      <w:r w:rsidR="004E3B4B" w:rsidRPr="0008210D">
        <w:rPr>
          <w:rFonts w:asciiTheme="minorHAnsi" w:hAnsiTheme="minorHAnsi" w:cstheme="minorHAnsi"/>
          <w:color w:val="000000" w:themeColor="text1"/>
        </w:rPr>
        <w:t>o</w:t>
      </w:r>
      <w:r w:rsidRPr="0008210D">
        <w:rPr>
          <w:rFonts w:asciiTheme="minorHAnsi" w:hAnsiTheme="minorHAnsi" w:cstheme="minorHAnsi"/>
          <w:color w:val="000000" w:themeColor="text1"/>
        </w:rPr>
        <w:t xml:space="preserve"> na základě usnesení vlády ze dne 28. 11. 2012 č. 867</w:t>
      </w:r>
      <w:r w:rsidRPr="0008210D">
        <w:rPr>
          <w:rStyle w:val="Znakapoznpodarou"/>
          <w:rFonts w:asciiTheme="minorHAnsi" w:hAnsiTheme="minorHAnsi" w:cstheme="minorHAnsi"/>
          <w:color w:val="000000" w:themeColor="text1"/>
        </w:rPr>
        <w:footnoteReference w:id="6"/>
      </w:r>
      <w:r w:rsidRPr="0008210D">
        <w:rPr>
          <w:rFonts w:asciiTheme="minorHAnsi" w:hAnsiTheme="minorHAnsi" w:cstheme="minorHAnsi"/>
          <w:color w:val="000000" w:themeColor="text1"/>
        </w:rPr>
        <w:t xml:space="preserve"> pověřeno MD. Dne 19. 5. 2015 byla mezi MD a</w:t>
      </w:r>
      <w:r w:rsidR="009E278F">
        <w:rPr>
          <w:rFonts w:asciiTheme="minorHAnsi" w:hAnsiTheme="minorHAnsi" w:cstheme="minorHAnsi"/>
          <w:color w:val="000000" w:themeColor="text1"/>
        </w:rPr>
        <w:t> </w:t>
      </w:r>
      <w:r w:rsidR="003D37C6" w:rsidRPr="0008210D">
        <w:rPr>
          <w:rFonts w:asciiTheme="minorHAnsi" w:hAnsiTheme="minorHAnsi" w:cstheme="minorHAnsi"/>
          <w:color w:val="000000" w:themeColor="text1"/>
        </w:rPr>
        <w:t xml:space="preserve">Státním fondem dopravní </w:t>
      </w:r>
      <w:r w:rsidR="00AA2C86" w:rsidRPr="0008210D">
        <w:rPr>
          <w:rFonts w:asciiTheme="minorHAnsi" w:hAnsiTheme="minorHAnsi" w:cstheme="minorHAnsi"/>
          <w:color w:val="000000" w:themeColor="text1"/>
        </w:rPr>
        <w:t>i</w:t>
      </w:r>
      <w:r w:rsidR="003D37C6" w:rsidRPr="0008210D">
        <w:rPr>
          <w:rFonts w:asciiTheme="minorHAnsi" w:hAnsiTheme="minorHAnsi" w:cstheme="minorHAnsi"/>
          <w:color w:val="000000" w:themeColor="text1"/>
        </w:rPr>
        <w:t>nfrastruktury (dále také „</w:t>
      </w:r>
      <w:r w:rsidRPr="0008210D">
        <w:rPr>
          <w:rFonts w:asciiTheme="minorHAnsi" w:hAnsiTheme="minorHAnsi" w:cstheme="minorHAnsi"/>
          <w:color w:val="000000" w:themeColor="text1"/>
        </w:rPr>
        <w:t>SFDI</w:t>
      </w:r>
      <w:r w:rsidR="003D37C6" w:rsidRPr="0008210D">
        <w:rPr>
          <w:rFonts w:asciiTheme="minorHAnsi" w:hAnsiTheme="minorHAnsi" w:cstheme="minorHAnsi"/>
          <w:color w:val="000000" w:themeColor="text1"/>
        </w:rPr>
        <w:t>“)</w:t>
      </w:r>
      <w:r w:rsidRPr="0008210D">
        <w:rPr>
          <w:rFonts w:asciiTheme="minorHAnsi" w:hAnsiTheme="minorHAnsi" w:cstheme="minorHAnsi"/>
          <w:color w:val="000000" w:themeColor="text1"/>
        </w:rPr>
        <w:t xml:space="preserve"> uzavřena </w:t>
      </w:r>
      <w:r w:rsidR="00133CAA" w:rsidRPr="0008210D">
        <w:rPr>
          <w:rFonts w:asciiTheme="minorHAnsi" w:hAnsiTheme="minorHAnsi" w:cstheme="minorHAnsi"/>
          <w:color w:val="000000" w:themeColor="text1"/>
        </w:rPr>
        <w:t>„</w:t>
      </w:r>
      <w:r w:rsidR="000C79A1">
        <w:rPr>
          <w:rFonts w:asciiTheme="minorHAnsi" w:hAnsiTheme="minorHAnsi" w:cstheme="minorHAnsi"/>
          <w:i/>
          <w:color w:val="000000" w:themeColor="text1"/>
        </w:rPr>
        <w:t>d</w:t>
      </w:r>
      <w:r w:rsidRPr="0008210D">
        <w:rPr>
          <w:rFonts w:asciiTheme="minorHAnsi" w:hAnsiTheme="minorHAnsi" w:cstheme="minorHAnsi"/>
          <w:i/>
          <w:color w:val="000000" w:themeColor="text1"/>
        </w:rPr>
        <w:t xml:space="preserve">ohoda </w:t>
      </w:r>
      <w:r w:rsidR="00313916">
        <w:rPr>
          <w:rFonts w:asciiTheme="minorHAnsi" w:hAnsiTheme="minorHAnsi" w:cstheme="minorHAnsi"/>
          <w:i/>
          <w:color w:val="000000" w:themeColor="text1"/>
        </w:rPr>
        <w:br/>
      </w:r>
      <w:r w:rsidRPr="0008210D">
        <w:rPr>
          <w:rFonts w:asciiTheme="minorHAnsi" w:hAnsiTheme="minorHAnsi" w:cstheme="minorHAnsi"/>
          <w:i/>
          <w:color w:val="000000" w:themeColor="text1"/>
        </w:rPr>
        <w:t>č. S-180-430/2015 o</w:t>
      </w:r>
      <w:r w:rsidR="00134106">
        <w:rPr>
          <w:rFonts w:asciiTheme="minorHAnsi" w:hAnsiTheme="minorHAnsi" w:cstheme="minorHAnsi"/>
          <w:i/>
          <w:color w:val="000000" w:themeColor="text1"/>
        </w:rPr>
        <w:t> </w:t>
      </w:r>
      <w:r w:rsidRPr="0008210D">
        <w:rPr>
          <w:rFonts w:asciiTheme="minorHAnsi" w:hAnsiTheme="minorHAnsi" w:cstheme="minorHAnsi"/>
          <w:i/>
          <w:color w:val="000000" w:themeColor="text1"/>
        </w:rPr>
        <w:t>delegování některých pravomocí a činností Ř</w:t>
      </w:r>
      <w:r w:rsidR="001604BF" w:rsidRPr="0008210D">
        <w:rPr>
          <w:rFonts w:asciiTheme="minorHAnsi" w:hAnsiTheme="minorHAnsi" w:cstheme="minorHAnsi"/>
          <w:i/>
          <w:color w:val="000000" w:themeColor="text1"/>
        </w:rPr>
        <w:t>O</w:t>
      </w:r>
      <w:r w:rsidRPr="0008210D">
        <w:rPr>
          <w:rFonts w:asciiTheme="minorHAnsi" w:hAnsiTheme="minorHAnsi" w:cstheme="minorHAnsi"/>
          <w:i/>
          <w:color w:val="000000" w:themeColor="text1"/>
        </w:rPr>
        <w:t xml:space="preserve"> OPD na Zprostředkující subjekt OPD na programové období 2014</w:t>
      </w:r>
      <w:r w:rsidR="00927A6D" w:rsidRPr="0008210D">
        <w:rPr>
          <w:rFonts w:asciiTheme="minorHAnsi" w:hAnsiTheme="minorHAnsi" w:cstheme="minorHAnsi"/>
          <w:i/>
          <w:color w:val="000000" w:themeColor="text1"/>
        </w:rPr>
        <w:t>–</w:t>
      </w:r>
      <w:r w:rsidRPr="0008210D">
        <w:rPr>
          <w:rFonts w:asciiTheme="minorHAnsi" w:hAnsiTheme="minorHAnsi" w:cstheme="minorHAnsi"/>
          <w:i/>
          <w:color w:val="000000" w:themeColor="text1"/>
        </w:rPr>
        <w:t>2020</w:t>
      </w:r>
      <w:r w:rsidR="00133CAA" w:rsidRPr="0023051D">
        <w:rPr>
          <w:rFonts w:asciiTheme="minorHAnsi" w:hAnsiTheme="minorHAnsi" w:cstheme="minorHAnsi"/>
          <w:color w:val="000000" w:themeColor="text1"/>
        </w:rPr>
        <w:t>“</w:t>
      </w:r>
      <w:r w:rsidRPr="0008210D">
        <w:rPr>
          <w:rFonts w:asciiTheme="minorHAnsi" w:hAnsiTheme="minorHAnsi" w:cstheme="minorHAnsi"/>
          <w:i/>
          <w:color w:val="000000" w:themeColor="text1"/>
        </w:rPr>
        <w:t>.</w:t>
      </w:r>
      <w:r w:rsidRPr="0008210D">
        <w:rPr>
          <w:rFonts w:asciiTheme="minorHAnsi" w:hAnsiTheme="minorHAnsi" w:cstheme="minorHAnsi"/>
          <w:color w:val="000000" w:themeColor="text1"/>
        </w:rPr>
        <w:t xml:space="preserve"> MD delegovalo část svých pravomocí </w:t>
      </w:r>
      <w:r w:rsidR="0009655C" w:rsidRPr="0008210D">
        <w:rPr>
          <w:rFonts w:asciiTheme="minorHAnsi" w:hAnsiTheme="minorHAnsi" w:cstheme="minorHAnsi"/>
          <w:color w:val="000000" w:themeColor="text1"/>
        </w:rPr>
        <w:t>a</w:t>
      </w:r>
      <w:r w:rsidR="00313916">
        <w:rPr>
          <w:rFonts w:asciiTheme="minorHAnsi" w:hAnsiTheme="minorHAnsi" w:cstheme="minorHAnsi"/>
          <w:color w:val="000000" w:themeColor="text1"/>
        </w:rPr>
        <w:t> </w:t>
      </w:r>
      <w:r w:rsidR="0009655C" w:rsidRPr="0008210D">
        <w:rPr>
          <w:rFonts w:asciiTheme="minorHAnsi" w:hAnsiTheme="minorHAnsi" w:cstheme="minorHAnsi"/>
          <w:color w:val="000000" w:themeColor="text1"/>
        </w:rPr>
        <w:t xml:space="preserve">činností </w:t>
      </w:r>
      <w:r w:rsidR="00133CAA" w:rsidRPr="0008210D">
        <w:rPr>
          <w:rFonts w:asciiTheme="minorHAnsi" w:hAnsiTheme="minorHAnsi" w:cstheme="minorHAnsi"/>
          <w:color w:val="000000" w:themeColor="text1"/>
        </w:rPr>
        <w:t xml:space="preserve">na SFDI jako </w:t>
      </w:r>
      <w:r w:rsidR="00134106">
        <w:rPr>
          <w:rFonts w:asciiTheme="minorHAnsi" w:hAnsiTheme="minorHAnsi" w:cstheme="minorHAnsi"/>
          <w:color w:val="000000" w:themeColor="text1"/>
        </w:rPr>
        <w:t>z</w:t>
      </w:r>
      <w:r w:rsidR="00133CAA" w:rsidRPr="0008210D">
        <w:rPr>
          <w:rFonts w:asciiTheme="minorHAnsi" w:hAnsiTheme="minorHAnsi" w:cstheme="minorHAnsi"/>
          <w:color w:val="000000" w:themeColor="text1"/>
        </w:rPr>
        <w:t>prostředkující subjekt (dále také „ZS“)</w:t>
      </w:r>
      <w:r w:rsidR="0009655C" w:rsidRPr="0008210D">
        <w:rPr>
          <w:rFonts w:asciiTheme="minorHAnsi" w:hAnsiTheme="minorHAnsi" w:cstheme="minorHAnsi"/>
          <w:color w:val="000000" w:themeColor="text1"/>
        </w:rPr>
        <w:t>. Jednalo se zejména o</w:t>
      </w:r>
      <w:r w:rsidR="00610938" w:rsidRPr="0008210D">
        <w:rPr>
          <w:rFonts w:asciiTheme="minorHAnsi" w:hAnsiTheme="minorHAnsi" w:cstheme="minorHAnsi"/>
          <w:color w:val="000000" w:themeColor="text1"/>
        </w:rPr>
        <w:t xml:space="preserve"> uzavírání víceletých smluv</w:t>
      </w:r>
      <w:r w:rsidRPr="0008210D">
        <w:rPr>
          <w:rFonts w:asciiTheme="minorHAnsi" w:hAnsiTheme="minorHAnsi" w:cstheme="minorHAnsi"/>
          <w:color w:val="000000" w:themeColor="text1"/>
        </w:rPr>
        <w:t xml:space="preserve"> o</w:t>
      </w:r>
      <w:r w:rsidR="00134106">
        <w:rPr>
          <w:rFonts w:asciiTheme="minorHAnsi" w:hAnsiTheme="minorHAnsi" w:cstheme="minorHAnsi"/>
          <w:color w:val="000000" w:themeColor="text1"/>
        </w:rPr>
        <w:t> </w:t>
      </w:r>
      <w:r w:rsidRPr="0008210D">
        <w:rPr>
          <w:rFonts w:asciiTheme="minorHAnsi" w:hAnsiTheme="minorHAnsi" w:cstheme="minorHAnsi"/>
          <w:color w:val="000000" w:themeColor="text1"/>
        </w:rPr>
        <w:t>financování projektu s příjemci na celou dobu re</w:t>
      </w:r>
      <w:r w:rsidR="00610938" w:rsidRPr="0008210D">
        <w:rPr>
          <w:rFonts w:asciiTheme="minorHAnsi" w:hAnsiTheme="minorHAnsi" w:cstheme="minorHAnsi"/>
          <w:color w:val="000000" w:themeColor="text1"/>
        </w:rPr>
        <w:t>alizace projektu, předfinancování příjemcům příspěvků z OPD II a zajišťování</w:t>
      </w:r>
      <w:r w:rsidRPr="0008210D">
        <w:rPr>
          <w:rFonts w:asciiTheme="minorHAnsi" w:hAnsiTheme="minorHAnsi" w:cstheme="minorHAnsi"/>
          <w:color w:val="000000" w:themeColor="text1"/>
        </w:rPr>
        <w:t xml:space="preserve"> superviz</w:t>
      </w:r>
      <w:r w:rsidR="00134106">
        <w:rPr>
          <w:rFonts w:asciiTheme="minorHAnsi" w:hAnsiTheme="minorHAnsi" w:cstheme="minorHAnsi"/>
          <w:color w:val="000000" w:themeColor="text1"/>
        </w:rPr>
        <w:t>í</w:t>
      </w:r>
      <w:r w:rsidRPr="0008210D">
        <w:rPr>
          <w:rFonts w:asciiTheme="minorHAnsi" w:hAnsiTheme="minorHAnsi" w:cstheme="minorHAnsi"/>
          <w:color w:val="000000" w:themeColor="text1"/>
        </w:rPr>
        <w:t xml:space="preserve"> stavebních prací. </w:t>
      </w:r>
    </w:p>
    <w:p w14:paraId="0874DF26" w14:textId="4963FB0B" w:rsidR="00FB7196" w:rsidRPr="0008210D" w:rsidRDefault="00FB7196" w:rsidP="0023030F">
      <w:pPr>
        <w:spacing w:after="120"/>
        <w:rPr>
          <w:rFonts w:asciiTheme="minorHAnsi" w:hAnsiTheme="minorHAnsi" w:cstheme="minorHAnsi"/>
          <w:color w:val="000000" w:themeColor="text1"/>
        </w:rPr>
      </w:pPr>
      <w:r w:rsidRPr="0008210D">
        <w:rPr>
          <w:rFonts w:asciiTheme="minorHAnsi" w:hAnsiTheme="minorHAnsi" w:cstheme="minorHAnsi"/>
          <w:color w:val="000000" w:themeColor="text1"/>
        </w:rPr>
        <w:t>Podpora využívání veřejné hromadné dopravy ve městech v elektrické trakci je financována z </w:t>
      </w:r>
      <w:r w:rsidR="000C79A1">
        <w:rPr>
          <w:rFonts w:asciiTheme="minorHAnsi" w:hAnsiTheme="minorHAnsi" w:cstheme="minorHAnsi"/>
          <w:color w:val="000000" w:themeColor="text1"/>
        </w:rPr>
        <w:t>o</w:t>
      </w:r>
      <w:r w:rsidRPr="0008210D">
        <w:rPr>
          <w:rFonts w:asciiTheme="minorHAnsi" w:hAnsiTheme="minorHAnsi" w:cstheme="minorHAnsi"/>
          <w:color w:val="000000" w:themeColor="text1"/>
        </w:rPr>
        <w:t>pe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račního programu </w:t>
      </w:r>
      <w:r w:rsidR="00927A6D" w:rsidRPr="0023051D">
        <w:rPr>
          <w:rFonts w:asciiTheme="minorHAnsi" w:hAnsiTheme="minorHAnsi" w:cstheme="minorHAnsi"/>
          <w:i/>
          <w:color w:val="000000" w:themeColor="text1"/>
        </w:rPr>
        <w:t>Doprava 2014–2020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 </w:t>
      </w:r>
      <w:r w:rsidR="000C79A1">
        <w:rPr>
          <w:rFonts w:asciiTheme="minorHAnsi" w:hAnsiTheme="minorHAnsi" w:cstheme="minorHAnsi"/>
          <w:color w:val="000000" w:themeColor="text1"/>
        </w:rPr>
        <w:t xml:space="preserve">prostřednictvím </w:t>
      </w:r>
      <w:r w:rsidR="00927A6D" w:rsidRPr="0008210D">
        <w:rPr>
          <w:rFonts w:asciiTheme="minorHAnsi" w:hAnsiTheme="minorHAnsi" w:cstheme="minorHAnsi"/>
          <w:color w:val="000000" w:themeColor="text1"/>
        </w:rPr>
        <w:t>prioritní os</w:t>
      </w:r>
      <w:r w:rsidR="000C79A1">
        <w:rPr>
          <w:rFonts w:asciiTheme="minorHAnsi" w:hAnsiTheme="minorHAnsi" w:cstheme="minorHAnsi"/>
          <w:color w:val="000000" w:themeColor="text1"/>
        </w:rPr>
        <w:t>y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 1 –</w:t>
      </w:r>
      <w:r w:rsidRPr="0008210D">
        <w:rPr>
          <w:rFonts w:asciiTheme="minorHAnsi" w:hAnsiTheme="minorHAnsi" w:cstheme="minorHAnsi"/>
          <w:color w:val="000000" w:themeColor="text1"/>
        </w:rPr>
        <w:t xml:space="preserve"> </w:t>
      </w:r>
      <w:r w:rsidRPr="0023051D">
        <w:rPr>
          <w:rFonts w:asciiTheme="minorHAnsi" w:hAnsiTheme="minorHAnsi" w:cstheme="minorHAnsi"/>
          <w:i/>
          <w:color w:val="000000" w:themeColor="text1"/>
        </w:rPr>
        <w:t>Infrastruktura pro železniční a</w:t>
      </w:r>
      <w:r w:rsidR="0023030F" w:rsidRPr="0023051D">
        <w:rPr>
          <w:rFonts w:asciiTheme="minorHAnsi" w:hAnsiTheme="minorHAnsi" w:cstheme="minorHAnsi"/>
          <w:i/>
          <w:color w:val="000000" w:themeColor="text1"/>
        </w:rPr>
        <w:t> </w:t>
      </w:r>
      <w:r w:rsidRPr="0023051D">
        <w:rPr>
          <w:rFonts w:asciiTheme="minorHAnsi" w:hAnsiTheme="minorHAnsi" w:cstheme="minorHAnsi"/>
          <w:i/>
          <w:color w:val="000000" w:themeColor="text1"/>
        </w:rPr>
        <w:t>další udržitelnou dop</w:t>
      </w:r>
      <w:r w:rsidR="00927A6D" w:rsidRPr="0023051D">
        <w:rPr>
          <w:rFonts w:asciiTheme="minorHAnsi" w:hAnsiTheme="minorHAnsi" w:cstheme="minorHAnsi"/>
          <w:i/>
          <w:color w:val="000000" w:themeColor="text1"/>
        </w:rPr>
        <w:t>ravu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, </w:t>
      </w:r>
      <w:r w:rsidR="00A3296D">
        <w:rPr>
          <w:rFonts w:asciiTheme="minorHAnsi" w:hAnsiTheme="minorHAnsi" w:cstheme="minorHAnsi"/>
          <w:color w:val="000000" w:themeColor="text1"/>
        </w:rPr>
        <w:t xml:space="preserve">konkrétně její </w:t>
      </w:r>
      <w:r w:rsidR="00927A6D" w:rsidRPr="0008210D">
        <w:rPr>
          <w:rFonts w:asciiTheme="minorHAnsi" w:hAnsiTheme="minorHAnsi" w:cstheme="minorHAnsi"/>
          <w:color w:val="000000" w:themeColor="text1"/>
        </w:rPr>
        <w:t>investiční priorit</w:t>
      </w:r>
      <w:r w:rsidR="00A3296D">
        <w:rPr>
          <w:rFonts w:asciiTheme="minorHAnsi" w:hAnsiTheme="minorHAnsi" w:cstheme="minorHAnsi"/>
          <w:color w:val="000000" w:themeColor="text1"/>
        </w:rPr>
        <w:t>y</w:t>
      </w:r>
      <w:r w:rsidR="00927A6D" w:rsidRPr="0008210D">
        <w:rPr>
          <w:rFonts w:asciiTheme="minorHAnsi" w:hAnsiTheme="minorHAnsi" w:cstheme="minorHAnsi"/>
          <w:color w:val="000000" w:themeColor="text1"/>
        </w:rPr>
        <w:t xml:space="preserve"> 3 –</w:t>
      </w:r>
      <w:r w:rsidRPr="0008210D">
        <w:rPr>
          <w:rFonts w:asciiTheme="minorHAnsi" w:hAnsiTheme="minorHAnsi" w:cstheme="minorHAnsi"/>
          <w:color w:val="000000" w:themeColor="text1"/>
        </w:rPr>
        <w:t xml:space="preserve"> </w:t>
      </w:r>
      <w:r w:rsidRPr="0023051D">
        <w:rPr>
          <w:rFonts w:asciiTheme="minorHAnsi" w:hAnsiTheme="minorHAnsi" w:cstheme="minorHAnsi"/>
          <w:i/>
          <w:color w:val="000000" w:themeColor="text1"/>
        </w:rPr>
        <w:t>Rozvoj a</w:t>
      </w:r>
      <w:r w:rsidR="000C79A1" w:rsidRPr="0023051D">
        <w:rPr>
          <w:rFonts w:asciiTheme="minorHAnsi" w:hAnsiTheme="minorHAnsi" w:cstheme="minorHAnsi"/>
          <w:i/>
          <w:color w:val="000000" w:themeColor="text1"/>
        </w:rPr>
        <w:t> </w:t>
      </w:r>
      <w:r w:rsidRPr="0023051D">
        <w:rPr>
          <w:rFonts w:asciiTheme="minorHAnsi" w:hAnsiTheme="minorHAnsi" w:cstheme="minorHAnsi"/>
          <w:i/>
          <w:color w:val="000000" w:themeColor="text1"/>
        </w:rPr>
        <w:t>zlepšování dopravních systémů šetrných k životnímu prostředí, včetně systémů s nízkou hlučností, a nízkouhlíkových dopravních systémů, včetně vnitrozemské a námořní lodní dopravy, přístavů, multimodálních spojů a letištní infrastruktury s cílem podporovat udržitelnou regionální a místní mobilitu</w:t>
      </w:r>
      <w:r w:rsidRPr="000821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A15900" w14:textId="4BD7D0E1" w:rsidR="00FB7196" w:rsidRPr="0023030F" w:rsidRDefault="00FB7196" w:rsidP="0023030F">
      <w:pPr>
        <w:spacing w:after="120"/>
        <w:rPr>
          <w:rFonts w:asciiTheme="minorHAnsi" w:hAnsiTheme="minorHAnsi" w:cstheme="minorHAnsi"/>
        </w:rPr>
      </w:pPr>
      <w:r w:rsidRPr="0008210D">
        <w:rPr>
          <w:rFonts w:asciiTheme="minorHAnsi" w:hAnsiTheme="minorHAnsi" w:cstheme="minorHAnsi"/>
          <w:color w:val="000000" w:themeColor="text1"/>
        </w:rPr>
        <w:t>Jedná se o specifický cíl 1.4</w:t>
      </w:r>
      <w:r w:rsidR="00A3296D" w:rsidRPr="0008210D">
        <w:rPr>
          <w:rFonts w:asciiTheme="minorHAnsi" w:hAnsiTheme="minorHAnsi" w:cstheme="minorHAnsi"/>
          <w:color w:val="000000" w:themeColor="text1"/>
        </w:rPr>
        <w:t xml:space="preserve"> –</w:t>
      </w:r>
      <w:r w:rsidRPr="0008210D">
        <w:rPr>
          <w:rFonts w:asciiTheme="minorHAnsi" w:hAnsiTheme="minorHAnsi" w:cstheme="minorHAnsi"/>
          <w:color w:val="000000" w:themeColor="text1"/>
        </w:rPr>
        <w:t xml:space="preserve"> </w:t>
      </w:r>
      <w:r w:rsidRPr="0023051D">
        <w:rPr>
          <w:rFonts w:asciiTheme="minorHAnsi" w:hAnsiTheme="minorHAnsi" w:cstheme="minorHAnsi"/>
          <w:i/>
          <w:color w:val="000000" w:themeColor="text1"/>
        </w:rPr>
        <w:t>Vytvoření podmínek pro zvýšení využívání veřejné hromadné dopravy ve městech v elektrické trakci</w:t>
      </w:r>
      <w:r w:rsidRPr="0008210D">
        <w:rPr>
          <w:rFonts w:asciiTheme="minorHAnsi" w:hAnsiTheme="minorHAnsi" w:cstheme="minorHAnsi"/>
          <w:color w:val="000000" w:themeColor="text1"/>
        </w:rPr>
        <w:t>. Jak je uvedeno v programovém dokumentu OPD II, účelem navržených intervencí</w:t>
      </w:r>
      <w:r w:rsidRPr="0008210D">
        <w:rPr>
          <w:rStyle w:val="Znakapoznpodarou"/>
          <w:rFonts w:asciiTheme="minorHAnsi" w:hAnsiTheme="minorHAnsi" w:cstheme="minorHAnsi"/>
          <w:color w:val="000000" w:themeColor="text1"/>
        </w:rPr>
        <w:footnoteReference w:id="7"/>
      </w:r>
      <w:r w:rsidRPr="0008210D">
        <w:rPr>
          <w:rFonts w:asciiTheme="minorHAnsi" w:hAnsiTheme="minorHAnsi" w:cstheme="minorHAnsi"/>
          <w:color w:val="000000" w:themeColor="text1"/>
        </w:rPr>
        <w:t xml:space="preserve"> je zvyšování využívání veřejné dopravy na úkor individuální automobilové dopravy zaváděním a rozvojem systémů městské a příměstské hromadné dopravy na drážním principu (metro, tramvaje, tram</w:t>
      </w:r>
      <w:r w:rsidR="00273E3B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Pr="0008210D">
        <w:rPr>
          <w:rFonts w:asciiTheme="minorHAnsi" w:hAnsiTheme="minorHAnsi" w:cstheme="minorHAnsi"/>
          <w:color w:val="000000" w:themeColor="text1"/>
        </w:rPr>
        <w:t>train</w:t>
      </w:r>
      <w:proofErr w:type="spellEnd"/>
      <w:r w:rsidRPr="0008210D">
        <w:rPr>
          <w:rFonts w:asciiTheme="minorHAnsi" w:hAnsiTheme="minorHAnsi" w:cstheme="minorHAnsi"/>
          <w:color w:val="000000" w:themeColor="text1"/>
        </w:rPr>
        <w:t xml:space="preserve"> a trolejbusy). </w:t>
      </w:r>
      <w:r w:rsidRPr="0008210D">
        <w:rPr>
          <w:rFonts w:asciiTheme="minorHAnsi" w:hAnsiTheme="minorHAnsi" w:cstheme="minorHAnsi"/>
          <w:bCs/>
          <w:iCs/>
          <w:color w:val="000000" w:themeColor="text1"/>
        </w:rPr>
        <w:t xml:space="preserve">Cílem této podpory je dále snížení emisí zdraví škodlivých látek, snižování emisí skleníkových plynů a nabídnutí kvalitnější a atraktivnější služby ve městech. Zkvalitnění, zrychlení a větší nabídka spojů </w:t>
      </w:r>
      <w:r w:rsidR="00005B7E" w:rsidRPr="0008210D">
        <w:rPr>
          <w:rFonts w:asciiTheme="minorHAnsi" w:hAnsiTheme="minorHAnsi" w:cstheme="minorHAnsi"/>
          <w:bCs/>
          <w:iCs/>
          <w:color w:val="000000" w:themeColor="text1"/>
        </w:rPr>
        <w:t>mají vést</w:t>
      </w:r>
      <w:r w:rsidRPr="0008210D">
        <w:rPr>
          <w:rFonts w:asciiTheme="minorHAnsi" w:hAnsiTheme="minorHAnsi" w:cstheme="minorHAnsi"/>
          <w:bCs/>
          <w:iCs/>
          <w:color w:val="000000" w:themeColor="text1"/>
        </w:rPr>
        <w:t xml:space="preserve"> k rozvoji měst a uspokojení přepravních potřeb. Podpora je určen</w:t>
      </w:r>
      <w:r w:rsidR="00A3296D">
        <w:rPr>
          <w:rFonts w:asciiTheme="minorHAnsi" w:hAnsiTheme="minorHAnsi" w:cstheme="minorHAnsi"/>
          <w:bCs/>
          <w:iCs/>
          <w:color w:val="000000" w:themeColor="text1"/>
        </w:rPr>
        <w:t>a</w:t>
      </w:r>
      <w:r w:rsidRPr="0008210D">
        <w:rPr>
          <w:rFonts w:asciiTheme="minorHAnsi" w:hAnsiTheme="minorHAnsi" w:cstheme="minorHAnsi"/>
          <w:bCs/>
          <w:iCs/>
          <w:color w:val="000000" w:themeColor="text1"/>
        </w:rPr>
        <w:t xml:space="preserve"> pouze na výstavbu a</w:t>
      </w:r>
      <w:r w:rsidR="0023030F" w:rsidRPr="0008210D">
        <w:rPr>
          <w:rFonts w:asciiTheme="minorHAnsi" w:hAnsiTheme="minorHAnsi" w:cstheme="minorHAnsi"/>
          <w:bCs/>
          <w:iCs/>
          <w:color w:val="000000" w:themeColor="text1"/>
        </w:rPr>
        <w:t> </w:t>
      </w:r>
      <w:r w:rsidRPr="0008210D">
        <w:rPr>
          <w:rFonts w:asciiTheme="minorHAnsi" w:hAnsiTheme="minorHAnsi" w:cstheme="minorHAnsi"/>
          <w:bCs/>
          <w:iCs/>
          <w:color w:val="000000" w:themeColor="text1"/>
        </w:rPr>
        <w:t xml:space="preserve">modernizaci tramvajových a trolejbusových tratí. </w:t>
      </w:r>
      <w:r w:rsidRPr="0008210D">
        <w:rPr>
          <w:rFonts w:asciiTheme="minorHAnsi" w:hAnsiTheme="minorHAnsi" w:cstheme="minorHAnsi"/>
          <w:color w:val="000000" w:themeColor="text1"/>
        </w:rPr>
        <w:t xml:space="preserve">Podpora by měla dále přispět ke zvyšování konkurenceschopnosti veřejné dopravy vůči individuální automobilové dopravě. Veřejná </w:t>
      </w:r>
      <w:r w:rsidRPr="0023030F">
        <w:rPr>
          <w:rFonts w:asciiTheme="minorHAnsi" w:hAnsiTheme="minorHAnsi" w:cstheme="minorHAnsi"/>
        </w:rPr>
        <w:t xml:space="preserve">doprava má vliv na rozvoj měst, kde se podílí na zabezpečování každodenních přepravních potřeb velkého počtu obyvatel. </w:t>
      </w:r>
    </w:p>
    <w:p w14:paraId="76DFFE35" w14:textId="77777777" w:rsidR="00133CAA" w:rsidRPr="00774230" w:rsidRDefault="003D5DBE" w:rsidP="0023030F">
      <w:pPr>
        <w:spacing w:after="12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lastRenderedPageBreak/>
        <w:t>Zaměření</w:t>
      </w:r>
      <w:r w:rsidR="00133CAA" w:rsidRPr="00774230">
        <w:rPr>
          <w:rFonts w:asciiTheme="minorHAnsi" w:hAnsiTheme="minorHAnsi" w:cstheme="minorHAnsi"/>
          <w:b/>
          <w:bCs/>
          <w:iCs/>
        </w:rPr>
        <w:t xml:space="preserve"> podpory</w:t>
      </w:r>
    </w:p>
    <w:p w14:paraId="0A2833B7" w14:textId="3ED0E26C" w:rsidR="00FB7196" w:rsidRDefault="00133CAA" w:rsidP="0023030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Podpora je určen</w:t>
      </w:r>
      <w:r w:rsidR="00A3296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na </w:t>
      </w:r>
      <w:r w:rsidR="00FB7196" w:rsidRPr="00021721">
        <w:rPr>
          <w:rFonts w:asciiTheme="minorHAnsi" w:hAnsiTheme="minorHAnsi" w:cstheme="minorHAnsi"/>
        </w:rPr>
        <w:t>výstavb</w:t>
      </w:r>
      <w:r>
        <w:rPr>
          <w:rFonts w:asciiTheme="minorHAnsi" w:hAnsiTheme="minorHAnsi" w:cstheme="minorHAnsi"/>
        </w:rPr>
        <w:t>u a modernizaci</w:t>
      </w:r>
      <w:r w:rsidR="00FB7196" w:rsidRPr="00021721">
        <w:rPr>
          <w:rFonts w:asciiTheme="minorHAnsi" w:hAnsiTheme="minorHAnsi" w:cstheme="minorHAnsi"/>
        </w:rPr>
        <w:t xml:space="preserve"> i</w:t>
      </w:r>
      <w:r w:rsidR="00927A6D">
        <w:rPr>
          <w:rFonts w:asciiTheme="minorHAnsi" w:hAnsiTheme="minorHAnsi" w:cstheme="minorHAnsi"/>
        </w:rPr>
        <w:t>nfrastruktury systémů městské a </w:t>
      </w:r>
      <w:r w:rsidR="00FB7196" w:rsidRPr="00021721">
        <w:rPr>
          <w:rFonts w:asciiTheme="minorHAnsi" w:hAnsiTheme="minorHAnsi" w:cstheme="minorHAnsi"/>
        </w:rPr>
        <w:t>příměstské dopravy na drážním principu. V hlavním městě Praze je kromě tramvají i jediné metro v ČR. Sítí tramvajových tratí disponují v současné době i další města v rámci ČR</w:t>
      </w:r>
      <w:r w:rsidR="004454B6">
        <w:rPr>
          <w:rFonts w:asciiTheme="minorHAnsi" w:hAnsiTheme="minorHAnsi" w:cstheme="minorHAnsi"/>
        </w:rPr>
        <w:t xml:space="preserve"> </w:t>
      </w:r>
      <w:r w:rsidR="00FB7196" w:rsidRPr="00021721">
        <w:rPr>
          <w:rFonts w:asciiTheme="minorHAnsi" w:hAnsiTheme="minorHAnsi" w:cstheme="minorHAnsi"/>
        </w:rPr>
        <w:t xml:space="preserve">(Brno – s provozem i v rámci Modřic, Liberec – s meziměstskou linkou do Jablonce nad Nisou, Most – propojení s tramvajovými tratěmi v Litvínově, </w:t>
      </w:r>
      <w:r w:rsidR="00A3296D">
        <w:rPr>
          <w:rFonts w:asciiTheme="minorHAnsi" w:hAnsiTheme="minorHAnsi" w:cstheme="minorHAnsi"/>
        </w:rPr>
        <w:t xml:space="preserve">dále </w:t>
      </w:r>
      <w:r w:rsidR="00FB7196" w:rsidRPr="00021721">
        <w:rPr>
          <w:rFonts w:asciiTheme="minorHAnsi" w:hAnsiTheme="minorHAnsi" w:cstheme="minorHAnsi"/>
        </w:rPr>
        <w:t>Olomo</w:t>
      </w:r>
      <w:r w:rsidR="00660A33">
        <w:rPr>
          <w:rFonts w:asciiTheme="minorHAnsi" w:hAnsiTheme="minorHAnsi" w:cstheme="minorHAnsi"/>
        </w:rPr>
        <w:t>uc, Ostrava, Plzeň). Dalších 13 </w:t>
      </w:r>
      <w:r w:rsidR="00FB7196" w:rsidRPr="00021721">
        <w:rPr>
          <w:rFonts w:asciiTheme="minorHAnsi" w:hAnsiTheme="minorHAnsi" w:cstheme="minorHAnsi"/>
        </w:rPr>
        <w:t xml:space="preserve">měst provozuje síť trolejbusových tratí. Příjemcem podpory mají být vlastníci/správci dotčené infrastruktury. </w:t>
      </w:r>
    </w:p>
    <w:p w14:paraId="43549BB8" w14:textId="77777777" w:rsidR="007326D8" w:rsidRPr="002D6459" w:rsidRDefault="007D0E5A" w:rsidP="0023030F">
      <w:pPr>
        <w:spacing w:after="120"/>
        <w:rPr>
          <w:rFonts w:asciiTheme="minorHAnsi" w:hAnsiTheme="minorHAnsi" w:cstheme="minorHAnsi"/>
        </w:rPr>
      </w:pPr>
      <w:r w:rsidRPr="00CB31CC">
        <w:rPr>
          <w:rFonts w:asciiTheme="minorHAnsi" w:hAnsiTheme="minorHAnsi" w:cstheme="minorHAnsi"/>
        </w:rPr>
        <w:t>Výše alokace na první ko</w:t>
      </w:r>
      <w:r>
        <w:rPr>
          <w:rFonts w:asciiTheme="minorHAnsi" w:hAnsiTheme="minorHAnsi" w:cstheme="minorHAnsi"/>
        </w:rPr>
        <w:t xml:space="preserve">lo výzev byla 10 400 </w:t>
      </w:r>
      <w:r w:rsidR="003B353B">
        <w:rPr>
          <w:rFonts w:asciiTheme="minorHAnsi" w:hAnsiTheme="minorHAnsi" w:cstheme="minorHAnsi"/>
        </w:rPr>
        <w:t>mil.</w:t>
      </w:r>
      <w:r>
        <w:rPr>
          <w:rFonts w:asciiTheme="minorHAnsi" w:hAnsiTheme="minorHAnsi" w:cstheme="minorHAnsi"/>
        </w:rPr>
        <w:t xml:space="preserve"> Kč, a</w:t>
      </w:r>
      <w:r w:rsidRPr="00CB31CC">
        <w:rPr>
          <w:rFonts w:asciiTheme="minorHAnsi" w:hAnsiTheme="minorHAnsi" w:cstheme="minorHAnsi"/>
        </w:rPr>
        <w:t>lokace na druhé kolo byla navýšena o</w:t>
      </w:r>
      <w:r w:rsidR="004454B6">
        <w:rPr>
          <w:rFonts w:asciiTheme="minorHAnsi" w:hAnsiTheme="minorHAnsi" w:cstheme="minorHAnsi"/>
        </w:rPr>
        <w:t> </w:t>
      </w:r>
      <w:r w:rsidRPr="00CB31CC">
        <w:rPr>
          <w:rFonts w:asciiTheme="minorHAnsi" w:hAnsiTheme="minorHAnsi" w:cstheme="minorHAnsi"/>
        </w:rPr>
        <w:t xml:space="preserve">částku ve výši 1 300 </w:t>
      </w:r>
      <w:r w:rsidR="003B353B">
        <w:rPr>
          <w:rFonts w:asciiTheme="minorHAnsi" w:hAnsiTheme="minorHAnsi" w:cstheme="minorHAnsi"/>
        </w:rPr>
        <w:t>mil.</w:t>
      </w:r>
      <w:r w:rsidRPr="00CB31CC">
        <w:rPr>
          <w:rFonts w:asciiTheme="minorHAnsi" w:hAnsiTheme="minorHAnsi" w:cstheme="minorHAnsi"/>
        </w:rPr>
        <w:t xml:space="preserve"> Kč ze zrušeného specifického </w:t>
      </w:r>
      <w:r w:rsidRPr="002D6459">
        <w:rPr>
          <w:rFonts w:asciiTheme="minorHAnsi" w:hAnsiTheme="minorHAnsi" w:cstheme="minorHAnsi"/>
        </w:rPr>
        <w:t>cíle 1.2</w:t>
      </w:r>
      <w:r w:rsidR="000A5FAE" w:rsidRPr="002D6459">
        <w:rPr>
          <w:rStyle w:val="Znakapoznpodarou"/>
          <w:rFonts w:asciiTheme="minorHAnsi" w:hAnsiTheme="minorHAnsi" w:cstheme="minorHAnsi"/>
        </w:rPr>
        <w:footnoteReference w:id="8"/>
      </w:r>
      <w:r w:rsidRPr="002D6459">
        <w:rPr>
          <w:rFonts w:asciiTheme="minorHAnsi" w:hAnsiTheme="minorHAnsi" w:cstheme="minorHAnsi"/>
        </w:rPr>
        <w:t>.</w:t>
      </w:r>
      <w:r w:rsidR="00EB1326" w:rsidRPr="002D6459">
        <w:rPr>
          <w:rFonts w:asciiTheme="minorHAnsi" w:hAnsiTheme="minorHAnsi" w:cstheme="minorHAnsi"/>
        </w:rPr>
        <w:t xml:space="preserve"> </w:t>
      </w:r>
    </w:p>
    <w:p w14:paraId="1FE6AA14" w14:textId="6AD8E10E" w:rsidR="007D0E5A" w:rsidRDefault="00EB1326" w:rsidP="0023030F">
      <w:pPr>
        <w:spacing w:after="120"/>
        <w:rPr>
          <w:rFonts w:asciiTheme="minorHAnsi" w:hAnsiTheme="minorHAnsi" w:cstheme="minorHAnsi"/>
        </w:rPr>
      </w:pPr>
      <w:r w:rsidRPr="002D6459">
        <w:rPr>
          <w:rFonts w:asciiTheme="minorHAnsi" w:hAnsiTheme="minorHAnsi" w:cstheme="minorHAnsi"/>
        </w:rPr>
        <w:t>K 31. 10 2020 bylo schváleno</w:t>
      </w:r>
      <w:r w:rsidR="008976B8" w:rsidRPr="002D6459">
        <w:rPr>
          <w:rStyle w:val="Znakapoznpodarou"/>
          <w:rFonts w:asciiTheme="minorHAnsi" w:hAnsiTheme="minorHAnsi" w:cstheme="minorHAnsi"/>
        </w:rPr>
        <w:footnoteReference w:id="9"/>
      </w:r>
      <w:r w:rsidRPr="002D6459">
        <w:rPr>
          <w:rFonts w:asciiTheme="minorHAnsi" w:hAnsiTheme="minorHAnsi" w:cstheme="minorHAnsi"/>
        </w:rPr>
        <w:t xml:space="preserve"> v rámci SC 1.4 celkem 42 projektů </w:t>
      </w:r>
      <w:r w:rsidR="007326D8" w:rsidRPr="002D6459">
        <w:rPr>
          <w:rFonts w:asciiTheme="minorHAnsi" w:hAnsiTheme="minorHAnsi" w:cstheme="minorHAnsi"/>
        </w:rPr>
        <w:t>(</w:t>
      </w:r>
      <w:r w:rsidR="00FD6836">
        <w:rPr>
          <w:rFonts w:asciiTheme="minorHAnsi" w:hAnsiTheme="minorHAnsi" w:cstheme="minorHAnsi"/>
        </w:rPr>
        <w:t xml:space="preserve">viz </w:t>
      </w:r>
      <w:r w:rsidR="007326D8" w:rsidRPr="002D6459">
        <w:rPr>
          <w:rFonts w:asciiTheme="minorHAnsi" w:hAnsiTheme="minorHAnsi" w:cstheme="minorHAnsi"/>
        </w:rPr>
        <w:t xml:space="preserve">příloha č. 1 </w:t>
      </w:r>
      <w:r w:rsidR="00FD6836">
        <w:rPr>
          <w:rFonts w:asciiTheme="minorHAnsi" w:hAnsiTheme="minorHAnsi" w:cstheme="minorHAnsi"/>
        </w:rPr>
        <w:t xml:space="preserve">tohoto </w:t>
      </w:r>
      <w:r w:rsidR="007326D8" w:rsidRPr="002D6459">
        <w:rPr>
          <w:rFonts w:asciiTheme="minorHAnsi" w:hAnsiTheme="minorHAnsi" w:cstheme="minorHAnsi"/>
        </w:rPr>
        <w:t xml:space="preserve">kontrolního závěru) </w:t>
      </w:r>
      <w:r w:rsidRPr="002D6459">
        <w:rPr>
          <w:rFonts w:asciiTheme="minorHAnsi" w:hAnsiTheme="minorHAnsi" w:cstheme="minorHAnsi"/>
        </w:rPr>
        <w:t xml:space="preserve">a bylo ukončeno celkem </w:t>
      </w:r>
      <w:r w:rsidR="00E74991">
        <w:rPr>
          <w:rFonts w:asciiTheme="minorHAnsi" w:hAnsiTheme="minorHAnsi" w:cstheme="minorHAnsi"/>
        </w:rPr>
        <w:t>devět</w:t>
      </w:r>
      <w:r w:rsidRPr="002D6459">
        <w:rPr>
          <w:rFonts w:asciiTheme="minorHAnsi" w:hAnsiTheme="minorHAnsi" w:cstheme="minorHAnsi"/>
        </w:rPr>
        <w:t xml:space="preserve"> projektů</w:t>
      </w:r>
      <w:r w:rsidR="005B1C9F">
        <w:rPr>
          <w:rFonts w:asciiTheme="minorHAnsi" w:hAnsiTheme="minorHAnsi" w:cstheme="minorHAnsi"/>
        </w:rPr>
        <w:t xml:space="preserve"> (</w:t>
      </w:r>
      <w:proofErr w:type="gramStart"/>
      <w:r w:rsidR="005B1C9F">
        <w:rPr>
          <w:rFonts w:asciiTheme="minorHAnsi" w:hAnsiTheme="minorHAnsi" w:cstheme="minorHAnsi"/>
        </w:rPr>
        <w:t>t</w:t>
      </w:r>
      <w:r w:rsidR="007326D8" w:rsidRPr="002D6459">
        <w:rPr>
          <w:rFonts w:asciiTheme="minorHAnsi" w:hAnsiTheme="minorHAnsi" w:cstheme="minorHAnsi"/>
        </w:rPr>
        <w:t>zn. byla</w:t>
      </w:r>
      <w:proofErr w:type="gramEnd"/>
      <w:r w:rsidR="007326D8" w:rsidRPr="002D6459">
        <w:rPr>
          <w:rFonts w:asciiTheme="minorHAnsi" w:hAnsiTheme="minorHAnsi" w:cstheme="minorHAnsi"/>
        </w:rPr>
        <w:t xml:space="preserve"> předložena </w:t>
      </w:r>
      <w:r w:rsidR="00FD6836">
        <w:rPr>
          <w:rFonts w:asciiTheme="minorHAnsi" w:hAnsiTheme="minorHAnsi" w:cstheme="minorHAnsi"/>
          <w:i/>
        </w:rPr>
        <w:t>z</w:t>
      </w:r>
      <w:r w:rsidR="007326D8" w:rsidRPr="002D6459">
        <w:rPr>
          <w:rFonts w:asciiTheme="minorHAnsi" w:hAnsiTheme="minorHAnsi" w:cstheme="minorHAnsi"/>
          <w:i/>
        </w:rPr>
        <w:t>ávěrečná zpráva za celé období realizace projektu</w:t>
      </w:r>
      <w:r w:rsidR="007326D8" w:rsidRPr="002D6459">
        <w:rPr>
          <w:rFonts w:asciiTheme="minorHAnsi" w:hAnsiTheme="minorHAnsi" w:cstheme="minorHAnsi"/>
        </w:rPr>
        <w:t xml:space="preserve"> – </w:t>
      </w:r>
      <w:r w:rsidR="00FD6836">
        <w:rPr>
          <w:rFonts w:asciiTheme="minorHAnsi" w:hAnsiTheme="minorHAnsi" w:cstheme="minorHAnsi"/>
        </w:rPr>
        <w:t xml:space="preserve">viz </w:t>
      </w:r>
      <w:r w:rsidR="007326D8" w:rsidRPr="002D6459">
        <w:rPr>
          <w:rFonts w:asciiTheme="minorHAnsi" w:hAnsiTheme="minorHAnsi" w:cstheme="minorHAnsi"/>
        </w:rPr>
        <w:t>příloha č. 2 kontrolního závěru).</w:t>
      </w:r>
    </w:p>
    <w:p w14:paraId="6F1778A3" w14:textId="0C2BC39A" w:rsidR="00FB7196" w:rsidRDefault="00FB7196" w:rsidP="0023030F">
      <w:pPr>
        <w:spacing w:after="120"/>
        <w:rPr>
          <w:rFonts w:asciiTheme="minorHAnsi" w:hAnsiTheme="minorHAnsi" w:cstheme="minorHAnsi"/>
          <w:bCs/>
          <w:iCs/>
        </w:rPr>
      </w:pPr>
      <w:r w:rsidRPr="00B54B17">
        <w:rPr>
          <w:rFonts w:asciiTheme="minorHAnsi" w:hAnsiTheme="minorHAnsi" w:cstheme="minorHAnsi"/>
          <w:bCs/>
          <w:iCs/>
        </w:rPr>
        <w:t>Podpora je poskytov</w:t>
      </w:r>
      <w:r w:rsidR="00A3296D">
        <w:rPr>
          <w:rFonts w:asciiTheme="minorHAnsi" w:hAnsiTheme="minorHAnsi" w:cstheme="minorHAnsi"/>
          <w:bCs/>
          <w:iCs/>
        </w:rPr>
        <w:t>á</w:t>
      </w:r>
      <w:r w:rsidRPr="00B54B17">
        <w:rPr>
          <w:rFonts w:asciiTheme="minorHAnsi" w:hAnsiTheme="minorHAnsi" w:cstheme="minorHAnsi"/>
          <w:bCs/>
          <w:iCs/>
        </w:rPr>
        <w:t>n</w:t>
      </w:r>
      <w:r w:rsidR="00A3296D">
        <w:rPr>
          <w:rFonts w:asciiTheme="minorHAnsi" w:hAnsiTheme="minorHAnsi" w:cstheme="minorHAnsi"/>
          <w:bCs/>
          <w:iCs/>
        </w:rPr>
        <w:t>a</w:t>
      </w:r>
      <w:r w:rsidRPr="00B54B17">
        <w:rPr>
          <w:rFonts w:asciiTheme="minorHAnsi" w:hAnsiTheme="minorHAnsi" w:cstheme="minorHAnsi"/>
          <w:bCs/>
          <w:iCs/>
        </w:rPr>
        <w:t xml:space="preserve"> v pořadí, ve kterém byla žádost schválena</w:t>
      </w:r>
      <w:r w:rsidR="00431F5F">
        <w:rPr>
          <w:rStyle w:val="Znakapoznpodarou"/>
          <w:rFonts w:asciiTheme="minorHAnsi" w:hAnsiTheme="minorHAnsi" w:cstheme="minorHAnsi"/>
          <w:bCs/>
          <w:iCs/>
        </w:rPr>
        <w:footnoteReference w:id="10"/>
      </w:r>
      <w:r w:rsidRPr="00B54B17">
        <w:rPr>
          <w:rFonts w:asciiTheme="minorHAnsi" w:hAnsiTheme="minorHAnsi" w:cstheme="minorHAnsi"/>
          <w:bCs/>
          <w:iCs/>
        </w:rPr>
        <w:t>, a to až do vyčerpání celé alokace na výzvu. Hodnocení je dvoukolové. V prvním kole je předložena předběžná žádost o</w:t>
      </w:r>
      <w:r w:rsidR="004454B6">
        <w:rPr>
          <w:rFonts w:asciiTheme="minorHAnsi" w:hAnsiTheme="minorHAnsi" w:cstheme="minorHAnsi"/>
          <w:bCs/>
          <w:iCs/>
        </w:rPr>
        <w:t> </w:t>
      </w:r>
      <w:r w:rsidRPr="00B54B17">
        <w:rPr>
          <w:rFonts w:asciiTheme="minorHAnsi" w:hAnsiTheme="minorHAnsi" w:cstheme="minorHAnsi"/>
          <w:bCs/>
          <w:iCs/>
        </w:rPr>
        <w:t xml:space="preserve">podporu vč. příloh a ve druhém kole se provádí hodnocení kompletní projektové žádosti. </w:t>
      </w:r>
    </w:p>
    <w:p w14:paraId="727BE7F8" w14:textId="77777777" w:rsidR="00FB7196" w:rsidRDefault="00FB7196" w:rsidP="0023030F">
      <w:pPr>
        <w:pStyle w:val="Odstavecseseznamem"/>
        <w:spacing w:after="120"/>
        <w:ind w:left="0"/>
        <w:contextualSpacing w:val="0"/>
        <w:rPr>
          <w:rFonts w:cstheme="minorHAnsi"/>
          <w:b/>
        </w:rPr>
      </w:pPr>
      <w:r w:rsidRPr="00CF5790">
        <w:rPr>
          <w:rFonts w:cstheme="minorHAnsi"/>
          <w:b/>
        </w:rPr>
        <w:t>Způsob financování projektů v rámci SC 1.4</w:t>
      </w:r>
      <w:r>
        <w:rPr>
          <w:rFonts w:cstheme="minorHAnsi"/>
          <w:b/>
        </w:rPr>
        <w:t xml:space="preserve"> </w:t>
      </w:r>
    </w:p>
    <w:p w14:paraId="167EFE85" w14:textId="30A0EFB8" w:rsidR="00FB7196" w:rsidRDefault="00FB7196" w:rsidP="0023030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schválené žádosti o podporu vystaví </w:t>
      </w:r>
      <w:r w:rsidR="001604BF">
        <w:rPr>
          <w:rFonts w:asciiTheme="minorHAnsi" w:hAnsiTheme="minorHAnsi" w:cstheme="minorHAnsi"/>
        </w:rPr>
        <w:t>ŘO</w:t>
      </w:r>
      <w:r>
        <w:rPr>
          <w:rFonts w:asciiTheme="minorHAnsi" w:hAnsiTheme="minorHAnsi" w:cstheme="minorHAnsi"/>
        </w:rPr>
        <w:t xml:space="preserve"> </w:t>
      </w:r>
      <w:r w:rsidR="00FD68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chvalovací protokol na daný </w:t>
      </w:r>
      <w:r w:rsidRPr="00683FF4">
        <w:rPr>
          <w:rFonts w:asciiTheme="minorHAnsi" w:hAnsiTheme="minorHAnsi" w:cstheme="minorHAnsi"/>
        </w:rPr>
        <w:t>pr</w:t>
      </w:r>
      <w:r w:rsidR="00BD33EC" w:rsidRPr="00683FF4">
        <w:rPr>
          <w:rFonts w:asciiTheme="minorHAnsi" w:hAnsiTheme="minorHAnsi" w:cstheme="minorHAnsi"/>
        </w:rPr>
        <w:t>ojekt. Ve schvalovacím protokolu</w:t>
      </w:r>
      <w:r w:rsidRPr="00683FF4">
        <w:rPr>
          <w:rFonts w:asciiTheme="minorHAnsi" w:hAnsiTheme="minorHAnsi" w:cstheme="minorHAnsi"/>
        </w:rPr>
        <w:t xml:space="preserve"> jsou uvedeny celkové způsobilé výdaje v Kč, míra podpory</w:t>
      </w:r>
      <w:r>
        <w:rPr>
          <w:rFonts w:asciiTheme="minorHAnsi" w:hAnsiTheme="minorHAnsi" w:cstheme="minorHAnsi"/>
        </w:rPr>
        <w:t xml:space="preserve"> ze způsobilých výdajů max. ve výši 85 %, příspěvek Evropské unie (dále také „EU“) v Kč, ko</w:t>
      </w:r>
      <w:r w:rsidR="00560821">
        <w:rPr>
          <w:rFonts w:asciiTheme="minorHAnsi" w:hAnsiTheme="minorHAnsi" w:cstheme="minorHAnsi"/>
        </w:rPr>
        <w:t xml:space="preserve">nečné datum způsobilosti výdajů, stručný popis projektu a jeho cíle, </w:t>
      </w:r>
      <w:r w:rsidR="00560821" w:rsidRPr="00560821">
        <w:rPr>
          <w:rFonts w:asciiTheme="minorHAnsi" w:hAnsiTheme="minorHAnsi" w:cstheme="minorHAnsi"/>
        </w:rPr>
        <w:t>plánovaný rozpočet projektu, plánovaný harmonogram prací a plánované h</w:t>
      </w:r>
      <w:r w:rsidR="00560821">
        <w:rPr>
          <w:rFonts w:asciiTheme="minorHAnsi" w:hAnsiTheme="minorHAnsi" w:cstheme="minorHAnsi"/>
        </w:rPr>
        <w:t>odnoty monitorovacích ukazatelů (indikátory).</w:t>
      </w:r>
    </w:p>
    <w:p w14:paraId="20F6FDAC" w14:textId="5789EE67" w:rsidR="00FB7196" w:rsidRDefault="00FB7196" w:rsidP="0023030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výše uvedeného </w:t>
      </w:r>
      <w:r w:rsidR="00FD68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chvalovacího protokolu uzavře příjemce podpory se ZS </w:t>
      </w:r>
      <w:r w:rsidRPr="003C7417">
        <w:rPr>
          <w:rFonts w:asciiTheme="minorHAnsi" w:hAnsiTheme="minorHAnsi" w:cstheme="minorHAnsi"/>
          <w:i/>
        </w:rPr>
        <w:t>„</w:t>
      </w:r>
      <w:r w:rsidR="00FD6836">
        <w:rPr>
          <w:rFonts w:asciiTheme="minorHAnsi" w:hAnsiTheme="minorHAnsi" w:cstheme="minorHAnsi"/>
          <w:i/>
        </w:rPr>
        <w:t>r</w:t>
      </w:r>
      <w:r w:rsidRPr="003C7417">
        <w:rPr>
          <w:rFonts w:asciiTheme="minorHAnsi" w:hAnsiTheme="minorHAnsi" w:cstheme="minorHAnsi"/>
          <w:i/>
        </w:rPr>
        <w:t xml:space="preserve">ámcovou smlouvu na financování projektu v rámci </w:t>
      </w:r>
      <w:r w:rsidR="00A3296D">
        <w:rPr>
          <w:rFonts w:asciiTheme="minorHAnsi" w:hAnsiTheme="minorHAnsi" w:cstheme="minorHAnsi"/>
          <w:i/>
        </w:rPr>
        <w:t>o</w:t>
      </w:r>
      <w:r w:rsidRPr="003C7417">
        <w:rPr>
          <w:rFonts w:asciiTheme="minorHAnsi" w:hAnsiTheme="minorHAnsi" w:cstheme="minorHAnsi"/>
          <w:i/>
        </w:rPr>
        <w:t>peračního programu Doprava z rozpočtu Státního fondu dopravní infrastruktury“</w:t>
      </w:r>
      <w:r>
        <w:rPr>
          <w:rFonts w:asciiTheme="minorHAnsi" w:hAnsiTheme="minorHAnsi" w:cstheme="minorHAnsi"/>
        </w:rPr>
        <w:t xml:space="preserve"> (dále také „</w:t>
      </w:r>
      <w:r w:rsidR="00FD683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ámcová smlouva“).</w:t>
      </w:r>
      <w:r w:rsidR="001D46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základě této </w:t>
      </w:r>
      <w:r w:rsidR="00FD6836">
        <w:rPr>
          <w:rFonts w:asciiTheme="minorHAnsi" w:hAnsiTheme="minorHAnsi" w:cstheme="minorHAnsi"/>
        </w:rPr>
        <w:t>r</w:t>
      </w:r>
      <w:r w:rsidR="001604BF">
        <w:rPr>
          <w:rFonts w:asciiTheme="minorHAnsi" w:hAnsiTheme="minorHAnsi" w:cstheme="minorHAnsi"/>
        </w:rPr>
        <w:t xml:space="preserve">ámcové </w:t>
      </w:r>
      <w:r>
        <w:rPr>
          <w:rFonts w:asciiTheme="minorHAnsi" w:hAnsiTheme="minorHAnsi" w:cstheme="minorHAnsi"/>
        </w:rPr>
        <w:t>smlouvy poskytne ZS příjemci k financování projektu po celou dobu jeho realizace (tj.</w:t>
      </w:r>
      <w:r w:rsidR="003139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od data zahájení realizace projektu uvedeného ve </w:t>
      </w:r>
      <w:r w:rsidR="00FD683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chvalovacím protokolu do data proplacení poslední žádosti o platbu u projektu) ze svého rozpočtu finanční prostředky určené na předfinancování výdajů projektu, které mají být kryty schváleným příspěvkem z fondů E</w:t>
      </w:r>
      <w:r w:rsidR="001D461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 což přestavuje podíl na financování (míra podpory) v max. výši 85,00 % ve vztahu ke způsobilým výdajům projektu. Úhradu národního podílu na financování projektu ve výši min.</w:t>
      </w:r>
      <w:r w:rsidR="003139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15,00 % ve vztahu ke způsobilým výdajům projektu i úhradu nezpůsobilých výdajů je příjemce povinen zajistit z vlastních zdrojů. Pokud dále výdaje projektu, které mají být kryty schváleným příspěvkem z fondů E</w:t>
      </w:r>
      <w:r w:rsidR="001D461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 nebudou proplaceny z prostředků E</w:t>
      </w:r>
      <w:r w:rsidR="001D4612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v plné výši, je příjemce povinen zajistit dofinancování projektu z vlastních (jiných) zdrojů.</w:t>
      </w:r>
      <w:r w:rsidR="001D4612">
        <w:rPr>
          <w:rFonts w:asciiTheme="minorHAnsi" w:hAnsiTheme="minorHAnsi" w:cstheme="minorHAnsi"/>
        </w:rPr>
        <w:t xml:space="preserve"> </w:t>
      </w:r>
    </w:p>
    <w:p w14:paraId="3E6E82A8" w14:textId="3ECD395A" w:rsidR="00FB7196" w:rsidRDefault="00FB7196" w:rsidP="0023030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Finanční prostředky určené na financování projektu v souladu s </w:t>
      </w:r>
      <w:r w:rsidR="00FD683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ámcovou smlouvou převádí ZS ze svého účtu výhradně na účet příjemce specifikovaný v </w:t>
      </w:r>
      <w:r w:rsidR="00FD683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ámcové smlouvě na základě žádosti o platbu předloženou příjemcem</w:t>
      </w:r>
      <w:r w:rsidR="00C97AE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Poslední žádost o platbu je příjemce povinen </w:t>
      </w:r>
      <w:r w:rsidRPr="000D5230">
        <w:rPr>
          <w:rFonts w:asciiTheme="minorHAnsi" w:hAnsiTheme="minorHAnsi" w:cstheme="minorHAnsi"/>
        </w:rPr>
        <w:t xml:space="preserve">předložit </w:t>
      </w:r>
      <w:r w:rsidR="001D4612" w:rsidRPr="000D5230">
        <w:rPr>
          <w:rFonts w:asciiTheme="minorHAnsi" w:hAnsiTheme="minorHAnsi" w:cstheme="minorHAnsi"/>
        </w:rPr>
        <w:t>ZS</w:t>
      </w:r>
      <w:r w:rsidRPr="000D5230">
        <w:rPr>
          <w:rFonts w:asciiTheme="minorHAnsi" w:hAnsiTheme="minorHAnsi" w:cstheme="minorHAnsi"/>
        </w:rPr>
        <w:t xml:space="preserve"> prostřednictvím </w:t>
      </w:r>
      <w:r w:rsidR="005732CD" w:rsidRPr="000D5230">
        <w:rPr>
          <w:rFonts w:asciiTheme="minorHAnsi" w:hAnsiTheme="minorHAnsi" w:cstheme="minorHAnsi"/>
          <w:bCs/>
        </w:rPr>
        <w:t>ISKP14+</w:t>
      </w:r>
      <w:r w:rsidR="000D5230">
        <w:rPr>
          <w:rFonts w:asciiTheme="minorHAnsi" w:hAnsiTheme="minorHAnsi" w:cstheme="minorHAnsi"/>
          <w:bCs/>
        </w:rPr>
        <w:t xml:space="preserve"> </w:t>
      </w:r>
      <w:r w:rsidRPr="000D5230">
        <w:rPr>
          <w:rFonts w:asciiTheme="minorHAnsi" w:hAnsiTheme="minorHAnsi" w:cstheme="minorHAnsi"/>
        </w:rPr>
        <w:t>nejpozději 30 kalendářních dnů před konečným datem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 xml:space="preserve">způsobilosti výdajů společně se </w:t>
      </w:r>
      <w:r w:rsidR="00FD6836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ávěrečnou zprávou o realizaci projektu, pokud v případě potřeby nebude s příjemcem dohodnuto jinak. </w:t>
      </w:r>
    </w:p>
    <w:p w14:paraId="30973256" w14:textId="621DFD4C" w:rsidR="00FB7196" w:rsidRDefault="00FB7196" w:rsidP="0023030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Příjemce je dále povinen vést o čerpání a užití finančních prostředků poskytnutých na základě </w:t>
      </w:r>
      <w:r w:rsidR="00FD683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ámcové smlouvy průkaznou samostatnou analytickou účetní evidenci</w:t>
      </w:r>
      <w:r w:rsidR="005A7E6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372D5C6" w14:textId="338B3104" w:rsidR="0087276B" w:rsidRPr="00431F5F" w:rsidRDefault="0087276B" w:rsidP="0023030F">
      <w:pPr>
        <w:spacing w:after="120"/>
        <w:jc w:val="left"/>
        <w:rPr>
          <w:b/>
        </w:rPr>
      </w:pPr>
      <w:r w:rsidRPr="00431F5F">
        <w:rPr>
          <w:b/>
        </w:rPr>
        <w:t>Vymezení kontrolovaných osob</w:t>
      </w:r>
    </w:p>
    <w:p w14:paraId="577FE02D" w14:textId="7DE42936" w:rsidR="00013A31" w:rsidRDefault="00013A31" w:rsidP="0023030F">
      <w:pPr>
        <w:spacing w:after="120"/>
        <w:rPr>
          <w:rFonts w:asciiTheme="minorHAnsi" w:hAnsiTheme="minorHAnsi" w:cstheme="minorHAnsi"/>
        </w:rPr>
      </w:pPr>
      <w:r w:rsidRPr="00A30DC1">
        <w:rPr>
          <w:rFonts w:asciiTheme="minorHAnsi" w:hAnsiTheme="minorHAnsi" w:cstheme="minorHAnsi"/>
          <w:b/>
        </w:rPr>
        <w:t>Ministerstvo dopravy</w:t>
      </w:r>
      <w:r>
        <w:rPr>
          <w:rFonts w:asciiTheme="minorHAnsi" w:hAnsiTheme="minorHAnsi" w:cstheme="minorHAnsi"/>
        </w:rPr>
        <w:t xml:space="preserve"> </w:t>
      </w:r>
      <w:r w:rsidRPr="00B47EDF">
        <w:rPr>
          <w:rFonts w:asciiTheme="minorHAnsi" w:hAnsiTheme="minorHAnsi" w:cstheme="minorHAnsi"/>
        </w:rPr>
        <w:t>odpovídá za tvorbu dopravní politiky v oblasti dopravy, zpracovává její koncepce a strategie. Schvaluje záměry projektů týkajících se výstavby, rekonstrukce a</w:t>
      </w:r>
      <w:r w:rsidR="0023030F">
        <w:rPr>
          <w:rFonts w:asciiTheme="minorHAnsi" w:hAnsiTheme="minorHAnsi" w:cstheme="minorHAnsi"/>
        </w:rPr>
        <w:t> </w:t>
      </w:r>
      <w:r w:rsidRPr="00B47EDF">
        <w:rPr>
          <w:rFonts w:asciiTheme="minorHAnsi" w:hAnsiTheme="minorHAnsi" w:cstheme="minorHAnsi"/>
        </w:rPr>
        <w:t>modernizace a doporučuje jejich zařazení do rozpočtu Státního fondu dopravní infrastruktury</w:t>
      </w:r>
      <w:r w:rsidR="00FD539E">
        <w:rPr>
          <w:rFonts w:asciiTheme="minorHAnsi" w:hAnsiTheme="minorHAnsi" w:cstheme="minorHAnsi"/>
        </w:rPr>
        <w:t>.</w:t>
      </w:r>
      <w:r w:rsidRPr="00B47EDF">
        <w:rPr>
          <w:rFonts w:asciiTheme="minorHAnsi" w:hAnsiTheme="minorHAnsi" w:cstheme="minorHAnsi"/>
        </w:rPr>
        <w:t xml:space="preserve"> MD je říd</w:t>
      </w:r>
      <w:r w:rsidR="00FD6836">
        <w:rPr>
          <w:rFonts w:asciiTheme="minorHAnsi" w:hAnsiTheme="minorHAnsi" w:cstheme="minorHAnsi"/>
        </w:rPr>
        <w:t>i</w:t>
      </w:r>
      <w:r w:rsidRPr="00B47EDF">
        <w:rPr>
          <w:rFonts w:asciiTheme="minorHAnsi" w:hAnsiTheme="minorHAnsi" w:cstheme="minorHAnsi"/>
        </w:rPr>
        <w:t>cím orgánem</w:t>
      </w:r>
      <w:r>
        <w:rPr>
          <w:rFonts w:asciiTheme="minorHAnsi" w:hAnsiTheme="minorHAnsi" w:cstheme="minorHAnsi"/>
        </w:rPr>
        <w:t xml:space="preserve"> </w:t>
      </w:r>
      <w:r w:rsidR="00C97AEA">
        <w:rPr>
          <w:rFonts w:asciiTheme="minorHAnsi" w:hAnsiTheme="minorHAnsi" w:cstheme="minorHAnsi"/>
        </w:rPr>
        <w:t>OPD II.</w:t>
      </w:r>
    </w:p>
    <w:p w14:paraId="5FC7F09E" w14:textId="350DF6C0" w:rsidR="000254D3" w:rsidRPr="00ED73B8" w:rsidRDefault="00ED73B8" w:rsidP="0023030F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Statutární město Plzeň </w:t>
      </w:r>
      <w:r w:rsidR="000D4EA0" w:rsidRPr="000D4EA0">
        <w:rPr>
          <w:rFonts w:asciiTheme="minorHAnsi" w:hAnsiTheme="minorHAnsi" w:cstheme="minorHAnsi"/>
          <w:bCs/>
        </w:rPr>
        <w:t>je zakladatelem a jediným akcionářem</w:t>
      </w:r>
      <w:r w:rsidR="000D4EA0">
        <w:rPr>
          <w:rFonts w:asciiTheme="minorHAnsi" w:hAnsiTheme="minorHAnsi" w:cstheme="minorHAnsi"/>
          <w:bCs/>
        </w:rPr>
        <w:t xml:space="preserve"> dopravního podniku </w:t>
      </w:r>
      <w:r w:rsidR="00AA2B9F">
        <w:rPr>
          <w:rFonts w:asciiTheme="minorHAnsi" w:hAnsiTheme="minorHAnsi" w:cstheme="minorHAnsi"/>
          <w:bCs/>
        </w:rPr>
        <w:t>zajišťující</w:t>
      </w:r>
      <w:r w:rsidR="000D4EA0" w:rsidRPr="000D4EA0">
        <w:rPr>
          <w:rFonts w:asciiTheme="minorHAnsi" w:hAnsiTheme="minorHAnsi" w:cstheme="minorHAnsi"/>
          <w:bCs/>
        </w:rPr>
        <w:t xml:space="preserve"> městskou hro</w:t>
      </w:r>
      <w:r w:rsidR="000D4EA0">
        <w:rPr>
          <w:rFonts w:asciiTheme="minorHAnsi" w:hAnsiTheme="minorHAnsi" w:cstheme="minorHAnsi"/>
          <w:bCs/>
        </w:rPr>
        <w:t>madnou dopravu v tomto městě.</w:t>
      </w:r>
    </w:p>
    <w:p w14:paraId="1466C82D" w14:textId="77777777" w:rsidR="000254D3" w:rsidRPr="008D0235" w:rsidRDefault="000254D3" w:rsidP="0023030F">
      <w:pPr>
        <w:spacing w:after="120"/>
        <w:rPr>
          <w:rFonts w:asciiTheme="minorHAnsi" w:hAnsiTheme="minorHAnsi" w:cstheme="minorHAnsi"/>
          <w:strike/>
          <w:sz w:val="22"/>
          <w:szCs w:val="22"/>
        </w:rPr>
      </w:pPr>
      <w:r w:rsidRPr="000254D3">
        <w:rPr>
          <w:rFonts w:asciiTheme="minorHAnsi" w:hAnsiTheme="minorHAnsi" w:cstheme="minorHAnsi"/>
          <w:b/>
          <w:bCs/>
        </w:rPr>
        <w:t>Plzeňské městské dopravní podniky, a.s</w:t>
      </w:r>
      <w:r w:rsidRPr="003E46EC">
        <w:rPr>
          <w:rFonts w:asciiTheme="minorHAnsi" w:hAnsiTheme="minorHAnsi" w:cstheme="minorHAnsi"/>
          <w:b/>
        </w:rPr>
        <w:t>.,</w:t>
      </w:r>
      <w:r w:rsidRPr="000254D3">
        <w:rPr>
          <w:rFonts w:asciiTheme="minorHAnsi" w:hAnsiTheme="minorHAnsi" w:cstheme="minorHAnsi"/>
        </w:rPr>
        <w:t xml:space="preserve"> jsou provozovatelem městské veřejné dopravy na území Plzně a v jejím blízkém okolí. </w:t>
      </w:r>
    </w:p>
    <w:p w14:paraId="461A139B" w14:textId="73C00095" w:rsidR="000254D3" w:rsidRPr="00ED73B8" w:rsidRDefault="000254D3" w:rsidP="0023030F">
      <w:pPr>
        <w:spacing w:after="120"/>
        <w:rPr>
          <w:rFonts w:asciiTheme="minorHAnsi" w:hAnsiTheme="minorHAnsi" w:cstheme="minorHAnsi"/>
        </w:rPr>
      </w:pPr>
      <w:r w:rsidRPr="000254D3">
        <w:rPr>
          <w:rFonts w:asciiTheme="minorHAnsi" w:hAnsiTheme="minorHAnsi" w:cstheme="minorHAnsi"/>
          <w:b/>
          <w:bCs/>
        </w:rPr>
        <w:t>Dopravní podnik města Brna, a.s</w:t>
      </w:r>
      <w:r w:rsidRPr="003E46EC">
        <w:rPr>
          <w:rFonts w:asciiTheme="minorHAnsi" w:hAnsiTheme="minorHAnsi" w:cstheme="minorHAnsi"/>
          <w:b/>
        </w:rPr>
        <w:t>.,</w:t>
      </w:r>
      <w:r w:rsidRPr="000254D3">
        <w:rPr>
          <w:rFonts w:asciiTheme="minorHAnsi" w:hAnsiTheme="minorHAnsi" w:cstheme="minorHAnsi"/>
        </w:rPr>
        <w:t xml:space="preserve"> </w:t>
      </w:r>
      <w:r w:rsidR="00ED73B8" w:rsidRPr="00ED73B8">
        <w:rPr>
          <w:rFonts w:asciiTheme="minorHAnsi" w:hAnsiTheme="minorHAnsi" w:cstheme="minorHAnsi"/>
        </w:rPr>
        <w:t>je provozovatelem městské hromadné dopravy na území města Brna a jejím blízkém okolí. Zakladatelem a jediným akcionářem je statutární město Brno.</w:t>
      </w:r>
    </w:p>
    <w:p w14:paraId="716EF00E" w14:textId="27E3565B" w:rsidR="000D4EA0" w:rsidRDefault="000254D3" w:rsidP="0023030F">
      <w:pPr>
        <w:spacing w:after="120"/>
        <w:rPr>
          <w:rFonts w:asciiTheme="minorHAnsi" w:hAnsiTheme="minorHAnsi" w:cstheme="minorHAnsi"/>
          <w:b/>
          <w:bCs/>
        </w:rPr>
      </w:pPr>
      <w:r w:rsidRPr="000254D3">
        <w:rPr>
          <w:rFonts w:asciiTheme="minorHAnsi" w:hAnsiTheme="minorHAnsi" w:cstheme="minorHAnsi"/>
          <w:b/>
          <w:bCs/>
        </w:rPr>
        <w:t xml:space="preserve">Statutární město Olomouc </w:t>
      </w:r>
      <w:r w:rsidR="000D4EA0" w:rsidRPr="000D4EA0">
        <w:rPr>
          <w:rFonts w:asciiTheme="minorHAnsi" w:hAnsiTheme="minorHAnsi" w:cstheme="minorHAnsi"/>
          <w:bCs/>
        </w:rPr>
        <w:t xml:space="preserve">je zakladatelem a jediným akcionářem </w:t>
      </w:r>
      <w:r w:rsidR="00AA2B9F">
        <w:rPr>
          <w:rFonts w:asciiTheme="minorHAnsi" w:hAnsiTheme="minorHAnsi" w:cstheme="minorHAnsi"/>
          <w:bCs/>
        </w:rPr>
        <w:t>dopravního podniku zajišťující</w:t>
      </w:r>
      <w:r w:rsidR="000D4EA0" w:rsidRPr="000D4EA0">
        <w:rPr>
          <w:rFonts w:asciiTheme="minorHAnsi" w:hAnsiTheme="minorHAnsi" w:cstheme="minorHAnsi"/>
          <w:bCs/>
        </w:rPr>
        <w:t xml:space="preserve"> městskou hromadnou dopravu v tomto městě.</w:t>
      </w:r>
      <w:r w:rsidRPr="000254D3">
        <w:rPr>
          <w:rFonts w:asciiTheme="minorHAnsi" w:hAnsiTheme="minorHAnsi" w:cstheme="minorHAnsi"/>
        </w:rPr>
        <w:t xml:space="preserve"> </w:t>
      </w:r>
    </w:p>
    <w:p w14:paraId="47FC459E" w14:textId="5774AF35" w:rsidR="000254D3" w:rsidRPr="008D0235" w:rsidRDefault="000254D3" w:rsidP="0023030F">
      <w:pPr>
        <w:spacing w:after="120"/>
        <w:rPr>
          <w:rFonts w:asciiTheme="minorHAnsi" w:hAnsiTheme="minorHAnsi" w:cstheme="minorHAnsi"/>
          <w:strike/>
        </w:rPr>
      </w:pPr>
      <w:r w:rsidRPr="000254D3">
        <w:rPr>
          <w:rFonts w:asciiTheme="minorHAnsi" w:hAnsiTheme="minorHAnsi" w:cstheme="minorHAnsi"/>
          <w:b/>
          <w:bCs/>
        </w:rPr>
        <w:t>Dopravní podnik města Olomouc</w:t>
      </w:r>
      <w:r w:rsidR="00E776FF">
        <w:rPr>
          <w:rFonts w:asciiTheme="minorHAnsi" w:hAnsiTheme="minorHAnsi" w:cstheme="minorHAnsi"/>
          <w:b/>
          <w:bCs/>
        </w:rPr>
        <w:t>e</w:t>
      </w:r>
      <w:r w:rsidRPr="000254D3">
        <w:rPr>
          <w:rFonts w:asciiTheme="minorHAnsi" w:hAnsiTheme="minorHAnsi" w:cstheme="minorHAnsi"/>
          <w:b/>
          <w:bCs/>
        </w:rPr>
        <w:t>,</w:t>
      </w:r>
      <w:r w:rsidR="000D4EA0">
        <w:rPr>
          <w:rFonts w:asciiTheme="minorHAnsi" w:hAnsiTheme="minorHAnsi" w:cstheme="minorHAnsi"/>
          <w:b/>
          <w:bCs/>
        </w:rPr>
        <w:t xml:space="preserve"> a.s</w:t>
      </w:r>
      <w:r w:rsidR="00FA056B">
        <w:rPr>
          <w:rFonts w:asciiTheme="minorHAnsi" w:hAnsiTheme="minorHAnsi" w:cstheme="minorHAnsi"/>
          <w:b/>
          <w:bCs/>
        </w:rPr>
        <w:t>.</w:t>
      </w:r>
      <w:r w:rsidR="000D4EA0">
        <w:rPr>
          <w:rFonts w:asciiTheme="minorHAnsi" w:hAnsiTheme="minorHAnsi" w:cstheme="minorHAnsi"/>
          <w:b/>
          <w:bCs/>
        </w:rPr>
        <w:t>,</w:t>
      </w:r>
      <w:r w:rsidRPr="000254D3">
        <w:rPr>
          <w:rFonts w:asciiTheme="minorHAnsi" w:hAnsiTheme="minorHAnsi" w:cstheme="minorHAnsi"/>
        </w:rPr>
        <w:t xml:space="preserve"> je akciová společnost, která zajišťuje městskou hromadnou dopravu v Olomouci a přilehlém okolí. </w:t>
      </w:r>
    </w:p>
    <w:p w14:paraId="3407940B" w14:textId="32726F67" w:rsidR="000254D3" w:rsidRDefault="000254D3" w:rsidP="0023030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  <w:r w:rsidRPr="000254D3">
        <w:rPr>
          <w:rFonts w:asciiTheme="minorHAnsi" w:hAnsiTheme="minorHAnsi" w:cstheme="minorHAnsi"/>
          <w:b/>
          <w:bCs/>
        </w:rPr>
        <w:t>Dopravní podnik Ostrava a.s</w:t>
      </w:r>
      <w:r w:rsidR="00FA056B">
        <w:rPr>
          <w:rFonts w:asciiTheme="minorHAnsi" w:hAnsiTheme="minorHAnsi" w:cstheme="minorHAnsi"/>
          <w:b/>
          <w:bCs/>
        </w:rPr>
        <w:t>.</w:t>
      </w:r>
      <w:r w:rsidRPr="000254D3">
        <w:rPr>
          <w:rFonts w:asciiTheme="minorHAnsi" w:hAnsiTheme="minorHAnsi" w:cstheme="minorHAnsi"/>
          <w:b/>
          <w:bCs/>
        </w:rPr>
        <w:t>,</w:t>
      </w:r>
      <w:r w:rsidRPr="000254D3">
        <w:rPr>
          <w:rFonts w:asciiTheme="minorHAnsi" w:hAnsiTheme="minorHAnsi" w:cstheme="minorHAnsi"/>
          <w:bCs/>
        </w:rPr>
        <w:t xml:space="preserve"> </w:t>
      </w:r>
      <w:r w:rsidRPr="000254D3">
        <w:rPr>
          <w:rFonts w:asciiTheme="minorHAnsi" w:hAnsiTheme="minorHAnsi" w:cstheme="minorHAnsi"/>
          <w:shd w:val="clear" w:color="auto" w:fill="FFFFFF"/>
        </w:rPr>
        <w:t>provozuje městskou hromadnou dopravu v</w:t>
      </w:r>
      <w:r w:rsidR="00ED73B8">
        <w:rPr>
          <w:rFonts w:asciiTheme="minorHAnsi" w:hAnsiTheme="minorHAnsi" w:cstheme="minorHAnsi"/>
          <w:shd w:val="clear" w:color="auto" w:fill="FFFFFF"/>
        </w:rPr>
        <w:t xml:space="preserve"> Ostravě. </w:t>
      </w:r>
      <w:r w:rsidR="00ED73B8" w:rsidRPr="00ED73B8">
        <w:rPr>
          <w:rFonts w:asciiTheme="minorHAnsi" w:hAnsiTheme="minorHAnsi" w:cstheme="minorHAnsi"/>
          <w:shd w:val="clear" w:color="auto" w:fill="FFFFFF"/>
        </w:rPr>
        <w:t>Zakladatelem a jediným akcionářem je statutární město Ostrava.</w:t>
      </w:r>
    </w:p>
    <w:p w14:paraId="21C73514" w14:textId="77777777" w:rsidR="0023030F" w:rsidRPr="00ED73B8" w:rsidRDefault="0023030F" w:rsidP="0023030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hd w:val="clear" w:color="auto" w:fill="FFFFFF"/>
        </w:rPr>
      </w:pPr>
    </w:p>
    <w:p w14:paraId="724BF3E3" w14:textId="77777777" w:rsidR="0023030F" w:rsidRDefault="0023030F" w:rsidP="0023030F">
      <w:pPr>
        <w:spacing w:after="120"/>
      </w:pPr>
    </w:p>
    <w:p w14:paraId="66D8516F" w14:textId="77777777" w:rsidR="00EE6742" w:rsidRPr="004454B6" w:rsidRDefault="00EE6742" w:rsidP="00ED2DF2">
      <w:pPr>
        <w:pStyle w:val="KP-normlntext"/>
        <w:jc w:val="center"/>
        <w:rPr>
          <w:rFonts w:asciiTheme="minorHAnsi" w:hAnsiTheme="minorHAnsi" w:cstheme="minorHAnsi"/>
          <w:b/>
          <w:sz w:val="28"/>
        </w:rPr>
      </w:pPr>
      <w:r w:rsidRPr="004454B6">
        <w:rPr>
          <w:b/>
          <w:sz w:val="28"/>
        </w:rPr>
        <w:t>III. Rozsah kontroly</w:t>
      </w:r>
    </w:p>
    <w:p w14:paraId="13B906D6" w14:textId="3600594C" w:rsidR="00E35801" w:rsidRDefault="00FC3B15" w:rsidP="00ED2DF2">
      <w:pPr>
        <w:pStyle w:val="KP-normlntext"/>
        <w:rPr>
          <w:rFonts w:cs="Calibri"/>
        </w:rPr>
      </w:pPr>
      <w:r w:rsidRPr="00BA63E1">
        <w:rPr>
          <w:rFonts w:asciiTheme="minorHAnsi" w:hAnsiTheme="minorHAnsi" w:cstheme="minorHAnsi"/>
        </w:rPr>
        <w:t>Cílem kontroly bylo prověřit,</w:t>
      </w:r>
      <w:r w:rsidR="00972128" w:rsidRPr="00972128">
        <w:t xml:space="preserve"> </w:t>
      </w:r>
      <w:r w:rsidR="00972128" w:rsidRPr="00972128">
        <w:rPr>
          <w:rFonts w:asciiTheme="minorHAnsi" w:hAnsiTheme="minorHAnsi" w:cstheme="minorHAnsi"/>
        </w:rPr>
        <w:t>zda jsou peněžní prostředky v rámci podpory veřejné hromadné dopravy ve městech v elektrické trakci z operačního progra</w:t>
      </w:r>
      <w:r w:rsidR="0029604B">
        <w:rPr>
          <w:rFonts w:asciiTheme="minorHAnsi" w:hAnsiTheme="minorHAnsi" w:cstheme="minorHAnsi"/>
        </w:rPr>
        <w:t xml:space="preserve">mu </w:t>
      </w:r>
      <w:r w:rsidR="0029604B" w:rsidRPr="003E46EC">
        <w:rPr>
          <w:rFonts w:asciiTheme="minorHAnsi" w:hAnsiTheme="minorHAnsi" w:cstheme="minorHAnsi"/>
          <w:i/>
        </w:rPr>
        <w:t>Doprava 2014–</w:t>
      </w:r>
      <w:r w:rsidR="00972128" w:rsidRPr="003E46EC">
        <w:rPr>
          <w:rFonts w:asciiTheme="minorHAnsi" w:hAnsiTheme="minorHAnsi" w:cstheme="minorHAnsi"/>
          <w:i/>
        </w:rPr>
        <w:t>2020</w:t>
      </w:r>
      <w:r w:rsidR="00972128" w:rsidRPr="00972128">
        <w:rPr>
          <w:rFonts w:asciiTheme="minorHAnsi" w:hAnsiTheme="minorHAnsi" w:cstheme="minorHAnsi"/>
        </w:rPr>
        <w:t xml:space="preserve"> poskytovány a čerpány efektivně, účelně a hospodárně.</w:t>
      </w:r>
      <w:r w:rsidRPr="00BA63E1">
        <w:rPr>
          <w:rFonts w:asciiTheme="minorHAnsi" w:hAnsiTheme="minorHAnsi" w:cstheme="minorHAnsi"/>
        </w:rPr>
        <w:t xml:space="preserve"> </w:t>
      </w:r>
      <w:r w:rsidR="00972128">
        <w:rPr>
          <w:rFonts w:asciiTheme="minorHAnsi" w:hAnsiTheme="minorHAnsi" w:cstheme="minorHAnsi"/>
        </w:rPr>
        <w:t>K</w:t>
      </w:r>
      <w:r w:rsidR="0029604B">
        <w:rPr>
          <w:rFonts w:asciiTheme="minorHAnsi" w:hAnsiTheme="minorHAnsi" w:cstheme="minorHAnsi"/>
        </w:rPr>
        <w:t>ontrolováno bylo období od roku </w:t>
      </w:r>
      <w:r w:rsidR="00972128">
        <w:rPr>
          <w:rFonts w:asciiTheme="minorHAnsi" w:hAnsiTheme="minorHAnsi" w:cstheme="minorHAnsi"/>
        </w:rPr>
        <w:t>2015 do 31.</w:t>
      </w:r>
      <w:r w:rsidR="008C7861">
        <w:rPr>
          <w:rFonts w:asciiTheme="minorHAnsi" w:hAnsiTheme="minorHAnsi" w:cstheme="minorHAnsi"/>
        </w:rPr>
        <w:t> </w:t>
      </w:r>
      <w:r w:rsidR="00972128">
        <w:rPr>
          <w:rFonts w:asciiTheme="minorHAnsi" w:hAnsiTheme="minorHAnsi" w:cstheme="minorHAnsi"/>
        </w:rPr>
        <w:t>10.</w:t>
      </w:r>
      <w:r w:rsidR="008C7861">
        <w:rPr>
          <w:rFonts w:asciiTheme="minorHAnsi" w:hAnsiTheme="minorHAnsi" w:cstheme="minorHAnsi"/>
        </w:rPr>
        <w:t> </w:t>
      </w:r>
      <w:r w:rsidR="00972128">
        <w:rPr>
          <w:rFonts w:asciiTheme="minorHAnsi" w:hAnsiTheme="minorHAnsi" w:cstheme="minorHAnsi"/>
        </w:rPr>
        <w:t xml:space="preserve">2020, </w:t>
      </w:r>
      <w:r w:rsidR="00E35801">
        <w:rPr>
          <w:rFonts w:cs="Calibri"/>
        </w:rPr>
        <w:t xml:space="preserve">v případě věcných souvislostí i období předcházející a období do ukončení kontroly. </w:t>
      </w:r>
    </w:p>
    <w:p w14:paraId="3C480EB8" w14:textId="1C622707" w:rsidR="008C7861" w:rsidRDefault="00E66A22" w:rsidP="00ED2DF2">
      <w:pPr>
        <w:pStyle w:val="KP-normlntext"/>
        <w:rPr>
          <w:rFonts w:cs="Calibri"/>
        </w:rPr>
      </w:pPr>
      <w:r w:rsidRPr="00E66A22">
        <w:rPr>
          <w:rFonts w:cs="Calibri"/>
        </w:rPr>
        <w:t xml:space="preserve">Kontrola </w:t>
      </w:r>
      <w:r w:rsidR="008C7861">
        <w:rPr>
          <w:rFonts w:cs="Calibri"/>
        </w:rPr>
        <w:t xml:space="preserve">na systémové úrovni se </w:t>
      </w:r>
      <w:r w:rsidRPr="00E66A22">
        <w:rPr>
          <w:rFonts w:cs="Calibri"/>
        </w:rPr>
        <w:t xml:space="preserve">zaměřila </w:t>
      </w:r>
      <w:r w:rsidR="008C7861">
        <w:rPr>
          <w:rFonts w:cs="Calibri"/>
        </w:rPr>
        <w:t xml:space="preserve">na vyhlašování </w:t>
      </w:r>
      <w:r w:rsidR="0029604B">
        <w:rPr>
          <w:rFonts w:cs="Calibri"/>
        </w:rPr>
        <w:t>výzev k předkládání žádostí o </w:t>
      </w:r>
      <w:r w:rsidR="008C7861">
        <w:rPr>
          <w:rFonts w:cs="Calibri"/>
        </w:rPr>
        <w:t xml:space="preserve">podporu pro specifický cíl 1.4, předkládání žádostí o podporu, informační systém </w:t>
      </w:r>
      <w:r w:rsidR="000D5230">
        <w:rPr>
          <w:rFonts w:cs="Calibri"/>
        </w:rPr>
        <w:t>MS 2014</w:t>
      </w:r>
      <w:r w:rsidR="005732CD" w:rsidRPr="005732CD">
        <w:rPr>
          <w:rFonts w:cs="Calibri"/>
        </w:rPr>
        <w:t>+</w:t>
      </w:r>
      <w:r w:rsidR="008C7861">
        <w:rPr>
          <w:rFonts w:cs="Calibri"/>
        </w:rPr>
        <w:t>, soulad jednotlivých projektů s danou městskou koncepcí dopravy, hodnocení projektů, kritéria výběru projektů, indikátory specifického cíle 1.4, vydávání právních aktů o poskytnutí podpory a náklady na výstavbu tramvajových tratí.</w:t>
      </w:r>
      <w:r w:rsidR="00316B1E">
        <w:rPr>
          <w:rFonts w:cs="Calibri"/>
        </w:rPr>
        <w:t xml:space="preserve"> </w:t>
      </w:r>
      <w:r w:rsidR="00ED42EF">
        <w:rPr>
          <w:rFonts w:cs="Calibri"/>
        </w:rPr>
        <w:t>Na systémové úrovni byla kontrolována celá alokace ve výši 11 700 mil. Kč</w:t>
      </w:r>
      <w:r w:rsidR="00431F5F">
        <w:rPr>
          <w:rFonts w:cs="Calibri"/>
        </w:rPr>
        <w:t>.</w:t>
      </w:r>
    </w:p>
    <w:p w14:paraId="33696D8E" w14:textId="7A35DA01" w:rsidR="00C50CCD" w:rsidRPr="00C50CCD" w:rsidRDefault="00C50CCD" w:rsidP="004454B6">
      <w:pPr>
        <w:rPr>
          <w:rFonts w:eastAsiaTheme="minorHAnsi" w:cs="Calibri"/>
          <w:color w:val="000000"/>
        </w:rPr>
      </w:pPr>
      <w:r w:rsidRPr="00C50CCD">
        <w:rPr>
          <w:rFonts w:eastAsiaTheme="minorHAnsi" w:cs="Calibri"/>
          <w:color w:val="000000"/>
        </w:rPr>
        <w:t xml:space="preserve">Na úrovni příjemců podpory (kontrolovaných statutárních měst a dopravních podniků) se kontrola zaměřila na úplnost žádostí o podporu včetně doložení MD požadovaných dokladů, které dokumentují soulad jednotlivých projektů s danou městskou koncepcí dopravy, výsledky zadávacího řízení, připravenost projektů k realizaci a průběh realizace podpořených projektů. Na úrovni příjemců bylo zkontrolováno 12 projektů, k 31. říjnu 2020 bylo ukončeno šest projektů. Celkové náklady na tyto projekty činily 4 076,433 mil. Kč, z toho způsobilé výdaje </w:t>
      </w:r>
      <w:r w:rsidRPr="00C50CCD">
        <w:rPr>
          <w:rFonts w:eastAsiaTheme="minorHAnsi" w:cs="Calibri"/>
          <w:color w:val="000000"/>
        </w:rPr>
        <w:lastRenderedPageBreak/>
        <w:t>činily 3 542,633 mil. Kč. K 31. 12. 2020 byl</w:t>
      </w:r>
      <w:r w:rsidR="009738E6">
        <w:rPr>
          <w:rFonts w:eastAsiaTheme="minorHAnsi" w:cs="Calibri"/>
          <w:color w:val="000000"/>
        </w:rPr>
        <w:t>a</w:t>
      </w:r>
      <w:r w:rsidRPr="00C50CCD">
        <w:rPr>
          <w:rFonts w:eastAsiaTheme="minorHAnsi" w:cs="Calibri"/>
          <w:color w:val="000000"/>
        </w:rPr>
        <w:t xml:space="preserve"> z OPD</w:t>
      </w:r>
      <w:r w:rsidR="00EB3B65">
        <w:rPr>
          <w:rFonts w:eastAsiaTheme="minorHAnsi" w:cs="Calibri"/>
          <w:color w:val="000000"/>
        </w:rPr>
        <w:t xml:space="preserve"> II</w:t>
      </w:r>
      <w:r w:rsidRPr="00C50CCD">
        <w:rPr>
          <w:rFonts w:eastAsiaTheme="minorHAnsi" w:cs="Calibri"/>
          <w:color w:val="000000"/>
        </w:rPr>
        <w:t xml:space="preserve"> proplacena na tyto projekty částka 1 423,303 mil.</w:t>
      </w:r>
      <w:r w:rsidR="001647F8">
        <w:rPr>
          <w:rFonts w:eastAsiaTheme="minorHAnsi" w:cs="Calibri"/>
          <w:color w:val="000000"/>
        </w:rPr>
        <w:t> Kč.</w:t>
      </w:r>
      <w:r w:rsidRPr="003E46EC">
        <w:rPr>
          <w:rFonts w:eastAsiaTheme="minorHAnsi" w:cs="Calibri"/>
          <w:color w:val="000000" w:themeColor="text1"/>
        </w:rPr>
        <w:t xml:space="preserve"> </w:t>
      </w:r>
      <w:r w:rsidRPr="00C50CCD">
        <w:rPr>
          <w:rFonts w:eastAsiaTheme="minorHAnsi" w:cs="Calibri"/>
          <w:color w:val="000000"/>
        </w:rPr>
        <w:t xml:space="preserve">Přehled kontrolovaných projektů je uveden v příloze č. 3 </w:t>
      </w:r>
      <w:r w:rsidR="001647F8">
        <w:rPr>
          <w:rFonts w:eastAsiaTheme="minorHAnsi" w:cs="Calibri"/>
          <w:color w:val="000000"/>
        </w:rPr>
        <w:t xml:space="preserve">tohoto </w:t>
      </w:r>
      <w:r w:rsidRPr="00C50CCD">
        <w:rPr>
          <w:rFonts w:eastAsiaTheme="minorHAnsi" w:cs="Calibri"/>
          <w:color w:val="000000"/>
        </w:rPr>
        <w:t>kontrolního závěru.</w:t>
      </w:r>
    </w:p>
    <w:p w14:paraId="6E9CA9B7" w14:textId="77777777" w:rsidR="00C50CCD" w:rsidRDefault="00C50CCD" w:rsidP="004454B6">
      <w:pPr>
        <w:pStyle w:val="KP-normlntext"/>
        <w:spacing w:after="0"/>
        <w:rPr>
          <w:rFonts w:cs="Calibri"/>
        </w:rPr>
      </w:pPr>
    </w:p>
    <w:p w14:paraId="0B27B61D" w14:textId="77777777" w:rsidR="004454B6" w:rsidRDefault="004454B6" w:rsidP="004454B6">
      <w:pPr>
        <w:pStyle w:val="KP-normlntext"/>
        <w:spacing w:after="0"/>
        <w:rPr>
          <w:rFonts w:cs="Calibri"/>
        </w:rPr>
      </w:pPr>
    </w:p>
    <w:p w14:paraId="0D8227EB" w14:textId="77777777" w:rsidR="00EE6742" w:rsidRPr="004454B6" w:rsidRDefault="00EE6742" w:rsidP="003E008A">
      <w:pPr>
        <w:keepNext/>
        <w:spacing w:after="120"/>
        <w:jc w:val="center"/>
        <w:rPr>
          <w:b/>
          <w:color w:val="000000" w:themeColor="text1"/>
          <w:sz w:val="28"/>
          <w:szCs w:val="28"/>
        </w:rPr>
      </w:pPr>
      <w:r w:rsidRPr="004454B6">
        <w:rPr>
          <w:b/>
          <w:color w:val="000000" w:themeColor="text1"/>
          <w:sz w:val="28"/>
          <w:szCs w:val="28"/>
        </w:rPr>
        <w:t>IV. Podrobné skutečnosti zjištěné kontrolou</w:t>
      </w:r>
    </w:p>
    <w:p w14:paraId="55420A62" w14:textId="77777777" w:rsidR="005E7282" w:rsidRPr="004454B6" w:rsidRDefault="002E6B3D" w:rsidP="003E008A">
      <w:pPr>
        <w:keepNext/>
        <w:spacing w:after="120"/>
        <w:jc w:val="left"/>
        <w:rPr>
          <w:b/>
          <w:color w:val="000000" w:themeColor="text1"/>
        </w:rPr>
      </w:pPr>
      <w:r w:rsidRPr="004454B6">
        <w:rPr>
          <w:b/>
          <w:color w:val="000000" w:themeColor="text1"/>
        </w:rPr>
        <w:t xml:space="preserve">Stanovené </w:t>
      </w:r>
      <w:r w:rsidR="00683FF4" w:rsidRPr="004454B6">
        <w:rPr>
          <w:b/>
          <w:color w:val="000000" w:themeColor="text1"/>
        </w:rPr>
        <w:t>ukazatele</w:t>
      </w:r>
      <w:r w:rsidRPr="004454B6">
        <w:rPr>
          <w:b/>
          <w:color w:val="000000" w:themeColor="text1"/>
        </w:rPr>
        <w:t xml:space="preserve"> </w:t>
      </w:r>
      <w:r w:rsidR="00917C9E" w:rsidRPr="004454B6">
        <w:rPr>
          <w:b/>
          <w:color w:val="000000" w:themeColor="text1"/>
        </w:rPr>
        <w:t xml:space="preserve">nelze </w:t>
      </w:r>
      <w:r w:rsidR="00A07F89" w:rsidRPr="004454B6">
        <w:rPr>
          <w:b/>
          <w:color w:val="000000" w:themeColor="text1"/>
        </w:rPr>
        <w:t>použít k hodnocení plnění cílů a očekávaných přínosů</w:t>
      </w:r>
      <w:r w:rsidR="00081BF2" w:rsidRPr="004454B6">
        <w:rPr>
          <w:b/>
          <w:color w:val="000000" w:themeColor="text1"/>
        </w:rPr>
        <w:t xml:space="preserve"> podpory</w:t>
      </w:r>
    </w:p>
    <w:p w14:paraId="61952B4A" w14:textId="71526054" w:rsidR="00D05F33" w:rsidRPr="004454B6" w:rsidRDefault="00C42AEE" w:rsidP="004454B6">
      <w:pPr>
        <w:pStyle w:val="Odstavecseseznamem"/>
        <w:spacing w:after="120"/>
        <w:ind w:left="0"/>
        <w:contextualSpacing w:val="0"/>
        <w:rPr>
          <w:rFonts w:cstheme="minorHAnsi"/>
          <w:color w:val="000000" w:themeColor="text1"/>
        </w:rPr>
      </w:pPr>
      <w:r w:rsidRPr="004454B6">
        <w:rPr>
          <w:rFonts w:cstheme="minorHAnsi"/>
          <w:color w:val="000000" w:themeColor="text1"/>
        </w:rPr>
        <w:t xml:space="preserve">Pro sledování a měření plnění očekávaných cílů a přínosů stanovených v rámci specifického cíle mají sloužit </w:t>
      </w:r>
      <w:r w:rsidR="00D27432" w:rsidRPr="004454B6">
        <w:rPr>
          <w:rFonts w:cstheme="minorHAnsi"/>
          <w:color w:val="000000" w:themeColor="text1"/>
        </w:rPr>
        <w:t>ukazatele</w:t>
      </w:r>
      <w:r w:rsidRPr="004454B6">
        <w:rPr>
          <w:rFonts w:cstheme="minorHAnsi"/>
          <w:color w:val="000000" w:themeColor="text1"/>
        </w:rPr>
        <w:t>, které stanovilo MD. K</w:t>
      </w:r>
      <w:r w:rsidR="00F7298A" w:rsidRPr="004454B6">
        <w:rPr>
          <w:rFonts w:cstheme="minorHAnsi"/>
          <w:color w:val="000000" w:themeColor="text1"/>
        </w:rPr>
        <w:t>ontrola NKÚ ově</w:t>
      </w:r>
      <w:r w:rsidR="00A40519" w:rsidRPr="004454B6">
        <w:rPr>
          <w:rFonts w:cstheme="minorHAnsi"/>
          <w:color w:val="000000" w:themeColor="text1"/>
        </w:rPr>
        <w:t xml:space="preserve">řovala, zda nastavené </w:t>
      </w:r>
      <w:r w:rsidR="00D27432" w:rsidRPr="004454B6">
        <w:rPr>
          <w:rFonts w:cstheme="minorHAnsi"/>
          <w:color w:val="000000" w:themeColor="text1"/>
        </w:rPr>
        <w:t>ukazatele</w:t>
      </w:r>
      <w:r w:rsidRPr="004454B6">
        <w:rPr>
          <w:rFonts w:cstheme="minorHAnsi"/>
          <w:color w:val="000000" w:themeColor="text1"/>
        </w:rPr>
        <w:t xml:space="preserve"> jsou</w:t>
      </w:r>
      <w:r w:rsidR="00F7298A" w:rsidRPr="004454B6">
        <w:rPr>
          <w:rFonts w:cstheme="minorHAnsi"/>
          <w:color w:val="000000" w:themeColor="text1"/>
        </w:rPr>
        <w:t xml:space="preserve"> dostatečným nástrojem</w:t>
      </w:r>
      <w:r w:rsidRPr="004454B6">
        <w:rPr>
          <w:rFonts w:cstheme="minorHAnsi"/>
          <w:color w:val="000000" w:themeColor="text1"/>
        </w:rPr>
        <w:t xml:space="preserve"> pro měření cílů a přínosů podpory, tj. zda </w:t>
      </w:r>
      <w:r w:rsidR="001B45BA">
        <w:rPr>
          <w:rFonts w:cstheme="minorHAnsi"/>
          <w:color w:val="000000" w:themeColor="text1"/>
        </w:rPr>
        <w:t xml:space="preserve">jejich </w:t>
      </w:r>
      <w:r w:rsidRPr="004454B6">
        <w:rPr>
          <w:rFonts w:cstheme="minorHAnsi"/>
          <w:color w:val="000000" w:themeColor="text1"/>
        </w:rPr>
        <w:t xml:space="preserve">pomocí lze </w:t>
      </w:r>
      <w:r w:rsidR="00F7298A" w:rsidRPr="004454B6">
        <w:rPr>
          <w:rFonts w:cstheme="minorHAnsi"/>
          <w:color w:val="000000" w:themeColor="text1"/>
        </w:rPr>
        <w:t xml:space="preserve">měřit výsledky podpory a účinky realizovaných projektů. </w:t>
      </w:r>
    </w:p>
    <w:p w14:paraId="32AA9FFB" w14:textId="6C91F70E" w:rsidR="0066682B" w:rsidRPr="004454B6" w:rsidRDefault="00094E4C" w:rsidP="004454B6">
      <w:pPr>
        <w:spacing w:after="120"/>
        <w:rPr>
          <w:color w:val="000000" w:themeColor="text1"/>
        </w:rPr>
      </w:pPr>
      <w:r w:rsidRPr="004454B6">
        <w:rPr>
          <w:color w:val="000000" w:themeColor="text1"/>
        </w:rPr>
        <w:t xml:space="preserve">Kontrolou bylo zjištěno, že </w:t>
      </w:r>
      <w:r w:rsidR="006F41CF" w:rsidRPr="004454B6">
        <w:rPr>
          <w:color w:val="000000" w:themeColor="text1"/>
        </w:rPr>
        <w:t xml:space="preserve">MD stanovilo </w:t>
      </w:r>
      <w:r w:rsidR="00836D48" w:rsidRPr="004454B6">
        <w:rPr>
          <w:color w:val="000000" w:themeColor="text1"/>
        </w:rPr>
        <w:t xml:space="preserve">pro sledování a hodnocení plnění </w:t>
      </w:r>
      <w:r w:rsidR="006F41CF" w:rsidRPr="004454B6">
        <w:rPr>
          <w:color w:val="000000" w:themeColor="text1"/>
        </w:rPr>
        <w:t xml:space="preserve">SC 1.4 </w:t>
      </w:r>
      <w:r w:rsidR="00ED648F" w:rsidRPr="004454B6">
        <w:rPr>
          <w:color w:val="000000" w:themeColor="text1"/>
        </w:rPr>
        <w:t xml:space="preserve">a příslušných projektů </w:t>
      </w:r>
      <w:r w:rsidR="00A40519" w:rsidRPr="004454B6">
        <w:rPr>
          <w:color w:val="000000" w:themeColor="text1"/>
        </w:rPr>
        <w:t>parametry</w:t>
      </w:r>
      <w:r w:rsidR="007D5955" w:rsidRPr="004454B6">
        <w:rPr>
          <w:color w:val="000000" w:themeColor="text1"/>
        </w:rPr>
        <w:t xml:space="preserve"> </w:t>
      </w:r>
      <w:r w:rsidR="001B45BA">
        <w:rPr>
          <w:rFonts w:cstheme="minorHAnsi"/>
          <w:i/>
          <w:color w:val="000000" w:themeColor="text1"/>
        </w:rPr>
        <w:t>c</w:t>
      </w:r>
      <w:r w:rsidR="006F41CF" w:rsidRPr="004454B6">
        <w:rPr>
          <w:rFonts w:cstheme="minorHAnsi"/>
          <w:i/>
          <w:color w:val="000000" w:themeColor="text1"/>
        </w:rPr>
        <w:t>elková délka nových nebo modernizovaných t</w:t>
      </w:r>
      <w:r w:rsidR="00836D48" w:rsidRPr="004454B6">
        <w:rPr>
          <w:rFonts w:cstheme="minorHAnsi"/>
          <w:i/>
          <w:color w:val="000000" w:themeColor="text1"/>
        </w:rPr>
        <w:t>ratí metra a tramvajových tratí</w:t>
      </w:r>
      <w:r w:rsidR="00836D48" w:rsidRPr="003E46EC">
        <w:rPr>
          <w:rFonts w:cstheme="minorHAnsi"/>
          <w:color w:val="000000" w:themeColor="text1"/>
        </w:rPr>
        <w:t>,</w:t>
      </w:r>
      <w:r w:rsidR="00836D48" w:rsidRPr="004454B6">
        <w:rPr>
          <w:rFonts w:cstheme="minorHAnsi"/>
          <w:i/>
          <w:color w:val="000000" w:themeColor="text1"/>
        </w:rPr>
        <w:t xml:space="preserve"> </w:t>
      </w:r>
      <w:r w:rsidR="001B45BA">
        <w:rPr>
          <w:rFonts w:cstheme="minorHAnsi"/>
          <w:i/>
          <w:color w:val="000000" w:themeColor="text1"/>
        </w:rPr>
        <w:t>c</w:t>
      </w:r>
      <w:r w:rsidR="006F41CF" w:rsidRPr="004454B6">
        <w:rPr>
          <w:rFonts w:cstheme="minorHAnsi"/>
          <w:i/>
          <w:color w:val="000000" w:themeColor="text1"/>
        </w:rPr>
        <w:t>elková délka nových nebo modernizovaných linek metra, tramvajových tratí neb</w:t>
      </w:r>
      <w:r w:rsidR="00836D48" w:rsidRPr="004454B6">
        <w:rPr>
          <w:rFonts w:cstheme="minorHAnsi"/>
          <w:i/>
          <w:color w:val="000000" w:themeColor="text1"/>
        </w:rPr>
        <w:t>o trolejbusových tratí</w:t>
      </w:r>
      <w:r w:rsidR="00836D48" w:rsidRPr="004454B6">
        <w:rPr>
          <w:rFonts w:cstheme="minorHAnsi"/>
          <w:color w:val="000000" w:themeColor="text1"/>
        </w:rPr>
        <w:t xml:space="preserve"> a </w:t>
      </w:r>
      <w:r w:rsidR="001B45BA">
        <w:rPr>
          <w:rFonts w:cstheme="minorHAnsi"/>
          <w:i/>
          <w:color w:val="000000" w:themeColor="text1"/>
        </w:rPr>
        <w:t>p</w:t>
      </w:r>
      <w:r w:rsidR="006F41CF" w:rsidRPr="004454B6">
        <w:rPr>
          <w:rFonts w:cstheme="minorHAnsi"/>
          <w:i/>
          <w:color w:val="000000" w:themeColor="text1"/>
        </w:rPr>
        <w:t>očet nových či zmodernizovaných zařízení obslužné a napájecí infrastruktury městské drážní dopravy</w:t>
      </w:r>
      <w:r w:rsidR="00836D48" w:rsidRPr="004454B6">
        <w:rPr>
          <w:rFonts w:cstheme="minorHAnsi"/>
          <w:i/>
          <w:color w:val="000000" w:themeColor="text1"/>
        </w:rPr>
        <w:t>.</w:t>
      </w:r>
      <w:r w:rsidR="00836D48" w:rsidRPr="004454B6">
        <w:rPr>
          <w:rFonts w:cstheme="minorHAnsi"/>
          <w:color w:val="000000" w:themeColor="text1"/>
        </w:rPr>
        <w:t xml:space="preserve"> </w:t>
      </w:r>
      <w:r w:rsidR="00A40519" w:rsidRPr="004454B6">
        <w:rPr>
          <w:rFonts w:cstheme="minorHAnsi"/>
          <w:color w:val="000000" w:themeColor="text1"/>
        </w:rPr>
        <w:t>Tyto parametry</w:t>
      </w:r>
      <w:r w:rsidR="00DA4731" w:rsidRPr="004454B6">
        <w:rPr>
          <w:rFonts w:cstheme="minorHAnsi"/>
          <w:color w:val="000000" w:themeColor="text1"/>
        </w:rPr>
        <w:t xml:space="preserve"> hodnotí výstupy podpory</w:t>
      </w:r>
      <w:r w:rsidR="00475D72" w:rsidRPr="004454B6">
        <w:rPr>
          <w:rFonts w:cstheme="minorHAnsi"/>
          <w:color w:val="000000" w:themeColor="text1"/>
        </w:rPr>
        <w:t>.</w:t>
      </w:r>
      <w:r w:rsidR="00DA4731" w:rsidRPr="004454B6">
        <w:rPr>
          <w:rFonts w:cstheme="minorHAnsi"/>
          <w:color w:val="000000" w:themeColor="text1"/>
        </w:rPr>
        <w:t xml:space="preserve"> </w:t>
      </w:r>
      <w:r w:rsidR="001B45BA">
        <w:rPr>
          <w:rFonts w:cstheme="minorHAnsi"/>
          <w:color w:val="000000" w:themeColor="text1"/>
        </w:rPr>
        <w:t>Jejich pomocí však n</w:t>
      </w:r>
      <w:r w:rsidR="00DA4731" w:rsidRPr="004454B6">
        <w:rPr>
          <w:rFonts w:cstheme="minorHAnsi"/>
          <w:color w:val="000000" w:themeColor="text1"/>
        </w:rPr>
        <w:t xml:space="preserve">elze </w:t>
      </w:r>
      <w:r w:rsidR="001B45BA">
        <w:rPr>
          <w:rFonts w:cstheme="minorHAnsi"/>
          <w:color w:val="000000" w:themeColor="text1"/>
        </w:rPr>
        <w:t>vy</w:t>
      </w:r>
      <w:r w:rsidR="007D5955" w:rsidRPr="004454B6">
        <w:rPr>
          <w:rFonts w:cstheme="minorHAnsi"/>
          <w:color w:val="000000" w:themeColor="text1"/>
        </w:rPr>
        <w:t xml:space="preserve">hodnotit </w:t>
      </w:r>
      <w:r w:rsidR="00DA4731" w:rsidRPr="004454B6">
        <w:rPr>
          <w:rFonts w:cstheme="minorHAnsi"/>
          <w:color w:val="000000" w:themeColor="text1"/>
        </w:rPr>
        <w:t>plnění cílů</w:t>
      </w:r>
      <w:r w:rsidR="007D5955" w:rsidRPr="004454B6">
        <w:rPr>
          <w:rFonts w:cstheme="minorHAnsi"/>
          <w:color w:val="000000" w:themeColor="text1"/>
        </w:rPr>
        <w:t xml:space="preserve"> a očekávané přínosy podpory</w:t>
      </w:r>
      <w:r w:rsidR="001B45BA">
        <w:rPr>
          <w:rFonts w:cstheme="minorHAnsi"/>
          <w:color w:val="000000" w:themeColor="text1"/>
        </w:rPr>
        <w:t>,</w:t>
      </w:r>
      <w:r w:rsidR="007D5955" w:rsidRPr="004454B6">
        <w:rPr>
          <w:rFonts w:cstheme="minorHAnsi"/>
          <w:color w:val="000000" w:themeColor="text1"/>
        </w:rPr>
        <w:t xml:space="preserve"> jako je </w:t>
      </w:r>
      <w:r w:rsidR="0066682B" w:rsidRPr="004454B6">
        <w:rPr>
          <w:rFonts w:asciiTheme="minorHAnsi" w:hAnsiTheme="minorHAnsi" w:cstheme="minorHAnsi"/>
          <w:color w:val="000000" w:themeColor="text1"/>
        </w:rPr>
        <w:t xml:space="preserve">zvýšení </w:t>
      </w:r>
      <w:r w:rsidR="005E7282" w:rsidRPr="004454B6">
        <w:rPr>
          <w:rFonts w:asciiTheme="minorHAnsi" w:hAnsiTheme="minorHAnsi" w:cstheme="minorHAnsi"/>
          <w:color w:val="000000" w:themeColor="text1"/>
        </w:rPr>
        <w:t>konkurenceschopnosti veřejné dopravy vůči individuální automobilové dopravě (</w:t>
      </w:r>
      <w:r w:rsidR="0066682B" w:rsidRPr="004454B6">
        <w:rPr>
          <w:rFonts w:asciiTheme="minorHAnsi" w:hAnsiTheme="minorHAnsi" w:cstheme="minorHAnsi"/>
          <w:color w:val="000000" w:themeColor="text1"/>
        </w:rPr>
        <w:t>využívání</w:t>
      </w:r>
      <w:r w:rsidR="005E7282" w:rsidRPr="004454B6">
        <w:rPr>
          <w:rFonts w:asciiTheme="minorHAnsi" w:hAnsiTheme="minorHAnsi" w:cstheme="minorHAnsi"/>
          <w:color w:val="000000" w:themeColor="text1"/>
        </w:rPr>
        <w:t>m</w:t>
      </w:r>
      <w:r w:rsidR="0066682B" w:rsidRPr="004454B6">
        <w:rPr>
          <w:rFonts w:asciiTheme="minorHAnsi" w:hAnsiTheme="minorHAnsi" w:cstheme="minorHAnsi"/>
          <w:color w:val="000000" w:themeColor="text1"/>
        </w:rPr>
        <w:t xml:space="preserve"> veřejné hromadné dopravy ve městech v elektrické trakci na úkor individuální automobilové dopravy</w:t>
      </w:r>
      <w:r w:rsidR="005E7282" w:rsidRPr="004454B6">
        <w:rPr>
          <w:rFonts w:asciiTheme="minorHAnsi" w:hAnsiTheme="minorHAnsi" w:cstheme="minorHAnsi"/>
          <w:color w:val="000000" w:themeColor="text1"/>
        </w:rPr>
        <w:t>)</w:t>
      </w:r>
      <w:r w:rsidR="007D5955" w:rsidRPr="004454B6">
        <w:rPr>
          <w:rFonts w:asciiTheme="minorHAnsi" w:hAnsiTheme="minorHAnsi" w:cstheme="minorHAnsi"/>
          <w:color w:val="000000" w:themeColor="text1"/>
        </w:rPr>
        <w:t xml:space="preserve">, </w:t>
      </w:r>
      <w:r w:rsidR="0066682B" w:rsidRPr="004454B6">
        <w:rPr>
          <w:rFonts w:asciiTheme="minorHAnsi" w:hAnsiTheme="minorHAnsi" w:cstheme="minorHAnsi"/>
          <w:bCs/>
          <w:iCs/>
          <w:color w:val="000000" w:themeColor="text1"/>
        </w:rPr>
        <w:t>snížení emisí zdraví škodlivých látek, snižování emisí skleníkových plynů, zkvalitnění, zrychlení a větší nabídka spojů</w:t>
      </w:r>
      <w:r w:rsidR="007D5955" w:rsidRPr="004454B6">
        <w:rPr>
          <w:rFonts w:asciiTheme="minorHAnsi" w:hAnsiTheme="minorHAnsi" w:cstheme="minorHAnsi"/>
          <w:bCs/>
          <w:iCs/>
          <w:color w:val="000000" w:themeColor="text1"/>
        </w:rPr>
        <w:t xml:space="preserve"> s dopadem na rozvoj</w:t>
      </w:r>
      <w:r w:rsidR="0066682B" w:rsidRPr="004454B6">
        <w:rPr>
          <w:rFonts w:asciiTheme="minorHAnsi" w:hAnsiTheme="minorHAnsi" w:cstheme="minorHAnsi"/>
          <w:bCs/>
          <w:iCs/>
          <w:color w:val="000000" w:themeColor="text1"/>
        </w:rPr>
        <w:t xml:space="preserve"> měst a uspokojení přepravních potřeb. </w:t>
      </w:r>
    </w:p>
    <w:p w14:paraId="56C841D0" w14:textId="651EC8C1" w:rsidR="00081BF2" w:rsidRPr="004454B6" w:rsidRDefault="00A40519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cstheme="minorHAnsi"/>
          <w:color w:val="000000" w:themeColor="text1"/>
        </w:rPr>
        <w:t>Dále</w:t>
      </w:r>
      <w:r w:rsidR="007D5955" w:rsidRPr="004454B6">
        <w:rPr>
          <w:rFonts w:cstheme="minorHAnsi"/>
          <w:color w:val="000000" w:themeColor="text1"/>
        </w:rPr>
        <w:t xml:space="preserve"> </w:t>
      </w:r>
      <w:r w:rsidR="003B3785" w:rsidRPr="004454B6">
        <w:rPr>
          <w:rFonts w:cstheme="minorHAnsi"/>
          <w:color w:val="000000" w:themeColor="text1"/>
        </w:rPr>
        <w:t>MD stanovilo</w:t>
      </w:r>
      <w:r w:rsidRPr="004454B6">
        <w:rPr>
          <w:rFonts w:cstheme="minorHAnsi"/>
          <w:color w:val="000000" w:themeColor="text1"/>
        </w:rPr>
        <w:t xml:space="preserve"> parametr</w:t>
      </w:r>
      <w:r w:rsidR="007D5955" w:rsidRPr="004454B6">
        <w:rPr>
          <w:rFonts w:cstheme="minorHAnsi"/>
          <w:i/>
          <w:color w:val="000000" w:themeColor="text1"/>
        </w:rPr>
        <w:t xml:space="preserve"> </w:t>
      </w:r>
      <w:r w:rsidR="001B45BA">
        <w:rPr>
          <w:rFonts w:cstheme="minorHAnsi"/>
          <w:i/>
          <w:color w:val="000000" w:themeColor="text1"/>
        </w:rPr>
        <w:t>p</w:t>
      </w:r>
      <w:r w:rsidR="007D5955" w:rsidRPr="004454B6">
        <w:rPr>
          <w:rFonts w:cstheme="minorHAnsi"/>
          <w:i/>
          <w:color w:val="000000" w:themeColor="text1"/>
        </w:rPr>
        <w:t>očet cestujících MHD v elektrické trakci (v mil. osob/rok</w:t>
      </w:r>
      <w:r w:rsidR="007D5955" w:rsidRPr="004454B6">
        <w:rPr>
          <w:rFonts w:cstheme="minorHAnsi"/>
          <w:color w:val="000000" w:themeColor="text1"/>
        </w:rPr>
        <w:t xml:space="preserve">), který má vazbu na </w:t>
      </w:r>
      <w:r w:rsidR="006F41CF" w:rsidRPr="004454B6">
        <w:rPr>
          <w:rFonts w:asciiTheme="minorHAnsi" w:hAnsiTheme="minorHAnsi" w:cstheme="minorHAnsi"/>
          <w:color w:val="000000" w:themeColor="text1"/>
        </w:rPr>
        <w:t xml:space="preserve">zvyšování konkurenceschopnosti veřejné dopravy vůči individuální automobilové dopravě. </w:t>
      </w:r>
      <w:r w:rsidR="003B3785" w:rsidRPr="004454B6">
        <w:rPr>
          <w:rFonts w:asciiTheme="minorHAnsi" w:hAnsiTheme="minorHAnsi" w:cstheme="minorHAnsi"/>
          <w:color w:val="000000" w:themeColor="text1"/>
        </w:rPr>
        <w:t>Po</w:t>
      </w:r>
      <w:r w:rsidRPr="004454B6">
        <w:rPr>
          <w:rFonts w:asciiTheme="minorHAnsi" w:hAnsiTheme="minorHAnsi" w:cstheme="minorHAnsi"/>
          <w:color w:val="000000" w:themeColor="text1"/>
        </w:rPr>
        <w:t>mocí tohoto parametru</w:t>
      </w:r>
      <w:r w:rsidR="006F41CF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3B3785" w:rsidRPr="004454B6">
        <w:rPr>
          <w:rFonts w:asciiTheme="minorHAnsi" w:hAnsiTheme="minorHAnsi" w:cstheme="minorHAnsi"/>
          <w:color w:val="000000" w:themeColor="text1"/>
        </w:rPr>
        <w:t>lze porovnat</w:t>
      </w:r>
      <w:r w:rsidR="006F41CF" w:rsidRPr="004454B6">
        <w:rPr>
          <w:rFonts w:asciiTheme="minorHAnsi" w:hAnsiTheme="minorHAnsi" w:cstheme="minorHAnsi"/>
          <w:color w:val="000000" w:themeColor="text1"/>
        </w:rPr>
        <w:t xml:space="preserve"> výchozí hodnotu a cílovou hodnotu</w:t>
      </w:r>
      <w:r w:rsidR="003B3785" w:rsidRPr="004454B6">
        <w:rPr>
          <w:rFonts w:asciiTheme="minorHAnsi" w:hAnsiTheme="minorHAnsi" w:cstheme="minorHAnsi"/>
          <w:color w:val="000000" w:themeColor="text1"/>
        </w:rPr>
        <w:t>, tj.</w:t>
      </w:r>
      <w:r w:rsidR="001B45BA">
        <w:rPr>
          <w:rFonts w:asciiTheme="minorHAnsi" w:hAnsiTheme="minorHAnsi" w:cstheme="minorHAnsi"/>
          <w:color w:val="000000" w:themeColor="text1"/>
        </w:rPr>
        <w:t> </w:t>
      </w:r>
      <w:r w:rsidR="003B3785" w:rsidRPr="004454B6">
        <w:rPr>
          <w:rFonts w:asciiTheme="minorHAnsi" w:hAnsiTheme="minorHAnsi" w:cstheme="minorHAnsi"/>
          <w:color w:val="000000" w:themeColor="text1"/>
        </w:rPr>
        <w:t>nárůst</w:t>
      </w:r>
      <w:r w:rsidR="006F41CF" w:rsidRPr="004454B6">
        <w:rPr>
          <w:rFonts w:asciiTheme="minorHAnsi" w:hAnsiTheme="minorHAnsi" w:cstheme="minorHAnsi"/>
          <w:color w:val="000000" w:themeColor="text1"/>
        </w:rPr>
        <w:t xml:space="preserve"> osob ve veřejné dopravě. </w:t>
      </w:r>
      <w:r w:rsidRPr="004454B6">
        <w:rPr>
          <w:rFonts w:asciiTheme="minorHAnsi" w:hAnsiTheme="minorHAnsi" w:cstheme="minorHAnsi"/>
          <w:color w:val="000000" w:themeColor="text1"/>
        </w:rPr>
        <w:t xml:space="preserve">Parametr </w:t>
      </w:r>
      <w:r w:rsidR="003B3785" w:rsidRPr="004454B6">
        <w:rPr>
          <w:rFonts w:asciiTheme="minorHAnsi" w:hAnsiTheme="minorHAnsi" w:cstheme="minorHAnsi"/>
          <w:color w:val="000000" w:themeColor="text1"/>
        </w:rPr>
        <w:t>a</w:t>
      </w:r>
      <w:r w:rsidR="006F41CF" w:rsidRPr="004454B6">
        <w:rPr>
          <w:rFonts w:asciiTheme="minorHAnsi" w:hAnsiTheme="minorHAnsi" w:cstheme="minorHAnsi"/>
          <w:color w:val="000000" w:themeColor="text1"/>
        </w:rPr>
        <w:t xml:space="preserve">le </w:t>
      </w:r>
      <w:r w:rsidR="00A72767" w:rsidRPr="004454B6">
        <w:rPr>
          <w:rFonts w:asciiTheme="minorHAnsi" w:hAnsiTheme="minorHAnsi" w:cstheme="minorHAnsi"/>
          <w:color w:val="000000" w:themeColor="text1"/>
        </w:rPr>
        <w:t xml:space="preserve">neumožní </w:t>
      </w:r>
      <w:r w:rsidR="005E7282" w:rsidRPr="004454B6">
        <w:rPr>
          <w:rFonts w:asciiTheme="minorHAnsi" w:hAnsiTheme="minorHAnsi" w:cstheme="minorHAnsi"/>
          <w:color w:val="000000" w:themeColor="text1"/>
        </w:rPr>
        <w:t xml:space="preserve">plně </w:t>
      </w:r>
      <w:r w:rsidR="00A72767" w:rsidRPr="004454B6">
        <w:rPr>
          <w:rFonts w:asciiTheme="minorHAnsi" w:hAnsiTheme="minorHAnsi" w:cstheme="minorHAnsi"/>
          <w:color w:val="000000" w:themeColor="text1"/>
        </w:rPr>
        <w:t>vyhodnotit</w:t>
      </w:r>
      <w:r w:rsidR="003B3785" w:rsidRPr="004454B6">
        <w:rPr>
          <w:rFonts w:asciiTheme="minorHAnsi" w:hAnsiTheme="minorHAnsi" w:cstheme="minorHAnsi"/>
          <w:color w:val="000000" w:themeColor="text1"/>
        </w:rPr>
        <w:t xml:space="preserve"> cíl podpory</w:t>
      </w:r>
      <w:r w:rsidR="00081BF2" w:rsidRPr="004454B6">
        <w:rPr>
          <w:rFonts w:asciiTheme="minorHAnsi" w:hAnsiTheme="minorHAnsi" w:cstheme="minorHAnsi"/>
          <w:color w:val="000000" w:themeColor="text1"/>
        </w:rPr>
        <w:t>, kterým je zvýšení</w:t>
      </w:r>
      <w:r w:rsidR="005E7282" w:rsidRPr="004454B6">
        <w:rPr>
          <w:rFonts w:asciiTheme="minorHAnsi" w:hAnsiTheme="minorHAnsi" w:cstheme="minorHAnsi"/>
          <w:color w:val="000000" w:themeColor="text1"/>
        </w:rPr>
        <w:t xml:space="preserve"> konkurenceschopnost</w:t>
      </w:r>
      <w:r w:rsidR="00081BF2" w:rsidRPr="004454B6">
        <w:rPr>
          <w:rFonts w:asciiTheme="minorHAnsi" w:hAnsiTheme="minorHAnsi" w:cstheme="minorHAnsi"/>
          <w:color w:val="000000" w:themeColor="text1"/>
        </w:rPr>
        <w:t>i</w:t>
      </w:r>
      <w:r w:rsidR="005E7282" w:rsidRPr="004454B6">
        <w:rPr>
          <w:rFonts w:asciiTheme="minorHAnsi" w:hAnsiTheme="minorHAnsi" w:cstheme="minorHAnsi"/>
          <w:color w:val="000000" w:themeColor="text1"/>
        </w:rPr>
        <w:t xml:space="preserve"> veřejné dopravy vůči automobilové</w:t>
      </w:r>
      <w:r w:rsidR="003B3785" w:rsidRPr="004454B6">
        <w:rPr>
          <w:rFonts w:asciiTheme="minorHAnsi" w:hAnsiTheme="minorHAnsi" w:cstheme="minorHAnsi"/>
          <w:color w:val="000000" w:themeColor="text1"/>
        </w:rPr>
        <w:t>, tj.</w:t>
      </w:r>
      <w:r w:rsidR="00860114" w:rsidRPr="004454B6">
        <w:rPr>
          <w:rFonts w:asciiTheme="minorHAnsi" w:hAnsiTheme="minorHAnsi" w:cstheme="minorHAnsi"/>
          <w:color w:val="000000" w:themeColor="text1"/>
        </w:rPr>
        <w:t xml:space="preserve"> vyčíslit</w:t>
      </w:r>
      <w:r w:rsidR="003B3785" w:rsidRPr="004454B6">
        <w:rPr>
          <w:rFonts w:asciiTheme="minorHAnsi" w:hAnsiTheme="minorHAnsi" w:cstheme="minorHAnsi"/>
          <w:color w:val="000000" w:themeColor="text1"/>
        </w:rPr>
        <w:t xml:space="preserve"> zda, případně v jaké míře, došlo </w:t>
      </w:r>
      <w:r w:rsidR="00081BF2" w:rsidRPr="004454B6">
        <w:rPr>
          <w:rFonts w:asciiTheme="minorHAnsi" w:hAnsiTheme="minorHAnsi" w:cstheme="minorHAnsi"/>
          <w:color w:val="000000" w:themeColor="text1"/>
        </w:rPr>
        <w:t xml:space="preserve">vlivem podpory </w:t>
      </w:r>
      <w:r w:rsidR="00860114" w:rsidRPr="004454B6">
        <w:rPr>
          <w:rFonts w:asciiTheme="minorHAnsi" w:hAnsiTheme="minorHAnsi" w:cstheme="minorHAnsi"/>
          <w:color w:val="000000" w:themeColor="text1"/>
        </w:rPr>
        <w:t>ke snížení využívání automobilové dopravy</w:t>
      </w:r>
      <w:r w:rsidR="00DA4731" w:rsidRPr="004454B6">
        <w:rPr>
          <w:rFonts w:asciiTheme="minorHAnsi" w:hAnsiTheme="minorHAnsi" w:cstheme="minorHAnsi"/>
          <w:color w:val="000000" w:themeColor="text1"/>
        </w:rPr>
        <w:t xml:space="preserve"> ve městech</w:t>
      </w:r>
      <w:r w:rsidR="00860114" w:rsidRPr="004454B6">
        <w:rPr>
          <w:rFonts w:asciiTheme="minorHAnsi" w:hAnsiTheme="minorHAnsi" w:cstheme="minorHAnsi"/>
          <w:color w:val="000000" w:themeColor="text1"/>
        </w:rPr>
        <w:t>.</w:t>
      </w:r>
      <w:r w:rsidRPr="004454B6">
        <w:rPr>
          <w:rFonts w:asciiTheme="minorHAnsi" w:hAnsiTheme="minorHAnsi" w:cstheme="minorHAnsi"/>
          <w:color w:val="000000" w:themeColor="text1"/>
        </w:rPr>
        <w:t xml:space="preserve"> Navíc parametr </w:t>
      </w:r>
      <w:r w:rsidR="001B45BA">
        <w:rPr>
          <w:rFonts w:cstheme="minorHAnsi"/>
          <w:i/>
          <w:color w:val="000000" w:themeColor="text1"/>
        </w:rPr>
        <w:t>p</w:t>
      </w:r>
      <w:r w:rsidR="00081BF2" w:rsidRPr="004454B6">
        <w:rPr>
          <w:rFonts w:cstheme="minorHAnsi"/>
          <w:i/>
          <w:color w:val="000000" w:themeColor="text1"/>
        </w:rPr>
        <w:t xml:space="preserve">očet cestujících MHD v elektrické trakci </w:t>
      </w:r>
      <w:r w:rsidR="00081BF2" w:rsidRPr="004454B6">
        <w:rPr>
          <w:rFonts w:cstheme="minorHAnsi"/>
          <w:color w:val="000000" w:themeColor="text1"/>
        </w:rPr>
        <w:t>b</w:t>
      </w:r>
      <w:r w:rsidR="00081BF2" w:rsidRPr="004454B6">
        <w:rPr>
          <w:rFonts w:asciiTheme="minorHAnsi" w:hAnsiTheme="minorHAnsi" w:cstheme="minorHAnsi"/>
          <w:color w:val="000000" w:themeColor="text1"/>
        </w:rPr>
        <w:t>yl z 12 kontrolovaných projektů sledován pouze u jednoho projektu.</w:t>
      </w:r>
    </w:p>
    <w:p w14:paraId="5B91BC66" w14:textId="77777777" w:rsidR="00ED648F" w:rsidRPr="004454B6" w:rsidRDefault="00A85841" w:rsidP="003E008A">
      <w:pPr>
        <w:keepNext/>
        <w:spacing w:after="120"/>
        <w:jc w:val="left"/>
        <w:rPr>
          <w:b/>
          <w:color w:val="000000" w:themeColor="text1"/>
        </w:rPr>
      </w:pPr>
      <w:r w:rsidRPr="004454B6">
        <w:rPr>
          <w:b/>
          <w:color w:val="000000" w:themeColor="text1"/>
        </w:rPr>
        <w:t>K</w:t>
      </w:r>
      <w:r w:rsidR="00013E20" w:rsidRPr="004454B6">
        <w:rPr>
          <w:b/>
          <w:color w:val="000000" w:themeColor="text1"/>
        </w:rPr>
        <w:t xml:space="preserve">onkrétní </w:t>
      </w:r>
      <w:r w:rsidR="0040755C" w:rsidRPr="004454B6">
        <w:rPr>
          <w:b/>
          <w:color w:val="000000" w:themeColor="text1"/>
        </w:rPr>
        <w:t xml:space="preserve">způsob </w:t>
      </w:r>
      <w:r w:rsidRPr="004454B6">
        <w:rPr>
          <w:b/>
          <w:color w:val="000000" w:themeColor="text1"/>
        </w:rPr>
        <w:t xml:space="preserve">průkazného </w:t>
      </w:r>
      <w:r w:rsidR="0040755C" w:rsidRPr="004454B6">
        <w:rPr>
          <w:b/>
          <w:color w:val="000000" w:themeColor="text1"/>
        </w:rPr>
        <w:t>hodnocení</w:t>
      </w:r>
      <w:r w:rsidR="00ED4FDA" w:rsidRPr="004454B6">
        <w:rPr>
          <w:b/>
          <w:color w:val="000000" w:themeColor="text1"/>
        </w:rPr>
        <w:t xml:space="preserve"> </w:t>
      </w:r>
      <w:r w:rsidR="009C77DE" w:rsidRPr="004454B6">
        <w:rPr>
          <w:b/>
          <w:color w:val="000000" w:themeColor="text1"/>
        </w:rPr>
        <w:t xml:space="preserve">skutečných </w:t>
      </w:r>
      <w:r w:rsidR="00ED4FDA" w:rsidRPr="004454B6">
        <w:rPr>
          <w:b/>
          <w:color w:val="000000" w:themeColor="text1"/>
        </w:rPr>
        <w:t xml:space="preserve">přínosů </w:t>
      </w:r>
      <w:r w:rsidR="009C77DE" w:rsidRPr="004454B6">
        <w:rPr>
          <w:b/>
          <w:color w:val="000000" w:themeColor="text1"/>
        </w:rPr>
        <w:t xml:space="preserve">a </w:t>
      </w:r>
      <w:r w:rsidR="00A07F89" w:rsidRPr="004454B6">
        <w:rPr>
          <w:b/>
          <w:color w:val="000000" w:themeColor="text1"/>
        </w:rPr>
        <w:t xml:space="preserve">ověření </w:t>
      </w:r>
      <w:r w:rsidR="009C77DE" w:rsidRPr="004454B6">
        <w:rPr>
          <w:b/>
          <w:color w:val="000000" w:themeColor="text1"/>
        </w:rPr>
        <w:t xml:space="preserve">efektivnosti </w:t>
      </w:r>
      <w:r w:rsidR="00ED4FDA" w:rsidRPr="004454B6">
        <w:rPr>
          <w:b/>
          <w:color w:val="000000" w:themeColor="text1"/>
        </w:rPr>
        <w:t xml:space="preserve">podpory </w:t>
      </w:r>
      <w:r w:rsidRPr="004454B6">
        <w:rPr>
          <w:b/>
          <w:color w:val="000000" w:themeColor="text1"/>
        </w:rPr>
        <w:t>ne</w:t>
      </w:r>
      <w:r w:rsidR="00917C9E" w:rsidRPr="004454B6">
        <w:rPr>
          <w:b/>
          <w:color w:val="000000" w:themeColor="text1"/>
        </w:rPr>
        <w:t>ní</w:t>
      </w:r>
      <w:r w:rsidRPr="004454B6">
        <w:rPr>
          <w:b/>
          <w:color w:val="000000" w:themeColor="text1"/>
        </w:rPr>
        <w:t xml:space="preserve"> stanoven</w:t>
      </w:r>
    </w:p>
    <w:p w14:paraId="00F58E38" w14:textId="28A4EF9B" w:rsidR="00094E4C" w:rsidRPr="004454B6" w:rsidRDefault="00BC6A62" w:rsidP="004454B6">
      <w:pPr>
        <w:spacing w:after="120"/>
        <w:rPr>
          <w:rFonts w:cstheme="minorHAnsi"/>
          <w:color w:val="000000" w:themeColor="text1"/>
        </w:rPr>
      </w:pPr>
      <w:r w:rsidRPr="004454B6">
        <w:rPr>
          <w:rFonts w:cstheme="minorHAnsi"/>
          <w:color w:val="000000" w:themeColor="text1"/>
        </w:rPr>
        <w:t>V rámci kontroly koncepční činnosti MD</w:t>
      </w:r>
      <w:r w:rsidR="00C50F66" w:rsidRPr="004454B6">
        <w:rPr>
          <w:rFonts w:cstheme="minorHAnsi"/>
          <w:color w:val="000000" w:themeColor="text1"/>
        </w:rPr>
        <w:t xml:space="preserve"> ověřoval NKÚ</w:t>
      </w:r>
      <w:r w:rsidR="00094E4C" w:rsidRPr="004454B6">
        <w:rPr>
          <w:rFonts w:cstheme="minorHAnsi"/>
          <w:color w:val="000000" w:themeColor="text1"/>
        </w:rPr>
        <w:t xml:space="preserve">, zda MD </w:t>
      </w:r>
      <w:r w:rsidR="0092643B" w:rsidRPr="004454B6">
        <w:rPr>
          <w:rFonts w:cstheme="minorHAnsi"/>
          <w:color w:val="000000" w:themeColor="text1"/>
        </w:rPr>
        <w:t>stanovilo</w:t>
      </w:r>
      <w:r w:rsidR="00603B15" w:rsidRPr="004454B6">
        <w:rPr>
          <w:rFonts w:cstheme="minorHAnsi"/>
          <w:color w:val="000000" w:themeColor="text1"/>
        </w:rPr>
        <w:t xml:space="preserve"> jednoznačný p</w:t>
      </w:r>
      <w:r w:rsidR="0092643B" w:rsidRPr="004454B6">
        <w:rPr>
          <w:rFonts w:cstheme="minorHAnsi"/>
          <w:color w:val="000000" w:themeColor="text1"/>
        </w:rPr>
        <w:t>o</w:t>
      </w:r>
      <w:r w:rsidR="00603B15" w:rsidRPr="004454B6">
        <w:rPr>
          <w:rFonts w:cstheme="minorHAnsi"/>
          <w:color w:val="000000" w:themeColor="text1"/>
        </w:rPr>
        <w:t xml:space="preserve">stup, </w:t>
      </w:r>
      <w:r w:rsidR="00094E4C" w:rsidRPr="004454B6">
        <w:rPr>
          <w:rFonts w:cstheme="minorHAnsi"/>
          <w:color w:val="000000" w:themeColor="text1"/>
        </w:rPr>
        <w:t xml:space="preserve">na </w:t>
      </w:r>
      <w:r w:rsidR="00A33C51">
        <w:rPr>
          <w:rFonts w:cstheme="minorHAnsi"/>
          <w:color w:val="000000" w:themeColor="text1"/>
        </w:rPr>
        <w:t xml:space="preserve">jehož </w:t>
      </w:r>
      <w:r w:rsidR="00094E4C" w:rsidRPr="004454B6">
        <w:rPr>
          <w:rFonts w:cstheme="minorHAnsi"/>
          <w:color w:val="000000" w:themeColor="text1"/>
        </w:rPr>
        <w:t xml:space="preserve">základě </w:t>
      </w:r>
      <w:r w:rsidR="00A33C51">
        <w:rPr>
          <w:rFonts w:cstheme="minorHAnsi"/>
          <w:color w:val="000000" w:themeColor="text1"/>
        </w:rPr>
        <w:t>by bylo</w:t>
      </w:r>
      <w:r w:rsidR="00094E4C" w:rsidRPr="004454B6">
        <w:rPr>
          <w:rFonts w:cstheme="minorHAnsi"/>
          <w:color w:val="000000" w:themeColor="text1"/>
        </w:rPr>
        <w:t xml:space="preserve"> sch</w:t>
      </w:r>
      <w:r w:rsidR="0092643B" w:rsidRPr="004454B6">
        <w:rPr>
          <w:rFonts w:cstheme="minorHAnsi"/>
          <w:color w:val="000000" w:themeColor="text1"/>
        </w:rPr>
        <w:t>opno vyhodnotit přínosy projektů</w:t>
      </w:r>
      <w:r w:rsidR="00094E4C" w:rsidRPr="004454B6">
        <w:rPr>
          <w:rFonts w:cstheme="minorHAnsi"/>
          <w:color w:val="000000" w:themeColor="text1"/>
        </w:rPr>
        <w:t xml:space="preserve"> po realizaci.</w:t>
      </w:r>
    </w:p>
    <w:p w14:paraId="675DA2CE" w14:textId="73B02D20" w:rsidR="00ED648F" w:rsidRPr="004454B6" w:rsidRDefault="00BC6A62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 xml:space="preserve">K </w:t>
      </w:r>
      <w:r w:rsidR="00ED648F" w:rsidRPr="004454B6">
        <w:rPr>
          <w:rFonts w:asciiTheme="minorHAnsi" w:hAnsiTheme="minorHAnsi" w:cstheme="minorHAnsi"/>
          <w:color w:val="000000" w:themeColor="text1"/>
        </w:rPr>
        <w:t xml:space="preserve">31. říjnu 2020 bylo z 12 kontrolovaných projektů </w:t>
      </w:r>
      <w:r w:rsidR="007875CE" w:rsidRPr="004454B6">
        <w:rPr>
          <w:rFonts w:asciiTheme="minorHAnsi" w:hAnsiTheme="minorHAnsi" w:cstheme="minorHAnsi"/>
          <w:color w:val="000000" w:themeColor="text1"/>
        </w:rPr>
        <w:t xml:space="preserve">ukončeno </w:t>
      </w:r>
      <w:r w:rsidR="00ED648F" w:rsidRPr="004454B6">
        <w:rPr>
          <w:rFonts w:asciiTheme="minorHAnsi" w:hAnsiTheme="minorHAnsi" w:cstheme="minorHAnsi"/>
          <w:color w:val="000000" w:themeColor="text1"/>
        </w:rPr>
        <w:t xml:space="preserve">celkem </w:t>
      </w:r>
      <w:r w:rsidR="00264271" w:rsidRPr="004454B6">
        <w:rPr>
          <w:rFonts w:asciiTheme="minorHAnsi" w:hAnsiTheme="minorHAnsi" w:cstheme="minorHAnsi"/>
          <w:color w:val="000000" w:themeColor="text1"/>
        </w:rPr>
        <w:t>šest</w:t>
      </w:r>
      <w:r w:rsidR="00ED648F" w:rsidRPr="004454B6">
        <w:rPr>
          <w:rFonts w:asciiTheme="minorHAnsi" w:hAnsiTheme="minorHAnsi" w:cstheme="minorHAnsi"/>
          <w:color w:val="000000" w:themeColor="text1"/>
        </w:rPr>
        <w:t xml:space="preserve"> projektů. Závěrečné zprávy těchto projektů obsahovaly popis realizace projektů, jejich skutečné celkové náklady, dosažení (plnění) hodnot stanovených ukazatelů, informaci o příjmech</w:t>
      </w:r>
      <w:r w:rsidR="000F5DBE" w:rsidRPr="004454B6">
        <w:rPr>
          <w:rFonts w:asciiTheme="minorHAnsi" w:hAnsiTheme="minorHAnsi" w:cstheme="minorHAnsi"/>
          <w:color w:val="000000" w:themeColor="text1"/>
        </w:rPr>
        <w:t xml:space="preserve"> projektů</w:t>
      </w:r>
      <w:r w:rsidR="00ED648F" w:rsidRPr="004454B6">
        <w:rPr>
          <w:rFonts w:asciiTheme="minorHAnsi" w:hAnsiTheme="minorHAnsi" w:cstheme="minorHAnsi"/>
          <w:color w:val="000000" w:themeColor="text1"/>
        </w:rPr>
        <w:t xml:space="preserve"> za sledované období, splnění publicity, identifikaci problémů a jejich řešení</w:t>
      </w:r>
      <w:r w:rsidR="00013E20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ED648F" w:rsidRPr="004454B6">
        <w:rPr>
          <w:rFonts w:asciiTheme="minorHAnsi" w:hAnsiTheme="minorHAnsi" w:cstheme="minorHAnsi"/>
          <w:color w:val="000000" w:themeColor="text1"/>
        </w:rPr>
        <w:t>apod.</w:t>
      </w:r>
      <w:r w:rsidR="000F5DBE" w:rsidRPr="004454B6">
        <w:rPr>
          <w:rFonts w:asciiTheme="minorHAnsi" w:hAnsiTheme="minorHAnsi" w:cstheme="minorHAnsi"/>
          <w:color w:val="000000" w:themeColor="text1"/>
        </w:rPr>
        <w:t xml:space="preserve"> Informace o</w:t>
      </w:r>
      <w:r w:rsidR="007875CE">
        <w:rPr>
          <w:rFonts w:asciiTheme="minorHAnsi" w:hAnsiTheme="minorHAnsi" w:cstheme="minorHAnsi"/>
          <w:color w:val="000000" w:themeColor="text1"/>
        </w:rPr>
        <w:t> </w:t>
      </w:r>
      <w:r w:rsidR="000F5DBE" w:rsidRPr="004454B6">
        <w:rPr>
          <w:rFonts w:asciiTheme="minorHAnsi" w:hAnsiTheme="minorHAnsi" w:cstheme="minorHAnsi"/>
          <w:color w:val="000000" w:themeColor="text1"/>
        </w:rPr>
        <w:t>plnění cílů a</w:t>
      </w:r>
      <w:r w:rsidR="00313916">
        <w:rPr>
          <w:rFonts w:asciiTheme="minorHAnsi" w:hAnsiTheme="minorHAnsi" w:cstheme="minorHAnsi"/>
          <w:color w:val="000000" w:themeColor="text1"/>
        </w:rPr>
        <w:t> </w:t>
      </w:r>
      <w:r w:rsidR="000F5DBE" w:rsidRPr="004454B6">
        <w:rPr>
          <w:rFonts w:asciiTheme="minorHAnsi" w:hAnsiTheme="minorHAnsi" w:cstheme="minorHAnsi"/>
          <w:color w:val="000000" w:themeColor="text1"/>
        </w:rPr>
        <w:t xml:space="preserve">očekávaných přínosů podpory tyto zprávy neobsahovaly. </w:t>
      </w:r>
      <w:r w:rsidR="0092643B" w:rsidRPr="004454B6">
        <w:rPr>
          <w:rFonts w:asciiTheme="minorHAnsi" w:hAnsiTheme="minorHAnsi" w:cstheme="minorHAnsi"/>
          <w:color w:val="000000" w:themeColor="text1"/>
        </w:rPr>
        <w:t>MD</w:t>
      </w:r>
      <w:r w:rsidR="00E62A8D" w:rsidRPr="004454B6">
        <w:rPr>
          <w:rFonts w:asciiTheme="minorHAnsi" w:hAnsiTheme="minorHAnsi" w:cstheme="minorHAnsi"/>
          <w:color w:val="000000" w:themeColor="text1"/>
        </w:rPr>
        <w:t xml:space="preserve"> tyto informace v</w:t>
      </w:r>
      <w:r w:rsidR="007875CE">
        <w:rPr>
          <w:rFonts w:asciiTheme="minorHAnsi" w:hAnsiTheme="minorHAnsi" w:cstheme="minorHAnsi"/>
          <w:color w:val="000000" w:themeColor="text1"/>
        </w:rPr>
        <w:t> </w:t>
      </w:r>
      <w:r w:rsidR="00E62A8D" w:rsidRPr="004454B6">
        <w:rPr>
          <w:rFonts w:asciiTheme="minorHAnsi" w:hAnsiTheme="minorHAnsi" w:cstheme="minorHAnsi"/>
          <w:color w:val="000000" w:themeColor="text1"/>
        </w:rPr>
        <w:t>z</w:t>
      </w:r>
      <w:r w:rsidR="0092643B" w:rsidRPr="004454B6">
        <w:rPr>
          <w:rFonts w:asciiTheme="minorHAnsi" w:hAnsiTheme="minorHAnsi" w:cstheme="minorHAnsi"/>
          <w:color w:val="000000" w:themeColor="text1"/>
        </w:rPr>
        <w:t>ávěrečných zprávách nepožadovalo.</w:t>
      </w:r>
    </w:p>
    <w:p w14:paraId="0E3B95FA" w14:textId="627D99A3" w:rsidR="007A585B" w:rsidRPr="004454B6" w:rsidRDefault="00687D36" w:rsidP="004454B6">
      <w:pPr>
        <w:pStyle w:val="Zkladntext1"/>
        <w:widowControl/>
        <w:shd w:val="clear" w:color="auto" w:fill="auto"/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vyhodnocení přínosů vybraných projektů ve specifickém cíli 1.4 bude zaměřena evaluace „Hodnocení vlivu OPD2 na rozvoj vybraných aglomerací“. Tato evaluace je zanesena v </w:t>
      </w:r>
      <w:r w:rsidR="00A33C51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lánu hodnocení </w:t>
      </w:r>
      <w:r w:rsidR="00A33C51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pe</w:t>
      </w:r>
      <w:r w:rsidR="0029604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račního programu </w:t>
      </w:r>
      <w:r w:rsidR="0029604B" w:rsidRPr="003E46E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Doprava 2014–</w:t>
      </w:r>
      <w:r w:rsidR="00ED648F" w:rsidRPr="003E46E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2020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(evaluačním plánu), který byl schválen ze strany </w:t>
      </w:r>
      <w:r w:rsidR="00A33C5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onitorovacího výboru OPD. Předpokládaný termín realizace této evaluace je v roce 2021</w:t>
      </w:r>
      <w:r w:rsidR="00413D05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(pravděpodobněji až v roce 2022)</w:t>
      </w:r>
      <w:r w:rsidR="000F5DB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. P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ožadavky na metodiku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evaluace</w:t>
      </w:r>
      <w:r w:rsidR="0052612A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která bude v rámci 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hodnocení aplikována, </w:t>
      </w:r>
      <w:r w:rsidR="000F5DB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mají být podle MD</w:t>
      </w:r>
      <w:r w:rsidR="00ED648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formulovány v zadávací dokumentaci na výběr externího evaluátora.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Podkladová data 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mají být převzata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projektové úrovni od žadatelů/příjemců </w:t>
      </w:r>
      <w:r w:rsidR="00BC45D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doplněna daty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pravidelně sledovanými statistickými organizacemi. </w:t>
      </w:r>
    </w:p>
    <w:p w14:paraId="1EF54E4C" w14:textId="05131C6F" w:rsidR="007A585B" w:rsidRPr="004454B6" w:rsidRDefault="00CA36FF" w:rsidP="004454B6">
      <w:pPr>
        <w:pStyle w:val="Zkladntext1"/>
        <w:widowControl/>
        <w:shd w:val="clear" w:color="auto" w:fill="auto"/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MD hodnotilo ekonomickou efektivnost projektů při posuzování žádostí o podporu pomocí výpočtu čisté současné hodnoty a vnitřním výnosovým procentem. U kontrolovaných podpořených </w:t>
      </w:r>
      <w:r w:rsidR="00413D05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projektů bylo ověřeno, že projekty splnily kritéria ekonomické efektivnosti, což bylo řádně zdokladováno. </w:t>
      </w:r>
      <w:r w:rsidR="000B3A4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V rámci hodnocení ekonomické efektivnosti bylo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např. </w:t>
      </w:r>
      <w:r w:rsidR="000B3A4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posuzováno i 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očekávané </w:t>
      </w:r>
      <w:r w:rsidR="000B3A4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zvýšení počtu cestujících na základě výstavby nové tratě (modernizace tratě), úspora přepravního (cestovního) času, odlehčení linek, které před výstavbou nové tratě zajištovaly danou přepravu osob, ochrana životního prostředí z důvodu, že byly nahrazeny autobusy, které zajišťovaly před výstavbou nové tramvajové tratě dopravní obslužnost</w:t>
      </w:r>
      <w:r w:rsidR="00A33C5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B3A4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cestující místo stávající individuální automobilové dopravy upřednostní novou</w:t>
      </w:r>
      <w:r w:rsidR="00A33C5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0B3A4F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popř. rekonstruovanou tramvajovou dopravu apod.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45D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MD konkrétně nevysvětlilo, jak bude ověřovat naplnění těchto předpokladů. </w:t>
      </w:r>
      <w:r w:rsidR="00287DD8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kutečné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výsledky 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a výstupy podpory budou v rámci evaluace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hodnoceny </w:t>
      </w:r>
      <w:r w:rsidR="00BC45D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 vztahu k předpokladům uvedeným v žádostech o podporu a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v širších socioekonomických souvislostech</w:t>
      </w:r>
      <w:r w:rsidR="00AF000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z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aměření a a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ktivity plánované evaluace bude MD upřesňovat </w:t>
      </w:r>
      <w:r w:rsidR="007A585B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podle možnosti získání reálných dat</w:t>
      </w:r>
      <w:r w:rsidR="009C77DE" w:rsidRPr="004454B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3C96F1C" w14:textId="77777777" w:rsidR="00646F62" w:rsidRPr="004454B6" w:rsidRDefault="00942438" w:rsidP="0001743C">
      <w:pPr>
        <w:pStyle w:val="Odstavecseseznamem"/>
        <w:keepNext/>
        <w:spacing w:after="120"/>
        <w:ind w:left="0"/>
        <w:contextualSpacing w:val="0"/>
        <w:jc w:val="left"/>
        <w:rPr>
          <w:rFonts w:cstheme="minorHAnsi"/>
          <w:b/>
          <w:color w:val="000000" w:themeColor="text1"/>
        </w:rPr>
      </w:pPr>
      <w:r w:rsidRPr="004454B6">
        <w:rPr>
          <w:rFonts w:cstheme="minorHAnsi"/>
          <w:b/>
          <w:color w:val="000000" w:themeColor="text1"/>
        </w:rPr>
        <w:t>P</w:t>
      </w:r>
      <w:r w:rsidR="00721E2B" w:rsidRPr="004454B6">
        <w:rPr>
          <w:rFonts w:cstheme="minorHAnsi"/>
          <w:b/>
          <w:color w:val="000000" w:themeColor="text1"/>
        </w:rPr>
        <w:t>ři</w:t>
      </w:r>
      <w:r w:rsidR="00A4400E" w:rsidRPr="004454B6">
        <w:rPr>
          <w:rFonts w:cstheme="minorHAnsi"/>
          <w:b/>
          <w:color w:val="000000" w:themeColor="text1"/>
        </w:rPr>
        <w:t>prav</w:t>
      </w:r>
      <w:r w:rsidR="00721E2B" w:rsidRPr="004454B6">
        <w:rPr>
          <w:rFonts w:cstheme="minorHAnsi"/>
          <w:b/>
          <w:color w:val="000000" w:themeColor="text1"/>
        </w:rPr>
        <w:t xml:space="preserve">enost </w:t>
      </w:r>
      <w:r w:rsidR="00A4400E" w:rsidRPr="004454B6">
        <w:rPr>
          <w:rFonts w:cstheme="minorHAnsi"/>
          <w:b/>
          <w:color w:val="000000" w:themeColor="text1"/>
        </w:rPr>
        <w:t>projektů</w:t>
      </w:r>
      <w:r w:rsidRPr="004454B6">
        <w:rPr>
          <w:rFonts w:cstheme="minorHAnsi"/>
          <w:b/>
          <w:color w:val="000000" w:themeColor="text1"/>
        </w:rPr>
        <w:t xml:space="preserve"> </w:t>
      </w:r>
      <w:r w:rsidR="00CC0AD6" w:rsidRPr="004454B6">
        <w:rPr>
          <w:rFonts w:cstheme="minorHAnsi"/>
          <w:b/>
          <w:color w:val="000000" w:themeColor="text1"/>
        </w:rPr>
        <w:t>byla nízká</w:t>
      </w:r>
    </w:p>
    <w:p w14:paraId="21B8532D" w14:textId="5818996D" w:rsidR="00646F62" w:rsidRPr="004454B6" w:rsidRDefault="00C50F66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>NKÚ prověřil</w:t>
      </w:r>
      <w:r w:rsidR="00094E4C" w:rsidRPr="004454B6">
        <w:rPr>
          <w:rFonts w:asciiTheme="minorHAnsi" w:hAnsiTheme="minorHAnsi" w:cstheme="minorHAnsi"/>
          <w:color w:val="000000" w:themeColor="text1"/>
        </w:rPr>
        <w:t>, zda je plánování a vyhlašování výzev prováděno včas a zda nedochází ke zpožďování ve vyhlašování výzev.</w:t>
      </w:r>
      <w:r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475200" w:rsidRPr="004454B6">
        <w:rPr>
          <w:rFonts w:asciiTheme="minorHAnsi" w:hAnsiTheme="minorHAnsi" w:cstheme="minorHAnsi"/>
          <w:color w:val="000000" w:themeColor="text1"/>
        </w:rPr>
        <w:t>MD vyhlásilo p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rvní kolo výzev </w:t>
      </w:r>
      <w:r w:rsidR="00C3137D" w:rsidRPr="004454B6">
        <w:rPr>
          <w:rFonts w:asciiTheme="minorHAnsi" w:hAnsiTheme="minorHAnsi" w:cstheme="minorHAnsi"/>
          <w:color w:val="000000" w:themeColor="text1"/>
        </w:rPr>
        <w:t>pro předkládání žádostí o </w:t>
      </w:r>
      <w:r w:rsidR="00475200" w:rsidRPr="004454B6">
        <w:rPr>
          <w:rFonts w:asciiTheme="minorHAnsi" w:hAnsiTheme="minorHAnsi" w:cstheme="minorHAnsi"/>
          <w:color w:val="000000" w:themeColor="text1"/>
        </w:rPr>
        <w:t>podporu (</w:t>
      </w:r>
      <w:r w:rsidR="00646F62" w:rsidRPr="004454B6">
        <w:rPr>
          <w:rFonts w:asciiTheme="minorHAnsi" w:hAnsiTheme="minorHAnsi" w:cstheme="minorHAnsi"/>
          <w:color w:val="000000" w:themeColor="text1"/>
        </w:rPr>
        <w:t>č. 16</w:t>
      </w:r>
      <w:r w:rsidR="00A33C51">
        <w:rPr>
          <w:rFonts w:asciiTheme="minorHAnsi" w:hAnsiTheme="minorHAnsi" w:cstheme="minorHAnsi"/>
          <w:color w:val="000000" w:themeColor="text1"/>
        </w:rPr>
        <w:t>–</w:t>
      </w:r>
      <w:r w:rsidR="00646F62" w:rsidRPr="004454B6">
        <w:rPr>
          <w:rFonts w:asciiTheme="minorHAnsi" w:hAnsiTheme="minorHAnsi" w:cstheme="minorHAnsi"/>
          <w:color w:val="000000" w:themeColor="text1"/>
        </w:rPr>
        <w:t>26</w:t>
      </w:r>
      <w:r w:rsidR="00475200" w:rsidRPr="004454B6">
        <w:rPr>
          <w:rFonts w:asciiTheme="minorHAnsi" w:hAnsiTheme="minorHAnsi" w:cstheme="minorHAnsi"/>
          <w:color w:val="000000" w:themeColor="text1"/>
        </w:rPr>
        <w:t>)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v rámci SC 1.4 </w:t>
      </w:r>
      <w:r w:rsidR="00475200" w:rsidRPr="004454B6">
        <w:rPr>
          <w:rFonts w:asciiTheme="minorHAnsi" w:hAnsiTheme="minorHAnsi" w:cstheme="minorHAnsi"/>
          <w:color w:val="000000" w:themeColor="text1"/>
        </w:rPr>
        <w:t>v srpnu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2016 s datem ukončení příjmů žádostí o podporu </w:t>
      </w:r>
      <w:r w:rsidR="00475200" w:rsidRPr="004454B6">
        <w:rPr>
          <w:rFonts w:asciiTheme="minorHAnsi" w:hAnsiTheme="minorHAnsi" w:cstheme="minorHAnsi"/>
          <w:color w:val="000000" w:themeColor="text1"/>
        </w:rPr>
        <w:t>do konce roku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2017. Nejzazší datum ukončení fyzické realizace bylo 31. prosince 2020. </w:t>
      </w:r>
      <w:r w:rsidR="00475200" w:rsidRPr="004454B6">
        <w:rPr>
          <w:rFonts w:asciiTheme="minorHAnsi" w:hAnsiTheme="minorHAnsi" w:cstheme="minorHAnsi"/>
          <w:color w:val="000000" w:themeColor="text1"/>
        </w:rPr>
        <w:t>Výzva byla vyhlášena s víc než ročním odstupem od schválení OPD</w:t>
      </w:r>
      <w:r w:rsidR="00EB3B65" w:rsidRPr="004454B6">
        <w:rPr>
          <w:rFonts w:asciiTheme="minorHAnsi" w:hAnsiTheme="minorHAnsi" w:cstheme="minorHAnsi"/>
          <w:color w:val="000000" w:themeColor="text1"/>
        </w:rPr>
        <w:t xml:space="preserve"> II</w:t>
      </w:r>
      <w:r w:rsidR="00475200" w:rsidRPr="004454B6">
        <w:rPr>
          <w:rFonts w:asciiTheme="minorHAnsi" w:hAnsiTheme="minorHAnsi" w:cstheme="minorHAnsi"/>
          <w:color w:val="000000" w:themeColor="text1"/>
        </w:rPr>
        <w:t xml:space="preserve">, což MD vysvětlilo 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povinností vyhlásit výzvy po </w:t>
      </w:r>
      <w:r w:rsidR="00264271" w:rsidRPr="004454B6">
        <w:rPr>
          <w:rFonts w:asciiTheme="minorHAnsi" w:hAnsiTheme="minorHAnsi" w:cstheme="minorHAnsi"/>
          <w:color w:val="000000" w:themeColor="text1"/>
        </w:rPr>
        <w:t>šesti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 měsících od schválení harmonogramu výzev, které se uskutečnilo v prosinci 2015.</w:t>
      </w:r>
    </w:p>
    <w:p w14:paraId="375B9C32" w14:textId="5EF7F2FC" w:rsidR="00EA1AD3" w:rsidRPr="004454B6" w:rsidRDefault="00646F62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 xml:space="preserve">Druhé kolo výzev </w:t>
      </w:r>
      <w:r w:rsidR="00ED65F4" w:rsidRPr="004454B6">
        <w:rPr>
          <w:rFonts w:asciiTheme="minorHAnsi" w:hAnsiTheme="minorHAnsi" w:cstheme="minorHAnsi"/>
          <w:color w:val="000000" w:themeColor="text1"/>
        </w:rPr>
        <w:t>(</w:t>
      </w:r>
      <w:r w:rsidRPr="004454B6">
        <w:rPr>
          <w:rFonts w:asciiTheme="minorHAnsi" w:hAnsiTheme="minorHAnsi" w:cstheme="minorHAnsi"/>
          <w:color w:val="000000" w:themeColor="text1"/>
        </w:rPr>
        <w:t>č. 53</w:t>
      </w:r>
      <w:r w:rsidR="00A33C51">
        <w:rPr>
          <w:rFonts w:asciiTheme="minorHAnsi" w:hAnsiTheme="minorHAnsi" w:cstheme="minorHAnsi"/>
          <w:color w:val="000000" w:themeColor="text1"/>
        </w:rPr>
        <w:t>–</w:t>
      </w:r>
      <w:r w:rsidRPr="004454B6">
        <w:rPr>
          <w:rFonts w:asciiTheme="minorHAnsi" w:hAnsiTheme="minorHAnsi" w:cstheme="minorHAnsi"/>
          <w:color w:val="000000" w:themeColor="text1"/>
        </w:rPr>
        <w:t>63</w:t>
      </w:r>
      <w:r w:rsidR="00ED65F4" w:rsidRPr="004454B6">
        <w:rPr>
          <w:rFonts w:asciiTheme="minorHAnsi" w:hAnsiTheme="minorHAnsi" w:cstheme="minorHAnsi"/>
          <w:color w:val="000000" w:themeColor="text1"/>
        </w:rPr>
        <w:t>) MD vyhlásilo v dubnu</w:t>
      </w:r>
      <w:r w:rsidRPr="004454B6">
        <w:rPr>
          <w:rFonts w:asciiTheme="minorHAnsi" w:hAnsiTheme="minorHAnsi" w:cstheme="minorHAnsi"/>
          <w:color w:val="000000" w:themeColor="text1"/>
        </w:rPr>
        <w:t xml:space="preserve"> 2018</w:t>
      </w:r>
      <w:r w:rsidR="00DF4F03" w:rsidRPr="004454B6">
        <w:rPr>
          <w:rFonts w:asciiTheme="minorHAnsi" w:hAnsiTheme="minorHAnsi" w:cstheme="minorHAnsi"/>
          <w:color w:val="000000" w:themeColor="text1"/>
        </w:rPr>
        <w:t>, což zdůvodnilo tím, že v prvním kole výzev byl</w:t>
      </w:r>
      <w:r w:rsidR="00CC0AD6" w:rsidRPr="004454B6">
        <w:rPr>
          <w:rFonts w:asciiTheme="minorHAnsi" w:hAnsiTheme="minorHAnsi" w:cstheme="minorHAnsi"/>
          <w:color w:val="000000" w:themeColor="text1"/>
        </w:rPr>
        <w:t xml:space="preserve">a připravenost </w:t>
      </w:r>
      <w:r w:rsidR="00DF4F03" w:rsidRPr="004454B6">
        <w:rPr>
          <w:rFonts w:asciiTheme="minorHAnsi" w:hAnsiTheme="minorHAnsi" w:cstheme="minorHAnsi"/>
          <w:color w:val="000000" w:themeColor="text1"/>
        </w:rPr>
        <w:t>projektů k okamžité realizaci nižší,</w:t>
      </w:r>
      <w:r w:rsidR="00C3137D" w:rsidRPr="004454B6">
        <w:rPr>
          <w:rFonts w:asciiTheme="minorHAnsi" w:hAnsiTheme="minorHAnsi" w:cstheme="minorHAnsi"/>
          <w:color w:val="000000" w:themeColor="text1"/>
        </w:rPr>
        <w:t xml:space="preserve"> než MD původně předpokládalo</w:t>
      </w:r>
      <w:r w:rsidR="00A33C51">
        <w:rPr>
          <w:rFonts w:asciiTheme="minorHAnsi" w:hAnsiTheme="minorHAnsi" w:cstheme="minorHAnsi"/>
          <w:color w:val="000000" w:themeColor="text1"/>
        </w:rPr>
        <w:t>,</w:t>
      </w:r>
      <w:r w:rsidR="00C3137D" w:rsidRPr="004454B6">
        <w:rPr>
          <w:rFonts w:asciiTheme="minorHAnsi" w:hAnsiTheme="minorHAnsi" w:cstheme="minorHAnsi"/>
          <w:color w:val="000000" w:themeColor="text1"/>
        </w:rPr>
        <w:t xml:space="preserve"> a </w:t>
      </w:r>
      <w:r w:rsidR="00DF4F03" w:rsidRPr="004454B6">
        <w:rPr>
          <w:rFonts w:asciiTheme="minorHAnsi" w:hAnsiTheme="minorHAnsi" w:cstheme="minorHAnsi"/>
          <w:color w:val="000000" w:themeColor="text1"/>
        </w:rPr>
        <w:t>tudíž ponechalo žadatelům více času, aby mohli připravit kvalitní projekty k realizaci v rámci druhé výzvy.</w:t>
      </w:r>
      <w:r w:rsidR="000B0DCF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CE5D08" w:rsidRPr="004454B6">
        <w:rPr>
          <w:rFonts w:asciiTheme="minorHAnsi" w:hAnsiTheme="minorHAnsi" w:cstheme="minorHAnsi"/>
          <w:color w:val="000000" w:themeColor="text1"/>
        </w:rPr>
        <w:t xml:space="preserve">Nepřipravenost kvalitních projektů dokládá skutečnost, </w:t>
      </w:r>
      <w:r w:rsidR="00EA1AD3" w:rsidRPr="004454B6">
        <w:rPr>
          <w:rFonts w:asciiTheme="minorHAnsi" w:hAnsiTheme="minorHAnsi" w:cstheme="minorHAnsi"/>
          <w:color w:val="000000" w:themeColor="text1"/>
        </w:rPr>
        <w:t>že v rámci prvního kola výzev z 11</w:t>
      </w:r>
      <w:r w:rsidR="00EA1AD3" w:rsidRPr="004454B6">
        <w:rPr>
          <w:rStyle w:val="Znakapoznpodarou"/>
          <w:rFonts w:asciiTheme="minorHAnsi" w:hAnsiTheme="minorHAnsi" w:cstheme="minorHAnsi"/>
          <w:color w:val="000000" w:themeColor="text1"/>
        </w:rPr>
        <w:footnoteReference w:id="11"/>
      </w:r>
      <w:r w:rsidR="00EA1AD3" w:rsidRPr="004454B6">
        <w:rPr>
          <w:rFonts w:asciiTheme="minorHAnsi" w:hAnsiTheme="minorHAnsi" w:cstheme="minorHAnsi"/>
          <w:color w:val="000000" w:themeColor="text1"/>
        </w:rPr>
        <w:t xml:space="preserve"> měst/aglomerací o podporu nepožádaly celkem čtyři. V rámci druhého kola výzev požádalo o podporu 12 měst/aglomerací. Posledn</w:t>
      </w:r>
      <w:r w:rsidR="00C3137D" w:rsidRPr="004454B6">
        <w:rPr>
          <w:rFonts w:asciiTheme="minorHAnsi" w:hAnsiTheme="minorHAnsi" w:cstheme="minorHAnsi"/>
          <w:color w:val="000000" w:themeColor="text1"/>
        </w:rPr>
        <w:t>í výzvu k předkládání žádostí o </w:t>
      </w:r>
      <w:r w:rsidR="00C25B25" w:rsidRPr="004454B6">
        <w:rPr>
          <w:rFonts w:asciiTheme="minorHAnsi" w:hAnsiTheme="minorHAnsi" w:cstheme="minorHAnsi"/>
          <w:color w:val="000000" w:themeColor="text1"/>
        </w:rPr>
        <w:t>podporu (č. </w:t>
      </w:r>
      <w:r w:rsidR="00EA1AD3" w:rsidRPr="004454B6">
        <w:rPr>
          <w:rFonts w:asciiTheme="minorHAnsi" w:hAnsiTheme="minorHAnsi" w:cstheme="minorHAnsi"/>
          <w:color w:val="000000" w:themeColor="text1"/>
        </w:rPr>
        <w:t xml:space="preserve">79) vyhlásilo </w:t>
      </w:r>
      <w:r w:rsidR="00267A23" w:rsidRPr="004454B6">
        <w:rPr>
          <w:rFonts w:asciiTheme="minorHAnsi" w:hAnsiTheme="minorHAnsi" w:cstheme="minorHAnsi"/>
          <w:color w:val="000000" w:themeColor="text1"/>
        </w:rPr>
        <w:t xml:space="preserve">MD </w:t>
      </w:r>
      <w:r w:rsidR="00EA1AD3" w:rsidRPr="004454B6">
        <w:rPr>
          <w:rFonts w:asciiTheme="minorHAnsi" w:hAnsiTheme="minorHAnsi" w:cstheme="minorHAnsi"/>
          <w:color w:val="000000" w:themeColor="text1"/>
        </w:rPr>
        <w:t>v srpnu 2019 pro Mariánské Lázně.</w:t>
      </w:r>
      <w:r w:rsidR="0007701E">
        <w:rPr>
          <w:rFonts w:asciiTheme="minorHAnsi" w:hAnsiTheme="minorHAnsi" w:cstheme="minorHAnsi"/>
          <w:color w:val="000000" w:themeColor="text1"/>
        </w:rPr>
        <w:t xml:space="preserve"> </w:t>
      </w:r>
      <w:r w:rsidR="00EA1AD3" w:rsidRPr="004454B6">
        <w:rPr>
          <w:rFonts w:asciiTheme="minorHAnsi" w:hAnsiTheme="minorHAnsi" w:cstheme="minorHAnsi"/>
          <w:color w:val="000000" w:themeColor="text1"/>
        </w:rPr>
        <w:t>Nejzazší datum pro ukončení fyzické realizace projektů je 31. prosince 2022</w:t>
      </w:r>
      <w:r w:rsidR="00653D8A" w:rsidRPr="004454B6">
        <w:rPr>
          <w:rStyle w:val="Znakapoznpodarou"/>
          <w:rFonts w:asciiTheme="minorHAnsi" w:hAnsiTheme="minorHAnsi" w:cstheme="minorHAnsi"/>
          <w:color w:val="000000" w:themeColor="text1"/>
        </w:rPr>
        <w:footnoteReference w:id="12"/>
      </w:r>
      <w:r w:rsidR="00EA1AD3" w:rsidRPr="004454B6">
        <w:rPr>
          <w:rFonts w:asciiTheme="minorHAnsi" w:hAnsiTheme="minorHAnsi" w:cstheme="minorHAnsi"/>
          <w:color w:val="000000" w:themeColor="text1"/>
        </w:rPr>
        <w:t xml:space="preserve">. </w:t>
      </w:r>
    </w:p>
    <w:p w14:paraId="50840281" w14:textId="2C5D300D" w:rsidR="00DF5FC5" w:rsidRPr="004454B6" w:rsidRDefault="000B0DCF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>MD dvakrát prodloužilo termín ukončení příjmu žádostí</w:t>
      </w:r>
      <w:r w:rsidR="00ED65F4" w:rsidRPr="004454B6">
        <w:rPr>
          <w:rFonts w:asciiTheme="minorHAnsi" w:hAnsiTheme="minorHAnsi" w:cstheme="minorHAnsi"/>
          <w:color w:val="000000" w:themeColor="text1"/>
        </w:rPr>
        <w:t>, a to až do konce dubna 2020.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Důvodem prodloužení byla snaha </w:t>
      </w:r>
      <w:r w:rsidR="00ED65F4" w:rsidRPr="004454B6">
        <w:rPr>
          <w:rFonts w:asciiTheme="minorHAnsi" w:hAnsiTheme="minorHAnsi" w:cstheme="minorHAnsi"/>
          <w:color w:val="000000" w:themeColor="text1"/>
        </w:rPr>
        <w:t>MD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o vytvoření delšího časového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 prostoru pro všechny žadatele k </w:t>
      </w:r>
      <w:r w:rsidRPr="004454B6">
        <w:rPr>
          <w:rFonts w:asciiTheme="minorHAnsi" w:hAnsiTheme="minorHAnsi" w:cstheme="minorHAnsi"/>
          <w:color w:val="000000" w:themeColor="text1"/>
        </w:rPr>
        <w:t>dopracování žádostí a k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 zohled</w:t>
      </w:r>
      <w:r w:rsidR="00617655" w:rsidRPr="004454B6">
        <w:rPr>
          <w:rFonts w:asciiTheme="minorHAnsi" w:hAnsiTheme="minorHAnsi" w:cstheme="minorHAnsi"/>
          <w:color w:val="000000" w:themeColor="text1"/>
        </w:rPr>
        <w:t>ně</w:t>
      </w:r>
      <w:r w:rsidR="00ED65F4" w:rsidRPr="004454B6">
        <w:rPr>
          <w:rFonts w:asciiTheme="minorHAnsi" w:hAnsiTheme="minorHAnsi" w:cstheme="minorHAnsi"/>
          <w:color w:val="000000" w:themeColor="text1"/>
        </w:rPr>
        <w:t>ní závěrů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Pr="004454B6">
        <w:rPr>
          <w:rFonts w:asciiTheme="minorHAnsi" w:hAnsiTheme="minorHAnsi" w:cstheme="minorHAnsi"/>
          <w:color w:val="000000" w:themeColor="text1"/>
        </w:rPr>
        <w:t xml:space="preserve">vyplývajících </w:t>
      </w:r>
      <w:r w:rsidR="00646F62" w:rsidRPr="004454B6">
        <w:rPr>
          <w:rFonts w:asciiTheme="minorHAnsi" w:hAnsiTheme="minorHAnsi" w:cstheme="minorHAnsi"/>
          <w:color w:val="000000" w:themeColor="text1"/>
        </w:rPr>
        <w:t>z věcného hodnocení již předložených a posouzených předběžných žádostí</w:t>
      </w:r>
      <w:r w:rsidR="00942438" w:rsidRPr="004454B6">
        <w:rPr>
          <w:rFonts w:asciiTheme="minorHAnsi" w:hAnsiTheme="minorHAnsi" w:cstheme="minorHAnsi"/>
          <w:color w:val="000000" w:themeColor="text1"/>
        </w:rPr>
        <w:t>. Zohledněn byl i dopad</w:t>
      </w:r>
      <w:r w:rsidR="00ED65F4" w:rsidRPr="004454B6">
        <w:rPr>
          <w:rFonts w:asciiTheme="minorHAnsi" w:hAnsiTheme="minorHAnsi" w:cstheme="minorHAnsi"/>
          <w:color w:val="000000" w:themeColor="text1"/>
        </w:rPr>
        <w:t xml:space="preserve"> pandemie </w:t>
      </w:r>
      <w:r w:rsidR="0007701E">
        <w:rPr>
          <w:rFonts w:asciiTheme="minorHAnsi" w:hAnsiTheme="minorHAnsi" w:cstheme="minorHAnsi"/>
          <w:color w:val="000000" w:themeColor="text1"/>
        </w:rPr>
        <w:br/>
      </w:r>
      <w:r w:rsidR="00ED65F4" w:rsidRPr="004454B6">
        <w:rPr>
          <w:rFonts w:asciiTheme="minorHAnsi" w:hAnsiTheme="minorHAnsi" w:cstheme="minorHAnsi"/>
          <w:color w:val="000000" w:themeColor="text1"/>
        </w:rPr>
        <w:t>covid</w:t>
      </w:r>
      <w:r w:rsidR="0007701E">
        <w:rPr>
          <w:rFonts w:asciiTheme="minorHAnsi" w:hAnsiTheme="minorHAnsi" w:cstheme="minorHAnsi"/>
          <w:color w:val="000000" w:themeColor="text1"/>
        </w:rPr>
        <w:t>-</w:t>
      </w:r>
      <w:r w:rsidR="00ED65F4" w:rsidRPr="004454B6">
        <w:rPr>
          <w:rFonts w:asciiTheme="minorHAnsi" w:hAnsiTheme="minorHAnsi" w:cstheme="minorHAnsi"/>
          <w:color w:val="000000" w:themeColor="text1"/>
        </w:rPr>
        <w:t>19.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Zároveň </w:t>
      </w:r>
      <w:r w:rsidR="00ED65F4" w:rsidRPr="004454B6">
        <w:rPr>
          <w:rFonts w:asciiTheme="minorHAnsi" w:hAnsiTheme="minorHAnsi" w:cstheme="minorHAnsi"/>
          <w:color w:val="000000" w:themeColor="text1"/>
        </w:rPr>
        <w:t>MD navýšilo alokaci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pro město Plzeň o 150 mil. Kč a</w:t>
      </w:r>
      <w:r w:rsidR="00C3137D" w:rsidRPr="004454B6">
        <w:rPr>
          <w:rFonts w:asciiTheme="minorHAnsi" w:hAnsiTheme="minorHAnsi" w:cstheme="minorHAnsi"/>
          <w:color w:val="000000" w:themeColor="text1"/>
        </w:rPr>
        <w:t xml:space="preserve"> pro </w:t>
      </w:r>
      <w:r w:rsidR="0007701E">
        <w:rPr>
          <w:rFonts w:asciiTheme="minorHAnsi" w:hAnsiTheme="minorHAnsi" w:cstheme="minorHAnsi"/>
          <w:color w:val="000000" w:themeColor="text1"/>
        </w:rPr>
        <w:t>o</w:t>
      </w:r>
      <w:r w:rsidR="00C3137D" w:rsidRPr="004454B6">
        <w:rPr>
          <w:rFonts w:asciiTheme="minorHAnsi" w:hAnsiTheme="minorHAnsi" w:cstheme="minorHAnsi"/>
          <w:color w:val="000000" w:themeColor="text1"/>
        </w:rPr>
        <w:t>stravskou aglomeraci o 30 </w:t>
      </w:r>
      <w:r w:rsidR="00646F62" w:rsidRPr="004454B6">
        <w:rPr>
          <w:rFonts w:asciiTheme="minorHAnsi" w:hAnsiTheme="minorHAnsi" w:cstheme="minorHAnsi"/>
          <w:color w:val="000000" w:themeColor="text1"/>
        </w:rPr>
        <w:t>mil. Kč z důvodu žadateli deklarované absorpční kapacity, která překračovala disponibilní alokaci v příslušných výzvách. </w:t>
      </w:r>
      <w:r w:rsidR="00653D8A" w:rsidRPr="004454B6">
        <w:rPr>
          <w:rFonts w:asciiTheme="minorHAnsi" w:hAnsiTheme="minorHAnsi" w:cstheme="minorHAnsi"/>
          <w:color w:val="000000" w:themeColor="text1"/>
        </w:rPr>
        <w:t xml:space="preserve"> </w:t>
      </w:r>
    </w:p>
    <w:p w14:paraId="7360EE9E" w14:textId="77777777" w:rsidR="000B0DCF" w:rsidRPr="004454B6" w:rsidRDefault="00E217BC" w:rsidP="0001743C">
      <w:pPr>
        <w:keepNext/>
        <w:spacing w:after="120"/>
        <w:jc w:val="left"/>
        <w:rPr>
          <w:rFonts w:asciiTheme="minorHAnsi" w:hAnsiTheme="minorHAnsi" w:cstheme="minorHAnsi"/>
          <w:b/>
          <w:color w:val="000000" w:themeColor="text1"/>
        </w:rPr>
      </w:pPr>
      <w:r w:rsidRPr="004454B6">
        <w:rPr>
          <w:rFonts w:asciiTheme="minorHAnsi" w:hAnsiTheme="minorHAnsi" w:cstheme="minorHAnsi"/>
          <w:b/>
          <w:color w:val="000000" w:themeColor="text1"/>
        </w:rPr>
        <w:lastRenderedPageBreak/>
        <w:t>Nepřipravenost</w:t>
      </w:r>
      <w:r w:rsidR="00443487" w:rsidRPr="004454B6">
        <w:rPr>
          <w:rFonts w:asciiTheme="minorHAnsi" w:hAnsiTheme="minorHAnsi" w:cstheme="minorHAnsi"/>
          <w:b/>
          <w:color w:val="000000" w:themeColor="text1"/>
        </w:rPr>
        <w:t xml:space="preserve"> výstavby metra D </w:t>
      </w:r>
      <w:r w:rsidR="002E6B3D" w:rsidRPr="004454B6">
        <w:rPr>
          <w:rFonts w:asciiTheme="minorHAnsi" w:hAnsiTheme="minorHAnsi" w:cstheme="minorHAnsi"/>
          <w:b/>
          <w:color w:val="000000" w:themeColor="text1"/>
        </w:rPr>
        <w:t>měla dopad</w:t>
      </w:r>
      <w:r w:rsidR="00917C9E" w:rsidRPr="004454B6">
        <w:rPr>
          <w:rFonts w:asciiTheme="minorHAnsi" w:hAnsiTheme="minorHAnsi" w:cstheme="minorHAnsi"/>
          <w:b/>
          <w:color w:val="000000" w:themeColor="text1"/>
        </w:rPr>
        <w:t xml:space="preserve"> na nízké</w:t>
      </w:r>
      <w:r w:rsidR="00443487" w:rsidRPr="004454B6">
        <w:rPr>
          <w:rFonts w:asciiTheme="minorHAnsi" w:hAnsiTheme="minorHAnsi" w:cstheme="minorHAnsi"/>
          <w:b/>
          <w:color w:val="000000" w:themeColor="text1"/>
        </w:rPr>
        <w:t xml:space="preserve"> čerpání alokovaných prostředků </w:t>
      </w:r>
    </w:p>
    <w:p w14:paraId="68AF28D8" w14:textId="21478F43" w:rsidR="00CA6E34" w:rsidRPr="004454B6" w:rsidRDefault="00C50F66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>C</w:t>
      </w:r>
      <w:r w:rsidR="000B0DCF" w:rsidRPr="004454B6">
        <w:rPr>
          <w:rFonts w:asciiTheme="minorHAnsi" w:hAnsiTheme="minorHAnsi" w:cstheme="minorHAnsi"/>
          <w:color w:val="000000" w:themeColor="text1"/>
        </w:rPr>
        <w:t>elková alokace pro SC 1.4 činila 11</w:t>
      </w:r>
      <w:r w:rsidR="004F3486" w:rsidRPr="004454B6">
        <w:rPr>
          <w:rFonts w:asciiTheme="minorHAnsi" w:hAnsiTheme="minorHAnsi" w:cstheme="minorHAnsi"/>
          <w:color w:val="000000" w:themeColor="text1"/>
        </w:rPr>
        <w:t> </w:t>
      </w:r>
      <w:r w:rsidR="000B0DCF" w:rsidRPr="004454B6">
        <w:rPr>
          <w:rFonts w:asciiTheme="minorHAnsi" w:hAnsiTheme="minorHAnsi" w:cstheme="minorHAnsi"/>
          <w:color w:val="000000" w:themeColor="text1"/>
        </w:rPr>
        <w:t>7</w:t>
      </w:r>
      <w:r w:rsidR="004F3486" w:rsidRPr="004454B6">
        <w:rPr>
          <w:rFonts w:asciiTheme="minorHAnsi" w:hAnsiTheme="minorHAnsi" w:cstheme="minorHAnsi"/>
          <w:color w:val="000000" w:themeColor="text1"/>
        </w:rPr>
        <w:t xml:space="preserve">00 </w:t>
      </w:r>
      <w:r w:rsidR="000B0DCF" w:rsidRPr="004454B6">
        <w:rPr>
          <w:rFonts w:asciiTheme="minorHAnsi" w:hAnsiTheme="minorHAnsi" w:cstheme="minorHAnsi"/>
          <w:color w:val="000000" w:themeColor="text1"/>
        </w:rPr>
        <w:t>m</w:t>
      </w:r>
      <w:r w:rsidR="004F3486" w:rsidRPr="004454B6">
        <w:rPr>
          <w:rFonts w:asciiTheme="minorHAnsi" w:hAnsiTheme="minorHAnsi" w:cstheme="minorHAnsi"/>
          <w:color w:val="000000" w:themeColor="text1"/>
        </w:rPr>
        <w:t>il</w:t>
      </w:r>
      <w:r w:rsidR="00CA6E34" w:rsidRPr="004454B6">
        <w:rPr>
          <w:rFonts w:asciiTheme="minorHAnsi" w:hAnsiTheme="minorHAnsi" w:cstheme="minorHAnsi"/>
          <w:color w:val="000000" w:themeColor="text1"/>
        </w:rPr>
        <w:t>. Kč, z toho celkem 5</w:t>
      </w:r>
      <w:r w:rsidR="004F3486" w:rsidRPr="004454B6">
        <w:rPr>
          <w:rFonts w:asciiTheme="minorHAnsi" w:hAnsiTheme="minorHAnsi" w:cstheme="minorHAnsi"/>
          <w:color w:val="000000" w:themeColor="text1"/>
        </w:rPr>
        <w:t> 000 mil</w:t>
      </w:r>
      <w:r w:rsidR="00CA6E34" w:rsidRPr="004454B6">
        <w:rPr>
          <w:rFonts w:asciiTheme="minorHAnsi" w:hAnsiTheme="minorHAnsi" w:cstheme="minorHAnsi"/>
          <w:color w:val="000000" w:themeColor="text1"/>
        </w:rPr>
        <w:t>. Kč plánovalo MD využít pro výstavbu linky metra D a zbytek alokace rozdělit jednotlivým aglomeracím/městům.</w:t>
      </w:r>
    </w:p>
    <w:p w14:paraId="22BED3A4" w14:textId="2B8E477B" w:rsidR="00646F62" w:rsidRPr="004454B6" w:rsidRDefault="00687D36" w:rsidP="004454B6">
      <w:pPr>
        <w:spacing w:after="120"/>
        <w:rPr>
          <w:rFonts w:asciiTheme="minorHAnsi" w:hAnsiTheme="minorHAnsi" w:cstheme="minorHAnsi"/>
          <w:color w:val="000000" w:themeColor="text1"/>
        </w:rPr>
      </w:pPr>
      <w:r w:rsidRPr="004454B6">
        <w:rPr>
          <w:rFonts w:asciiTheme="minorHAnsi" w:hAnsiTheme="minorHAnsi" w:cstheme="minorHAnsi"/>
          <w:color w:val="000000" w:themeColor="text1"/>
        </w:rPr>
        <w:t>V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ýši podpory pro některé </w:t>
      </w:r>
      <w:r w:rsidR="00CA6E34" w:rsidRPr="004454B6">
        <w:rPr>
          <w:rFonts w:asciiTheme="minorHAnsi" w:hAnsiTheme="minorHAnsi" w:cstheme="minorHAnsi"/>
          <w:color w:val="000000" w:themeColor="text1"/>
        </w:rPr>
        <w:t xml:space="preserve">aglomerace/města stanovilo </w:t>
      </w:r>
      <w:r w:rsidRPr="004454B6">
        <w:rPr>
          <w:rFonts w:asciiTheme="minorHAnsi" w:hAnsiTheme="minorHAnsi" w:cstheme="minorHAnsi"/>
          <w:color w:val="000000" w:themeColor="text1"/>
        </w:rPr>
        <w:t xml:space="preserve">MD </w:t>
      </w:r>
      <w:r w:rsidR="00CA6E34" w:rsidRPr="004454B6">
        <w:rPr>
          <w:rFonts w:asciiTheme="minorHAnsi" w:hAnsiTheme="minorHAnsi" w:cstheme="minorHAnsi"/>
          <w:color w:val="000000" w:themeColor="text1"/>
        </w:rPr>
        <w:t>na základě dohody se zástupci jednotlivých měst</w:t>
      </w:r>
      <w:r w:rsidR="003D118C" w:rsidRPr="004454B6">
        <w:rPr>
          <w:rFonts w:asciiTheme="minorHAnsi" w:hAnsiTheme="minorHAnsi" w:cstheme="minorHAnsi"/>
          <w:color w:val="000000" w:themeColor="text1"/>
        </w:rPr>
        <w:t xml:space="preserve"> v roce 2015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 a v některých </w:t>
      </w:r>
      <w:r w:rsidR="004C6A06" w:rsidRPr="004454B6">
        <w:rPr>
          <w:rFonts w:asciiTheme="minorHAnsi" w:hAnsiTheme="minorHAnsi" w:cstheme="minorHAnsi"/>
          <w:color w:val="000000" w:themeColor="text1"/>
        </w:rPr>
        <w:t xml:space="preserve">případech 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direktivně, protože k dohodě nedošlo. </w:t>
      </w:r>
      <w:r w:rsidR="003D118C" w:rsidRPr="004454B6">
        <w:rPr>
          <w:rFonts w:asciiTheme="minorHAnsi" w:hAnsiTheme="minorHAnsi" w:cstheme="minorHAnsi"/>
          <w:color w:val="000000" w:themeColor="text1"/>
        </w:rPr>
        <w:t xml:space="preserve">MD 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při stanovení alokace </w:t>
      </w:r>
      <w:r w:rsidR="003D118C" w:rsidRPr="004454B6">
        <w:rPr>
          <w:rFonts w:asciiTheme="minorHAnsi" w:hAnsiTheme="minorHAnsi" w:cstheme="minorHAnsi"/>
          <w:color w:val="000000" w:themeColor="text1"/>
        </w:rPr>
        <w:t xml:space="preserve">vycházelo </w:t>
      </w:r>
      <w:r w:rsidR="00CD71D5" w:rsidRPr="004454B6">
        <w:rPr>
          <w:rFonts w:asciiTheme="minorHAnsi" w:hAnsiTheme="minorHAnsi" w:cstheme="minorHAnsi"/>
          <w:color w:val="000000" w:themeColor="text1"/>
        </w:rPr>
        <w:t xml:space="preserve">nejen </w:t>
      </w:r>
      <w:r w:rsidR="003D118C" w:rsidRPr="004454B6">
        <w:rPr>
          <w:rFonts w:asciiTheme="minorHAnsi" w:hAnsiTheme="minorHAnsi" w:cstheme="minorHAnsi"/>
          <w:color w:val="000000" w:themeColor="text1"/>
        </w:rPr>
        <w:t xml:space="preserve">z požadavků podle projektových záměrů, </w:t>
      </w:r>
      <w:r w:rsidR="003A5069" w:rsidRPr="004454B6">
        <w:rPr>
          <w:rFonts w:asciiTheme="minorHAnsi" w:hAnsiTheme="minorHAnsi" w:cstheme="minorHAnsi"/>
          <w:color w:val="000000" w:themeColor="text1"/>
        </w:rPr>
        <w:t>ale i z </w:t>
      </w:r>
      <w:r w:rsidR="003D118C" w:rsidRPr="004454B6">
        <w:rPr>
          <w:rFonts w:asciiTheme="minorHAnsi" w:hAnsiTheme="minorHAnsi" w:cstheme="minorHAnsi"/>
          <w:color w:val="000000" w:themeColor="text1"/>
        </w:rPr>
        <w:t>předpokladu nižší finanční náročnosti trolejbusových tratí oproti tramvajovým, z velikosti aglomerace/města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, </w:t>
      </w:r>
      <w:r w:rsidR="00CD71D5" w:rsidRPr="004454B6">
        <w:rPr>
          <w:rFonts w:asciiTheme="minorHAnsi" w:hAnsiTheme="minorHAnsi" w:cstheme="minorHAnsi"/>
          <w:color w:val="000000" w:themeColor="text1"/>
        </w:rPr>
        <w:t xml:space="preserve">z </w:t>
      </w:r>
      <w:r w:rsidR="004B099B" w:rsidRPr="004454B6">
        <w:rPr>
          <w:rFonts w:asciiTheme="minorHAnsi" w:hAnsiTheme="minorHAnsi" w:cstheme="minorHAnsi"/>
          <w:color w:val="000000" w:themeColor="text1"/>
        </w:rPr>
        <w:t xml:space="preserve">přepravních výkonů, stavu ovzduší apod. </w:t>
      </w:r>
      <w:r w:rsidR="00CA6E34" w:rsidRPr="004454B6">
        <w:rPr>
          <w:rFonts w:asciiTheme="minorHAnsi" w:hAnsiTheme="minorHAnsi" w:cstheme="minorHAnsi"/>
          <w:color w:val="000000" w:themeColor="text1"/>
        </w:rPr>
        <w:t>J</w:t>
      </w:r>
      <w:r w:rsidR="000B0DCF" w:rsidRPr="004454B6">
        <w:rPr>
          <w:rFonts w:asciiTheme="minorHAnsi" w:hAnsiTheme="minorHAnsi" w:cstheme="minorHAnsi"/>
          <w:color w:val="000000" w:themeColor="text1"/>
        </w:rPr>
        <w:t xml:space="preserve">ednotlivé výzvy k předkládání žádostí o podporu </w:t>
      </w:r>
      <w:r w:rsidR="00CA6E34" w:rsidRPr="004454B6">
        <w:rPr>
          <w:rFonts w:asciiTheme="minorHAnsi" w:hAnsiTheme="minorHAnsi" w:cstheme="minorHAnsi"/>
          <w:color w:val="000000" w:themeColor="text1"/>
        </w:rPr>
        <w:t xml:space="preserve">pak MD vyhlašovalo </w:t>
      </w:r>
      <w:r w:rsidR="000B0DCF" w:rsidRPr="004454B6">
        <w:rPr>
          <w:rFonts w:asciiTheme="minorHAnsi" w:hAnsiTheme="minorHAnsi" w:cstheme="minorHAnsi"/>
          <w:color w:val="000000" w:themeColor="text1"/>
        </w:rPr>
        <w:t>pro</w:t>
      </w:r>
      <w:r w:rsidR="00CA6E34" w:rsidRPr="004454B6">
        <w:rPr>
          <w:rFonts w:asciiTheme="minorHAnsi" w:hAnsiTheme="minorHAnsi" w:cstheme="minorHAnsi"/>
          <w:color w:val="000000" w:themeColor="text1"/>
        </w:rPr>
        <w:t xml:space="preserve"> konkrétní 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aglomerace </w:t>
      </w:r>
      <w:r w:rsidR="000B0DCF" w:rsidRPr="004454B6">
        <w:rPr>
          <w:rFonts w:asciiTheme="minorHAnsi" w:hAnsiTheme="minorHAnsi" w:cstheme="minorHAnsi"/>
          <w:color w:val="000000" w:themeColor="text1"/>
        </w:rPr>
        <w:t>a města</w:t>
      </w:r>
      <w:r w:rsidR="0007701E">
        <w:rPr>
          <w:rFonts w:asciiTheme="minorHAnsi" w:hAnsiTheme="minorHAnsi" w:cstheme="minorHAnsi"/>
          <w:color w:val="000000" w:themeColor="text1"/>
        </w:rPr>
        <w:t>, jak</w:t>
      </w:r>
      <w:r w:rsidR="000B0DCF" w:rsidRPr="004454B6">
        <w:rPr>
          <w:rFonts w:asciiTheme="minorHAnsi" w:hAnsiTheme="minorHAnsi" w:cstheme="minorHAnsi"/>
          <w:color w:val="000000" w:themeColor="text1"/>
        </w:rPr>
        <w:t xml:space="preserve"> </w:t>
      </w:r>
      <w:r w:rsidR="0007701E">
        <w:rPr>
          <w:rFonts w:asciiTheme="minorHAnsi" w:hAnsiTheme="minorHAnsi" w:cstheme="minorHAnsi"/>
          <w:color w:val="000000" w:themeColor="text1"/>
        </w:rPr>
        <w:t>je uvedeno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v </w:t>
      </w:r>
      <w:r w:rsidR="00FC0901" w:rsidRPr="004454B6">
        <w:rPr>
          <w:rFonts w:asciiTheme="minorHAnsi" w:hAnsiTheme="minorHAnsi" w:cstheme="minorHAnsi"/>
          <w:color w:val="000000" w:themeColor="text1"/>
        </w:rPr>
        <w:t xml:space="preserve">tabulce č. </w:t>
      </w:r>
      <w:r w:rsidR="00773544" w:rsidRPr="004454B6">
        <w:rPr>
          <w:rFonts w:asciiTheme="minorHAnsi" w:hAnsiTheme="minorHAnsi" w:cstheme="minorHAnsi"/>
          <w:color w:val="000000" w:themeColor="text1"/>
        </w:rPr>
        <w:t>1</w:t>
      </w:r>
      <w:r w:rsidR="0007701E">
        <w:rPr>
          <w:rFonts w:asciiTheme="minorHAnsi" w:hAnsiTheme="minorHAnsi" w:cstheme="minorHAnsi"/>
          <w:color w:val="000000" w:themeColor="text1"/>
        </w:rPr>
        <w:t>.</w:t>
      </w:r>
      <w:r w:rsidR="00646F62" w:rsidRPr="004454B6">
        <w:rPr>
          <w:rFonts w:asciiTheme="minorHAnsi" w:hAnsiTheme="minorHAnsi" w:cstheme="minorHAnsi"/>
          <w:color w:val="000000" w:themeColor="text1"/>
        </w:rPr>
        <w:t xml:space="preserve"> </w:t>
      </w:r>
    </w:p>
    <w:p w14:paraId="0DCA0702" w14:textId="592EF321" w:rsidR="00646F62" w:rsidRPr="00091B5F" w:rsidRDefault="00646F62" w:rsidP="00091B5F">
      <w:pPr>
        <w:keepNext/>
        <w:widowControl w:val="0"/>
        <w:spacing w:after="40"/>
        <w:rPr>
          <w:rFonts w:asciiTheme="minorHAnsi" w:hAnsiTheme="minorHAnsi" w:cstheme="minorHAnsi"/>
          <w:b/>
        </w:rPr>
      </w:pPr>
      <w:r w:rsidRPr="00091B5F">
        <w:rPr>
          <w:rFonts w:asciiTheme="minorHAnsi" w:hAnsiTheme="minorHAnsi" w:cstheme="minorHAnsi"/>
          <w:b/>
        </w:rPr>
        <w:t>Tabulka č. 1</w:t>
      </w:r>
      <w:r w:rsidR="006B648E">
        <w:rPr>
          <w:rFonts w:asciiTheme="minorHAnsi" w:hAnsiTheme="minorHAnsi" w:cstheme="minorHAnsi"/>
          <w:b/>
        </w:rPr>
        <w:t>:</w:t>
      </w:r>
      <w:r w:rsidRPr="00091B5F">
        <w:rPr>
          <w:rFonts w:asciiTheme="minorHAnsi" w:hAnsiTheme="minorHAnsi" w:cstheme="minorHAnsi"/>
          <w:b/>
        </w:rPr>
        <w:t xml:space="preserve"> Výše jednotlivých výzev k podání žádosti o podporu 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11"/>
        <w:gridCol w:w="1183"/>
        <w:gridCol w:w="1679"/>
        <w:gridCol w:w="1173"/>
        <w:gridCol w:w="1814"/>
      </w:tblGrid>
      <w:tr w:rsidR="00646F62" w:rsidRPr="00091B5F" w14:paraId="58EF7000" w14:textId="77777777" w:rsidTr="00576CC0">
        <w:trPr>
          <w:trHeight w:val="283"/>
          <w:jc w:val="center"/>
        </w:trPr>
        <w:tc>
          <w:tcPr>
            <w:tcW w:w="3213" w:type="dxa"/>
            <w:vMerge w:val="restart"/>
            <w:shd w:val="clear" w:color="auto" w:fill="E0F1FF"/>
            <w:vAlign w:val="center"/>
          </w:tcPr>
          <w:p w14:paraId="1A7B95B2" w14:textId="052A8D1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Město</w:t>
            </w:r>
            <w:r w:rsidR="005F76B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91B5F">
              <w:rPr>
                <w:rFonts w:cs="Calibri"/>
                <w:b/>
                <w:sz w:val="20"/>
                <w:szCs w:val="20"/>
              </w:rPr>
              <w:t>/</w:t>
            </w:r>
            <w:r w:rsidR="005F76B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091B5F">
              <w:rPr>
                <w:rFonts w:cs="Calibri"/>
                <w:b/>
                <w:sz w:val="20"/>
                <w:szCs w:val="20"/>
              </w:rPr>
              <w:t>aglomerační oblast</w:t>
            </w:r>
          </w:p>
        </w:tc>
        <w:tc>
          <w:tcPr>
            <w:tcW w:w="2862" w:type="dxa"/>
            <w:gridSpan w:val="2"/>
            <w:shd w:val="clear" w:color="auto" w:fill="E0F1FF"/>
            <w:vAlign w:val="center"/>
          </w:tcPr>
          <w:p w14:paraId="122A8976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První kolo výzev</w:t>
            </w:r>
          </w:p>
        </w:tc>
        <w:tc>
          <w:tcPr>
            <w:tcW w:w="2987" w:type="dxa"/>
            <w:gridSpan w:val="2"/>
            <w:shd w:val="clear" w:color="auto" w:fill="E0F1FF"/>
            <w:vAlign w:val="center"/>
          </w:tcPr>
          <w:p w14:paraId="04E82566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Druhé kolo výzev</w:t>
            </w:r>
          </w:p>
        </w:tc>
      </w:tr>
      <w:tr w:rsidR="00646F62" w:rsidRPr="00091B5F" w14:paraId="1020A008" w14:textId="77777777" w:rsidTr="00576CC0">
        <w:trPr>
          <w:trHeight w:val="283"/>
          <w:jc w:val="center"/>
        </w:trPr>
        <w:tc>
          <w:tcPr>
            <w:tcW w:w="3213" w:type="dxa"/>
            <w:vMerge/>
            <w:shd w:val="clear" w:color="auto" w:fill="E0F1FF"/>
            <w:vAlign w:val="center"/>
          </w:tcPr>
          <w:p w14:paraId="74A8A7CF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E0F1FF"/>
            <w:vAlign w:val="center"/>
          </w:tcPr>
          <w:p w14:paraId="053A9B0D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Číslo výzvy</w:t>
            </w:r>
          </w:p>
        </w:tc>
        <w:tc>
          <w:tcPr>
            <w:tcW w:w="1679" w:type="dxa"/>
            <w:shd w:val="clear" w:color="auto" w:fill="E0F1FF"/>
            <w:vAlign w:val="center"/>
          </w:tcPr>
          <w:p w14:paraId="345AF619" w14:textId="4D1122A0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 xml:space="preserve">Příspěvek EU </w:t>
            </w:r>
            <w:r w:rsidR="006B648E">
              <w:rPr>
                <w:rFonts w:cs="Calibri"/>
                <w:b/>
                <w:sz w:val="20"/>
                <w:szCs w:val="20"/>
              </w:rPr>
              <w:t>(</w:t>
            </w:r>
            <w:r w:rsidRPr="00091B5F">
              <w:rPr>
                <w:rFonts w:cs="Calibri"/>
                <w:b/>
                <w:sz w:val="20"/>
                <w:szCs w:val="20"/>
              </w:rPr>
              <w:t>v</w:t>
            </w:r>
            <w:r w:rsidR="006B648E">
              <w:rPr>
                <w:rFonts w:cs="Calibri"/>
                <w:b/>
                <w:sz w:val="20"/>
                <w:szCs w:val="20"/>
              </w:rPr>
              <w:t> </w:t>
            </w:r>
            <w:r w:rsidRPr="00091B5F">
              <w:rPr>
                <w:rFonts w:cs="Calibri"/>
                <w:b/>
                <w:sz w:val="20"/>
                <w:szCs w:val="20"/>
              </w:rPr>
              <w:t>Kč</w:t>
            </w:r>
            <w:r w:rsidR="006B648E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173" w:type="dxa"/>
            <w:shd w:val="clear" w:color="auto" w:fill="E0F1FF"/>
            <w:vAlign w:val="center"/>
          </w:tcPr>
          <w:p w14:paraId="209FF5A6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Číslo výzvy</w:t>
            </w:r>
          </w:p>
        </w:tc>
        <w:tc>
          <w:tcPr>
            <w:tcW w:w="1814" w:type="dxa"/>
            <w:shd w:val="clear" w:color="auto" w:fill="E0F1FF"/>
            <w:vAlign w:val="center"/>
          </w:tcPr>
          <w:p w14:paraId="339FAF9B" w14:textId="3CE15CC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 xml:space="preserve">Příspěvek EU </w:t>
            </w:r>
            <w:r w:rsidR="006B648E">
              <w:rPr>
                <w:rFonts w:cs="Calibri"/>
                <w:b/>
                <w:sz w:val="20"/>
                <w:szCs w:val="20"/>
              </w:rPr>
              <w:br/>
              <w:t>(</w:t>
            </w:r>
            <w:r w:rsidRPr="00091B5F">
              <w:rPr>
                <w:rFonts w:cs="Calibri"/>
                <w:b/>
                <w:sz w:val="20"/>
                <w:szCs w:val="20"/>
              </w:rPr>
              <w:t>v Kč</w:t>
            </w:r>
            <w:r w:rsidR="006B648E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646F62" w:rsidRPr="00091B5F" w14:paraId="38DCEC49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4EA81AC3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Praha</w:t>
            </w:r>
          </w:p>
        </w:tc>
        <w:tc>
          <w:tcPr>
            <w:tcW w:w="1183" w:type="dxa"/>
            <w:vAlign w:val="center"/>
          </w:tcPr>
          <w:p w14:paraId="22178C19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16</w:t>
            </w:r>
          </w:p>
        </w:tc>
        <w:tc>
          <w:tcPr>
            <w:tcW w:w="1679" w:type="dxa"/>
            <w:vAlign w:val="center"/>
          </w:tcPr>
          <w:p w14:paraId="7C666C13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5 000 000 000</w:t>
            </w:r>
          </w:p>
        </w:tc>
        <w:tc>
          <w:tcPr>
            <w:tcW w:w="1173" w:type="dxa"/>
            <w:vAlign w:val="center"/>
          </w:tcPr>
          <w:p w14:paraId="004D22AC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53</w:t>
            </w:r>
          </w:p>
        </w:tc>
        <w:tc>
          <w:tcPr>
            <w:tcW w:w="1814" w:type="dxa"/>
            <w:vAlign w:val="center"/>
          </w:tcPr>
          <w:p w14:paraId="2A37C713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3 400 000 000</w:t>
            </w:r>
          </w:p>
        </w:tc>
      </w:tr>
      <w:tr w:rsidR="00646F62" w:rsidRPr="00091B5F" w14:paraId="4A1779D9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0E618038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Brno</w:t>
            </w:r>
          </w:p>
        </w:tc>
        <w:tc>
          <w:tcPr>
            <w:tcW w:w="1183" w:type="dxa"/>
            <w:vAlign w:val="center"/>
          </w:tcPr>
          <w:p w14:paraId="4D8093B3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1679" w:type="dxa"/>
            <w:vAlign w:val="center"/>
          </w:tcPr>
          <w:p w14:paraId="58AF0C13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1 606 500 000</w:t>
            </w:r>
          </w:p>
        </w:tc>
        <w:tc>
          <w:tcPr>
            <w:tcW w:w="1173" w:type="dxa"/>
            <w:vAlign w:val="center"/>
          </w:tcPr>
          <w:p w14:paraId="4E6F0AC5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55</w:t>
            </w:r>
          </w:p>
        </w:tc>
        <w:tc>
          <w:tcPr>
            <w:tcW w:w="1814" w:type="dxa"/>
            <w:vAlign w:val="center"/>
          </w:tcPr>
          <w:p w14:paraId="14FD078D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1 732 937 769</w:t>
            </w:r>
          </w:p>
        </w:tc>
      </w:tr>
      <w:tr w:rsidR="00646F62" w:rsidRPr="00091B5F" w14:paraId="51C7E3AF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01AA5A92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Plzeň</w:t>
            </w:r>
          </w:p>
        </w:tc>
        <w:tc>
          <w:tcPr>
            <w:tcW w:w="1183" w:type="dxa"/>
            <w:vAlign w:val="center"/>
          </w:tcPr>
          <w:p w14:paraId="7F613341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17</w:t>
            </w:r>
          </w:p>
        </w:tc>
        <w:tc>
          <w:tcPr>
            <w:tcW w:w="1679" w:type="dxa"/>
            <w:vAlign w:val="center"/>
          </w:tcPr>
          <w:p w14:paraId="4EF848DD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630 000 000</w:t>
            </w:r>
          </w:p>
        </w:tc>
        <w:tc>
          <w:tcPr>
            <w:tcW w:w="1173" w:type="dxa"/>
            <w:vAlign w:val="center"/>
          </w:tcPr>
          <w:p w14:paraId="26101C3B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54</w:t>
            </w:r>
          </w:p>
        </w:tc>
        <w:tc>
          <w:tcPr>
            <w:tcW w:w="1814" w:type="dxa"/>
            <w:vAlign w:val="center"/>
          </w:tcPr>
          <w:p w14:paraId="5317C405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720 542 000</w:t>
            </w:r>
          </w:p>
        </w:tc>
      </w:tr>
      <w:tr w:rsidR="00646F62" w:rsidRPr="00091B5F" w14:paraId="031E0529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7C7691AE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Olomouc</w:t>
            </w:r>
          </w:p>
        </w:tc>
        <w:tc>
          <w:tcPr>
            <w:tcW w:w="1183" w:type="dxa"/>
            <w:vAlign w:val="center"/>
          </w:tcPr>
          <w:p w14:paraId="6BBFA9A2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1679" w:type="dxa"/>
            <w:vAlign w:val="center"/>
          </w:tcPr>
          <w:p w14:paraId="32DB9B92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715 500 000</w:t>
            </w:r>
          </w:p>
        </w:tc>
        <w:tc>
          <w:tcPr>
            <w:tcW w:w="1173" w:type="dxa"/>
            <w:vAlign w:val="center"/>
          </w:tcPr>
          <w:p w14:paraId="2DEC0349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56</w:t>
            </w:r>
          </w:p>
        </w:tc>
        <w:tc>
          <w:tcPr>
            <w:tcW w:w="1814" w:type="dxa"/>
            <w:vAlign w:val="center"/>
          </w:tcPr>
          <w:p w14:paraId="5246D9CA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812 634 345</w:t>
            </w:r>
          </w:p>
        </w:tc>
      </w:tr>
      <w:tr w:rsidR="00646F62" w:rsidRPr="00091B5F" w14:paraId="3AA102F8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31B8A327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Ostravská aglomerace</w:t>
            </w:r>
          </w:p>
        </w:tc>
        <w:tc>
          <w:tcPr>
            <w:tcW w:w="1183" w:type="dxa"/>
            <w:vAlign w:val="center"/>
          </w:tcPr>
          <w:p w14:paraId="1357DDEC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679" w:type="dxa"/>
            <w:vAlign w:val="center"/>
          </w:tcPr>
          <w:p w14:paraId="2CE96D8B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990 000 000</w:t>
            </w:r>
          </w:p>
        </w:tc>
        <w:tc>
          <w:tcPr>
            <w:tcW w:w="1173" w:type="dxa"/>
            <w:vAlign w:val="center"/>
          </w:tcPr>
          <w:p w14:paraId="121C39ED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57</w:t>
            </w:r>
          </w:p>
        </w:tc>
        <w:tc>
          <w:tcPr>
            <w:tcW w:w="1814" w:type="dxa"/>
            <w:vAlign w:val="center"/>
          </w:tcPr>
          <w:p w14:paraId="5FE6F710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658 497 316</w:t>
            </w:r>
          </w:p>
        </w:tc>
      </w:tr>
      <w:tr w:rsidR="00646F62" w:rsidRPr="00091B5F" w14:paraId="5BF583C6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4DFBBBFC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Ústecko-chomutovská aglomerace</w:t>
            </w:r>
          </w:p>
        </w:tc>
        <w:tc>
          <w:tcPr>
            <w:tcW w:w="1183" w:type="dxa"/>
            <w:vAlign w:val="center"/>
          </w:tcPr>
          <w:p w14:paraId="4D678EDC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679" w:type="dxa"/>
            <w:vAlign w:val="center"/>
          </w:tcPr>
          <w:p w14:paraId="18E05F5F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432 000 000</w:t>
            </w:r>
          </w:p>
        </w:tc>
        <w:tc>
          <w:tcPr>
            <w:tcW w:w="1173" w:type="dxa"/>
            <w:vAlign w:val="center"/>
          </w:tcPr>
          <w:p w14:paraId="72B783FE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58</w:t>
            </w:r>
          </w:p>
        </w:tc>
        <w:tc>
          <w:tcPr>
            <w:tcW w:w="1814" w:type="dxa"/>
            <w:vAlign w:val="center"/>
          </w:tcPr>
          <w:p w14:paraId="054FA83B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542 900 000</w:t>
            </w:r>
          </w:p>
        </w:tc>
      </w:tr>
      <w:tr w:rsidR="00646F62" w:rsidRPr="00091B5F" w14:paraId="006BCC0C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74CD2070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Hradecko-pardubická aglomerace</w:t>
            </w:r>
          </w:p>
        </w:tc>
        <w:tc>
          <w:tcPr>
            <w:tcW w:w="1183" w:type="dxa"/>
            <w:vAlign w:val="center"/>
          </w:tcPr>
          <w:p w14:paraId="7C625CE6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22</w:t>
            </w:r>
          </w:p>
        </w:tc>
        <w:tc>
          <w:tcPr>
            <w:tcW w:w="1679" w:type="dxa"/>
            <w:vAlign w:val="center"/>
          </w:tcPr>
          <w:p w14:paraId="6492D944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126 000 000</w:t>
            </w:r>
          </w:p>
        </w:tc>
        <w:tc>
          <w:tcPr>
            <w:tcW w:w="1173" w:type="dxa"/>
            <w:vAlign w:val="center"/>
          </w:tcPr>
          <w:p w14:paraId="70A5ED54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59</w:t>
            </w:r>
          </w:p>
        </w:tc>
        <w:tc>
          <w:tcPr>
            <w:tcW w:w="1814" w:type="dxa"/>
            <w:vAlign w:val="center"/>
          </w:tcPr>
          <w:p w14:paraId="288E9160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135 619 655</w:t>
            </w:r>
          </w:p>
        </w:tc>
      </w:tr>
      <w:tr w:rsidR="00646F62" w:rsidRPr="00091B5F" w14:paraId="38D73CFA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427F965E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Zlín</w:t>
            </w:r>
          </w:p>
        </w:tc>
        <w:tc>
          <w:tcPr>
            <w:tcW w:w="1183" w:type="dxa"/>
            <w:vAlign w:val="center"/>
          </w:tcPr>
          <w:p w14:paraId="33B85BDB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23</w:t>
            </w:r>
          </w:p>
        </w:tc>
        <w:tc>
          <w:tcPr>
            <w:tcW w:w="1679" w:type="dxa"/>
            <w:vAlign w:val="center"/>
          </w:tcPr>
          <w:p w14:paraId="42A8BF58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25 600 000</w:t>
            </w:r>
          </w:p>
        </w:tc>
        <w:tc>
          <w:tcPr>
            <w:tcW w:w="1173" w:type="dxa"/>
            <w:vAlign w:val="center"/>
          </w:tcPr>
          <w:p w14:paraId="5EC16431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60</w:t>
            </w:r>
          </w:p>
        </w:tc>
        <w:tc>
          <w:tcPr>
            <w:tcW w:w="1814" w:type="dxa"/>
            <w:vAlign w:val="center"/>
          </w:tcPr>
          <w:p w14:paraId="3C2D81BE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67 600 000</w:t>
            </w:r>
          </w:p>
        </w:tc>
      </w:tr>
      <w:tr w:rsidR="00646F62" w:rsidRPr="00091B5F" w14:paraId="2CBA9FDC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344B0C53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Jihlava</w:t>
            </w:r>
          </w:p>
        </w:tc>
        <w:tc>
          <w:tcPr>
            <w:tcW w:w="1183" w:type="dxa"/>
            <w:vAlign w:val="center"/>
          </w:tcPr>
          <w:p w14:paraId="3E24AD43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24</w:t>
            </w:r>
          </w:p>
        </w:tc>
        <w:tc>
          <w:tcPr>
            <w:tcW w:w="1679" w:type="dxa"/>
            <w:vAlign w:val="center"/>
          </w:tcPr>
          <w:p w14:paraId="2017A667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20 100 000</w:t>
            </w:r>
          </w:p>
        </w:tc>
        <w:tc>
          <w:tcPr>
            <w:tcW w:w="1173" w:type="dxa"/>
            <w:vAlign w:val="center"/>
          </w:tcPr>
          <w:p w14:paraId="465786B3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61</w:t>
            </w:r>
          </w:p>
        </w:tc>
        <w:tc>
          <w:tcPr>
            <w:tcW w:w="1814" w:type="dxa"/>
            <w:vAlign w:val="center"/>
          </w:tcPr>
          <w:p w14:paraId="26D74D3B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105 949 291</w:t>
            </w:r>
          </w:p>
        </w:tc>
      </w:tr>
      <w:tr w:rsidR="00646F62" w:rsidRPr="00091B5F" w14:paraId="1E80339D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0E938315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České Budějovice</w:t>
            </w:r>
          </w:p>
        </w:tc>
        <w:tc>
          <w:tcPr>
            <w:tcW w:w="1183" w:type="dxa"/>
            <w:vAlign w:val="center"/>
          </w:tcPr>
          <w:p w14:paraId="4C186D08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679" w:type="dxa"/>
            <w:vAlign w:val="center"/>
          </w:tcPr>
          <w:p w14:paraId="601BB2C8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26 500 000</w:t>
            </w:r>
          </w:p>
        </w:tc>
        <w:tc>
          <w:tcPr>
            <w:tcW w:w="1173" w:type="dxa"/>
            <w:vAlign w:val="center"/>
          </w:tcPr>
          <w:p w14:paraId="21A68B8F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1814" w:type="dxa"/>
            <w:vAlign w:val="center"/>
          </w:tcPr>
          <w:p w14:paraId="0D44ABD1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198 500 000</w:t>
            </w:r>
          </w:p>
        </w:tc>
      </w:tr>
      <w:tr w:rsidR="00646F62" w:rsidRPr="00091B5F" w14:paraId="5C9C51BE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3748DAD6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Liberecká aglomerace</w:t>
            </w:r>
          </w:p>
        </w:tc>
        <w:tc>
          <w:tcPr>
            <w:tcW w:w="1183" w:type="dxa"/>
            <w:vAlign w:val="center"/>
          </w:tcPr>
          <w:p w14:paraId="0100248E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1679" w:type="dxa"/>
            <w:vAlign w:val="center"/>
          </w:tcPr>
          <w:p w14:paraId="7D8702C5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827 700 000</w:t>
            </w:r>
          </w:p>
        </w:tc>
        <w:tc>
          <w:tcPr>
            <w:tcW w:w="1173" w:type="dxa"/>
            <w:vAlign w:val="center"/>
          </w:tcPr>
          <w:p w14:paraId="3F823FB2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63</w:t>
            </w:r>
          </w:p>
        </w:tc>
        <w:tc>
          <w:tcPr>
            <w:tcW w:w="1814" w:type="dxa"/>
            <w:vAlign w:val="center"/>
          </w:tcPr>
          <w:p w14:paraId="02D265E9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867 700 000</w:t>
            </w:r>
          </w:p>
        </w:tc>
      </w:tr>
      <w:tr w:rsidR="00646F62" w:rsidRPr="00091B5F" w14:paraId="507FCE2A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73F8C568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Mariánské Lázně</w:t>
            </w:r>
          </w:p>
        </w:tc>
        <w:tc>
          <w:tcPr>
            <w:tcW w:w="1183" w:type="dxa"/>
            <w:vAlign w:val="center"/>
          </w:tcPr>
          <w:p w14:paraId="29BA2064" w14:textId="77777777" w:rsidR="00646F62" w:rsidRPr="00091B5F" w:rsidRDefault="00646F62" w:rsidP="000E3B2E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64796EAC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2197AE3A" w14:textId="77777777" w:rsidR="00646F62" w:rsidRPr="00091B5F" w:rsidRDefault="00646F62" w:rsidP="00091B5F">
            <w:pPr>
              <w:keepNext/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79</w:t>
            </w:r>
          </w:p>
        </w:tc>
        <w:tc>
          <w:tcPr>
            <w:tcW w:w="1814" w:type="dxa"/>
            <w:vAlign w:val="center"/>
          </w:tcPr>
          <w:p w14:paraId="5303B692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091B5F">
              <w:rPr>
                <w:rFonts w:cs="Calibri"/>
                <w:sz w:val="20"/>
                <w:szCs w:val="20"/>
              </w:rPr>
              <w:t>45 000 000</w:t>
            </w:r>
          </w:p>
        </w:tc>
      </w:tr>
      <w:tr w:rsidR="00646F62" w:rsidRPr="00091B5F" w14:paraId="39BE97A0" w14:textId="77777777" w:rsidTr="00091B5F">
        <w:trPr>
          <w:trHeight w:val="283"/>
          <w:jc w:val="center"/>
        </w:trPr>
        <w:tc>
          <w:tcPr>
            <w:tcW w:w="3213" w:type="dxa"/>
            <w:vAlign w:val="center"/>
          </w:tcPr>
          <w:p w14:paraId="5214F3E7" w14:textId="77777777" w:rsidR="00646F62" w:rsidRPr="00091B5F" w:rsidRDefault="00646F62" w:rsidP="00091B5F">
            <w:pPr>
              <w:keepNext/>
              <w:widowControl w:val="0"/>
              <w:jc w:val="left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Celkem</w:t>
            </w:r>
          </w:p>
        </w:tc>
        <w:tc>
          <w:tcPr>
            <w:tcW w:w="2862" w:type="dxa"/>
            <w:gridSpan w:val="2"/>
            <w:vAlign w:val="center"/>
          </w:tcPr>
          <w:p w14:paraId="08DDCC2C" w14:textId="77777777" w:rsidR="00646F62" w:rsidRPr="00091B5F" w:rsidRDefault="00646F62" w:rsidP="00091B5F">
            <w:pPr>
              <w:keepNext/>
              <w:widowControl w:val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10 399 900 000</w:t>
            </w:r>
          </w:p>
        </w:tc>
        <w:tc>
          <w:tcPr>
            <w:tcW w:w="2987" w:type="dxa"/>
            <w:gridSpan w:val="2"/>
            <w:vAlign w:val="center"/>
          </w:tcPr>
          <w:p w14:paraId="3FEE7300" w14:textId="77777777" w:rsidR="00646F62" w:rsidRPr="00091B5F" w:rsidRDefault="00646F62" w:rsidP="00576CC0">
            <w:pPr>
              <w:keepNext/>
              <w:widowControl w:val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091B5F">
              <w:rPr>
                <w:rFonts w:cs="Calibri"/>
                <w:b/>
                <w:sz w:val="20"/>
                <w:szCs w:val="20"/>
              </w:rPr>
              <w:t>9 287 880 376</w:t>
            </w:r>
          </w:p>
        </w:tc>
      </w:tr>
    </w:tbl>
    <w:p w14:paraId="5FCB99AF" w14:textId="0C2286A3" w:rsidR="00646F62" w:rsidRPr="003A5069" w:rsidRDefault="00646F62" w:rsidP="00091B5F">
      <w:pPr>
        <w:widowControl w:val="0"/>
        <w:spacing w:before="40" w:after="120"/>
        <w:rPr>
          <w:rFonts w:asciiTheme="minorHAnsi" w:hAnsiTheme="minorHAnsi" w:cstheme="minorHAnsi"/>
          <w:sz w:val="20"/>
          <w:szCs w:val="20"/>
        </w:rPr>
      </w:pPr>
      <w:r w:rsidRPr="003A5069">
        <w:rPr>
          <w:rFonts w:asciiTheme="minorHAnsi" w:hAnsiTheme="minorHAnsi" w:cstheme="minorHAnsi"/>
          <w:b/>
          <w:sz w:val="20"/>
          <w:szCs w:val="20"/>
        </w:rPr>
        <w:t>Zdroj:</w:t>
      </w:r>
      <w:r w:rsidRPr="003A5069">
        <w:rPr>
          <w:rFonts w:asciiTheme="minorHAnsi" w:hAnsiTheme="minorHAnsi" w:cstheme="minorHAnsi"/>
          <w:sz w:val="20"/>
          <w:szCs w:val="20"/>
        </w:rPr>
        <w:t xml:space="preserve"> </w:t>
      </w:r>
      <w:r w:rsidR="006B648E">
        <w:rPr>
          <w:rFonts w:asciiTheme="minorHAnsi" w:hAnsiTheme="minorHAnsi" w:cstheme="minorHAnsi"/>
          <w:sz w:val="20"/>
          <w:szCs w:val="20"/>
        </w:rPr>
        <w:t>i</w:t>
      </w:r>
      <w:r w:rsidRPr="003A5069">
        <w:rPr>
          <w:rFonts w:asciiTheme="minorHAnsi" w:hAnsiTheme="minorHAnsi" w:cstheme="minorHAnsi"/>
          <w:sz w:val="20"/>
          <w:szCs w:val="20"/>
        </w:rPr>
        <w:t>nformační systém MS 2014+, OPD</w:t>
      </w:r>
      <w:r w:rsidR="00EB3B65">
        <w:rPr>
          <w:rFonts w:asciiTheme="minorHAnsi" w:hAnsiTheme="minorHAnsi" w:cstheme="minorHAnsi"/>
          <w:sz w:val="20"/>
          <w:szCs w:val="20"/>
        </w:rPr>
        <w:t xml:space="preserve"> II</w:t>
      </w:r>
      <w:r w:rsidR="003A5069">
        <w:rPr>
          <w:rFonts w:asciiTheme="minorHAnsi" w:hAnsiTheme="minorHAnsi" w:cstheme="minorHAnsi"/>
          <w:sz w:val="20"/>
          <w:szCs w:val="20"/>
        </w:rPr>
        <w:t>.</w:t>
      </w:r>
    </w:p>
    <w:p w14:paraId="20D3B022" w14:textId="22CC234C" w:rsidR="00E217BC" w:rsidRDefault="00FC0901" w:rsidP="00FB4429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>V rámci</w:t>
      </w:r>
      <w:r w:rsidR="00646F62" w:rsidRPr="00A439BC">
        <w:rPr>
          <w:rFonts w:asciiTheme="minorHAnsi" w:hAnsiTheme="minorHAnsi" w:cstheme="minorHAnsi"/>
          <w:lang w:eastAsia="cs-CZ"/>
        </w:rPr>
        <w:t xml:space="preserve"> prvního kola výzev</w:t>
      </w:r>
      <w:r>
        <w:rPr>
          <w:rFonts w:asciiTheme="minorHAnsi" w:hAnsiTheme="minorHAnsi" w:cstheme="minorHAnsi"/>
          <w:lang w:eastAsia="cs-CZ"/>
        </w:rPr>
        <w:t xml:space="preserve"> s alokací 10 400 mil. Kč</w:t>
      </w:r>
      <w:r w:rsidR="00646F62" w:rsidRPr="00A439BC">
        <w:rPr>
          <w:rFonts w:asciiTheme="minorHAnsi" w:hAnsiTheme="minorHAnsi" w:cstheme="minorHAnsi"/>
          <w:lang w:eastAsia="cs-CZ"/>
        </w:rPr>
        <w:t xml:space="preserve"> bylo podáno celkem 18 žádostí o podporu</w:t>
      </w:r>
      <w:r>
        <w:rPr>
          <w:rFonts w:asciiTheme="minorHAnsi" w:hAnsiTheme="minorHAnsi" w:cstheme="minorHAnsi"/>
          <w:lang w:eastAsia="cs-CZ"/>
        </w:rPr>
        <w:t xml:space="preserve"> s požadovaným příspěvkem z fond</w:t>
      </w:r>
      <w:r w:rsidR="00F40C28">
        <w:rPr>
          <w:rFonts w:asciiTheme="minorHAnsi" w:hAnsiTheme="minorHAnsi" w:cstheme="minorHAnsi"/>
          <w:lang w:eastAsia="cs-CZ"/>
        </w:rPr>
        <w:t>ů</w:t>
      </w:r>
      <w:r>
        <w:rPr>
          <w:rFonts w:asciiTheme="minorHAnsi" w:hAnsiTheme="minorHAnsi" w:cstheme="minorHAnsi"/>
          <w:lang w:eastAsia="cs-CZ"/>
        </w:rPr>
        <w:t xml:space="preserve"> EU</w:t>
      </w:r>
      <w:r w:rsidR="00653D8A">
        <w:rPr>
          <w:rStyle w:val="Znakapoznpodarou"/>
          <w:rFonts w:asciiTheme="minorHAnsi" w:hAnsiTheme="minorHAnsi" w:cstheme="minorHAnsi"/>
          <w:lang w:eastAsia="cs-CZ"/>
        </w:rPr>
        <w:footnoteReference w:id="13"/>
      </w:r>
      <w:r>
        <w:rPr>
          <w:rFonts w:asciiTheme="minorHAnsi" w:hAnsiTheme="minorHAnsi" w:cstheme="minorHAnsi"/>
          <w:lang w:eastAsia="cs-CZ"/>
        </w:rPr>
        <w:t xml:space="preserve"> ve </w:t>
      </w:r>
      <w:r w:rsidR="00646F62" w:rsidRPr="00732ED4">
        <w:rPr>
          <w:rFonts w:asciiTheme="minorHAnsi" w:hAnsiTheme="minorHAnsi" w:cstheme="minorHAnsi"/>
          <w:lang w:eastAsia="cs-CZ"/>
        </w:rPr>
        <w:t>výši 2</w:t>
      </w:r>
      <w:r w:rsidR="00C635D1">
        <w:rPr>
          <w:rFonts w:asciiTheme="minorHAnsi" w:hAnsiTheme="minorHAnsi" w:cstheme="minorHAnsi"/>
          <w:lang w:eastAsia="cs-CZ"/>
        </w:rPr>
        <w:t> </w:t>
      </w:r>
      <w:r w:rsidR="00646F62" w:rsidRPr="00732ED4">
        <w:rPr>
          <w:rFonts w:asciiTheme="minorHAnsi" w:hAnsiTheme="minorHAnsi" w:cstheme="minorHAnsi"/>
          <w:lang w:eastAsia="cs-CZ"/>
        </w:rPr>
        <w:t>828</w:t>
      </w:r>
      <w:r w:rsidR="00C635D1">
        <w:rPr>
          <w:rFonts w:asciiTheme="minorHAnsi" w:hAnsiTheme="minorHAnsi" w:cstheme="minorHAnsi"/>
          <w:lang w:eastAsia="cs-CZ"/>
        </w:rPr>
        <w:t>,</w:t>
      </w:r>
      <w:r w:rsidR="00646F62" w:rsidRPr="00732ED4">
        <w:rPr>
          <w:rFonts w:asciiTheme="minorHAnsi" w:hAnsiTheme="minorHAnsi" w:cstheme="minorHAnsi"/>
          <w:lang w:eastAsia="cs-CZ"/>
        </w:rPr>
        <w:t>04</w:t>
      </w:r>
      <w:r w:rsidR="00C635D1">
        <w:rPr>
          <w:rFonts w:asciiTheme="minorHAnsi" w:hAnsiTheme="minorHAnsi" w:cstheme="minorHAnsi"/>
          <w:lang w:eastAsia="cs-CZ"/>
        </w:rPr>
        <w:t>3</w:t>
      </w:r>
      <w:r w:rsidR="00646F62" w:rsidRPr="00732ED4">
        <w:rPr>
          <w:rFonts w:asciiTheme="minorHAnsi" w:hAnsiTheme="minorHAnsi" w:cstheme="minorHAnsi"/>
          <w:lang w:eastAsia="cs-CZ"/>
        </w:rPr>
        <w:t> </w:t>
      </w:r>
      <w:r w:rsidR="00C635D1">
        <w:rPr>
          <w:rFonts w:asciiTheme="minorHAnsi" w:hAnsiTheme="minorHAnsi" w:cstheme="minorHAnsi"/>
          <w:lang w:eastAsia="cs-CZ"/>
        </w:rPr>
        <w:t>mil.</w:t>
      </w:r>
      <w:r w:rsidR="00646F62" w:rsidRPr="00732ED4">
        <w:rPr>
          <w:rFonts w:asciiTheme="minorHAnsi" w:hAnsiTheme="minorHAnsi" w:cstheme="minorHAnsi"/>
          <w:lang w:eastAsia="cs-CZ"/>
        </w:rPr>
        <w:t xml:space="preserve"> </w:t>
      </w:r>
      <w:r w:rsidR="00646F62" w:rsidRPr="002D6459">
        <w:rPr>
          <w:rFonts w:asciiTheme="minorHAnsi" w:hAnsiTheme="minorHAnsi" w:cstheme="minorHAnsi"/>
          <w:lang w:eastAsia="cs-CZ"/>
        </w:rPr>
        <w:t>Kč</w:t>
      </w:r>
      <w:r w:rsidR="00F371ED" w:rsidRPr="002D6459">
        <w:rPr>
          <w:rFonts w:asciiTheme="minorHAnsi" w:hAnsiTheme="minorHAnsi" w:cstheme="minorHAnsi"/>
          <w:lang w:eastAsia="cs-CZ"/>
        </w:rPr>
        <w:t xml:space="preserve"> (</w:t>
      </w:r>
      <w:r w:rsidR="006B648E">
        <w:rPr>
          <w:rFonts w:asciiTheme="minorHAnsi" w:hAnsiTheme="minorHAnsi" w:cstheme="minorHAnsi"/>
          <w:lang w:eastAsia="cs-CZ"/>
        </w:rPr>
        <w:t xml:space="preserve">viz </w:t>
      </w:r>
      <w:r w:rsidR="00F371ED" w:rsidRPr="002D6459">
        <w:rPr>
          <w:rFonts w:asciiTheme="minorHAnsi" w:hAnsiTheme="minorHAnsi" w:cstheme="minorHAnsi"/>
          <w:lang w:eastAsia="cs-CZ"/>
        </w:rPr>
        <w:t xml:space="preserve">příloha č. 4 </w:t>
      </w:r>
      <w:r w:rsidR="006B648E">
        <w:rPr>
          <w:rFonts w:asciiTheme="minorHAnsi" w:hAnsiTheme="minorHAnsi" w:cstheme="minorHAnsi"/>
          <w:lang w:eastAsia="cs-CZ"/>
        </w:rPr>
        <w:t xml:space="preserve">tohoto </w:t>
      </w:r>
      <w:r w:rsidR="00F371ED" w:rsidRPr="002D6459">
        <w:rPr>
          <w:rFonts w:asciiTheme="minorHAnsi" w:hAnsiTheme="minorHAnsi" w:cstheme="minorHAnsi"/>
          <w:lang w:eastAsia="cs-CZ"/>
        </w:rPr>
        <w:t>kontrolního závěru)</w:t>
      </w:r>
      <w:r w:rsidR="00646F62" w:rsidRPr="002D6459">
        <w:rPr>
          <w:rFonts w:asciiTheme="minorHAnsi" w:hAnsiTheme="minorHAnsi" w:cstheme="minorHAnsi"/>
          <w:lang w:eastAsia="cs-CZ"/>
        </w:rPr>
        <w:t xml:space="preserve">. </w:t>
      </w:r>
      <w:r w:rsidRPr="002D6459">
        <w:rPr>
          <w:rFonts w:asciiTheme="minorHAnsi" w:hAnsiTheme="minorHAnsi" w:cstheme="minorHAnsi"/>
          <w:lang w:eastAsia="cs-CZ"/>
        </w:rPr>
        <w:t>Celkem</w:t>
      </w:r>
      <w:r w:rsidR="00CD71D5" w:rsidRPr="002D6459">
        <w:rPr>
          <w:rFonts w:asciiTheme="minorHAnsi" w:hAnsiTheme="minorHAnsi" w:cstheme="minorHAnsi"/>
          <w:lang w:eastAsia="cs-CZ"/>
        </w:rPr>
        <w:t xml:space="preserve"> </w:t>
      </w:r>
      <w:r w:rsidR="0050720B" w:rsidRPr="002D6459">
        <w:rPr>
          <w:rFonts w:asciiTheme="minorHAnsi" w:hAnsiTheme="minorHAnsi" w:cstheme="minorHAnsi"/>
          <w:lang w:eastAsia="cs-CZ"/>
        </w:rPr>
        <w:t>tři</w:t>
      </w:r>
      <w:r w:rsidR="00646F62" w:rsidRPr="002D6459">
        <w:rPr>
          <w:rFonts w:asciiTheme="minorHAnsi" w:hAnsiTheme="minorHAnsi" w:cstheme="minorHAnsi"/>
          <w:lang w:eastAsia="cs-CZ"/>
        </w:rPr>
        <w:t xml:space="preserve"> žá</w:t>
      </w:r>
      <w:r w:rsidR="00CD71D5" w:rsidRPr="002D6459">
        <w:rPr>
          <w:rFonts w:asciiTheme="minorHAnsi" w:hAnsiTheme="minorHAnsi" w:cstheme="minorHAnsi"/>
          <w:lang w:eastAsia="cs-CZ"/>
        </w:rPr>
        <w:t>dosti</w:t>
      </w:r>
      <w:r w:rsidR="00646F62" w:rsidRPr="002D6459">
        <w:rPr>
          <w:rFonts w:asciiTheme="minorHAnsi" w:hAnsiTheme="minorHAnsi" w:cstheme="minorHAnsi"/>
          <w:lang w:eastAsia="cs-CZ"/>
        </w:rPr>
        <w:t xml:space="preserve"> </w:t>
      </w:r>
      <w:r w:rsidR="00CD71D5" w:rsidRPr="002D6459">
        <w:rPr>
          <w:rFonts w:asciiTheme="minorHAnsi" w:hAnsiTheme="minorHAnsi" w:cstheme="minorHAnsi"/>
          <w:lang w:eastAsia="cs-CZ"/>
        </w:rPr>
        <w:t>byly</w:t>
      </w:r>
      <w:r w:rsidRPr="002D6459">
        <w:rPr>
          <w:rFonts w:asciiTheme="minorHAnsi" w:hAnsiTheme="minorHAnsi" w:cstheme="minorHAnsi"/>
          <w:lang w:eastAsia="cs-CZ"/>
        </w:rPr>
        <w:t xml:space="preserve"> </w:t>
      </w:r>
      <w:r w:rsidR="00CD71D5" w:rsidRPr="002D6459">
        <w:rPr>
          <w:rFonts w:asciiTheme="minorHAnsi" w:hAnsiTheme="minorHAnsi" w:cstheme="minorHAnsi"/>
          <w:lang w:eastAsia="cs-CZ"/>
        </w:rPr>
        <w:t>zamítnuty</w:t>
      </w:r>
      <w:r w:rsidR="00646F62" w:rsidRPr="002D6459">
        <w:rPr>
          <w:rFonts w:asciiTheme="minorHAnsi" w:hAnsiTheme="minorHAnsi" w:cstheme="minorHAnsi"/>
          <w:lang w:eastAsia="cs-CZ"/>
        </w:rPr>
        <w:t xml:space="preserve"> </w:t>
      </w:r>
      <w:r w:rsidRPr="002D6459">
        <w:rPr>
          <w:rFonts w:asciiTheme="minorHAnsi" w:hAnsiTheme="minorHAnsi" w:cstheme="minorHAnsi"/>
          <w:lang w:eastAsia="cs-CZ"/>
        </w:rPr>
        <w:t>z důvodu neplnění</w:t>
      </w:r>
      <w:r>
        <w:rPr>
          <w:rFonts w:asciiTheme="minorHAnsi" w:hAnsiTheme="minorHAnsi" w:cstheme="minorHAnsi"/>
          <w:lang w:eastAsia="cs-CZ"/>
        </w:rPr>
        <w:t xml:space="preserve"> po</w:t>
      </w:r>
      <w:r w:rsidR="00171D59">
        <w:rPr>
          <w:rFonts w:asciiTheme="minorHAnsi" w:hAnsiTheme="minorHAnsi" w:cstheme="minorHAnsi"/>
          <w:lang w:eastAsia="cs-CZ"/>
        </w:rPr>
        <w:t>dmínek věcného hodnocení</w:t>
      </w:r>
      <w:r w:rsidR="0050720B">
        <w:rPr>
          <w:rFonts w:asciiTheme="minorHAnsi" w:hAnsiTheme="minorHAnsi" w:cstheme="minorHAnsi"/>
          <w:lang w:eastAsia="cs-CZ"/>
        </w:rPr>
        <w:t>, tři</w:t>
      </w:r>
      <w:r w:rsidR="00171D59">
        <w:rPr>
          <w:rFonts w:asciiTheme="minorHAnsi" w:hAnsiTheme="minorHAnsi" w:cstheme="minorHAnsi"/>
          <w:lang w:eastAsia="cs-CZ"/>
        </w:rPr>
        <w:t xml:space="preserve"> byly staženy </w:t>
      </w:r>
      <w:r>
        <w:rPr>
          <w:rFonts w:asciiTheme="minorHAnsi" w:hAnsiTheme="minorHAnsi" w:cstheme="minorHAnsi"/>
          <w:lang w:eastAsia="cs-CZ"/>
        </w:rPr>
        <w:t>žadatelem</w:t>
      </w:r>
      <w:r w:rsidR="0050720B">
        <w:rPr>
          <w:rFonts w:asciiTheme="minorHAnsi" w:hAnsiTheme="minorHAnsi" w:cstheme="minorHAnsi"/>
          <w:lang w:eastAsia="cs-CZ"/>
        </w:rPr>
        <w:t xml:space="preserve"> a jedna byla ukončena ŘO</w:t>
      </w:r>
      <w:r w:rsidR="00B56F12">
        <w:rPr>
          <w:rStyle w:val="Znakapoznpodarou"/>
          <w:rFonts w:asciiTheme="minorHAnsi" w:hAnsiTheme="minorHAnsi" w:cstheme="minorHAnsi"/>
          <w:lang w:eastAsia="cs-CZ"/>
        </w:rPr>
        <w:footnoteReference w:id="14"/>
      </w:r>
      <w:r w:rsidR="00171D59">
        <w:rPr>
          <w:rFonts w:asciiTheme="minorHAnsi" w:hAnsiTheme="minorHAnsi" w:cstheme="minorHAnsi"/>
          <w:lang w:eastAsia="cs-CZ"/>
        </w:rPr>
        <w:t xml:space="preserve">, což </w:t>
      </w:r>
      <w:r w:rsidR="00443487">
        <w:rPr>
          <w:rFonts w:asciiTheme="minorHAnsi" w:hAnsiTheme="minorHAnsi" w:cstheme="minorHAnsi"/>
          <w:lang w:eastAsia="cs-CZ"/>
        </w:rPr>
        <w:t xml:space="preserve">celkem </w:t>
      </w:r>
      <w:r w:rsidR="00171D59">
        <w:rPr>
          <w:rFonts w:asciiTheme="minorHAnsi" w:hAnsiTheme="minorHAnsi" w:cstheme="minorHAnsi"/>
          <w:lang w:eastAsia="cs-CZ"/>
        </w:rPr>
        <w:t xml:space="preserve">tvořilo 64 % z požadované podpory v rámci 18 </w:t>
      </w:r>
      <w:r w:rsidR="00E74991">
        <w:rPr>
          <w:rFonts w:asciiTheme="minorHAnsi" w:hAnsiTheme="minorHAnsi" w:cstheme="minorHAnsi"/>
          <w:lang w:eastAsia="cs-CZ"/>
        </w:rPr>
        <w:t xml:space="preserve">podaných </w:t>
      </w:r>
      <w:r w:rsidR="00171D59">
        <w:rPr>
          <w:rFonts w:asciiTheme="minorHAnsi" w:hAnsiTheme="minorHAnsi" w:cstheme="minorHAnsi"/>
          <w:lang w:eastAsia="cs-CZ"/>
        </w:rPr>
        <w:t>žádostí</w:t>
      </w:r>
      <w:r w:rsidR="00171D59" w:rsidRPr="00443487">
        <w:rPr>
          <w:rFonts w:asciiTheme="minorHAnsi" w:hAnsiTheme="minorHAnsi" w:cstheme="minorHAnsi"/>
          <w:lang w:eastAsia="cs-CZ"/>
        </w:rPr>
        <w:t xml:space="preserve">. </w:t>
      </w:r>
      <w:r w:rsidR="00646F62" w:rsidRPr="00443487">
        <w:rPr>
          <w:rFonts w:asciiTheme="minorHAnsi" w:hAnsiTheme="minorHAnsi" w:cstheme="minorHAnsi"/>
          <w:lang w:eastAsia="cs-CZ"/>
        </w:rPr>
        <w:t xml:space="preserve">Na schválené žádosti </w:t>
      </w:r>
      <w:r w:rsidR="00892963" w:rsidRPr="00443487">
        <w:rPr>
          <w:rFonts w:asciiTheme="minorHAnsi" w:hAnsiTheme="minorHAnsi" w:cstheme="minorHAnsi"/>
          <w:lang w:eastAsia="cs-CZ"/>
        </w:rPr>
        <w:t xml:space="preserve">z </w:t>
      </w:r>
      <w:r w:rsidR="00646F62" w:rsidRPr="00443487">
        <w:rPr>
          <w:rFonts w:asciiTheme="minorHAnsi" w:hAnsiTheme="minorHAnsi" w:cstheme="minorHAnsi"/>
          <w:lang w:eastAsia="cs-CZ"/>
        </w:rPr>
        <w:t xml:space="preserve">prvního kola byl požadován příspěvek z EU ve výši </w:t>
      </w:r>
      <w:r w:rsidR="00646F62" w:rsidRPr="0050720B">
        <w:rPr>
          <w:rFonts w:asciiTheme="minorHAnsi" w:hAnsiTheme="minorHAnsi" w:cstheme="minorHAnsi"/>
          <w:lang w:eastAsia="cs-CZ"/>
        </w:rPr>
        <w:t>1</w:t>
      </w:r>
      <w:r w:rsidR="0050720B" w:rsidRPr="0050720B">
        <w:rPr>
          <w:rFonts w:asciiTheme="minorHAnsi" w:hAnsiTheme="minorHAnsi" w:cstheme="minorHAnsi"/>
          <w:lang w:eastAsia="cs-CZ"/>
        </w:rPr>
        <w:t> </w:t>
      </w:r>
      <w:r w:rsidR="00646F62" w:rsidRPr="0050720B">
        <w:rPr>
          <w:rFonts w:asciiTheme="minorHAnsi" w:hAnsiTheme="minorHAnsi" w:cstheme="minorHAnsi"/>
          <w:lang w:eastAsia="cs-CZ"/>
        </w:rPr>
        <w:t>010</w:t>
      </w:r>
      <w:r w:rsidR="0050720B" w:rsidRPr="0050720B">
        <w:rPr>
          <w:rFonts w:asciiTheme="minorHAnsi" w:hAnsiTheme="minorHAnsi" w:cstheme="minorHAnsi"/>
          <w:lang w:eastAsia="cs-CZ"/>
        </w:rPr>
        <w:t>,</w:t>
      </w:r>
      <w:r w:rsidR="00646F62" w:rsidRPr="0050720B">
        <w:rPr>
          <w:rFonts w:asciiTheme="minorHAnsi" w:hAnsiTheme="minorHAnsi" w:cstheme="minorHAnsi"/>
          <w:lang w:eastAsia="cs-CZ"/>
        </w:rPr>
        <w:t>034 </w:t>
      </w:r>
      <w:r w:rsidR="0050720B" w:rsidRPr="0050720B">
        <w:rPr>
          <w:rFonts w:asciiTheme="minorHAnsi" w:hAnsiTheme="minorHAnsi" w:cstheme="minorHAnsi"/>
          <w:lang w:eastAsia="cs-CZ"/>
        </w:rPr>
        <w:t>mil.</w:t>
      </w:r>
      <w:r w:rsidR="00646F62" w:rsidRPr="0050720B">
        <w:rPr>
          <w:rFonts w:asciiTheme="minorHAnsi" w:hAnsiTheme="minorHAnsi" w:cstheme="minorHAnsi"/>
          <w:lang w:eastAsia="cs-CZ"/>
        </w:rPr>
        <w:t xml:space="preserve"> Kč</w:t>
      </w:r>
      <w:r w:rsidR="00892963" w:rsidRPr="0050720B">
        <w:rPr>
          <w:rFonts w:asciiTheme="minorHAnsi" w:hAnsiTheme="minorHAnsi" w:cstheme="minorHAnsi"/>
          <w:lang w:eastAsia="cs-CZ"/>
        </w:rPr>
        <w:t>,</w:t>
      </w:r>
      <w:r w:rsidR="008B4654" w:rsidRPr="0050720B">
        <w:rPr>
          <w:rFonts w:asciiTheme="minorHAnsi" w:hAnsiTheme="minorHAnsi" w:cstheme="minorHAnsi"/>
          <w:lang w:eastAsia="cs-CZ"/>
        </w:rPr>
        <w:t xml:space="preserve"> tj.</w:t>
      </w:r>
      <w:r w:rsidR="00892963" w:rsidRPr="0050720B">
        <w:rPr>
          <w:rFonts w:asciiTheme="minorHAnsi" w:hAnsiTheme="minorHAnsi" w:cstheme="minorHAnsi"/>
          <w:lang w:eastAsia="cs-CZ"/>
        </w:rPr>
        <w:t xml:space="preserve"> necelých 10</w:t>
      </w:r>
      <w:r w:rsidR="00B07001" w:rsidRPr="0050720B">
        <w:rPr>
          <w:rFonts w:asciiTheme="minorHAnsi" w:hAnsiTheme="minorHAnsi" w:cstheme="minorHAnsi"/>
          <w:lang w:eastAsia="cs-CZ"/>
        </w:rPr>
        <w:t> </w:t>
      </w:r>
      <w:r w:rsidR="00892963" w:rsidRPr="0050720B">
        <w:rPr>
          <w:rFonts w:asciiTheme="minorHAnsi" w:hAnsiTheme="minorHAnsi" w:cstheme="minorHAnsi"/>
          <w:lang w:eastAsia="cs-CZ"/>
        </w:rPr>
        <w:t xml:space="preserve">% alokace. Nízký podíl rozdělené alokace v rámci prvního </w:t>
      </w:r>
      <w:r w:rsidR="00892963" w:rsidRPr="00443487">
        <w:rPr>
          <w:rFonts w:asciiTheme="minorHAnsi" w:hAnsiTheme="minorHAnsi" w:cstheme="minorHAnsi"/>
          <w:lang w:eastAsia="cs-CZ"/>
        </w:rPr>
        <w:t>kola byl výrazně ovlivněn skutečností, že nebyl realizován projekt metra D</w:t>
      </w:r>
      <w:r w:rsidR="00E217BC">
        <w:rPr>
          <w:rFonts w:asciiTheme="minorHAnsi" w:hAnsiTheme="minorHAnsi" w:cstheme="minorHAnsi"/>
          <w:lang w:eastAsia="cs-CZ"/>
        </w:rPr>
        <w:t xml:space="preserve"> hlavního města Prahy</w:t>
      </w:r>
      <w:r w:rsidR="00892963" w:rsidRPr="00443487">
        <w:rPr>
          <w:rFonts w:asciiTheme="minorHAnsi" w:hAnsiTheme="minorHAnsi" w:cstheme="minorHAnsi"/>
          <w:lang w:eastAsia="cs-CZ"/>
        </w:rPr>
        <w:t>, pro který bylo uvažováno s podporou ve výši 5 000</w:t>
      </w:r>
      <w:r w:rsidR="006B648E">
        <w:rPr>
          <w:rFonts w:asciiTheme="minorHAnsi" w:hAnsiTheme="minorHAnsi" w:cstheme="minorHAnsi"/>
          <w:lang w:eastAsia="cs-CZ"/>
        </w:rPr>
        <w:t> </w:t>
      </w:r>
      <w:r w:rsidR="00892963" w:rsidRPr="00443487">
        <w:rPr>
          <w:rFonts w:asciiTheme="minorHAnsi" w:hAnsiTheme="minorHAnsi" w:cstheme="minorHAnsi"/>
          <w:lang w:eastAsia="cs-CZ"/>
        </w:rPr>
        <w:t>mil.</w:t>
      </w:r>
      <w:r w:rsidR="006B648E">
        <w:rPr>
          <w:rFonts w:asciiTheme="minorHAnsi" w:hAnsiTheme="minorHAnsi" w:cstheme="minorHAnsi"/>
          <w:lang w:eastAsia="cs-CZ"/>
        </w:rPr>
        <w:t> </w:t>
      </w:r>
      <w:r w:rsidR="00892963" w:rsidRPr="00443487">
        <w:rPr>
          <w:rFonts w:asciiTheme="minorHAnsi" w:hAnsiTheme="minorHAnsi" w:cstheme="minorHAnsi"/>
          <w:lang w:eastAsia="cs-CZ"/>
        </w:rPr>
        <w:t>Kč.</w:t>
      </w:r>
      <w:r w:rsidR="008B4654">
        <w:rPr>
          <w:rFonts w:asciiTheme="minorHAnsi" w:hAnsiTheme="minorHAnsi" w:cstheme="minorHAnsi"/>
          <w:lang w:eastAsia="cs-CZ"/>
        </w:rPr>
        <w:t xml:space="preserve"> </w:t>
      </w:r>
      <w:r w:rsidR="00E217BC" w:rsidRPr="00E217BC">
        <w:rPr>
          <w:rFonts w:asciiTheme="minorHAnsi" w:hAnsiTheme="minorHAnsi" w:cstheme="minorHAnsi"/>
          <w:lang w:eastAsia="cs-CZ"/>
        </w:rPr>
        <w:t xml:space="preserve">Podpora v rámci SC 1.4 nebyla pro výstavbu metra D využita, protože </w:t>
      </w:r>
      <w:r w:rsidR="008B4654" w:rsidRPr="00E217BC">
        <w:rPr>
          <w:rFonts w:asciiTheme="minorHAnsi" w:hAnsiTheme="minorHAnsi" w:cstheme="minorHAnsi"/>
        </w:rPr>
        <w:t>nebyly zpracovány všechny stupně přípravy výstavby</w:t>
      </w:r>
      <w:r w:rsidR="00E217BC" w:rsidRPr="003A52C8">
        <w:rPr>
          <w:rFonts w:asciiTheme="minorHAnsi" w:hAnsiTheme="minorHAnsi" w:cstheme="minorHAnsi"/>
        </w:rPr>
        <w:t xml:space="preserve">. </w:t>
      </w:r>
      <w:r w:rsidR="00E217BC" w:rsidRPr="00277DA5">
        <w:rPr>
          <w:rFonts w:asciiTheme="minorHAnsi" w:hAnsiTheme="minorHAnsi" w:cstheme="minorHAnsi"/>
        </w:rPr>
        <w:t xml:space="preserve">Ostatní aglomerace/města </w:t>
      </w:r>
      <w:r w:rsidR="006B648E" w:rsidRPr="00277DA5">
        <w:rPr>
          <w:rFonts w:asciiTheme="minorHAnsi" w:hAnsiTheme="minorHAnsi" w:cstheme="minorHAnsi"/>
        </w:rPr>
        <w:t xml:space="preserve">už </w:t>
      </w:r>
      <w:r w:rsidR="00E217BC" w:rsidRPr="00277DA5">
        <w:rPr>
          <w:rFonts w:asciiTheme="minorHAnsi" w:hAnsiTheme="minorHAnsi" w:cstheme="minorHAnsi"/>
        </w:rPr>
        <w:t>nebyly schopny</w:t>
      </w:r>
      <w:r w:rsidR="00277DA5">
        <w:rPr>
          <w:rFonts w:asciiTheme="minorHAnsi" w:hAnsiTheme="minorHAnsi" w:cstheme="minorHAnsi"/>
        </w:rPr>
        <w:t xml:space="preserve"> ani v následujících výzvách</w:t>
      </w:r>
      <w:r w:rsidR="00E217BC" w:rsidRPr="00277DA5">
        <w:rPr>
          <w:rFonts w:asciiTheme="minorHAnsi" w:hAnsiTheme="minorHAnsi" w:cstheme="minorHAnsi"/>
        </w:rPr>
        <w:t xml:space="preserve"> deklarovat potenciální volnou absorpční kapacitu v rámci SC 1.4.</w:t>
      </w:r>
    </w:p>
    <w:p w14:paraId="7418CEDB" w14:textId="003B6BB9" w:rsidR="007A79DC" w:rsidRPr="00497709" w:rsidRDefault="00FB4429" w:rsidP="0008210D">
      <w:pPr>
        <w:keepNext/>
        <w:widowControl w:val="0"/>
        <w:rPr>
          <w:rFonts w:asciiTheme="minorHAnsi" w:hAnsiTheme="minorHAnsi" w:cstheme="minorHAnsi"/>
          <w:b/>
        </w:rPr>
      </w:pPr>
      <w:r w:rsidRPr="00497709">
        <w:rPr>
          <w:b/>
          <w:noProof/>
          <w:lang w:eastAsia="cs-CZ"/>
        </w:rPr>
        <w:lastRenderedPageBreak/>
        <w:drawing>
          <wp:anchor distT="0" distB="0" distL="114300" distR="114300" simplePos="0" relativeHeight="251668480" behindDoc="0" locked="0" layoutInCell="1" allowOverlap="1" wp14:anchorId="31E342FB" wp14:editId="768D67CE">
            <wp:simplePos x="0" y="0"/>
            <wp:positionH relativeFrom="column">
              <wp:posOffset>71120</wp:posOffset>
            </wp:positionH>
            <wp:positionV relativeFrom="paragraph">
              <wp:posOffset>210820</wp:posOffset>
            </wp:positionV>
            <wp:extent cx="5645150" cy="3563620"/>
            <wp:effectExtent l="0" t="0" r="0" b="0"/>
            <wp:wrapTopAndBottom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9DC" w:rsidRPr="00497709">
        <w:rPr>
          <w:rFonts w:asciiTheme="minorHAnsi" w:hAnsiTheme="minorHAnsi" w:cstheme="minorHAnsi"/>
          <w:b/>
        </w:rPr>
        <w:t>Graf č. 1</w:t>
      </w:r>
      <w:r w:rsidR="00584FF5">
        <w:rPr>
          <w:rFonts w:asciiTheme="minorHAnsi" w:hAnsiTheme="minorHAnsi" w:cstheme="minorHAnsi"/>
          <w:b/>
        </w:rPr>
        <w:t>:</w:t>
      </w:r>
      <w:r w:rsidR="007A79DC" w:rsidRPr="00497709">
        <w:rPr>
          <w:rFonts w:asciiTheme="minorHAnsi" w:hAnsiTheme="minorHAnsi" w:cstheme="minorHAnsi"/>
          <w:b/>
        </w:rPr>
        <w:t xml:space="preserve"> První kolo výzev k předložení žádo</w:t>
      </w:r>
      <w:r w:rsidR="00C62B63" w:rsidRPr="00497709">
        <w:rPr>
          <w:rFonts w:asciiTheme="minorHAnsi" w:hAnsiTheme="minorHAnsi" w:cstheme="minorHAnsi"/>
          <w:b/>
        </w:rPr>
        <w:t xml:space="preserve">sti o podporu v rámci SC </w:t>
      </w:r>
      <w:proofErr w:type="gramStart"/>
      <w:r w:rsidR="00C62B63" w:rsidRPr="00497709">
        <w:rPr>
          <w:rFonts w:asciiTheme="minorHAnsi" w:hAnsiTheme="minorHAnsi" w:cstheme="minorHAnsi"/>
          <w:b/>
        </w:rPr>
        <w:t>1.4 (</w:t>
      </w:r>
      <w:r w:rsidR="007A79DC" w:rsidRPr="00497709">
        <w:rPr>
          <w:rFonts w:asciiTheme="minorHAnsi" w:hAnsiTheme="minorHAnsi" w:cstheme="minorHAnsi"/>
          <w:b/>
        </w:rPr>
        <w:t>v % )</w:t>
      </w:r>
      <w:proofErr w:type="gramEnd"/>
    </w:p>
    <w:p w14:paraId="76C4A4D6" w14:textId="7FE204ED" w:rsidR="00455BD4" w:rsidRPr="004C6A06" w:rsidRDefault="004C6A06" w:rsidP="0008210D">
      <w:pPr>
        <w:spacing w:after="120"/>
        <w:rPr>
          <w:rFonts w:asciiTheme="minorHAnsi" w:hAnsiTheme="minorHAnsi" w:cstheme="minorHAnsi"/>
          <w:sz w:val="20"/>
          <w:szCs w:val="20"/>
          <w:lang w:eastAsia="cs-CZ"/>
        </w:rPr>
      </w:pPr>
      <w:r w:rsidRPr="00EB4B23">
        <w:rPr>
          <w:rFonts w:asciiTheme="minorHAnsi" w:hAnsiTheme="minorHAnsi" w:cstheme="minorHAnsi"/>
          <w:b/>
          <w:sz w:val="20"/>
          <w:szCs w:val="20"/>
          <w:lang w:eastAsia="cs-CZ"/>
        </w:rPr>
        <w:t>Zdroj: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584FF5">
        <w:rPr>
          <w:rFonts w:asciiTheme="minorHAnsi" w:hAnsiTheme="minorHAnsi" w:cstheme="minorHAnsi"/>
          <w:sz w:val="20"/>
          <w:szCs w:val="20"/>
          <w:lang w:eastAsia="cs-CZ"/>
        </w:rPr>
        <w:t>v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 xml:space="preserve">ýzvy k předložení žádosti o podporu v rámci SC 1.4, </w:t>
      </w:r>
      <w:r w:rsidR="00584FF5"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>nformace MD</w:t>
      </w:r>
      <w:r w:rsidR="00EB4B23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14:paraId="70F49A8E" w14:textId="77777777" w:rsidR="00DE344A" w:rsidRPr="00F35A3C" w:rsidRDefault="00BC3BFE" w:rsidP="0001743C">
      <w:pPr>
        <w:keepNext/>
        <w:spacing w:after="120"/>
        <w:jc w:val="left"/>
        <w:rPr>
          <w:b/>
          <w:lang w:eastAsia="cs-CZ"/>
        </w:rPr>
      </w:pPr>
      <w:r w:rsidRPr="00F35A3C">
        <w:rPr>
          <w:b/>
          <w:lang w:eastAsia="cs-CZ"/>
        </w:rPr>
        <w:t>Třetina</w:t>
      </w:r>
      <w:r w:rsidR="00A07F89" w:rsidRPr="00F35A3C">
        <w:rPr>
          <w:b/>
          <w:lang w:eastAsia="cs-CZ"/>
        </w:rPr>
        <w:t xml:space="preserve"> </w:t>
      </w:r>
      <w:r w:rsidR="00DE344A" w:rsidRPr="00F35A3C">
        <w:rPr>
          <w:b/>
          <w:lang w:eastAsia="cs-CZ"/>
        </w:rPr>
        <w:t>peněžních prostředků určených pro specifický cíl 1.4</w:t>
      </w:r>
      <w:r w:rsidRPr="00F35A3C">
        <w:rPr>
          <w:b/>
          <w:lang w:eastAsia="cs-CZ"/>
        </w:rPr>
        <w:t xml:space="preserve"> nebyla rozdělena</w:t>
      </w:r>
    </w:p>
    <w:p w14:paraId="72DA1A51" w14:textId="1F6F1022" w:rsidR="00534B75" w:rsidRDefault="00C50F66" w:rsidP="00497709">
      <w:pPr>
        <w:spacing w:after="120"/>
      </w:pPr>
      <w:r>
        <w:rPr>
          <w:lang w:eastAsia="cs-CZ"/>
        </w:rPr>
        <w:t>V</w:t>
      </w:r>
      <w:r w:rsidR="00646F62" w:rsidRPr="00732ED4">
        <w:rPr>
          <w:lang w:eastAsia="cs-CZ"/>
        </w:rPr>
        <w:t xml:space="preserve"> rámci druhého kola výzev byly vyhlášeny výzvy </w:t>
      </w:r>
      <w:r w:rsidR="005C1073">
        <w:rPr>
          <w:lang w:eastAsia="cs-CZ"/>
        </w:rPr>
        <w:t>pro jednotlivé aglomerace/města v celkové výši 9</w:t>
      </w:r>
      <w:r w:rsidR="000D49E9">
        <w:rPr>
          <w:lang w:eastAsia="cs-CZ"/>
        </w:rPr>
        <w:t> </w:t>
      </w:r>
      <w:r w:rsidR="005C1073">
        <w:rPr>
          <w:lang w:eastAsia="cs-CZ"/>
        </w:rPr>
        <w:t>287</w:t>
      </w:r>
      <w:r w:rsidR="000D49E9">
        <w:rPr>
          <w:lang w:eastAsia="cs-CZ"/>
        </w:rPr>
        <w:t>,</w:t>
      </w:r>
      <w:r w:rsidR="005C1073">
        <w:rPr>
          <w:lang w:eastAsia="cs-CZ"/>
        </w:rPr>
        <w:t>880 </w:t>
      </w:r>
      <w:r w:rsidR="000D49E9">
        <w:rPr>
          <w:lang w:eastAsia="cs-CZ"/>
        </w:rPr>
        <w:t>mil.</w:t>
      </w:r>
      <w:r w:rsidR="005C1073">
        <w:rPr>
          <w:lang w:eastAsia="cs-CZ"/>
        </w:rPr>
        <w:t xml:space="preserve"> Kč</w:t>
      </w:r>
      <w:r w:rsidR="00301273">
        <w:rPr>
          <w:lang w:eastAsia="cs-CZ"/>
        </w:rPr>
        <w:t xml:space="preserve"> </w:t>
      </w:r>
      <w:r w:rsidR="00301273" w:rsidRPr="002D6459">
        <w:rPr>
          <w:lang w:eastAsia="cs-CZ"/>
        </w:rPr>
        <w:t>(</w:t>
      </w:r>
      <w:r w:rsidR="006B648E">
        <w:rPr>
          <w:lang w:eastAsia="cs-CZ"/>
        </w:rPr>
        <w:t xml:space="preserve">viz </w:t>
      </w:r>
      <w:r w:rsidR="00301273" w:rsidRPr="002D6459">
        <w:rPr>
          <w:lang w:eastAsia="cs-CZ"/>
        </w:rPr>
        <w:t xml:space="preserve">příloha č. 5 </w:t>
      </w:r>
      <w:r w:rsidR="006B648E">
        <w:rPr>
          <w:lang w:eastAsia="cs-CZ"/>
        </w:rPr>
        <w:t xml:space="preserve">tohoto </w:t>
      </w:r>
      <w:r w:rsidR="00301273" w:rsidRPr="002D6459">
        <w:rPr>
          <w:lang w:eastAsia="cs-CZ"/>
        </w:rPr>
        <w:t>kontrolního závěru)</w:t>
      </w:r>
      <w:r w:rsidR="00646F62" w:rsidRPr="002D6459">
        <w:rPr>
          <w:lang w:eastAsia="cs-CZ"/>
        </w:rPr>
        <w:t>.</w:t>
      </w:r>
      <w:r w:rsidR="00646F62" w:rsidRPr="00732ED4">
        <w:rPr>
          <w:lang w:eastAsia="cs-CZ"/>
        </w:rPr>
        <w:t xml:space="preserve"> </w:t>
      </w:r>
      <w:r w:rsidR="005C1073">
        <w:rPr>
          <w:lang w:eastAsia="cs-CZ"/>
        </w:rPr>
        <w:t>Z 3</w:t>
      </w:r>
      <w:r w:rsidR="00646F62" w:rsidRPr="00732ED4">
        <w:rPr>
          <w:lang w:eastAsia="cs-CZ"/>
        </w:rPr>
        <w:t>8 žádostí o podporu</w:t>
      </w:r>
      <w:r w:rsidR="005C1073">
        <w:rPr>
          <w:lang w:eastAsia="cs-CZ"/>
        </w:rPr>
        <w:t xml:space="preserve"> ve výši </w:t>
      </w:r>
      <w:r w:rsidR="00646F62" w:rsidRPr="00732ED4">
        <w:rPr>
          <w:lang w:eastAsia="cs-CZ"/>
        </w:rPr>
        <w:t>8</w:t>
      </w:r>
      <w:r w:rsidR="000D49E9">
        <w:rPr>
          <w:lang w:eastAsia="cs-CZ"/>
        </w:rPr>
        <w:t> </w:t>
      </w:r>
      <w:r w:rsidR="00646F62" w:rsidRPr="00732ED4">
        <w:rPr>
          <w:lang w:eastAsia="cs-CZ"/>
        </w:rPr>
        <w:t>517</w:t>
      </w:r>
      <w:r w:rsidR="000D49E9">
        <w:rPr>
          <w:lang w:eastAsia="cs-CZ"/>
        </w:rPr>
        <w:t>,</w:t>
      </w:r>
      <w:r w:rsidR="00646F62" w:rsidRPr="00732ED4">
        <w:rPr>
          <w:lang w:eastAsia="cs-CZ"/>
        </w:rPr>
        <w:t>551</w:t>
      </w:r>
      <w:r w:rsidR="000D49E9">
        <w:rPr>
          <w:lang w:eastAsia="cs-CZ"/>
        </w:rPr>
        <w:t xml:space="preserve"> mil.</w:t>
      </w:r>
      <w:r w:rsidR="00646F62" w:rsidRPr="00732ED4">
        <w:rPr>
          <w:lang w:eastAsia="cs-CZ"/>
        </w:rPr>
        <w:t> Kč</w:t>
      </w:r>
      <w:r w:rsidR="005C1073">
        <w:rPr>
          <w:lang w:eastAsia="cs-CZ"/>
        </w:rPr>
        <w:t xml:space="preserve"> bylo </w:t>
      </w:r>
      <w:r w:rsidR="000D49E9">
        <w:rPr>
          <w:lang w:eastAsia="cs-CZ"/>
        </w:rPr>
        <w:t>pět</w:t>
      </w:r>
      <w:r w:rsidR="00646F62" w:rsidRPr="00732ED4">
        <w:t xml:space="preserve"> žádostí zamítnuto </w:t>
      </w:r>
      <w:r w:rsidR="005C1073">
        <w:t>z důvodu nesplnění</w:t>
      </w:r>
      <w:r w:rsidR="00646F62" w:rsidRPr="00732ED4">
        <w:t xml:space="preserve"> podmín</w:t>
      </w:r>
      <w:r w:rsidR="005C1073">
        <w:t>ek</w:t>
      </w:r>
      <w:r w:rsidR="00646F62" w:rsidRPr="00732ED4">
        <w:t xml:space="preserve"> </w:t>
      </w:r>
      <w:r w:rsidR="008B4654">
        <w:t>podpory</w:t>
      </w:r>
      <w:r w:rsidR="000D49E9">
        <w:t>, jedna žádost byla stažena žadatelem a jedna byla ukončena ŘO.</w:t>
      </w:r>
      <w:r w:rsidR="008B4654">
        <w:t xml:space="preserve"> </w:t>
      </w:r>
      <w:r w:rsidR="00E217BC" w:rsidRPr="006C1BC6">
        <w:t>Hlavní město Praha podalo žádosti na celkem 6 projektů v celkovém objemu 2</w:t>
      </w:r>
      <w:r w:rsidR="000D49E9">
        <w:t> </w:t>
      </w:r>
      <w:r w:rsidR="00E217BC" w:rsidRPr="006C1BC6">
        <w:t>889</w:t>
      </w:r>
      <w:r w:rsidR="000D49E9">
        <w:t>,</w:t>
      </w:r>
      <w:r w:rsidR="00E217BC" w:rsidRPr="006C1BC6">
        <w:t>85</w:t>
      </w:r>
      <w:r w:rsidR="000D49E9">
        <w:t>8</w:t>
      </w:r>
      <w:r w:rsidR="00E217BC" w:rsidRPr="006C1BC6">
        <w:t xml:space="preserve"> </w:t>
      </w:r>
      <w:r w:rsidR="000D49E9">
        <w:t>mil.</w:t>
      </w:r>
      <w:r w:rsidR="00E217BC" w:rsidRPr="006C1BC6">
        <w:t xml:space="preserve"> Kč. Dva projekty </w:t>
      </w:r>
      <w:r w:rsidR="002D02A0">
        <w:t xml:space="preserve">v objemu </w:t>
      </w:r>
      <w:r w:rsidR="002D02A0" w:rsidRPr="006C1BC6">
        <w:t>1</w:t>
      </w:r>
      <w:r w:rsidR="002D02A0">
        <w:t> </w:t>
      </w:r>
      <w:r w:rsidR="002D02A0" w:rsidRPr="006C1BC6">
        <w:t>578</w:t>
      </w:r>
      <w:r w:rsidR="002D02A0">
        <w:t>,</w:t>
      </w:r>
      <w:r w:rsidR="002D02A0" w:rsidRPr="006C1BC6">
        <w:t>89</w:t>
      </w:r>
      <w:r w:rsidR="002D02A0">
        <w:t>2 mil. Kč</w:t>
      </w:r>
      <w:r w:rsidR="002D02A0" w:rsidRPr="006C1BC6">
        <w:t xml:space="preserve"> </w:t>
      </w:r>
      <w:r w:rsidR="00E217BC" w:rsidRPr="006C1BC6">
        <w:t>byly vyřazeny z důvodu nesplnění podmínek věcného hodnocení</w:t>
      </w:r>
      <w:r w:rsidR="00E217BC">
        <w:t xml:space="preserve">. </w:t>
      </w:r>
      <w:r w:rsidR="00534B75" w:rsidRPr="00C50F66">
        <w:t>Kontrolou bylo dále zjištěno, že všechny schválené žádosti o podporu naplnil</w:t>
      </w:r>
      <w:r w:rsidR="003A5069">
        <w:t>y požadavky k dosažení SC</w:t>
      </w:r>
      <w:r w:rsidR="00313916">
        <w:t> </w:t>
      </w:r>
      <w:r w:rsidR="003A5069">
        <w:t>1.4 a </w:t>
      </w:r>
      <w:r w:rsidR="00534B75" w:rsidRPr="00C50F66">
        <w:t>splnily kritéria výběru projektů pro tento specifický cíl</w:t>
      </w:r>
      <w:r w:rsidR="002D02A0">
        <w:t>,</w:t>
      </w:r>
      <w:r w:rsidR="00534B75" w:rsidRPr="00C50F66">
        <w:t xml:space="preserve"> a byly </w:t>
      </w:r>
      <w:r w:rsidR="002D02A0">
        <w:t>tedy</w:t>
      </w:r>
      <w:r w:rsidR="00534B75" w:rsidRPr="00C50F66">
        <w:t xml:space="preserve"> vybrány k realizaci oprávněně.</w:t>
      </w:r>
    </w:p>
    <w:p w14:paraId="34308273" w14:textId="272942FA" w:rsidR="00DE344A" w:rsidRDefault="003D779B" w:rsidP="00497709">
      <w:pPr>
        <w:spacing w:after="120"/>
      </w:pPr>
      <w:r>
        <w:t>Hla</w:t>
      </w:r>
      <w:r w:rsidR="00E217BC">
        <w:t xml:space="preserve">vní město Praha </w:t>
      </w:r>
      <w:r w:rsidR="00E217BC" w:rsidRPr="006C1BC6">
        <w:t>z výzvy ve výši 3</w:t>
      </w:r>
      <w:r w:rsidR="00EE564D">
        <w:t> </w:t>
      </w:r>
      <w:r w:rsidR="00E217BC" w:rsidRPr="006C1BC6">
        <w:t>400</w:t>
      </w:r>
      <w:r w:rsidR="00EE564D">
        <w:t>,</w:t>
      </w:r>
      <w:r w:rsidR="00E217BC" w:rsidRPr="006C1BC6">
        <w:t>000</w:t>
      </w:r>
      <w:r w:rsidR="005761EB">
        <w:t> mil.</w:t>
      </w:r>
      <w:r w:rsidR="00E217BC" w:rsidRPr="006C1BC6">
        <w:t xml:space="preserve"> Kč vyčerpá maximálně částku ve výši 1</w:t>
      </w:r>
      <w:r w:rsidR="00EE564D">
        <w:t> </w:t>
      </w:r>
      <w:r w:rsidR="00E217BC" w:rsidRPr="006C1BC6">
        <w:t>310</w:t>
      </w:r>
      <w:r w:rsidR="00EE564D">
        <w:t>,</w:t>
      </w:r>
      <w:r w:rsidR="00E217BC" w:rsidRPr="006C1BC6">
        <w:t>96</w:t>
      </w:r>
      <w:r w:rsidR="00EE564D">
        <w:t>6</w:t>
      </w:r>
      <w:r w:rsidR="00E217BC" w:rsidRPr="006C1BC6">
        <w:t xml:space="preserve"> </w:t>
      </w:r>
      <w:r w:rsidR="00EE564D">
        <w:t>mil.</w:t>
      </w:r>
      <w:r w:rsidR="00E217BC" w:rsidRPr="006C1BC6">
        <w:t xml:space="preserve"> Kč, což je 39</w:t>
      </w:r>
      <w:r w:rsidR="00A427B6">
        <w:t xml:space="preserve"> </w:t>
      </w:r>
      <w:r w:rsidR="00E217BC" w:rsidRPr="006C1BC6">
        <w:t>% alokace</w:t>
      </w:r>
      <w:r w:rsidR="00721616">
        <w:t xml:space="preserve"> určené pro hlavní město Prahu</w:t>
      </w:r>
      <w:r w:rsidR="00E217BC" w:rsidRPr="006C1BC6">
        <w:t>.</w:t>
      </w:r>
      <w:r w:rsidR="00E217BC">
        <w:t xml:space="preserve"> </w:t>
      </w:r>
      <w:r w:rsidR="00646F62" w:rsidRPr="00DE344A">
        <w:t>Na schválené žádosti v rámci druhého kola byl požadován příspěvek EU ve výši 6</w:t>
      </w:r>
      <w:r w:rsidR="00EE564D">
        <w:t> </w:t>
      </w:r>
      <w:r w:rsidR="00646F62" w:rsidRPr="00DE344A">
        <w:t>745</w:t>
      </w:r>
      <w:r w:rsidR="00EE564D">
        <w:t>,</w:t>
      </w:r>
      <w:r w:rsidR="00646F62" w:rsidRPr="00DE344A">
        <w:t>775</w:t>
      </w:r>
      <w:r w:rsidR="00EE564D">
        <w:t> mil. </w:t>
      </w:r>
      <w:r w:rsidR="00646F62" w:rsidRPr="00DE344A">
        <w:t>Kč</w:t>
      </w:r>
      <w:r w:rsidR="008B4654" w:rsidRPr="00DE344A">
        <w:t xml:space="preserve"> (73 % alokace</w:t>
      </w:r>
      <w:r w:rsidR="00397D83">
        <w:t xml:space="preserve"> určené pro SC 1.4</w:t>
      </w:r>
      <w:r w:rsidR="008B4654" w:rsidRPr="00DE344A">
        <w:t>)</w:t>
      </w:r>
      <w:r w:rsidR="00646F62" w:rsidRPr="00DE344A">
        <w:t xml:space="preserve">. </w:t>
      </w:r>
      <w:r w:rsidR="00DE344A" w:rsidRPr="00DE344A">
        <w:t>Z celkových 11</w:t>
      </w:r>
      <w:r w:rsidR="00EE564D">
        <w:t> </w:t>
      </w:r>
      <w:r w:rsidR="00DE344A" w:rsidRPr="00DE344A">
        <w:t>700</w:t>
      </w:r>
      <w:r w:rsidR="00EE564D">
        <w:t>,</w:t>
      </w:r>
      <w:r w:rsidR="00DE344A" w:rsidRPr="00DE344A">
        <w:t>000 </w:t>
      </w:r>
      <w:r w:rsidR="00EE564D">
        <w:t>mil.</w:t>
      </w:r>
      <w:r w:rsidR="00DE344A" w:rsidRPr="00DE344A">
        <w:t xml:space="preserve"> Kč se nepodařilo v rámci specifického cíle 1.4 rozdělit 3</w:t>
      </w:r>
      <w:r w:rsidR="00EE564D">
        <w:t> </w:t>
      </w:r>
      <w:r w:rsidR="00DE344A" w:rsidRPr="00DE344A">
        <w:t>944</w:t>
      </w:r>
      <w:r w:rsidR="00EE564D">
        <w:t>,</w:t>
      </w:r>
      <w:r w:rsidR="00DE344A" w:rsidRPr="00DE344A">
        <w:t>19</w:t>
      </w:r>
      <w:r w:rsidR="00EE564D">
        <w:t>1</w:t>
      </w:r>
      <w:r w:rsidR="00DE344A" w:rsidRPr="00DE344A">
        <w:t> </w:t>
      </w:r>
      <w:r w:rsidR="00EE564D">
        <w:t>mil.</w:t>
      </w:r>
      <w:r w:rsidR="00DE344A" w:rsidRPr="00DE344A">
        <w:t xml:space="preserve"> Kč, což je </w:t>
      </w:r>
      <w:r w:rsidR="001D1616">
        <w:t xml:space="preserve">cca </w:t>
      </w:r>
      <w:r w:rsidR="00DE344A" w:rsidRPr="00DE344A">
        <w:t>34 % peněžních prostředků alokovaných pro specifický cíl 1.4.</w:t>
      </w:r>
      <w:r w:rsidR="00954D8D">
        <w:t xml:space="preserve"> Důsledkem nevyčerpání třetiny peněžních prostředků určených pro specifický 1.4 je riziko, </w:t>
      </w:r>
      <w:r w:rsidR="00954D8D" w:rsidRPr="002763B8">
        <w:t>že očekávané přínosy podpory nebudou naplněny.</w:t>
      </w:r>
      <w:r w:rsidR="00D1543E" w:rsidRPr="002763B8">
        <w:t xml:space="preserve"> Na základě podaných a MD schválených žádostí o podporu je předpoklad, že z celkové alokace SC 1.4 bude vyčerpána částka v max.</w:t>
      </w:r>
      <w:r w:rsidR="002D02A0">
        <w:t> </w:t>
      </w:r>
      <w:r w:rsidR="00137330">
        <w:t>v</w:t>
      </w:r>
      <w:r w:rsidR="00D1543E" w:rsidRPr="002763B8">
        <w:t>ýši 7 755,809 mil. Kč.</w:t>
      </w:r>
    </w:p>
    <w:p w14:paraId="44093458" w14:textId="77777777" w:rsidR="00587044" w:rsidRDefault="00587044">
      <w:pPr>
        <w:spacing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029E125" w14:textId="05216DEE" w:rsidR="007A79DC" w:rsidRPr="00497709" w:rsidRDefault="00587044" w:rsidP="00587044">
      <w:pPr>
        <w:keepNext/>
        <w:keepLines/>
        <w:widowControl w:val="0"/>
        <w:rPr>
          <w:rFonts w:asciiTheme="minorHAnsi" w:hAnsiTheme="minorHAnsi" w:cstheme="minorHAnsi"/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0528" behindDoc="0" locked="0" layoutInCell="1" allowOverlap="1" wp14:anchorId="0F8C2A46" wp14:editId="126B4A18">
            <wp:simplePos x="0" y="0"/>
            <wp:positionH relativeFrom="column">
              <wp:posOffset>0</wp:posOffset>
            </wp:positionH>
            <wp:positionV relativeFrom="paragraph">
              <wp:posOffset>250825</wp:posOffset>
            </wp:positionV>
            <wp:extent cx="5486400" cy="3917950"/>
            <wp:effectExtent l="0" t="0" r="0" b="6350"/>
            <wp:wrapTopAndBottom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9DC" w:rsidRPr="00497709">
        <w:rPr>
          <w:rFonts w:asciiTheme="minorHAnsi" w:hAnsiTheme="minorHAnsi" w:cstheme="minorHAnsi"/>
          <w:b/>
        </w:rPr>
        <w:t>Graf č. 2</w:t>
      </w:r>
      <w:r w:rsidR="00584FF5">
        <w:rPr>
          <w:rFonts w:asciiTheme="minorHAnsi" w:hAnsiTheme="minorHAnsi" w:cstheme="minorHAnsi"/>
          <w:b/>
        </w:rPr>
        <w:t>:</w:t>
      </w:r>
      <w:r w:rsidR="007A79DC" w:rsidRPr="00497709">
        <w:rPr>
          <w:rFonts w:asciiTheme="minorHAnsi" w:hAnsiTheme="minorHAnsi" w:cstheme="minorHAnsi"/>
          <w:b/>
        </w:rPr>
        <w:t xml:space="preserve"> Druhé kolo výzev k předložení žádosti o podporu v rámci SC </w:t>
      </w:r>
      <w:proofErr w:type="gramStart"/>
      <w:r w:rsidR="007A79DC" w:rsidRPr="00497709">
        <w:rPr>
          <w:rFonts w:asciiTheme="minorHAnsi" w:hAnsiTheme="minorHAnsi" w:cstheme="minorHAnsi"/>
          <w:b/>
        </w:rPr>
        <w:t>1.4</w:t>
      </w:r>
      <w:r w:rsidR="00D551C9" w:rsidRPr="00497709">
        <w:rPr>
          <w:rFonts w:asciiTheme="minorHAnsi" w:hAnsiTheme="minorHAnsi" w:cstheme="minorHAnsi"/>
          <w:b/>
        </w:rPr>
        <w:t xml:space="preserve"> (v % )</w:t>
      </w:r>
      <w:proofErr w:type="gramEnd"/>
    </w:p>
    <w:p w14:paraId="51AF25BA" w14:textId="2C45F541" w:rsidR="004C6A06" w:rsidRPr="004C6A06" w:rsidRDefault="004C6A06" w:rsidP="0001743C">
      <w:pPr>
        <w:widowControl w:val="0"/>
        <w:spacing w:after="120"/>
        <w:rPr>
          <w:rFonts w:asciiTheme="minorHAnsi" w:hAnsiTheme="minorHAnsi" w:cstheme="minorHAnsi"/>
          <w:sz w:val="20"/>
          <w:szCs w:val="20"/>
          <w:lang w:eastAsia="cs-CZ"/>
        </w:rPr>
      </w:pPr>
      <w:r w:rsidRPr="00EB4B23">
        <w:rPr>
          <w:rFonts w:asciiTheme="minorHAnsi" w:hAnsiTheme="minorHAnsi" w:cstheme="minorHAnsi"/>
          <w:b/>
          <w:sz w:val="20"/>
          <w:szCs w:val="20"/>
          <w:lang w:eastAsia="cs-CZ"/>
        </w:rPr>
        <w:t>Zdroj: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584FF5">
        <w:rPr>
          <w:rFonts w:asciiTheme="minorHAnsi" w:hAnsiTheme="minorHAnsi" w:cstheme="minorHAnsi"/>
          <w:sz w:val="20"/>
          <w:szCs w:val="20"/>
          <w:lang w:eastAsia="cs-CZ"/>
        </w:rPr>
        <w:t>v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 xml:space="preserve">ýzvy k předložení žádosti o podporu v rámci SC 1.4, </w:t>
      </w:r>
      <w:r w:rsidR="00584FF5">
        <w:rPr>
          <w:rFonts w:asciiTheme="minorHAnsi" w:hAnsiTheme="minorHAnsi" w:cstheme="minorHAnsi"/>
          <w:sz w:val="20"/>
          <w:szCs w:val="20"/>
          <w:lang w:eastAsia="cs-CZ"/>
        </w:rPr>
        <w:t>i</w:t>
      </w:r>
      <w:r w:rsidRPr="004C6A06">
        <w:rPr>
          <w:rFonts w:asciiTheme="minorHAnsi" w:hAnsiTheme="minorHAnsi" w:cstheme="minorHAnsi"/>
          <w:sz w:val="20"/>
          <w:szCs w:val="20"/>
          <w:lang w:eastAsia="cs-CZ"/>
        </w:rPr>
        <w:t>nformace MD</w:t>
      </w:r>
      <w:r w:rsidR="00EB4B23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14:paraId="47472FE1" w14:textId="12DE7B88" w:rsidR="000A03D2" w:rsidRPr="00954D8D" w:rsidRDefault="00BC3BFE" w:rsidP="0001743C">
      <w:pPr>
        <w:keepNext/>
        <w:spacing w:after="12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Riziko n</w:t>
      </w:r>
      <w:r w:rsidR="00F338C0" w:rsidRPr="00954D8D">
        <w:rPr>
          <w:rFonts w:asciiTheme="minorHAnsi" w:hAnsiTheme="minorHAnsi" w:cstheme="minorHAnsi"/>
          <w:b/>
        </w:rPr>
        <w:t>ižší</w:t>
      </w:r>
      <w:r>
        <w:rPr>
          <w:rFonts w:asciiTheme="minorHAnsi" w:hAnsiTheme="minorHAnsi" w:cstheme="minorHAnsi"/>
          <w:b/>
        </w:rPr>
        <w:t>ho</w:t>
      </w:r>
      <w:r w:rsidR="00F338C0" w:rsidRPr="00954D8D">
        <w:rPr>
          <w:rFonts w:asciiTheme="minorHAnsi" w:hAnsiTheme="minorHAnsi" w:cstheme="minorHAnsi"/>
          <w:b/>
        </w:rPr>
        <w:t xml:space="preserve"> vliv</w:t>
      </w:r>
      <w:r>
        <w:rPr>
          <w:rFonts w:asciiTheme="minorHAnsi" w:hAnsiTheme="minorHAnsi" w:cstheme="minorHAnsi"/>
          <w:b/>
        </w:rPr>
        <w:t>u</w:t>
      </w:r>
      <w:r w:rsidR="00F338C0" w:rsidRPr="00954D8D">
        <w:rPr>
          <w:rFonts w:asciiTheme="minorHAnsi" w:hAnsiTheme="minorHAnsi" w:cstheme="minorHAnsi"/>
          <w:b/>
        </w:rPr>
        <w:t xml:space="preserve"> podpory na </w:t>
      </w:r>
      <w:r w:rsidR="00A665E2">
        <w:rPr>
          <w:rFonts w:asciiTheme="minorHAnsi" w:hAnsiTheme="minorHAnsi" w:cstheme="minorHAnsi"/>
          <w:b/>
        </w:rPr>
        <w:t xml:space="preserve">SC 1.4 a </w:t>
      </w:r>
      <w:r w:rsidR="00584FF5">
        <w:rPr>
          <w:rFonts w:asciiTheme="minorHAnsi" w:hAnsiTheme="minorHAnsi" w:cstheme="minorHAnsi"/>
          <w:b/>
        </w:rPr>
        <w:t>s</w:t>
      </w:r>
      <w:r w:rsidR="00F338C0" w:rsidRPr="00954D8D">
        <w:rPr>
          <w:rFonts w:asciiTheme="minorHAnsi" w:hAnsiTheme="minorHAnsi" w:cstheme="minorHAnsi"/>
          <w:b/>
        </w:rPr>
        <w:t xml:space="preserve">trategie </w:t>
      </w:r>
      <w:r w:rsidR="00F338C0" w:rsidRPr="00353C0E">
        <w:rPr>
          <w:rFonts w:asciiTheme="minorHAnsi" w:hAnsiTheme="minorHAnsi" w:cstheme="minorHAnsi"/>
          <w:b/>
          <w:i/>
        </w:rPr>
        <w:t>Evropa 2020</w:t>
      </w:r>
    </w:p>
    <w:p w14:paraId="1104A661" w14:textId="66B19452" w:rsidR="00AC0EB0" w:rsidRPr="00AC0EB0" w:rsidRDefault="0075166D" w:rsidP="00C37471">
      <w:pPr>
        <w:spacing w:after="120"/>
      </w:pPr>
      <w:r w:rsidRPr="002177CF">
        <w:t xml:space="preserve">NKÚ </w:t>
      </w:r>
      <w:r w:rsidR="002177CF" w:rsidRPr="002177CF">
        <w:t xml:space="preserve">se </w:t>
      </w:r>
      <w:r w:rsidR="002D02A0">
        <w:t>při kontrole</w:t>
      </w:r>
      <w:r w:rsidR="002177CF" w:rsidRPr="002177CF">
        <w:t xml:space="preserve"> zaměřil i na</w:t>
      </w:r>
      <w:r w:rsidRPr="002177CF">
        <w:t xml:space="preserve"> zajištění návaznosti podpory využívání veřejné hromadné dopravy ve městech v elektrické trakci z operačního programu </w:t>
      </w:r>
      <w:r w:rsidRPr="00353C0E">
        <w:rPr>
          <w:i/>
        </w:rPr>
        <w:t>Doprava</w:t>
      </w:r>
      <w:r w:rsidR="002D02A0" w:rsidRPr="00353C0E">
        <w:rPr>
          <w:i/>
        </w:rPr>
        <w:t xml:space="preserve"> 2014–2020</w:t>
      </w:r>
      <w:r w:rsidR="002D02A0">
        <w:t xml:space="preserve">, jak je </w:t>
      </w:r>
      <w:r w:rsidR="000416AD">
        <w:t>deklaro</w:t>
      </w:r>
      <w:r w:rsidR="002D02A0">
        <w:t>váno</w:t>
      </w:r>
      <w:r w:rsidRPr="002177CF">
        <w:t xml:space="preserve"> </w:t>
      </w:r>
      <w:r w:rsidR="002D02A0">
        <w:t>ve s</w:t>
      </w:r>
      <w:r w:rsidRPr="002177CF">
        <w:t>trategi</w:t>
      </w:r>
      <w:r w:rsidR="002D02A0">
        <w:t>i</w:t>
      </w:r>
      <w:r w:rsidRPr="002177CF">
        <w:t xml:space="preserve"> </w:t>
      </w:r>
      <w:r w:rsidRPr="00353C0E">
        <w:rPr>
          <w:i/>
        </w:rPr>
        <w:t>Evropa 2020</w:t>
      </w:r>
      <w:r w:rsidRPr="002177CF">
        <w:t>.</w:t>
      </w:r>
      <w:r w:rsidR="002177CF">
        <w:t xml:space="preserve"> </w:t>
      </w:r>
      <w:r w:rsidR="00646F62" w:rsidRPr="001D6594">
        <w:t xml:space="preserve">Strategie </w:t>
      </w:r>
      <w:r w:rsidR="00646F62" w:rsidRPr="00353C0E">
        <w:rPr>
          <w:i/>
        </w:rPr>
        <w:t>Evropa 2020</w:t>
      </w:r>
      <w:r w:rsidR="00646F62" w:rsidRPr="001D6594">
        <w:t xml:space="preserve"> byla jedním ze základních východisek zpracování operačního programu </w:t>
      </w:r>
      <w:r w:rsidR="00646F62" w:rsidRPr="00353C0E">
        <w:rPr>
          <w:i/>
        </w:rPr>
        <w:t>Doprava</w:t>
      </w:r>
      <w:r w:rsidR="002E25D4" w:rsidRPr="00353C0E">
        <w:rPr>
          <w:i/>
        </w:rPr>
        <w:t xml:space="preserve"> </w:t>
      </w:r>
      <w:r w:rsidR="002E25D4" w:rsidRPr="00E266DE">
        <w:rPr>
          <w:i/>
        </w:rPr>
        <w:t>2014–2020</w:t>
      </w:r>
      <w:r w:rsidR="00646F62" w:rsidRPr="001D6594">
        <w:t>. V rámci SC 1.4 se nepodaří vyčerpat cca 3</w:t>
      </w:r>
      <w:r w:rsidR="00646F62">
        <w:t> </w:t>
      </w:r>
      <w:r w:rsidR="00646F62" w:rsidRPr="001D6594">
        <w:t>944</w:t>
      </w:r>
      <w:r w:rsidR="00064B72">
        <w:t>,</w:t>
      </w:r>
      <w:r w:rsidR="00646F62" w:rsidRPr="001D6594">
        <w:t>19</w:t>
      </w:r>
      <w:r w:rsidR="00064B72">
        <w:t>1</w:t>
      </w:r>
      <w:r w:rsidR="00646F62">
        <w:t> </w:t>
      </w:r>
      <w:r w:rsidR="00064B72">
        <w:t>mil.</w:t>
      </w:r>
      <w:r w:rsidR="00646F62" w:rsidRPr="001D6594">
        <w:t xml:space="preserve"> Kč na vytvoření podmínek pro zvýšení využívání veřejné hromadné dopravy ve městech v elektrické </w:t>
      </w:r>
      <w:r w:rsidR="00646F62">
        <w:t xml:space="preserve">trakci </w:t>
      </w:r>
      <w:r w:rsidR="00646F62" w:rsidRPr="001D6594">
        <w:t>a tím na</w:t>
      </w:r>
      <w:r w:rsidR="002E25D4">
        <w:t>plnit</w:t>
      </w:r>
      <w:r w:rsidR="00646F62" w:rsidRPr="001D6594">
        <w:t xml:space="preserve"> </w:t>
      </w:r>
      <w:r w:rsidR="002E25D4">
        <w:t>s</w:t>
      </w:r>
      <w:r w:rsidR="00646F62" w:rsidRPr="001D6594">
        <w:t xml:space="preserve">trategii </w:t>
      </w:r>
      <w:r w:rsidR="00646F62" w:rsidRPr="00353C0E">
        <w:rPr>
          <w:i/>
        </w:rPr>
        <w:t>Evropa 2020</w:t>
      </w:r>
      <w:r w:rsidR="00646F62" w:rsidRPr="001D6594">
        <w:t>, kde je jeden z</w:t>
      </w:r>
      <w:r w:rsidR="00493B7E">
        <w:t> </w:t>
      </w:r>
      <w:r w:rsidR="00646F62" w:rsidRPr="001D6594">
        <w:t xml:space="preserve">hlavních úkolů zaměřit se na městský rozměr dopravy, kde vzniká značná část dopravního přetížení a </w:t>
      </w:r>
      <w:r w:rsidR="00646F62" w:rsidRPr="00954D8D">
        <w:t xml:space="preserve">emisí. Vzhledem k tomu, že alokované </w:t>
      </w:r>
      <w:r w:rsidR="00954D8D">
        <w:t>prostředky MD rozdělí jen cca z</w:t>
      </w:r>
      <w:r w:rsidR="003A5069">
        <w:t xml:space="preserve"> 66 %, </w:t>
      </w:r>
      <w:r w:rsidR="00934B4E">
        <w:t xml:space="preserve">nepřispěje </w:t>
      </w:r>
      <w:r w:rsidR="003A5069">
        <w:t xml:space="preserve">SC 1.4 </w:t>
      </w:r>
      <w:r w:rsidR="003A5069" w:rsidRPr="002763B8">
        <w:t>k </w:t>
      </w:r>
      <w:r w:rsidR="00646F62" w:rsidRPr="002763B8">
        <w:t xml:space="preserve">naplnění </w:t>
      </w:r>
      <w:r w:rsidR="002E25D4">
        <w:t>s</w:t>
      </w:r>
      <w:r w:rsidR="00646F62" w:rsidRPr="002763B8">
        <w:t xml:space="preserve">trategie </w:t>
      </w:r>
      <w:r w:rsidR="002E25D4" w:rsidRPr="00353C0E">
        <w:rPr>
          <w:i/>
        </w:rPr>
        <w:t xml:space="preserve">Evropa </w:t>
      </w:r>
      <w:r w:rsidR="00646F62" w:rsidRPr="00353C0E">
        <w:rPr>
          <w:i/>
        </w:rPr>
        <w:t>2020</w:t>
      </w:r>
      <w:r w:rsidR="00646F62" w:rsidRPr="002763B8">
        <w:t xml:space="preserve"> </w:t>
      </w:r>
      <w:r w:rsidR="00AC0EB0">
        <w:t>v</w:t>
      </w:r>
      <w:r w:rsidR="002E25D4">
        <w:t> </w:t>
      </w:r>
      <w:r w:rsidR="006A71E7" w:rsidRPr="002763B8">
        <w:t>maximální možné míře</w:t>
      </w:r>
      <w:r w:rsidR="00AC0EB0">
        <w:t xml:space="preserve"> </w:t>
      </w:r>
      <w:r w:rsidR="00AC0EB0" w:rsidRPr="00B76AA5">
        <w:t>v oblasti snížení energetické náročnosti včetně dopravního přetížení a emisí ve městech.</w:t>
      </w:r>
      <w:r w:rsidR="00646F62" w:rsidRPr="00AC0EB0">
        <w:t xml:space="preserve"> </w:t>
      </w:r>
    </w:p>
    <w:p w14:paraId="7A6F9055" w14:textId="0E1CB0E1" w:rsidR="00646F62" w:rsidRDefault="00646F62" w:rsidP="00C37471">
      <w:pPr>
        <w:spacing w:after="120"/>
      </w:pPr>
      <w:r w:rsidRPr="002763B8">
        <w:t>Nerozdělení celé alokace předpokládané na</w:t>
      </w:r>
      <w:r w:rsidRPr="00954D8D">
        <w:t xml:space="preserve"> SC 1.4 neznamená nižší příspěv</w:t>
      </w:r>
      <w:r w:rsidR="00F338C0" w:rsidRPr="00954D8D">
        <w:t xml:space="preserve">ek </w:t>
      </w:r>
      <w:r w:rsidR="002E25D4">
        <w:t>o</w:t>
      </w:r>
      <w:r w:rsidR="00F338C0" w:rsidRPr="00954D8D">
        <w:t xml:space="preserve">peračního programu </w:t>
      </w:r>
      <w:r w:rsidR="00F338C0" w:rsidRPr="00380D38">
        <w:rPr>
          <w:i/>
        </w:rPr>
        <w:t>Doprava</w:t>
      </w:r>
      <w:r w:rsidR="00493B7E" w:rsidRPr="00353C0E">
        <w:rPr>
          <w:i/>
        </w:rPr>
        <w:t xml:space="preserve"> </w:t>
      </w:r>
      <w:r w:rsidR="00493B7E" w:rsidRPr="00E266DE">
        <w:rPr>
          <w:i/>
        </w:rPr>
        <w:t>2014–2020</w:t>
      </w:r>
      <w:r w:rsidR="00F338C0" w:rsidRPr="00493B7E">
        <w:t xml:space="preserve"> </w:t>
      </w:r>
      <w:r w:rsidRPr="001D6594">
        <w:t>k</w:t>
      </w:r>
      <w:r w:rsidR="00F338C0">
        <w:t>e</w:t>
      </w:r>
      <w:r w:rsidRPr="001D6594">
        <w:t xml:space="preserve"> </w:t>
      </w:r>
      <w:r w:rsidR="00493B7E">
        <w:t>s</w:t>
      </w:r>
      <w:r w:rsidRPr="001D6594">
        <w:t xml:space="preserve">trategii </w:t>
      </w:r>
      <w:r w:rsidRPr="00380D38">
        <w:rPr>
          <w:i/>
        </w:rPr>
        <w:t>Evropa 2020</w:t>
      </w:r>
      <w:r w:rsidR="00F338C0">
        <w:t xml:space="preserve"> jako celku.</w:t>
      </w:r>
      <w:r w:rsidR="005609E7">
        <w:t xml:space="preserve"> </w:t>
      </w:r>
      <w:r w:rsidR="00F338C0">
        <w:t>N</w:t>
      </w:r>
      <w:r w:rsidRPr="001D6594">
        <w:t xml:space="preserve">erozdělená alokace bude </w:t>
      </w:r>
      <w:r w:rsidR="00F338C0">
        <w:t>podle M</w:t>
      </w:r>
      <w:r w:rsidR="00676092">
        <w:t>D</w:t>
      </w:r>
      <w:r w:rsidR="00F338C0">
        <w:t xml:space="preserve"> </w:t>
      </w:r>
      <w:r w:rsidR="003A5069">
        <w:t>použita v </w:t>
      </w:r>
      <w:r w:rsidRPr="001D6594">
        <w:t xml:space="preserve">jiných specifických cílech první prioritní osy, které na </w:t>
      </w:r>
      <w:r w:rsidR="002E25D4">
        <w:t>s</w:t>
      </w:r>
      <w:r w:rsidRPr="001D6594">
        <w:t>trate</w:t>
      </w:r>
      <w:r w:rsidR="00F35A3C">
        <w:t xml:space="preserve">gii </w:t>
      </w:r>
      <w:r w:rsidR="00F35A3C" w:rsidRPr="004050A9">
        <w:rPr>
          <w:i/>
        </w:rPr>
        <w:t>Evropa 2020</w:t>
      </w:r>
      <w:r w:rsidR="00F35A3C">
        <w:t xml:space="preserve"> rovněž navazují.</w:t>
      </w:r>
    </w:p>
    <w:p w14:paraId="2500F674" w14:textId="77777777" w:rsidR="00F35A3C" w:rsidRDefault="006A52B5" w:rsidP="0001743C">
      <w:pPr>
        <w:keepNext/>
        <w:spacing w:after="120"/>
        <w:jc w:val="left"/>
        <w:rPr>
          <w:b/>
        </w:rPr>
      </w:pPr>
      <w:r w:rsidRPr="00F35A3C">
        <w:rPr>
          <w:b/>
        </w:rPr>
        <w:t xml:space="preserve">Příklady poskytování podpory po ukončení realizace projektů </w:t>
      </w:r>
      <w:r w:rsidR="00F33D7D" w:rsidRPr="00F35A3C">
        <w:rPr>
          <w:b/>
        </w:rPr>
        <w:t>včetně dlouhé</w:t>
      </w:r>
      <w:r w:rsidRPr="00F35A3C">
        <w:rPr>
          <w:b/>
        </w:rPr>
        <w:t xml:space="preserve"> ča</w:t>
      </w:r>
      <w:r w:rsidR="00F33D7D" w:rsidRPr="00F35A3C">
        <w:rPr>
          <w:b/>
        </w:rPr>
        <w:t>sové prodlevy</w:t>
      </w:r>
      <w:r w:rsidRPr="00F35A3C">
        <w:rPr>
          <w:b/>
        </w:rPr>
        <w:t xml:space="preserve"> od sch</w:t>
      </w:r>
      <w:r w:rsidR="00F35A3C">
        <w:rPr>
          <w:b/>
        </w:rPr>
        <w:t>válení podpor</w:t>
      </w:r>
    </w:p>
    <w:p w14:paraId="30FB976F" w14:textId="4C3D19FF" w:rsidR="00F130EF" w:rsidRDefault="002177CF" w:rsidP="00C37471">
      <w:pPr>
        <w:rPr>
          <w:rFonts w:asciiTheme="minorHAnsi" w:eastAsiaTheme="minorHAnsi" w:hAnsiTheme="minorHAnsi" w:cstheme="minorHAnsi"/>
        </w:rPr>
      </w:pPr>
      <w:r w:rsidRPr="002177CF">
        <w:rPr>
          <w:rFonts w:asciiTheme="minorHAnsi" w:hAnsiTheme="minorHAnsi" w:cstheme="minorHAnsi"/>
        </w:rPr>
        <w:t>Při ověřování</w:t>
      </w:r>
      <w:r w:rsidR="0075166D" w:rsidRPr="002177CF">
        <w:rPr>
          <w:rFonts w:asciiTheme="minorHAnsi" w:hAnsiTheme="minorHAnsi" w:cstheme="minorHAnsi"/>
        </w:rPr>
        <w:t>, zda MD vydává právní akty o poskytnutí</w:t>
      </w:r>
      <w:r>
        <w:rPr>
          <w:rFonts w:asciiTheme="minorHAnsi" w:hAnsiTheme="minorHAnsi" w:cstheme="minorHAnsi"/>
        </w:rPr>
        <w:t xml:space="preserve"> podpory bez zbytečného odkladu, NKÚ </w:t>
      </w:r>
      <w:r w:rsidR="0075166D" w:rsidRPr="002177CF">
        <w:rPr>
          <w:rFonts w:asciiTheme="minorHAnsi" w:hAnsiTheme="minorHAnsi" w:cstheme="minorHAnsi"/>
        </w:rPr>
        <w:t>zji</w:t>
      </w:r>
      <w:r>
        <w:rPr>
          <w:rFonts w:asciiTheme="minorHAnsi" w:hAnsiTheme="minorHAnsi" w:cstheme="minorHAnsi"/>
        </w:rPr>
        <w:t>s</w:t>
      </w:r>
      <w:r w:rsidR="0075166D" w:rsidRPr="002177CF">
        <w:rPr>
          <w:rFonts w:asciiTheme="minorHAnsi" w:hAnsiTheme="minorHAnsi" w:cstheme="minorHAnsi"/>
        </w:rPr>
        <w:t>t</w:t>
      </w:r>
      <w:r w:rsidRPr="002177CF">
        <w:rPr>
          <w:rFonts w:asciiTheme="minorHAnsi" w:hAnsiTheme="minorHAnsi" w:cstheme="minorHAnsi"/>
        </w:rPr>
        <w:t>il,</w:t>
      </w:r>
      <w:r w:rsidR="0075166D" w:rsidRPr="002177CF">
        <w:rPr>
          <w:rFonts w:asciiTheme="minorHAnsi" w:hAnsiTheme="minorHAnsi" w:cstheme="minorHAnsi"/>
        </w:rPr>
        <w:t xml:space="preserve"> že</w:t>
      </w:r>
      <w:r w:rsidR="0075166D">
        <w:rPr>
          <w:rFonts w:asciiTheme="minorHAnsi" w:hAnsiTheme="minorHAnsi" w:cstheme="minorHAnsi"/>
        </w:rPr>
        <w:t xml:space="preserve"> </w:t>
      </w:r>
      <w:r w:rsidR="00646F62" w:rsidRPr="00F33D7D">
        <w:rPr>
          <w:rFonts w:asciiTheme="minorHAnsi" w:hAnsiTheme="minorHAnsi" w:cstheme="minorHAnsi"/>
        </w:rPr>
        <w:t xml:space="preserve">MD po schválení žádosti o podporu vydávalo </w:t>
      </w:r>
      <w:r w:rsidR="002E25D4">
        <w:rPr>
          <w:rFonts w:asciiTheme="minorHAnsi" w:hAnsiTheme="minorHAnsi" w:cstheme="minorHAnsi"/>
        </w:rPr>
        <w:t>s</w:t>
      </w:r>
      <w:r w:rsidR="00646F62" w:rsidRPr="00F33D7D">
        <w:rPr>
          <w:rFonts w:asciiTheme="minorHAnsi" w:hAnsiTheme="minorHAnsi" w:cstheme="minorHAnsi"/>
        </w:rPr>
        <w:t>chvalovací protokol</w:t>
      </w:r>
      <w:r w:rsidR="002E25D4">
        <w:rPr>
          <w:rFonts w:asciiTheme="minorHAnsi" w:hAnsiTheme="minorHAnsi" w:cstheme="minorHAnsi"/>
        </w:rPr>
        <w:t>,</w:t>
      </w:r>
      <w:r w:rsidR="00646F62" w:rsidRPr="00F33D7D">
        <w:rPr>
          <w:rFonts w:asciiTheme="minorHAnsi" w:hAnsiTheme="minorHAnsi" w:cstheme="minorHAnsi"/>
        </w:rPr>
        <w:t xml:space="preserve"> </w:t>
      </w:r>
      <w:r w:rsidR="002E25D4">
        <w:rPr>
          <w:rFonts w:asciiTheme="minorHAnsi" w:hAnsiTheme="minorHAnsi" w:cstheme="minorHAnsi"/>
        </w:rPr>
        <w:t>n</w:t>
      </w:r>
      <w:r w:rsidR="00646F62" w:rsidRPr="00F33D7D">
        <w:rPr>
          <w:rFonts w:asciiTheme="minorHAnsi" w:hAnsiTheme="minorHAnsi" w:cstheme="minorHAnsi"/>
        </w:rPr>
        <w:t>a jeho</w:t>
      </w:r>
      <w:r w:rsidR="002E25D4">
        <w:rPr>
          <w:rFonts w:asciiTheme="minorHAnsi" w:hAnsiTheme="minorHAnsi" w:cstheme="minorHAnsi"/>
        </w:rPr>
        <w:t>ž</w:t>
      </w:r>
      <w:r w:rsidR="00646F62" w:rsidRPr="00F33D7D">
        <w:rPr>
          <w:rFonts w:asciiTheme="minorHAnsi" w:hAnsiTheme="minorHAnsi" w:cstheme="minorHAnsi"/>
        </w:rPr>
        <w:t xml:space="preserve"> základě pak zprostředkující subjekt OPD</w:t>
      </w:r>
      <w:r w:rsidR="00EB3B65">
        <w:rPr>
          <w:rFonts w:asciiTheme="minorHAnsi" w:hAnsiTheme="minorHAnsi" w:cstheme="minorHAnsi"/>
        </w:rPr>
        <w:t xml:space="preserve"> II</w:t>
      </w:r>
      <w:r w:rsidR="00646F62" w:rsidRPr="00F33D7D">
        <w:rPr>
          <w:rFonts w:asciiTheme="minorHAnsi" w:hAnsiTheme="minorHAnsi" w:cstheme="minorHAnsi"/>
        </w:rPr>
        <w:t xml:space="preserve"> uzavíral s žadatelem </w:t>
      </w:r>
      <w:r w:rsidR="00687D36">
        <w:rPr>
          <w:rFonts w:asciiTheme="minorHAnsi" w:hAnsiTheme="minorHAnsi" w:cstheme="minorHAnsi"/>
        </w:rPr>
        <w:t xml:space="preserve">o </w:t>
      </w:r>
      <w:r w:rsidR="00195E3B">
        <w:rPr>
          <w:rFonts w:asciiTheme="minorHAnsi" w:hAnsiTheme="minorHAnsi" w:cstheme="minorHAnsi"/>
        </w:rPr>
        <w:t xml:space="preserve">podporu </w:t>
      </w:r>
      <w:r w:rsidR="002E25D4">
        <w:rPr>
          <w:rFonts w:asciiTheme="minorHAnsi" w:hAnsiTheme="minorHAnsi" w:cstheme="minorHAnsi"/>
        </w:rPr>
        <w:t>r</w:t>
      </w:r>
      <w:r w:rsidR="00195E3B">
        <w:rPr>
          <w:rFonts w:asciiTheme="minorHAnsi" w:hAnsiTheme="minorHAnsi" w:cstheme="minorHAnsi"/>
        </w:rPr>
        <w:t>ámcovou smlouvu o </w:t>
      </w:r>
      <w:r w:rsidR="00646F62" w:rsidRPr="00F33D7D">
        <w:rPr>
          <w:rFonts w:asciiTheme="minorHAnsi" w:hAnsiTheme="minorHAnsi" w:cstheme="minorHAnsi"/>
        </w:rPr>
        <w:t xml:space="preserve">financování projektu. Kontrolou činnosti MD jako řídicího orgánu OPD </w:t>
      </w:r>
      <w:r w:rsidR="00EB3B65">
        <w:rPr>
          <w:rFonts w:asciiTheme="minorHAnsi" w:hAnsiTheme="minorHAnsi" w:cstheme="minorHAnsi"/>
        </w:rPr>
        <w:t xml:space="preserve">II </w:t>
      </w:r>
      <w:r w:rsidR="00646F62" w:rsidRPr="00F33D7D">
        <w:rPr>
          <w:rFonts w:asciiTheme="minorHAnsi" w:hAnsiTheme="minorHAnsi" w:cstheme="minorHAnsi"/>
        </w:rPr>
        <w:t xml:space="preserve">bylo zjištěno, že </w:t>
      </w:r>
      <w:r w:rsidR="00F71E57" w:rsidRPr="00F33D7D">
        <w:rPr>
          <w:rFonts w:asciiTheme="minorHAnsi" w:hAnsiTheme="minorHAnsi" w:cstheme="minorHAnsi"/>
        </w:rPr>
        <w:t>zprostředkující subjekt uzavíral</w:t>
      </w:r>
      <w:r w:rsidR="00646F62" w:rsidRPr="00F33D7D">
        <w:rPr>
          <w:rFonts w:asciiTheme="minorHAnsi" w:hAnsiTheme="minorHAnsi" w:cstheme="minorHAnsi"/>
        </w:rPr>
        <w:t xml:space="preserve"> v některých případech </w:t>
      </w:r>
      <w:r w:rsidR="002E25D4">
        <w:rPr>
          <w:rFonts w:asciiTheme="minorHAnsi" w:hAnsiTheme="minorHAnsi" w:cstheme="minorHAnsi"/>
        </w:rPr>
        <w:t>r</w:t>
      </w:r>
      <w:r w:rsidR="00646F62" w:rsidRPr="00F33D7D">
        <w:rPr>
          <w:rFonts w:asciiTheme="minorHAnsi" w:hAnsiTheme="minorHAnsi" w:cstheme="minorHAnsi"/>
        </w:rPr>
        <w:t xml:space="preserve">ámcové smlouvy až po ukončení </w:t>
      </w:r>
      <w:r w:rsidR="00646F62" w:rsidRPr="00F33D7D">
        <w:rPr>
          <w:rFonts w:asciiTheme="minorHAnsi" w:hAnsiTheme="minorHAnsi" w:cstheme="minorHAnsi"/>
        </w:rPr>
        <w:lastRenderedPageBreak/>
        <w:t xml:space="preserve">realizace projektu. </w:t>
      </w:r>
      <w:r w:rsidR="00F71E57" w:rsidRPr="00F33D7D">
        <w:rPr>
          <w:rFonts w:asciiTheme="minorHAnsi" w:hAnsiTheme="minorHAnsi" w:cstheme="minorHAnsi"/>
        </w:rPr>
        <w:t>Přitom ve</w:t>
      </w:r>
      <w:r w:rsidR="00646F62" w:rsidRPr="00F33D7D">
        <w:rPr>
          <w:rFonts w:asciiTheme="minorHAnsi" w:hAnsiTheme="minorHAnsi" w:cstheme="minorHAnsi"/>
        </w:rPr>
        <w:t xml:space="preserve"> výzvách k předložení žádostí o podporu je mj. uvedeno, že platby budou probíhat </w:t>
      </w:r>
      <w:r w:rsidR="003F5815">
        <w:rPr>
          <w:rFonts w:asciiTheme="minorHAnsi" w:hAnsiTheme="minorHAnsi" w:cstheme="minorHAnsi"/>
        </w:rPr>
        <w:t>e</w:t>
      </w:r>
      <w:r w:rsidR="00646F62" w:rsidRPr="00F33D7D">
        <w:rPr>
          <w:rFonts w:asciiTheme="minorHAnsi" w:hAnsiTheme="minorHAnsi" w:cstheme="minorHAnsi"/>
        </w:rPr>
        <w:t>x</w:t>
      </w:r>
      <w:r w:rsidR="003F5815">
        <w:rPr>
          <w:rFonts w:asciiTheme="minorHAnsi" w:hAnsiTheme="minorHAnsi" w:cstheme="minorHAnsi"/>
        </w:rPr>
        <w:t xml:space="preserve"> </w:t>
      </w:r>
      <w:r w:rsidR="00646F62" w:rsidRPr="00F33D7D">
        <w:rPr>
          <w:rFonts w:asciiTheme="minorHAnsi" w:hAnsiTheme="minorHAnsi" w:cstheme="minorHAnsi"/>
        </w:rPr>
        <w:t xml:space="preserve">ante, to znamená před zahájením realizace projektu, na základě uzavřené </w:t>
      </w:r>
      <w:r w:rsidR="002E25D4">
        <w:rPr>
          <w:rFonts w:asciiTheme="minorHAnsi" w:hAnsiTheme="minorHAnsi" w:cstheme="minorHAnsi"/>
        </w:rPr>
        <w:t>r</w:t>
      </w:r>
      <w:r w:rsidR="00646F62" w:rsidRPr="00F33D7D">
        <w:rPr>
          <w:rFonts w:asciiTheme="minorHAnsi" w:hAnsiTheme="minorHAnsi" w:cstheme="minorHAnsi"/>
        </w:rPr>
        <w:t>ámcové smlouvy o financování projektu.</w:t>
      </w:r>
      <w:r w:rsidR="00B2274F" w:rsidRPr="00F33D7D">
        <w:rPr>
          <w:rFonts w:asciiTheme="minorHAnsi" w:hAnsiTheme="minorHAnsi" w:cstheme="minorHAnsi"/>
        </w:rPr>
        <w:t xml:space="preserve"> </w:t>
      </w:r>
      <w:r w:rsidR="006E2C2A">
        <w:rPr>
          <w:rFonts w:asciiTheme="minorHAnsi" w:hAnsiTheme="minorHAnsi" w:cstheme="minorHAnsi"/>
        </w:rPr>
        <w:t>Z</w:t>
      </w:r>
      <w:r w:rsidR="006E2C2A" w:rsidRPr="00F33D7D">
        <w:rPr>
          <w:rFonts w:asciiTheme="minorHAnsi" w:hAnsiTheme="minorHAnsi" w:cstheme="minorHAnsi"/>
        </w:rPr>
        <w:t>prostředkující subjekt</w:t>
      </w:r>
      <w:r w:rsidR="00F71E57" w:rsidRPr="00F33D7D">
        <w:rPr>
          <w:rFonts w:asciiTheme="minorHAnsi" w:eastAsiaTheme="minorHAnsi" w:hAnsiTheme="minorHAnsi" w:cstheme="minorHAnsi"/>
        </w:rPr>
        <w:t xml:space="preserve"> neuzavíral </w:t>
      </w:r>
      <w:r w:rsidR="002E25D4">
        <w:rPr>
          <w:rFonts w:asciiTheme="minorHAnsi" w:eastAsiaTheme="minorHAnsi" w:hAnsiTheme="minorHAnsi" w:cstheme="minorHAnsi"/>
        </w:rPr>
        <w:t>r</w:t>
      </w:r>
      <w:r w:rsidR="00F71E57" w:rsidRPr="00F33D7D">
        <w:rPr>
          <w:rFonts w:asciiTheme="minorHAnsi" w:eastAsiaTheme="minorHAnsi" w:hAnsiTheme="minorHAnsi" w:cstheme="minorHAnsi"/>
        </w:rPr>
        <w:t xml:space="preserve">ámcové smlouvy bez zbytečného odkladu, nýbrž až s několikaměsíčním odstupem od vydání </w:t>
      </w:r>
      <w:r w:rsidR="008057F2">
        <w:rPr>
          <w:rFonts w:asciiTheme="minorHAnsi" w:eastAsiaTheme="minorHAnsi" w:hAnsiTheme="minorHAnsi" w:cstheme="minorHAnsi"/>
        </w:rPr>
        <w:t>s</w:t>
      </w:r>
      <w:r w:rsidR="00F71E57" w:rsidRPr="00F33D7D">
        <w:rPr>
          <w:rFonts w:asciiTheme="minorHAnsi" w:eastAsiaTheme="minorHAnsi" w:hAnsiTheme="minorHAnsi" w:cstheme="minorHAnsi"/>
        </w:rPr>
        <w:t xml:space="preserve">chvalovacího protokolu. </w:t>
      </w:r>
      <w:r w:rsidR="00F130EF" w:rsidRPr="00F33D7D">
        <w:rPr>
          <w:rFonts w:asciiTheme="minorHAnsi" w:eastAsiaTheme="minorHAnsi" w:hAnsiTheme="minorHAnsi" w:cstheme="minorHAnsi"/>
        </w:rPr>
        <w:t>Uvedené skutečnosti dokládají tyto případy:</w:t>
      </w:r>
    </w:p>
    <w:p w14:paraId="3EED4841" w14:textId="0A301BF3" w:rsidR="00F130EF" w:rsidRPr="00D5401D" w:rsidRDefault="00F130EF" w:rsidP="00C37471">
      <w:pPr>
        <w:pStyle w:val="Odstavecseseznamem"/>
        <w:widowControl w:val="0"/>
        <w:numPr>
          <w:ilvl w:val="0"/>
          <w:numId w:val="2"/>
        </w:numPr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eastAsiaTheme="minorHAnsi" w:hAnsiTheme="minorHAnsi" w:cstheme="minorHAnsi"/>
        </w:rPr>
        <w:t xml:space="preserve">U </w:t>
      </w:r>
      <w:r w:rsidR="00F71E57" w:rsidRPr="00D5401D">
        <w:rPr>
          <w:rFonts w:asciiTheme="minorHAnsi" w:eastAsiaTheme="minorHAnsi" w:hAnsiTheme="minorHAnsi" w:cstheme="minorHAnsi"/>
        </w:rPr>
        <w:t xml:space="preserve">projektu </w:t>
      </w:r>
      <w:r w:rsidR="00F71E57" w:rsidRPr="00060730">
        <w:rPr>
          <w:rFonts w:asciiTheme="minorHAnsi" w:eastAsiaTheme="minorHAnsi" w:hAnsiTheme="minorHAnsi" w:cstheme="minorHAnsi"/>
          <w:i/>
        </w:rPr>
        <w:t>Tramvajová trať 8. května</w:t>
      </w:r>
      <w:r w:rsidR="005E151A" w:rsidRPr="00D5401D">
        <w:rPr>
          <w:rFonts w:asciiTheme="minorHAnsi" w:eastAsiaTheme="minorHAnsi" w:hAnsiTheme="minorHAnsi" w:cstheme="minorHAnsi"/>
        </w:rPr>
        <w:t xml:space="preserve"> (Olomouc)</w:t>
      </w:r>
      <w:r w:rsidR="00F71E57" w:rsidRPr="00D5401D">
        <w:rPr>
          <w:rFonts w:asciiTheme="minorHAnsi" w:eastAsiaTheme="minorHAnsi" w:hAnsiTheme="minorHAnsi" w:cstheme="minorHAnsi"/>
        </w:rPr>
        <w:t xml:space="preserve"> byl </w:t>
      </w:r>
      <w:r w:rsidR="00CA07D6">
        <w:rPr>
          <w:rFonts w:asciiTheme="minorHAnsi" w:eastAsiaTheme="minorHAnsi" w:hAnsiTheme="minorHAnsi" w:cstheme="minorHAnsi"/>
        </w:rPr>
        <w:t>s</w:t>
      </w:r>
      <w:r w:rsidR="00F71E57" w:rsidRPr="00D5401D">
        <w:rPr>
          <w:rFonts w:asciiTheme="minorHAnsi" w:eastAsiaTheme="minorHAnsi" w:hAnsiTheme="minorHAnsi" w:cstheme="minorHAnsi"/>
        </w:rPr>
        <w:t>chva</w:t>
      </w:r>
      <w:r w:rsidR="00195E3B">
        <w:rPr>
          <w:rFonts w:asciiTheme="minorHAnsi" w:eastAsiaTheme="minorHAnsi" w:hAnsiTheme="minorHAnsi" w:cstheme="minorHAnsi"/>
        </w:rPr>
        <w:t>lovací protokol vydán dne 5. 3. </w:t>
      </w:r>
      <w:r w:rsidR="00F71E57" w:rsidRPr="00D5401D">
        <w:rPr>
          <w:rFonts w:asciiTheme="minorHAnsi" w:eastAsiaTheme="minorHAnsi" w:hAnsiTheme="minorHAnsi" w:cstheme="minorHAnsi"/>
        </w:rPr>
        <w:t xml:space="preserve">2018. Rámcová smlouva byla uzavřena dne 20. 12. 2018, tedy cca </w:t>
      </w:r>
      <w:r w:rsidR="005D622F" w:rsidRPr="00D5401D">
        <w:rPr>
          <w:rFonts w:asciiTheme="minorHAnsi" w:eastAsiaTheme="minorHAnsi" w:hAnsiTheme="minorHAnsi" w:cstheme="minorHAnsi"/>
        </w:rPr>
        <w:t>devět</w:t>
      </w:r>
      <w:r w:rsidR="00F71E57" w:rsidRPr="00D5401D">
        <w:rPr>
          <w:rFonts w:asciiTheme="minorHAnsi" w:eastAsiaTheme="minorHAnsi" w:hAnsiTheme="minorHAnsi" w:cstheme="minorHAnsi"/>
        </w:rPr>
        <w:t xml:space="preserve"> měsíců po </w:t>
      </w:r>
      <w:r w:rsidR="00797801" w:rsidRPr="00D5401D">
        <w:rPr>
          <w:rFonts w:asciiTheme="minorHAnsi" w:eastAsiaTheme="minorHAnsi" w:hAnsiTheme="minorHAnsi" w:cstheme="minorHAnsi"/>
        </w:rPr>
        <w:t xml:space="preserve">vydání </w:t>
      </w:r>
      <w:r w:rsidR="008057F2">
        <w:rPr>
          <w:rFonts w:asciiTheme="minorHAnsi" w:eastAsiaTheme="minorHAnsi" w:hAnsiTheme="minorHAnsi" w:cstheme="minorHAnsi"/>
        </w:rPr>
        <w:t>s</w:t>
      </w:r>
      <w:r w:rsidR="00797801" w:rsidRPr="00D5401D">
        <w:rPr>
          <w:rFonts w:asciiTheme="minorHAnsi" w:eastAsiaTheme="minorHAnsi" w:hAnsiTheme="minorHAnsi" w:cstheme="minorHAnsi"/>
        </w:rPr>
        <w:t>chvalovacího protokolu</w:t>
      </w:r>
      <w:r w:rsidR="008057F2">
        <w:rPr>
          <w:rFonts w:asciiTheme="minorHAnsi" w:eastAsiaTheme="minorHAnsi" w:hAnsiTheme="minorHAnsi" w:cstheme="minorHAnsi"/>
        </w:rPr>
        <w:t>.</w:t>
      </w:r>
    </w:p>
    <w:p w14:paraId="2FF9B1AB" w14:textId="210F855F" w:rsidR="00F130EF" w:rsidRPr="00D5401D" w:rsidRDefault="00F130EF" w:rsidP="00C37471">
      <w:pPr>
        <w:pStyle w:val="Odstavecseseznamem"/>
        <w:widowControl w:val="0"/>
        <w:numPr>
          <w:ilvl w:val="0"/>
          <w:numId w:val="2"/>
        </w:numPr>
        <w:spacing w:after="120"/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eastAsiaTheme="minorHAnsi" w:hAnsiTheme="minorHAnsi" w:cstheme="minorHAnsi"/>
        </w:rPr>
        <w:t>U</w:t>
      </w:r>
      <w:r w:rsidR="00F71E57" w:rsidRPr="00D5401D">
        <w:rPr>
          <w:rFonts w:asciiTheme="minorHAnsi" w:eastAsiaTheme="minorHAnsi" w:hAnsiTheme="minorHAnsi" w:cstheme="minorHAnsi"/>
        </w:rPr>
        <w:t xml:space="preserve"> projektu </w:t>
      </w:r>
      <w:r w:rsidR="00F71E57" w:rsidRPr="00060730">
        <w:rPr>
          <w:rFonts w:asciiTheme="minorHAnsi" w:eastAsiaTheme="minorHAnsi" w:hAnsiTheme="minorHAnsi" w:cstheme="minorHAnsi"/>
          <w:i/>
        </w:rPr>
        <w:t xml:space="preserve">Prodloužení tramvajové tratě na Borská pole </w:t>
      </w:r>
      <w:r w:rsidR="008057F2" w:rsidRPr="00060730">
        <w:rPr>
          <w:rFonts w:asciiTheme="minorHAnsi" w:eastAsiaTheme="minorHAnsi" w:hAnsiTheme="minorHAnsi" w:cstheme="minorHAnsi"/>
          <w:i/>
        </w:rPr>
        <w:t>–</w:t>
      </w:r>
      <w:r w:rsidR="00F71E57" w:rsidRPr="00060730">
        <w:rPr>
          <w:rFonts w:asciiTheme="minorHAnsi" w:eastAsiaTheme="minorHAnsi" w:hAnsiTheme="minorHAnsi" w:cstheme="minorHAnsi"/>
          <w:i/>
        </w:rPr>
        <w:t xml:space="preserve"> část Tramvajová trať</w:t>
      </w:r>
      <w:r w:rsidR="005E151A" w:rsidRPr="00D5401D">
        <w:rPr>
          <w:rFonts w:asciiTheme="minorHAnsi" w:eastAsiaTheme="minorHAnsi" w:hAnsiTheme="minorHAnsi" w:cstheme="minorHAnsi"/>
        </w:rPr>
        <w:t xml:space="preserve"> (Plzeň) </w:t>
      </w:r>
      <w:r w:rsidR="00F71E57" w:rsidRPr="00D5401D">
        <w:rPr>
          <w:rFonts w:asciiTheme="minorHAnsi" w:eastAsiaTheme="minorHAnsi" w:hAnsiTheme="minorHAnsi" w:cstheme="minorHAnsi"/>
        </w:rPr>
        <w:t xml:space="preserve">byl </w:t>
      </w:r>
      <w:r w:rsidR="008057F2">
        <w:rPr>
          <w:rFonts w:asciiTheme="minorHAnsi" w:eastAsiaTheme="minorHAnsi" w:hAnsiTheme="minorHAnsi" w:cstheme="minorHAnsi"/>
        </w:rPr>
        <w:t>s</w:t>
      </w:r>
      <w:r w:rsidR="00F71E57" w:rsidRPr="00D5401D">
        <w:rPr>
          <w:rFonts w:asciiTheme="minorHAnsi" w:eastAsiaTheme="minorHAnsi" w:hAnsiTheme="minorHAnsi" w:cstheme="minorHAnsi"/>
        </w:rPr>
        <w:t>chvalovací protokol vydán dne 12.</w:t>
      </w:r>
      <w:r w:rsidR="00301273" w:rsidRPr="00D5401D">
        <w:rPr>
          <w:rFonts w:asciiTheme="minorHAnsi" w:eastAsiaTheme="minorHAnsi" w:hAnsiTheme="minorHAnsi" w:cstheme="minorHAnsi"/>
        </w:rPr>
        <w:t> </w:t>
      </w:r>
      <w:r w:rsidR="00F71E57" w:rsidRPr="00D5401D">
        <w:rPr>
          <w:rFonts w:asciiTheme="minorHAnsi" w:eastAsiaTheme="minorHAnsi" w:hAnsiTheme="minorHAnsi" w:cstheme="minorHAnsi"/>
        </w:rPr>
        <w:t>6.</w:t>
      </w:r>
      <w:r w:rsidR="00301273" w:rsidRPr="00D5401D">
        <w:rPr>
          <w:rFonts w:asciiTheme="minorHAnsi" w:eastAsiaTheme="minorHAnsi" w:hAnsiTheme="minorHAnsi" w:cstheme="minorHAnsi"/>
        </w:rPr>
        <w:t> </w:t>
      </w:r>
      <w:r w:rsidR="00F71E57" w:rsidRPr="00D5401D">
        <w:rPr>
          <w:rFonts w:asciiTheme="minorHAnsi" w:eastAsiaTheme="minorHAnsi" w:hAnsiTheme="minorHAnsi" w:cstheme="minorHAnsi"/>
        </w:rPr>
        <w:t xml:space="preserve">2018. Rámcová </w:t>
      </w:r>
      <w:r w:rsidR="00195E3B">
        <w:rPr>
          <w:rFonts w:asciiTheme="minorHAnsi" w:eastAsiaTheme="minorHAnsi" w:hAnsiTheme="minorHAnsi" w:cstheme="minorHAnsi"/>
        </w:rPr>
        <w:t>smlouva byla uzavřena dne 4. 3. </w:t>
      </w:r>
      <w:r w:rsidR="00F71E57" w:rsidRPr="00D5401D">
        <w:rPr>
          <w:rFonts w:asciiTheme="minorHAnsi" w:eastAsiaTheme="minorHAnsi" w:hAnsiTheme="minorHAnsi" w:cstheme="minorHAnsi"/>
        </w:rPr>
        <w:t xml:space="preserve">2019, tedy cca </w:t>
      </w:r>
      <w:r w:rsidR="005D622F" w:rsidRPr="00D5401D">
        <w:rPr>
          <w:rFonts w:asciiTheme="minorHAnsi" w:eastAsiaTheme="minorHAnsi" w:hAnsiTheme="minorHAnsi" w:cstheme="minorHAnsi"/>
        </w:rPr>
        <w:t>devět</w:t>
      </w:r>
      <w:r w:rsidR="00F71E57" w:rsidRPr="00D5401D">
        <w:rPr>
          <w:rFonts w:asciiTheme="minorHAnsi" w:eastAsiaTheme="minorHAnsi" w:hAnsiTheme="minorHAnsi" w:cstheme="minorHAnsi"/>
        </w:rPr>
        <w:t xml:space="preserve"> měsíců po vydání </w:t>
      </w:r>
      <w:r w:rsidR="008057F2">
        <w:rPr>
          <w:rFonts w:asciiTheme="minorHAnsi" w:eastAsiaTheme="minorHAnsi" w:hAnsiTheme="minorHAnsi" w:cstheme="minorHAnsi"/>
        </w:rPr>
        <w:t>s</w:t>
      </w:r>
      <w:r w:rsidR="00F71E57" w:rsidRPr="00D5401D">
        <w:rPr>
          <w:rFonts w:asciiTheme="minorHAnsi" w:eastAsiaTheme="minorHAnsi" w:hAnsiTheme="minorHAnsi" w:cstheme="minorHAnsi"/>
        </w:rPr>
        <w:t>chvalovacího protokolu.</w:t>
      </w:r>
    </w:p>
    <w:p w14:paraId="1921AE9C" w14:textId="6B7C60FB" w:rsidR="00661329" w:rsidRDefault="003D757A" w:rsidP="00C37471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následujících případů byl projekt celý financován z vlastních prostředků příjemce a podpora z fondů EU byla na základě uzavřené </w:t>
      </w:r>
      <w:r w:rsidR="008057F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ámcové smlouvy poskytnuta až po ukončení realizace projektu:</w:t>
      </w:r>
    </w:p>
    <w:p w14:paraId="3C346712" w14:textId="5393FBE8" w:rsidR="00F130EF" w:rsidRPr="00D5401D" w:rsidRDefault="00646F62" w:rsidP="00C37471">
      <w:pPr>
        <w:pStyle w:val="Odstavecseseznamem"/>
        <w:widowControl w:val="0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hAnsiTheme="minorHAnsi" w:cstheme="minorHAnsi"/>
        </w:rPr>
        <w:t xml:space="preserve">U projektu </w:t>
      </w:r>
      <w:r w:rsidRPr="00060730">
        <w:rPr>
          <w:rFonts w:asciiTheme="minorHAnsi" w:hAnsiTheme="minorHAnsi" w:cstheme="minorHAnsi"/>
          <w:i/>
        </w:rPr>
        <w:t>Měnírna Jih včetně posílení napájení tramvajové trati na tř. Kosmonautů</w:t>
      </w:r>
      <w:r w:rsidR="005E151A" w:rsidRPr="00D5401D">
        <w:rPr>
          <w:rFonts w:asciiTheme="minorHAnsi" w:hAnsiTheme="minorHAnsi" w:cstheme="minorHAnsi"/>
        </w:rPr>
        <w:t xml:space="preserve"> (Olomouc)</w:t>
      </w:r>
      <w:r w:rsidRPr="00D5401D">
        <w:rPr>
          <w:rFonts w:asciiTheme="minorHAnsi" w:hAnsiTheme="minorHAnsi" w:cstheme="minorHAnsi"/>
        </w:rPr>
        <w:t xml:space="preserve"> </w:t>
      </w:r>
      <w:r w:rsidR="00F130EF" w:rsidRPr="00D5401D">
        <w:rPr>
          <w:rFonts w:asciiTheme="minorHAnsi" w:hAnsiTheme="minorHAnsi" w:cstheme="minorHAnsi"/>
        </w:rPr>
        <w:t>byla</w:t>
      </w:r>
      <w:r w:rsidRPr="00D5401D">
        <w:rPr>
          <w:rFonts w:asciiTheme="minorHAnsi" w:hAnsiTheme="minorHAnsi" w:cstheme="minorHAnsi"/>
        </w:rPr>
        <w:t xml:space="preserve"> </w:t>
      </w:r>
      <w:r w:rsidR="008057F2">
        <w:rPr>
          <w:rFonts w:asciiTheme="minorHAnsi" w:hAnsiTheme="minorHAnsi" w:cstheme="minorHAnsi"/>
        </w:rPr>
        <w:t>r</w:t>
      </w:r>
      <w:r w:rsidRPr="00D5401D">
        <w:rPr>
          <w:rFonts w:asciiTheme="minorHAnsi" w:hAnsiTheme="minorHAnsi" w:cstheme="minorHAnsi"/>
        </w:rPr>
        <w:t>ámcová smlo</w:t>
      </w:r>
      <w:r w:rsidR="00F130EF" w:rsidRPr="00D5401D">
        <w:rPr>
          <w:rFonts w:asciiTheme="minorHAnsi" w:hAnsiTheme="minorHAnsi" w:cstheme="minorHAnsi"/>
        </w:rPr>
        <w:t xml:space="preserve">uva </w:t>
      </w:r>
      <w:r w:rsidRPr="00D5401D">
        <w:rPr>
          <w:rFonts w:asciiTheme="minorHAnsi" w:hAnsiTheme="minorHAnsi" w:cstheme="minorHAnsi"/>
        </w:rPr>
        <w:t>uzavřena cca 1,5 měsíce</w:t>
      </w:r>
      <w:r w:rsidR="00797801" w:rsidRPr="00D5401D">
        <w:rPr>
          <w:rFonts w:asciiTheme="minorHAnsi" w:hAnsiTheme="minorHAnsi" w:cstheme="minorHAnsi"/>
        </w:rPr>
        <w:t xml:space="preserve"> po ukončení realizace projektu</w:t>
      </w:r>
      <w:r w:rsidR="008057F2">
        <w:rPr>
          <w:rFonts w:asciiTheme="minorHAnsi" w:hAnsiTheme="minorHAnsi" w:cstheme="minorHAnsi"/>
        </w:rPr>
        <w:t>.</w:t>
      </w:r>
    </w:p>
    <w:p w14:paraId="4162F38F" w14:textId="0CDC81C2" w:rsidR="006A52B5" w:rsidRPr="00D5401D" w:rsidRDefault="00F130EF" w:rsidP="00C37471">
      <w:pPr>
        <w:pStyle w:val="Odstavecseseznamem"/>
        <w:widowControl w:val="0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hAnsiTheme="minorHAnsi" w:cstheme="minorHAnsi"/>
        </w:rPr>
        <w:t xml:space="preserve">U </w:t>
      </w:r>
      <w:r w:rsidR="00646F62" w:rsidRPr="00D5401D">
        <w:rPr>
          <w:rFonts w:asciiTheme="minorHAnsi" w:hAnsiTheme="minorHAnsi" w:cstheme="minorHAnsi"/>
        </w:rPr>
        <w:t xml:space="preserve">projektu </w:t>
      </w:r>
      <w:r w:rsidR="00646F62" w:rsidRPr="00060730">
        <w:rPr>
          <w:rFonts w:asciiTheme="minorHAnsi" w:hAnsiTheme="minorHAnsi" w:cstheme="minorHAnsi"/>
          <w:i/>
        </w:rPr>
        <w:t>Modernizace tramvajové tratě 1. máje</w:t>
      </w:r>
      <w:r w:rsidRPr="00D5401D">
        <w:rPr>
          <w:rFonts w:asciiTheme="minorHAnsi" w:hAnsiTheme="minorHAnsi" w:cstheme="minorHAnsi"/>
        </w:rPr>
        <w:t xml:space="preserve"> </w:t>
      </w:r>
      <w:r w:rsidR="005E151A" w:rsidRPr="00D5401D">
        <w:rPr>
          <w:rFonts w:asciiTheme="minorHAnsi" w:hAnsiTheme="minorHAnsi" w:cstheme="minorHAnsi"/>
        </w:rPr>
        <w:t xml:space="preserve">(Olomouc) </w:t>
      </w:r>
      <w:r w:rsidR="00195E3B">
        <w:rPr>
          <w:rFonts w:asciiTheme="minorHAnsi" w:hAnsiTheme="minorHAnsi" w:cstheme="minorHAnsi"/>
        </w:rPr>
        <w:t xml:space="preserve">byla </w:t>
      </w:r>
      <w:r w:rsidR="008057F2">
        <w:rPr>
          <w:rFonts w:asciiTheme="minorHAnsi" w:hAnsiTheme="minorHAnsi" w:cstheme="minorHAnsi"/>
        </w:rPr>
        <w:t>r</w:t>
      </w:r>
      <w:r w:rsidR="00195E3B">
        <w:rPr>
          <w:rFonts w:asciiTheme="minorHAnsi" w:hAnsiTheme="minorHAnsi" w:cstheme="minorHAnsi"/>
        </w:rPr>
        <w:t>ámcová smlouva o </w:t>
      </w:r>
      <w:r w:rsidR="00646F62" w:rsidRPr="00D5401D">
        <w:rPr>
          <w:rFonts w:asciiTheme="minorHAnsi" w:hAnsiTheme="minorHAnsi" w:cstheme="minorHAnsi"/>
        </w:rPr>
        <w:t>financování projektu uzavřena až cca 6,5 měsíce po</w:t>
      </w:r>
      <w:r w:rsidR="00195E3B">
        <w:rPr>
          <w:rFonts w:asciiTheme="minorHAnsi" w:hAnsiTheme="minorHAnsi" w:cstheme="minorHAnsi"/>
        </w:rPr>
        <w:t xml:space="preserve"> ukončení realizace projektu, u </w:t>
      </w:r>
      <w:r w:rsidR="00646F62" w:rsidRPr="00D5401D">
        <w:rPr>
          <w:rFonts w:asciiTheme="minorHAnsi" w:hAnsiTheme="minorHAnsi" w:cstheme="minorHAnsi"/>
        </w:rPr>
        <w:t xml:space="preserve">projektu </w:t>
      </w:r>
      <w:r w:rsidR="00646F62" w:rsidRPr="00060730">
        <w:rPr>
          <w:rFonts w:asciiTheme="minorHAnsi" w:hAnsiTheme="minorHAnsi" w:cstheme="minorHAnsi"/>
          <w:i/>
        </w:rPr>
        <w:t>Rozšíření trolejové dopravy v Jihlavě</w:t>
      </w:r>
      <w:r w:rsidR="00646F62" w:rsidRPr="00D5401D">
        <w:rPr>
          <w:rFonts w:asciiTheme="minorHAnsi" w:hAnsiTheme="minorHAnsi" w:cstheme="minorHAnsi"/>
        </w:rPr>
        <w:t xml:space="preserve"> byla </w:t>
      </w:r>
      <w:r w:rsidR="008057F2">
        <w:rPr>
          <w:rFonts w:asciiTheme="minorHAnsi" w:hAnsiTheme="minorHAnsi" w:cstheme="minorHAnsi"/>
        </w:rPr>
        <w:t>r</w:t>
      </w:r>
      <w:r w:rsidR="00646F62" w:rsidRPr="00D5401D">
        <w:rPr>
          <w:rFonts w:asciiTheme="minorHAnsi" w:hAnsiTheme="minorHAnsi" w:cstheme="minorHAnsi"/>
        </w:rPr>
        <w:t>ámcová smlouva uzavřena až cca</w:t>
      </w:r>
      <w:r w:rsidR="00313916">
        <w:rPr>
          <w:rFonts w:asciiTheme="minorHAnsi" w:hAnsiTheme="minorHAnsi" w:cstheme="minorHAnsi"/>
        </w:rPr>
        <w:t> </w:t>
      </w:r>
      <w:r w:rsidR="00646F62" w:rsidRPr="00D5401D">
        <w:rPr>
          <w:rFonts w:asciiTheme="minorHAnsi" w:hAnsiTheme="minorHAnsi" w:cstheme="minorHAnsi"/>
        </w:rPr>
        <w:t>6,5</w:t>
      </w:r>
      <w:r w:rsidR="00313916">
        <w:rPr>
          <w:rFonts w:asciiTheme="minorHAnsi" w:hAnsiTheme="minorHAnsi" w:cstheme="minorHAnsi"/>
        </w:rPr>
        <w:t> </w:t>
      </w:r>
      <w:r w:rsidR="00646F62" w:rsidRPr="00D5401D">
        <w:rPr>
          <w:rFonts w:asciiTheme="minorHAnsi" w:hAnsiTheme="minorHAnsi" w:cstheme="minorHAnsi"/>
        </w:rPr>
        <w:t>měsíce po ukončení realizace projektu a u</w:t>
      </w:r>
      <w:r w:rsidR="00646F62" w:rsidRPr="00D5401D">
        <w:rPr>
          <w:rFonts w:asciiTheme="minorHAnsi" w:hAnsiTheme="minorHAnsi" w:cstheme="minorHAnsi"/>
          <w:color w:val="000000"/>
        </w:rPr>
        <w:t xml:space="preserve"> projektu </w:t>
      </w:r>
      <w:r w:rsidR="00646F62" w:rsidRPr="00060730">
        <w:rPr>
          <w:rFonts w:asciiTheme="minorHAnsi" w:hAnsiTheme="minorHAnsi" w:cstheme="minorHAnsi"/>
          <w:i/>
          <w:color w:val="000000"/>
        </w:rPr>
        <w:t xml:space="preserve">Prodloužení trolejbusové trati v Trnové a </w:t>
      </w:r>
      <w:proofErr w:type="spellStart"/>
      <w:r w:rsidR="00646F62" w:rsidRPr="00060730">
        <w:rPr>
          <w:rFonts w:asciiTheme="minorHAnsi" w:hAnsiTheme="minorHAnsi" w:cstheme="minorHAnsi"/>
          <w:i/>
          <w:color w:val="000000"/>
        </w:rPr>
        <w:t>Ohrazenici</w:t>
      </w:r>
      <w:proofErr w:type="spellEnd"/>
      <w:r w:rsidR="005E151A" w:rsidRPr="00D5401D">
        <w:rPr>
          <w:rFonts w:asciiTheme="minorHAnsi" w:hAnsiTheme="minorHAnsi" w:cstheme="minorHAnsi"/>
          <w:color w:val="000000"/>
        </w:rPr>
        <w:t xml:space="preserve"> (Pardubice)</w:t>
      </w:r>
      <w:r w:rsidR="00646F62" w:rsidRPr="00D5401D">
        <w:rPr>
          <w:rFonts w:asciiTheme="minorHAnsi" w:hAnsiTheme="minorHAnsi" w:cstheme="minorHAnsi"/>
          <w:color w:val="000000"/>
        </w:rPr>
        <w:t xml:space="preserve"> </w:t>
      </w:r>
      <w:r w:rsidR="00646F62" w:rsidRPr="00D5401D">
        <w:rPr>
          <w:rFonts w:asciiTheme="minorHAnsi" w:hAnsiTheme="minorHAnsi" w:cstheme="minorHAnsi"/>
        </w:rPr>
        <w:t xml:space="preserve">byla </w:t>
      </w:r>
      <w:r w:rsidR="008057F2">
        <w:rPr>
          <w:rFonts w:asciiTheme="minorHAnsi" w:hAnsiTheme="minorHAnsi" w:cstheme="minorHAnsi"/>
        </w:rPr>
        <w:t>r</w:t>
      </w:r>
      <w:r w:rsidR="00646F62" w:rsidRPr="00D5401D">
        <w:rPr>
          <w:rFonts w:asciiTheme="minorHAnsi" w:hAnsiTheme="minorHAnsi" w:cstheme="minorHAnsi"/>
        </w:rPr>
        <w:t>ámcová smlouva uzavřena až cca 5,5 měsíce</w:t>
      </w:r>
      <w:r w:rsidR="00797801" w:rsidRPr="00D5401D">
        <w:rPr>
          <w:rFonts w:asciiTheme="minorHAnsi" w:hAnsiTheme="minorHAnsi" w:cstheme="minorHAnsi"/>
        </w:rPr>
        <w:t xml:space="preserve"> po ukončení realizace projektu</w:t>
      </w:r>
      <w:r w:rsidR="008057F2">
        <w:rPr>
          <w:rFonts w:asciiTheme="minorHAnsi" w:hAnsiTheme="minorHAnsi" w:cstheme="minorHAnsi"/>
        </w:rPr>
        <w:t>.</w:t>
      </w:r>
    </w:p>
    <w:p w14:paraId="0C267C82" w14:textId="4D9D0B93" w:rsidR="006A52B5" w:rsidRPr="00D5401D" w:rsidRDefault="006A52B5" w:rsidP="00C37471">
      <w:pPr>
        <w:pStyle w:val="Odstavecseseznamem"/>
        <w:widowControl w:val="0"/>
        <w:numPr>
          <w:ilvl w:val="0"/>
          <w:numId w:val="4"/>
        </w:numPr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hAnsiTheme="minorHAnsi" w:cstheme="minorHAnsi"/>
          <w:lang w:eastAsia="cs-CZ"/>
        </w:rPr>
        <w:t>U</w:t>
      </w:r>
      <w:r w:rsidR="00646F62" w:rsidRPr="00D5401D">
        <w:rPr>
          <w:rFonts w:asciiTheme="minorHAnsi" w:hAnsiTheme="minorHAnsi" w:cstheme="minorHAnsi"/>
          <w:lang w:eastAsia="cs-CZ"/>
        </w:rPr>
        <w:t xml:space="preserve"> </w:t>
      </w:r>
      <w:r w:rsidR="00646F62" w:rsidRPr="00D5401D">
        <w:rPr>
          <w:rFonts w:asciiTheme="minorHAnsi" w:hAnsiTheme="minorHAnsi" w:cstheme="minorHAnsi"/>
          <w:color w:val="000000"/>
          <w:lang w:eastAsia="cs-CZ"/>
        </w:rPr>
        <w:t xml:space="preserve">projektu </w:t>
      </w:r>
      <w:r w:rsidR="00646F62" w:rsidRPr="00060730">
        <w:rPr>
          <w:rFonts w:asciiTheme="minorHAnsi" w:hAnsiTheme="minorHAnsi" w:cstheme="minorHAnsi"/>
          <w:i/>
          <w:color w:val="000000"/>
          <w:lang w:eastAsia="cs-CZ"/>
        </w:rPr>
        <w:t>Výstavba měnírny na konečné MHD Cihelna v Hradci Králové</w:t>
      </w:r>
      <w:r w:rsidR="00646F62" w:rsidRPr="00D5401D">
        <w:rPr>
          <w:rFonts w:asciiTheme="minorHAnsi" w:hAnsiTheme="minorHAnsi" w:cstheme="minorHAnsi"/>
          <w:color w:val="000000"/>
          <w:lang w:eastAsia="cs-CZ"/>
        </w:rPr>
        <w:t xml:space="preserve"> nebyla uzavřena </w:t>
      </w:r>
      <w:r w:rsidR="008057F2">
        <w:rPr>
          <w:rFonts w:asciiTheme="minorHAnsi" w:hAnsiTheme="minorHAnsi" w:cstheme="minorHAnsi"/>
          <w:color w:val="000000"/>
          <w:lang w:eastAsia="cs-CZ"/>
        </w:rPr>
        <w:t>r</w:t>
      </w:r>
      <w:r w:rsidR="00646F62" w:rsidRPr="00D5401D">
        <w:rPr>
          <w:rFonts w:asciiTheme="minorHAnsi" w:hAnsiTheme="minorHAnsi" w:cstheme="minorHAnsi"/>
          <w:color w:val="000000"/>
          <w:lang w:eastAsia="cs-CZ"/>
        </w:rPr>
        <w:t>ámcová smlouva k 31.</w:t>
      </w:r>
      <w:r w:rsidR="00D5401D">
        <w:rPr>
          <w:rFonts w:asciiTheme="minorHAnsi" w:hAnsiTheme="minorHAnsi" w:cstheme="minorHAnsi"/>
          <w:color w:val="000000"/>
          <w:lang w:eastAsia="cs-CZ"/>
        </w:rPr>
        <w:t xml:space="preserve"> 10. 2020. Realizace probíhala </w:t>
      </w:r>
      <w:r w:rsidR="00646F62" w:rsidRPr="00D5401D">
        <w:rPr>
          <w:rFonts w:asciiTheme="minorHAnsi" w:hAnsiTheme="minorHAnsi" w:cstheme="minorHAnsi"/>
          <w:color w:val="000000"/>
          <w:lang w:eastAsia="cs-CZ"/>
        </w:rPr>
        <w:t xml:space="preserve">od 17. 8. 2018 do 31. 12. 2019 (dle poskytnutých informací MD). Rámcová smlouva bude tedy uzavřena </w:t>
      </w:r>
      <w:r w:rsidR="009D7C96" w:rsidRPr="00D5401D">
        <w:rPr>
          <w:rFonts w:asciiTheme="minorHAnsi" w:hAnsiTheme="minorHAnsi" w:cstheme="minorHAnsi"/>
          <w:color w:val="000000"/>
          <w:lang w:eastAsia="cs-CZ"/>
        </w:rPr>
        <w:t xml:space="preserve">až po </w:t>
      </w:r>
      <w:r w:rsidR="00646F62" w:rsidRPr="00D5401D">
        <w:rPr>
          <w:rFonts w:asciiTheme="minorHAnsi" w:hAnsiTheme="minorHAnsi" w:cstheme="minorHAnsi"/>
          <w:color w:val="000000"/>
          <w:lang w:eastAsia="cs-CZ"/>
        </w:rPr>
        <w:t>více než roce od ukončení realizace projektu</w:t>
      </w:r>
      <w:r w:rsidR="008057F2">
        <w:rPr>
          <w:rFonts w:asciiTheme="minorHAnsi" w:hAnsiTheme="minorHAnsi" w:cstheme="minorHAnsi"/>
          <w:color w:val="000000"/>
          <w:lang w:eastAsia="cs-CZ"/>
        </w:rPr>
        <w:t>.</w:t>
      </w:r>
    </w:p>
    <w:p w14:paraId="3B834C9C" w14:textId="3C82E5F4" w:rsidR="00646F62" w:rsidRPr="00352CD5" w:rsidRDefault="00646F62" w:rsidP="00CD0F8F">
      <w:pPr>
        <w:pStyle w:val="Odstavecseseznamem"/>
        <w:numPr>
          <w:ilvl w:val="0"/>
          <w:numId w:val="4"/>
        </w:numPr>
        <w:spacing w:after="120"/>
        <w:ind w:left="284" w:hanging="284"/>
        <w:contextualSpacing w:val="0"/>
        <w:rPr>
          <w:rFonts w:asciiTheme="minorHAnsi" w:hAnsiTheme="minorHAnsi" w:cstheme="minorHAnsi"/>
        </w:rPr>
      </w:pPr>
      <w:r w:rsidRPr="00D5401D">
        <w:rPr>
          <w:rFonts w:asciiTheme="minorHAnsi" w:hAnsiTheme="minorHAnsi" w:cstheme="minorHAnsi"/>
          <w:color w:val="000000"/>
          <w:lang w:eastAsia="cs-CZ"/>
        </w:rPr>
        <w:t xml:space="preserve">U projektu </w:t>
      </w:r>
      <w:r w:rsidRPr="00060730">
        <w:rPr>
          <w:rFonts w:asciiTheme="minorHAnsi" w:hAnsiTheme="minorHAnsi" w:cstheme="minorHAnsi"/>
          <w:i/>
          <w:color w:val="000000"/>
          <w:lang w:eastAsia="cs-CZ"/>
        </w:rPr>
        <w:t>Trolejbusová trať Pod Strání</w:t>
      </w:r>
      <w:r w:rsidRPr="00D5401D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5E151A" w:rsidRPr="00D5401D">
        <w:rPr>
          <w:rFonts w:asciiTheme="minorHAnsi" w:hAnsiTheme="minorHAnsi" w:cstheme="minorHAnsi"/>
          <w:color w:val="000000"/>
          <w:lang w:eastAsia="cs-CZ"/>
        </w:rPr>
        <w:t xml:space="preserve">(Hradec Králové) </w:t>
      </w:r>
      <w:r w:rsidRPr="00D5401D">
        <w:rPr>
          <w:rFonts w:asciiTheme="minorHAnsi" w:hAnsiTheme="minorHAnsi" w:cstheme="minorHAnsi"/>
          <w:color w:val="000000"/>
          <w:lang w:eastAsia="cs-CZ"/>
        </w:rPr>
        <w:t xml:space="preserve">byla </w:t>
      </w:r>
      <w:r w:rsidR="008057F2">
        <w:rPr>
          <w:rFonts w:asciiTheme="minorHAnsi" w:hAnsiTheme="minorHAnsi" w:cstheme="minorHAnsi"/>
          <w:color w:val="000000"/>
          <w:lang w:eastAsia="cs-CZ"/>
        </w:rPr>
        <w:t>r</w:t>
      </w:r>
      <w:r w:rsidRPr="00D5401D">
        <w:rPr>
          <w:rFonts w:asciiTheme="minorHAnsi" w:hAnsiTheme="minorHAnsi" w:cstheme="minorHAnsi"/>
          <w:color w:val="000000"/>
          <w:lang w:eastAsia="cs-CZ"/>
        </w:rPr>
        <w:t>ámcová smlouva uzavřena dne 24. 11. 2020. Realizace probíhala od 27. 6. 2018 do 31. 12. 2019</w:t>
      </w:r>
      <w:r w:rsidR="008057F2">
        <w:rPr>
          <w:rFonts w:asciiTheme="minorHAnsi" w:hAnsiTheme="minorHAnsi" w:cstheme="minorHAnsi"/>
          <w:color w:val="000000"/>
          <w:lang w:eastAsia="cs-CZ"/>
        </w:rPr>
        <w:t xml:space="preserve"> </w:t>
      </w:r>
      <w:r w:rsidR="00D5401D">
        <w:rPr>
          <w:rFonts w:asciiTheme="minorHAnsi" w:hAnsiTheme="minorHAnsi" w:cstheme="minorHAnsi"/>
          <w:color w:val="000000"/>
          <w:lang w:eastAsia="cs-CZ"/>
        </w:rPr>
        <w:t>(dle poskytnutých informací MD)</w:t>
      </w:r>
      <w:r w:rsidRPr="00D5401D">
        <w:rPr>
          <w:rFonts w:asciiTheme="minorHAnsi" w:hAnsiTheme="minorHAnsi" w:cstheme="minorHAnsi"/>
          <w:color w:val="000000"/>
          <w:lang w:eastAsia="cs-CZ"/>
        </w:rPr>
        <w:t>.</w:t>
      </w:r>
      <w:r w:rsidRPr="00F33D7D">
        <w:t xml:space="preserve"> </w:t>
      </w:r>
      <w:r w:rsidRPr="00D5401D">
        <w:rPr>
          <w:rFonts w:asciiTheme="minorHAnsi" w:hAnsiTheme="minorHAnsi" w:cstheme="minorHAnsi"/>
          <w:color w:val="000000"/>
          <w:lang w:eastAsia="cs-CZ"/>
        </w:rPr>
        <w:t xml:space="preserve">Rámcová smlouva byla tedy uzavřena až po cca 11 měsících po končení realizace projektu.  </w:t>
      </w:r>
    </w:p>
    <w:p w14:paraId="371EDE28" w14:textId="04BC88C0" w:rsidR="00352CD5" w:rsidRPr="00352CD5" w:rsidRDefault="00352CD5" w:rsidP="00CD0F8F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Tyto skutečnosti neměly negativní dopad na </w:t>
      </w:r>
      <w:r w:rsidR="000C3150">
        <w:rPr>
          <w:rFonts w:asciiTheme="minorHAnsi" w:hAnsiTheme="minorHAnsi" w:cstheme="minorHAnsi"/>
        </w:rPr>
        <w:t>čerpání</w:t>
      </w:r>
      <w:r w:rsidR="009E384E" w:rsidRPr="009E384E">
        <w:rPr>
          <w:rFonts w:asciiTheme="minorHAnsi" w:hAnsiTheme="minorHAnsi" w:cstheme="minorHAnsi"/>
        </w:rPr>
        <w:t xml:space="preserve"> podpory</w:t>
      </w:r>
      <w:r w:rsidR="009E384E">
        <w:rPr>
          <w:rFonts w:asciiTheme="minorHAnsi" w:hAnsiTheme="minorHAnsi" w:cstheme="minorHAnsi"/>
        </w:rPr>
        <w:t>.</w:t>
      </w:r>
    </w:p>
    <w:p w14:paraId="363D6412" w14:textId="77777777" w:rsidR="00F33D7D" w:rsidRPr="00527E80" w:rsidRDefault="00AD0BC0" w:rsidP="0001743C">
      <w:pPr>
        <w:keepNext/>
        <w:spacing w:after="120"/>
        <w:jc w:val="left"/>
        <w:rPr>
          <w:b/>
        </w:rPr>
      </w:pPr>
      <w:r>
        <w:rPr>
          <w:b/>
        </w:rPr>
        <w:t>Kontrola veřejných zakázek</w:t>
      </w:r>
      <w:r w:rsidR="00F33D7D" w:rsidRPr="00527E80">
        <w:rPr>
          <w:b/>
        </w:rPr>
        <w:t xml:space="preserve"> u 12 kontrolovaných projektů </w:t>
      </w:r>
    </w:p>
    <w:p w14:paraId="6C34E193" w14:textId="4FD6EFB0" w:rsidR="005D5B42" w:rsidRDefault="00851148" w:rsidP="00CD0F8F">
      <w:pPr>
        <w:spacing w:after="120"/>
      </w:pPr>
      <w:r w:rsidRPr="00527E80">
        <w:t>Kontrola NKÚ ověřovala, zda byla jednotlivá zadávací řízení realizována v souladu se zákonem č. 137/2006 Sb., o veřejných zakázkách (dále také „ZVZ“), resp</w:t>
      </w:r>
      <w:r w:rsidR="00446067">
        <w:t>. se zákonem č. 134/2016 Sb., o </w:t>
      </w:r>
      <w:r w:rsidRPr="00527E80">
        <w:t>zadávání veřejný</w:t>
      </w:r>
      <w:r w:rsidR="00F33D7D" w:rsidRPr="00527E80">
        <w:t>ch zakázek (dále také „ZZVZ“). Zejména</w:t>
      </w:r>
      <w:r w:rsidR="00773816">
        <w:t xml:space="preserve"> bylo ověřeno</w:t>
      </w:r>
      <w:r w:rsidR="00F33D7D" w:rsidRPr="00527E80">
        <w:t>, zda</w:t>
      </w:r>
      <w:r w:rsidRPr="00527E80">
        <w:t xml:space="preserve"> byly zadávací dokumentace jednotlivých veřejných zakázek vyhotoveny</w:t>
      </w:r>
      <w:r w:rsidR="005D5B42" w:rsidRPr="00527E80">
        <w:t xml:space="preserve"> v souladu se ZVZ, res</w:t>
      </w:r>
      <w:r w:rsidR="00F33D7D" w:rsidRPr="00527E80">
        <w:t>p. ZZVZ</w:t>
      </w:r>
      <w:r w:rsidRPr="00527E80">
        <w:t>, zda byly smlouvy uzavřené v souladu s nabídkami vítězných uchazečů a zda byly předměty zakázek realizovány v souladu s uzavřenými smlouvami.</w:t>
      </w:r>
      <w:r w:rsidR="00F33D7D" w:rsidRPr="00527E80">
        <w:t xml:space="preserve"> Kontrolou nebyly zjištěny nedostatky. </w:t>
      </w:r>
    </w:p>
    <w:p w14:paraId="43BEB8D7" w14:textId="77777777" w:rsidR="000E3B2E" w:rsidRPr="00527E80" w:rsidRDefault="000E3B2E" w:rsidP="0001743C">
      <w:pPr>
        <w:keepNext/>
        <w:spacing w:after="120"/>
        <w:jc w:val="left"/>
        <w:rPr>
          <w:b/>
        </w:rPr>
      </w:pPr>
      <w:r w:rsidRPr="00527E80">
        <w:rPr>
          <w:b/>
        </w:rPr>
        <w:t>Rozdíly stavebních nákladů na jednotku u vybraného vzorku</w:t>
      </w:r>
    </w:p>
    <w:p w14:paraId="06C5F470" w14:textId="24DD01A9" w:rsidR="000E3B2E" w:rsidRPr="00D5401D" w:rsidRDefault="000E3B2E" w:rsidP="00CD0F8F">
      <w:pPr>
        <w:spacing w:after="120"/>
      </w:pPr>
      <w:r w:rsidRPr="00527E80">
        <w:t>NKÚ se při kontrole zaměřil na porovnání stavební</w:t>
      </w:r>
      <w:r w:rsidR="005A3091">
        <w:t>ch</w:t>
      </w:r>
      <w:r w:rsidRPr="00527E80">
        <w:t xml:space="preserve"> nákladů u vybraného vzorku, </w:t>
      </w:r>
      <w:r w:rsidR="005A3091">
        <w:t>tj. </w:t>
      </w:r>
      <w:r>
        <w:t>zda nejsou u </w:t>
      </w:r>
      <w:r w:rsidRPr="00527E80">
        <w:t xml:space="preserve">srovnatelných projektů </w:t>
      </w:r>
      <w:r w:rsidR="005A3091">
        <w:t xml:space="preserve">významné </w:t>
      </w:r>
      <w:r w:rsidRPr="00527E80">
        <w:t xml:space="preserve">rozdíly v cenách na </w:t>
      </w:r>
      <w:r w:rsidR="00773816">
        <w:t>1 </w:t>
      </w:r>
      <w:r w:rsidRPr="00527E80">
        <w:t xml:space="preserve">km tratě, a to u šesti projektů zaměřených na výstavbu tramvajové trati, u nichž probíhala </w:t>
      </w:r>
      <w:proofErr w:type="gramStart"/>
      <w:r w:rsidRPr="00527E80">
        <w:t>realizace nebo</w:t>
      </w:r>
      <w:proofErr w:type="gramEnd"/>
      <w:r w:rsidRPr="00527E80">
        <w:t xml:space="preserve"> </w:t>
      </w:r>
      <w:r w:rsidR="00773816" w:rsidRPr="00527E80">
        <w:t xml:space="preserve">byly </w:t>
      </w:r>
      <w:r w:rsidR="005A3091">
        <w:t xml:space="preserve">již </w:t>
      </w:r>
      <w:r w:rsidRPr="00527E80">
        <w:t xml:space="preserve">dokončeny. Náklady na </w:t>
      </w:r>
      <w:r w:rsidR="00773816">
        <w:t>1 </w:t>
      </w:r>
      <w:r w:rsidRPr="00527E80">
        <w:t xml:space="preserve">km tratě jsou uvedeny v tabulce č. 2. </w:t>
      </w:r>
    </w:p>
    <w:p w14:paraId="733F287A" w14:textId="0CB1B5F5" w:rsidR="000E3B2E" w:rsidRPr="0001743C" w:rsidRDefault="000E3B2E" w:rsidP="0001743C">
      <w:pPr>
        <w:keepNext/>
        <w:spacing w:after="40"/>
        <w:rPr>
          <w:rFonts w:asciiTheme="minorHAnsi" w:hAnsiTheme="minorHAnsi" w:cstheme="minorHAnsi"/>
          <w:b/>
        </w:rPr>
      </w:pPr>
      <w:r w:rsidRPr="0001743C">
        <w:rPr>
          <w:rFonts w:asciiTheme="minorHAnsi" w:hAnsiTheme="minorHAnsi" w:cstheme="minorHAnsi"/>
          <w:b/>
        </w:rPr>
        <w:lastRenderedPageBreak/>
        <w:t>Tabulka č. 2</w:t>
      </w:r>
      <w:r w:rsidR="00773816">
        <w:rPr>
          <w:rFonts w:asciiTheme="minorHAnsi" w:hAnsiTheme="minorHAnsi" w:cstheme="minorHAnsi"/>
          <w:b/>
        </w:rPr>
        <w:t>:</w:t>
      </w:r>
      <w:r w:rsidRPr="0001743C">
        <w:rPr>
          <w:rFonts w:asciiTheme="minorHAnsi" w:hAnsiTheme="minorHAnsi" w:cstheme="minorHAnsi"/>
          <w:b/>
        </w:rPr>
        <w:t xml:space="preserve"> Náklady na </w:t>
      </w:r>
      <w:r w:rsidR="00773816">
        <w:rPr>
          <w:rFonts w:asciiTheme="minorHAnsi" w:hAnsiTheme="minorHAnsi" w:cstheme="minorHAnsi"/>
          <w:b/>
        </w:rPr>
        <w:t>1 </w:t>
      </w:r>
      <w:r w:rsidRPr="0001743C">
        <w:rPr>
          <w:rFonts w:asciiTheme="minorHAnsi" w:hAnsiTheme="minorHAnsi" w:cstheme="minorHAnsi"/>
          <w:b/>
        </w:rPr>
        <w:t>km tratě</w:t>
      </w:r>
    </w:p>
    <w:tbl>
      <w:tblPr>
        <w:tblStyle w:val="Mkatabulky"/>
        <w:tblW w:w="9128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494"/>
        <w:gridCol w:w="2608"/>
        <w:gridCol w:w="567"/>
        <w:gridCol w:w="1361"/>
        <w:gridCol w:w="1644"/>
      </w:tblGrid>
      <w:tr w:rsidR="000E3B2E" w:rsidRPr="000727E2" w14:paraId="6C42C3F6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900CE93" w14:textId="77777777" w:rsidR="000E3B2E" w:rsidRPr="000727E2" w:rsidRDefault="000E3B2E" w:rsidP="007A1486">
            <w:pPr>
              <w:keepNext/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Poř</w:t>
            </w:r>
            <w:proofErr w:type="spellEnd"/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. č.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F01B9CB" w14:textId="77777777" w:rsidR="000E3B2E" w:rsidRPr="000727E2" w:rsidRDefault="000E3B2E" w:rsidP="007A1486">
            <w:pPr>
              <w:keepNext/>
              <w:ind w:left="-28" w:right="-2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Číslo projektu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04152CC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Název projektu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51242D5" w14:textId="66269E14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Délka (</w:t>
            </w:r>
            <w:r w:rsidR="00773816">
              <w:rPr>
                <w:rFonts w:asciiTheme="minorHAnsi" w:hAnsiTheme="minorHAnsi" w:cstheme="minorHAnsi"/>
                <w:b/>
                <w:sz w:val="16"/>
                <w:szCs w:val="16"/>
              </w:rPr>
              <w:t>v </w:t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km)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89AE6B4" w14:textId="4D2B04E6" w:rsidR="000E3B2E" w:rsidRPr="000727E2" w:rsidRDefault="000E3B2E" w:rsidP="007A1486">
            <w:pPr>
              <w:keepNext/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Stavební náklady stavebního objektu tramvajová trať (</w:t>
            </w:r>
            <w:r w:rsidR="00773816">
              <w:rPr>
                <w:rFonts w:asciiTheme="minorHAnsi" w:hAnsiTheme="minorHAnsi" w:cstheme="minorHAnsi"/>
                <w:b/>
                <w:sz w:val="16"/>
                <w:szCs w:val="16"/>
              </w:rPr>
              <w:t>v </w:t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Kč bez DPH)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9917503" w14:textId="5F0010E4" w:rsidR="000E3B2E" w:rsidRPr="000727E2" w:rsidRDefault="000E3B2E" w:rsidP="007A1486">
            <w:pPr>
              <w:keepNext/>
              <w:ind w:left="-57" w:right="-5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Stavební náklady </w:t>
            </w:r>
            <w:r w:rsidR="007A1486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 </w:t>
            </w:r>
            <w:r w:rsidR="00773816">
              <w:rPr>
                <w:rFonts w:asciiTheme="minorHAnsi" w:hAnsiTheme="minorHAnsi" w:cstheme="minorHAnsi"/>
                <w:b/>
                <w:sz w:val="16"/>
                <w:szCs w:val="16"/>
              </w:rPr>
              <w:t>1 </w:t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km stavebního objektu tramvajová trať </w:t>
            </w:r>
            <w:r w:rsidR="000727E2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773816">
              <w:rPr>
                <w:rFonts w:asciiTheme="minorHAnsi" w:hAnsiTheme="minorHAnsi" w:cstheme="minorHAnsi"/>
                <w:b/>
                <w:sz w:val="16"/>
                <w:szCs w:val="16"/>
              </w:rPr>
              <w:t>v </w:t>
            </w: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Kč bez DPH)</w:t>
            </w:r>
          </w:p>
        </w:tc>
      </w:tr>
      <w:tr w:rsidR="000E3B2E" w:rsidRPr="000727E2" w14:paraId="3738F024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A655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F5C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CZ.04.1.40/0.0/0.0/16_017/0000128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6627" w14:textId="189E3932" w:rsidR="000E3B2E" w:rsidRPr="000727E2" w:rsidRDefault="000E3B2E" w:rsidP="00773816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Prodloužení tramvajové tratě na Borská pole </w:t>
            </w:r>
            <w:r w:rsidR="00773816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 část Tramvajová trať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B5D1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1,350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EFFC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125 991 908,16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8750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93 327 339,38</w:t>
            </w:r>
          </w:p>
        </w:tc>
      </w:tr>
      <w:tr w:rsidR="000E3B2E" w:rsidRPr="000727E2" w14:paraId="177355BF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405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0D79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CZ.04.1.40/0.0/0.0/16_018/0000120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A3A3" w14:textId="77777777" w:rsidR="000E3B2E" w:rsidRPr="000727E2" w:rsidRDefault="000E3B2E" w:rsidP="000727E2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Tramvajová trať Plotní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565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1,415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6416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133 113 557,67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6527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94 073 185,63</w:t>
            </w:r>
          </w:p>
        </w:tc>
      </w:tr>
      <w:tr w:rsidR="000E3B2E" w:rsidRPr="000727E2" w14:paraId="4F1E5B2E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4C4A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8CCD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CZ.04.1.40/0.0/0.0/18_055/0000326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46C0" w14:textId="77777777" w:rsidR="000E3B2E" w:rsidRPr="000727E2" w:rsidRDefault="000E3B2E" w:rsidP="000727E2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Prodloužení tramvajové trati z Osové ke Kampusu MU v Bohunicích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0905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0,915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36B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112 068 896,00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781B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122 479 667,76</w:t>
            </w:r>
          </w:p>
        </w:tc>
      </w:tr>
      <w:tr w:rsidR="000E3B2E" w:rsidRPr="000727E2" w14:paraId="490BFD78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D677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C81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CZ.04.1.40/0.0/0.0/16_019/0000068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292" w14:textId="77777777" w:rsidR="000E3B2E" w:rsidRPr="000727E2" w:rsidRDefault="000E3B2E" w:rsidP="000727E2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Modernizace tramvajové tratě 1. máje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AF7C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0,401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F6B8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25 906 352,38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669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64 604 370,02</w:t>
            </w:r>
          </w:p>
        </w:tc>
      </w:tr>
      <w:tr w:rsidR="000E3B2E" w:rsidRPr="000727E2" w14:paraId="00A28669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CEB1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3DF0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CZ.04.1.40/0.0/0.0/16_019/0000137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761" w14:textId="77777777" w:rsidR="000E3B2E" w:rsidRPr="000727E2" w:rsidRDefault="000E3B2E" w:rsidP="000727E2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Tramvajová trať 8. května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87A3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0,303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048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19 820 785,95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44F7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65 415 135,15</w:t>
            </w:r>
          </w:p>
        </w:tc>
      </w:tr>
      <w:tr w:rsidR="000E3B2E" w:rsidRPr="000727E2" w14:paraId="09D415AB" w14:textId="77777777" w:rsidTr="0050493F">
        <w:trPr>
          <w:trHeight w:val="25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12FA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0CD" w14:textId="77777777" w:rsidR="000E3B2E" w:rsidRPr="000727E2" w:rsidRDefault="000E3B2E" w:rsidP="007A1486">
            <w:pPr>
              <w:keepNext/>
              <w:ind w:left="-28" w:right="-28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CZ.04.1.40/0.0/0.0/16_020/0000119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0C7" w14:textId="77777777" w:rsidR="000E3B2E" w:rsidRPr="000727E2" w:rsidRDefault="000E3B2E" w:rsidP="000727E2">
            <w:pPr>
              <w:keepNext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 xml:space="preserve">Rekonstrukce tramvajové trati včetně výstavby nových tramvajových mostů na ul. Výškovická, Ostrava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36FF" w14:textId="77777777" w:rsidR="000E3B2E" w:rsidRPr="000727E2" w:rsidRDefault="000E3B2E" w:rsidP="0001743C">
            <w:pPr>
              <w:keepNext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0,411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B346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sz w:val="16"/>
                <w:szCs w:val="16"/>
              </w:rPr>
              <w:t>13 651 732,66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47B8" w14:textId="77777777" w:rsidR="000E3B2E" w:rsidRPr="000727E2" w:rsidRDefault="000E3B2E" w:rsidP="000727E2">
            <w:pPr>
              <w:keepNext/>
              <w:ind w:right="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7E2">
              <w:rPr>
                <w:rFonts w:asciiTheme="minorHAnsi" w:hAnsiTheme="minorHAnsi" w:cstheme="minorHAnsi"/>
                <w:b/>
                <w:sz w:val="16"/>
                <w:szCs w:val="16"/>
              </w:rPr>
              <w:t>33 215 894,55</w:t>
            </w:r>
          </w:p>
        </w:tc>
      </w:tr>
    </w:tbl>
    <w:p w14:paraId="285000F6" w14:textId="592A821C" w:rsidR="000E3B2E" w:rsidRPr="0001743C" w:rsidRDefault="000E3B2E" w:rsidP="0001743C">
      <w:pPr>
        <w:spacing w:before="40"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01743C">
        <w:rPr>
          <w:rFonts w:asciiTheme="minorHAnsi" w:hAnsiTheme="minorHAnsi" w:cstheme="minorHAnsi"/>
          <w:b/>
          <w:sz w:val="20"/>
          <w:szCs w:val="20"/>
        </w:rPr>
        <w:t>Zdroj:</w:t>
      </w:r>
      <w:r w:rsidRPr="0001743C">
        <w:rPr>
          <w:rFonts w:asciiTheme="minorHAnsi" w:hAnsiTheme="minorHAnsi" w:cstheme="minorHAnsi"/>
          <w:sz w:val="20"/>
          <w:szCs w:val="20"/>
        </w:rPr>
        <w:tab/>
      </w:r>
      <w:r w:rsidR="0050493F">
        <w:rPr>
          <w:rFonts w:asciiTheme="minorHAnsi" w:hAnsiTheme="minorHAnsi" w:cstheme="minorHAnsi"/>
          <w:sz w:val="20"/>
          <w:szCs w:val="20"/>
        </w:rPr>
        <w:t>m</w:t>
      </w:r>
      <w:r w:rsidRPr="0001743C">
        <w:rPr>
          <w:rFonts w:asciiTheme="minorHAnsi" w:hAnsiTheme="minorHAnsi" w:cstheme="minorHAnsi"/>
          <w:sz w:val="20"/>
          <w:szCs w:val="20"/>
        </w:rPr>
        <w:t>onitorovací systém MS2014+, projektové dokumentace staveb, oceněné výkazy výměr vybraných (vítězných) dodavatelů staveb</w:t>
      </w:r>
      <w:r w:rsidR="005A3091">
        <w:rPr>
          <w:rFonts w:asciiTheme="minorHAnsi" w:hAnsiTheme="minorHAnsi" w:cstheme="minorHAnsi"/>
          <w:sz w:val="20"/>
          <w:szCs w:val="20"/>
        </w:rPr>
        <w:t>;</w:t>
      </w:r>
      <w:r w:rsidRPr="0001743C">
        <w:rPr>
          <w:rFonts w:asciiTheme="minorHAnsi" w:hAnsiTheme="minorHAnsi" w:cstheme="minorHAnsi"/>
          <w:sz w:val="20"/>
          <w:szCs w:val="20"/>
        </w:rPr>
        <w:t xml:space="preserve"> výpočet</w:t>
      </w:r>
      <w:r w:rsidR="0050493F">
        <w:rPr>
          <w:rFonts w:asciiTheme="minorHAnsi" w:hAnsiTheme="minorHAnsi" w:cstheme="minorHAnsi"/>
          <w:sz w:val="20"/>
          <w:szCs w:val="20"/>
        </w:rPr>
        <w:t xml:space="preserve"> vypracoval</w:t>
      </w:r>
      <w:r w:rsidRPr="0001743C">
        <w:rPr>
          <w:rFonts w:asciiTheme="minorHAnsi" w:hAnsiTheme="minorHAnsi" w:cstheme="minorHAnsi"/>
          <w:sz w:val="20"/>
          <w:szCs w:val="20"/>
        </w:rPr>
        <w:t xml:space="preserve"> NKÚ.</w:t>
      </w:r>
    </w:p>
    <w:p w14:paraId="2041ADEB" w14:textId="39472869" w:rsidR="000E3B2E" w:rsidRPr="00FA6B63" w:rsidRDefault="000E3B2E" w:rsidP="003E008A">
      <w:pPr>
        <w:spacing w:after="120"/>
        <w:rPr>
          <w:rFonts w:asciiTheme="minorHAnsi" w:hAnsiTheme="minorHAnsi" w:cstheme="minorHAnsi"/>
        </w:rPr>
      </w:pPr>
      <w:r w:rsidRPr="00BB14B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ro porovnání byly vybrány </w:t>
      </w:r>
      <w:r w:rsidRPr="00BB14BE">
        <w:rPr>
          <w:rFonts w:asciiTheme="minorHAnsi" w:hAnsiTheme="minorHAnsi" w:cstheme="minorHAnsi"/>
        </w:rPr>
        <w:t>stavební objekty týkající se výstavby samotné tramvajové trati (tramvajového svršku a spodku)</w:t>
      </w:r>
      <w:r w:rsidR="0050493F">
        <w:rPr>
          <w:rFonts w:asciiTheme="minorHAnsi" w:hAnsiTheme="minorHAnsi" w:cstheme="minorHAnsi"/>
        </w:rPr>
        <w:t>;</w:t>
      </w:r>
      <w:r w:rsidRPr="00BB14BE">
        <w:rPr>
          <w:rFonts w:asciiTheme="minorHAnsi" w:hAnsiTheme="minorHAnsi" w:cstheme="minorHAnsi"/>
        </w:rPr>
        <w:t xml:space="preserve"> tyto objekty představují cca ⅓ celkových stavebních nákladů</w:t>
      </w:r>
      <w:r w:rsidRPr="00BB14BE">
        <w:rPr>
          <w:rStyle w:val="Znakapoznpodarou"/>
          <w:rFonts w:asciiTheme="minorHAnsi" w:hAnsiTheme="minorHAnsi" w:cstheme="minorHAnsi"/>
        </w:rPr>
        <w:footnoteReference w:id="15"/>
      </w:r>
      <w:r w:rsidRPr="00BB14BE">
        <w:rPr>
          <w:rFonts w:asciiTheme="minorHAnsi" w:hAnsiTheme="minorHAnsi" w:cstheme="minorHAnsi"/>
        </w:rPr>
        <w:t xml:space="preserve"> v tabulce uvedených staveb.</w:t>
      </w:r>
      <w:r>
        <w:rPr>
          <w:rFonts w:asciiTheme="minorHAnsi" w:hAnsiTheme="minorHAnsi" w:cstheme="minorHAnsi"/>
        </w:rPr>
        <w:t xml:space="preserve"> </w:t>
      </w:r>
      <w:r w:rsidRPr="00392E29">
        <w:rPr>
          <w:rFonts w:asciiTheme="minorHAnsi" w:hAnsiTheme="minorHAnsi" w:cstheme="minorHAnsi"/>
        </w:rPr>
        <w:t>Kontrolou byly zjištěny významné rozdíly,</w:t>
      </w:r>
      <w:r>
        <w:rPr>
          <w:rFonts w:asciiTheme="minorHAnsi" w:hAnsiTheme="minorHAnsi" w:cstheme="minorHAnsi"/>
        </w:rPr>
        <w:t xml:space="preserve"> které ale byly </w:t>
      </w:r>
      <w:r w:rsidRPr="00FA6B63">
        <w:rPr>
          <w:rFonts w:asciiTheme="minorHAnsi" w:hAnsiTheme="minorHAnsi" w:cstheme="minorHAnsi"/>
        </w:rPr>
        <w:t xml:space="preserve">odůvodněné, protože se lišily podle míry složitosti stavby a množství prováděných prací. Např. </w:t>
      </w:r>
      <w:r w:rsidR="0050493F">
        <w:rPr>
          <w:rFonts w:asciiTheme="minorHAnsi" w:hAnsiTheme="minorHAnsi" w:cstheme="minorHAnsi"/>
        </w:rPr>
        <w:t>n</w:t>
      </w:r>
      <w:r w:rsidRPr="00FA6B63">
        <w:rPr>
          <w:rFonts w:asciiTheme="minorHAnsi" w:hAnsiTheme="minorHAnsi" w:cstheme="minorHAnsi"/>
        </w:rPr>
        <w:t>áklady na novostavbu stavebních objektů tramvajové trati činily cca 94 mil. Kč bez DPH na 1</w:t>
      </w:r>
      <w:r w:rsidR="00313916">
        <w:rPr>
          <w:rFonts w:asciiTheme="minorHAnsi" w:hAnsiTheme="minorHAnsi" w:cstheme="minorHAnsi"/>
        </w:rPr>
        <w:t> </w:t>
      </w:r>
      <w:r w:rsidRPr="00FA6B63">
        <w:rPr>
          <w:rFonts w:asciiTheme="minorHAnsi" w:hAnsiTheme="minorHAnsi" w:cstheme="minorHAnsi"/>
        </w:rPr>
        <w:t>km trati (projekty č. 1 a 2 v tabulce). Náklady projektu č. 3, které činily cca 122</w:t>
      </w:r>
      <w:r w:rsidR="0050493F">
        <w:rPr>
          <w:rFonts w:asciiTheme="minorHAnsi" w:hAnsiTheme="minorHAnsi" w:cstheme="minorHAnsi"/>
        </w:rPr>
        <w:t> </w:t>
      </w:r>
      <w:r w:rsidRPr="00FA6B63">
        <w:rPr>
          <w:rFonts w:asciiTheme="minorHAnsi" w:hAnsiTheme="minorHAnsi" w:cstheme="minorHAnsi"/>
        </w:rPr>
        <w:t>mil.</w:t>
      </w:r>
      <w:r w:rsidR="0050493F">
        <w:rPr>
          <w:rFonts w:asciiTheme="minorHAnsi" w:hAnsiTheme="minorHAnsi" w:cstheme="minorHAnsi"/>
        </w:rPr>
        <w:t> </w:t>
      </w:r>
      <w:r w:rsidRPr="00FA6B63">
        <w:rPr>
          <w:rFonts w:asciiTheme="minorHAnsi" w:hAnsiTheme="minorHAnsi" w:cstheme="minorHAnsi"/>
        </w:rPr>
        <w:t>Kč bez DPH</w:t>
      </w:r>
      <w:r>
        <w:rPr>
          <w:rFonts w:asciiTheme="minorHAnsi" w:hAnsiTheme="minorHAnsi" w:cstheme="minorHAnsi"/>
        </w:rPr>
        <w:t>,</w:t>
      </w:r>
      <w:r w:rsidRPr="00FA6B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odpovídaly složitosti</w:t>
      </w:r>
      <w:r w:rsidRPr="00FA6B63">
        <w:rPr>
          <w:rFonts w:asciiTheme="minorHAnsi" w:hAnsiTheme="minorHAnsi" w:cstheme="minorHAnsi"/>
        </w:rPr>
        <w:t xml:space="preserve"> této stavby</w:t>
      </w:r>
      <w:r w:rsidR="005A3091">
        <w:rPr>
          <w:rFonts w:asciiTheme="minorHAnsi" w:hAnsiTheme="minorHAnsi" w:cstheme="minorHAnsi"/>
        </w:rPr>
        <w:t>:</w:t>
      </w:r>
      <w:r w:rsidRPr="00FA6B63">
        <w:rPr>
          <w:rFonts w:asciiTheme="minorHAnsi" w:hAnsiTheme="minorHAnsi" w:cstheme="minorHAnsi"/>
        </w:rPr>
        <w:t xml:space="preserve"> součástí stavebního objektu tramvajové trati je několik výhybek, kolejových křížení a také čtyři odstavné koleje. Náklady na modernizaci stavebních objektů tramvajové trati činily cca 65 mil. Kč bez DPH na 1 km trati (projekty č. 4 a 5). Náklady na rekonstrukci stavebního objektu tramvajová trať činily cca 33 mil. Kč bez DPH na 1 km trati (projekt </w:t>
      </w:r>
      <w:r w:rsidR="0050493F">
        <w:rPr>
          <w:rFonts w:asciiTheme="minorHAnsi" w:hAnsiTheme="minorHAnsi" w:cstheme="minorHAnsi"/>
        </w:rPr>
        <w:t>s </w:t>
      </w:r>
      <w:r w:rsidRPr="00FA6B63">
        <w:rPr>
          <w:rFonts w:asciiTheme="minorHAnsi" w:hAnsiTheme="minorHAnsi" w:cstheme="minorHAnsi"/>
        </w:rPr>
        <w:t>poř</w:t>
      </w:r>
      <w:r w:rsidR="005A3091">
        <w:rPr>
          <w:rFonts w:asciiTheme="minorHAnsi" w:hAnsiTheme="minorHAnsi" w:cstheme="minorHAnsi"/>
        </w:rPr>
        <w:t>adovým</w:t>
      </w:r>
      <w:r w:rsidRPr="00FA6B63">
        <w:rPr>
          <w:rFonts w:asciiTheme="minorHAnsi" w:hAnsiTheme="minorHAnsi" w:cstheme="minorHAnsi"/>
        </w:rPr>
        <w:t xml:space="preserve"> č. 6)</w:t>
      </w:r>
      <w:r w:rsidR="0050493F">
        <w:rPr>
          <w:rFonts w:asciiTheme="minorHAnsi" w:hAnsiTheme="minorHAnsi" w:cstheme="minorHAnsi"/>
        </w:rPr>
        <w:t>;</w:t>
      </w:r>
      <w:r w:rsidRPr="00FA6B63">
        <w:rPr>
          <w:rFonts w:asciiTheme="minorHAnsi" w:hAnsiTheme="minorHAnsi" w:cstheme="minorHAnsi"/>
        </w:rPr>
        <w:t xml:space="preserve"> nízké náklady tohoto projektu vyplývají z menšího množství prováděných prací oproti modernizaci, např. nebyly prováděny téměř žádné práce</w:t>
      </w:r>
      <w:r w:rsidRPr="00FA6B63">
        <w:rPr>
          <w:rStyle w:val="Znakapoznpodarou"/>
          <w:rFonts w:asciiTheme="minorHAnsi" w:hAnsiTheme="minorHAnsi" w:cstheme="minorHAnsi"/>
        </w:rPr>
        <w:footnoteReference w:id="16"/>
      </w:r>
      <w:r w:rsidRPr="00FA6B63">
        <w:rPr>
          <w:rFonts w:asciiTheme="minorHAnsi" w:hAnsiTheme="minorHAnsi" w:cstheme="minorHAnsi"/>
        </w:rPr>
        <w:t xml:space="preserve"> na tramvajovém spodku.</w:t>
      </w:r>
    </w:p>
    <w:p w14:paraId="12B9CDF7" w14:textId="77777777" w:rsidR="000E3B2E" w:rsidRDefault="000E3B2E" w:rsidP="0001743C">
      <w:pPr>
        <w:keepNext/>
        <w:spacing w:after="120"/>
        <w:jc w:val="left"/>
        <w:rPr>
          <w:b/>
        </w:rPr>
      </w:pPr>
      <w:r>
        <w:rPr>
          <w:b/>
        </w:rPr>
        <w:t>Kontrolované projekty byly v souladu s koncepcí</w:t>
      </w:r>
      <w:r w:rsidRPr="00013E20">
        <w:rPr>
          <w:b/>
        </w:rPr>
        <w:t xml:space="preserve"> dopravy</w:t>
      </w:r>
      <w:r>
        <w:rPr>
          <w:b/>
        </w:rPr>
        <w:t xml:space="preserve"> měst</w:t>
      </w:r>
    </w:p>
    <w:p w14:paraId="7D1F3C0B" w14:textId="16A10466" w:rsidR="000E3B2E" w:rsidRDefault="000E3B2E" w:rsidP="003E008A">
      <w:pPr>
        <w:spacing w:after="120"/>
      </w:pPr>
      <w:r w:rsidRPr="0092643B">
        <w:t>Kontrolou jednotlivých projektů NKÚ ověřoval z pohledu účelnosti, zda jsou v souladu s městskou koncepcí dopravy a zda je zajištěna koordinace s ostatními projekty rozvoje navazující infrastruktury. Oblast infrastruktury MHD v elektrické trakci patří do vlastnictví obcí</w:t>
      </w:r>
      <w:r w:rsidR="0050493F">
        <w:t>,</w:t>
      </w:r>
      <w:r w:rsidRPr="0092643B">
        <w:t xml:space="preserve"> případně akciových společností, jejichž výlučným akcionářem je město. Proto </w:t>
      </w:r>
      <w:r w:rsidR="0050493F" w:rsidRPr="002D47BA">
        <w:t xml:space="preserve">musí být </w:t>
      </w:r>
      <w:r w:rsidRPr="0092643B">
        <w:t>příslušné</w:t>
      </w:r>
      <w:r w:rsidRPr="002D47BA">
        <w:t xml:space="preserve"> koncepce schváleny</w:t>
      </w:r>
      <w:r w:rsidRPr="005E5045">
        <w:t xml:space="preserve"> zastupitelstvy jednotlivých měst. Těmito koncepcemi jsou plán</w:t>
      </w:r>
      <w:r>
        <w:t>y udržitelné městské mobility (</w:t>
      </w:r>
      <w:r w:rsidRPr="005E5045">
        <w:t xml:space="preserve">dále také „SUMP“) nebo </w:t>
      </w:r>
      <w:r>
        <w:t xml:space="preserve">strategické </w:t>
      </w:r>
      <w:r w:rsidRPr="005E5045">
        <w:t>rámc</w:t>
      </w:r>
      <w:r>
        <w:t>e udržitelné městské mobility (</w:t>
      </w:r>
      <w:r w:rsidRPr="005E5045">
        <w:t xml:space="preserve">dále také „SUMF“). </w:t>
      </w:r>
    </w:p>
    <w:p w14:paraId="324F5E7E" w14:textId="3EDFA2E0" w:rsidR="000E3B2E" w:rsidRDefault="000E3B2E" w:rsidP="003E008A">
      <w:pPr>
        <w:spacing w:after="120"/>
      </w:pPr>
      <w:r w:rsidRPr="005E5045">
        <w:t>SUMF jsou zjednodušené plány zaměřené zejména na oblast MHD a další projekty financované z</w:t>
      </w:r>
      <w:r>
        <w:t> </w:t>
      </w:r>
      <w:r w:rsidRPr="005E5045">
        <w:t>OPD</w:t>
      </w:r>
      <w:r>
        <w:t xml:space="preserve"> II</w:t>
      </w:r>
      <w:r w:rsidRPr="005E5045">
        <w:t xml:space="preserve"> a případně</w:t>
      </w:r>
      <w:r w:rsidRPr="004C6A06">
        <w:t xml:space="preserve"> </w:t>
      </w:r>
      <w:r w:rsidRPr="005E5045">
        <w:t>IROP. SUMF je ve své podstatě prvním krokem k dokončení SUMP. Zjednodušený SUMF byl městům umožněn proto, že zpracování SUMP vyžaduje několikaletý proces a v rámci současného programovacího období by pak na tento požadavek některá města nestačila včas zareagovat. SUMP nebo SUMF musí obsahovat právě tyto projekty, které jsou financov</w:t>
      </w:r>
      <w:r w:rsidR="0050493F">
        <w:t>ány</w:t>
      </w:r>
      <w:r w:rsidRPr="005E5045">
        <w:t xml:space="preserve"> z OPD </w:t>
      </w:r>
      <w:r>
        <w:t xml:space="preserve">II </w:t>
      </w:r>
      <w:r w:rsidRPr="005E5045">
        <w:t xml:space="preserve">a IROP. Na MD je zřízena </w:t>
      </w:r>
      <w:r w:rsidR="0050493F">
        <w:t>k</w:t>
      </w:r>
      <w:r w:rsidRPr="005E5045">
        <w:t xml:space="preserve">omise pro posuzování dokumentů městské </w:t>
      </w:r>
      <w:r w:rsidRPr="005E5045">
        <w:lastRenderedPageBreak/>
        <w:t>mobility</w:t>
      </w:r>
      <w:r>
        <w:t>,</w:t>
      </w:r>
      <w:r w:rsidRPr="005E5045">
        <w:t xml:space="preserve"> která posuzuje, zda schválený dokument města vyhovuje jako podklad pro f</w:t>
      </w:r>
      <w:r>
        <w:t>inancování projektů z OPD II. Kontrolou NKÚ bylo zjištěno, že kontrolované projekty byly v souladu s danou městskou koncepcí dopravy. Kontrola</w:t>
      </w:r>
      <w:r w:rsidRPr="00C50F66">
        <w:t xml:space="preserve"> </w:t>
      </w:r>
      <w:r>
        <w:t>NKÚ dále zjistila</w:t>
      </w:r>
      <w:r w:rsidRPr="00C50F66">
        <w:t>, že u kontrolovaných projektů byla rovněž zajištěna koordinace s ostatními projekty rozvoje navazující infrastruktury.</w:t>
      </w:r>
    </w:p>
    <w:p w14:paraId="29E8E237" w14:textId="07AB540B" w:rsidR="002D7CA5" w:rsidRDefault="002D7CA5" w:rsidP="0001743C">
      <w:pPr>
        <w:keepNext/>
        <w:spacing w:after="120"/>
        <w:jc w:val="left"/>
        <w:rPr>
          <w:b/>
          <w:bCs/>
          <w:sz w:val="22"/>
          <w:szCs w:val="22"/>
        </w:rPr>
      </w:pPr>
      <w:r>
        <w:rPr>
          <w:b/>
          <w:bCs/>
        </w:rPr>
        <w:t>Kontrola připravenosti projektů včetně zpra</w:t>
      </w:r>
      <w:r w:rsidR="0050493F">
        <w:rPr>
          <w:b/>
          <w:bCs/>
        </w:rPr>
        <w:t>cování projektové dokumentace u </w:t>
      </w:r>
      <w:r>
        <w:rPr>
          <w:b/>
          <w:bCs/>
        </w:rPr>
        <w:t>12</w:t>
      </w:r>
      <w:r w:rsidR="0050493F">
        <w:rPr>
          <w:b/>
          <w:bCs/>
        </w:rPr>
        <w:t> </w:t>
      </w:r>
      <w:r>
        <w:rPr>
          <w:b/>
          <w:bCs/>
        </w:rPr>
        <w:t>kontrolovaných projektů</w:t>
      </w:r>
    </w:p>
    <w:p w14:paraId="663B14AC" w14:textId="77777777" w:rsidR="002D7CA5" w:rsidRDefault="002D7CA5" w:rsidP="003E008A">
      <w:pPr>
        <w:spacing w:after="120"/>
      </w:pPr>
      <w:r>
        <w:t>Kontrolou bylo ověřeno a zjištěno, že stavby byly řádně připraveny po stránce stavebních povolení a po stránce majetkoprávního vypořádání.</w:t>
      </w:r>
    </w:p>
    <w:p w14:paraId="0394E946" w14:textId="0CD43EB6" w:rsidR="002D7CA5" w:rsidRDefault="002D7CA5" w:rsidP="003E008A">
      <w:pPr>
        <w:spacing w:after="120"/>
      </w:pPr>
      <w:r>
        <w:t>Dále bylo kontrolou ověřeno, zda byly projektové dokumentace k projektům zpracovány tak, aby byly minimalizovány změny během výstavby, včetně jejich</w:t>
      </w:r>
      <w:r w:rsidR="006F0ECA">
        <w:t xml:space="preserve"> dopadů na termíny realizace. V </w:t>
      </w:r>
      <w:r>
        <w:t xml:space="preserve">projektových dokumentacích jednotlivých kontrolovaných projektů nebyly kontrolou NKÚ zjištěny nedostatky, které by měly za následek navýšení celkové ceny za vyhotovení předmětného díla či prodloužení doby jeho realizace. </w:t>
      </w:r>
    </w:p>
    <w:p w14:paraId="02C5CD4B" w14:textId="77777777" w:rsidR="00A94406" w:rsidRPr="00392E29" w:rsidRDefault="00454C17" w:rsidP="0001743C">
      <w:pPr>
        <w:keepNext/>
        <w:spacing w:after="12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4F7021" w:rsidRPr="00392E29">
        <w:rPr>
          <w:rFonts w:asciiTheme="minorHAnsi" w:hAnsiTheme="minorHAnsi" w:cstheme="minorHAnsi"/>
          <w:b/>
        </w:rPr>
        <w:t>ontrolní činnos</w:t>
      </w:r>
      <w:r>
        <w:rPr>
          <w:rFonts w:asciiTheme="minorHAnsi" w:hAnsiTheme="minorHAnsi" w:cstheme="minorHAnsi"/>
          <w:b/>
        </w:rPr>
        <w:t>ti MD</w:t>
      </w:r>
    </w:p>
    <w:p w14:paraId="796165D3" w14:textId="45769493" w:rsidR="00803EA5" w:rsidRDefault="004F7021" w:rsidP="003E008A">
      <w:pPr>
        <w:spacing w:after="120"/>
        <w:rPr>
          <w:rFonts w:asciiTheme="minorHAnsi" w:hAnsiTheme="minorHAnsi" w:cstheme="minorHAnsi"/>
        </w:rPr>
      </w:pPr>
      <w:r w:rsidRPr="00392E29">
        <w:rPr>
          <w:rFonts w:asciiTheme="minorHAnsi" w:hAnsiTheme="minorHAnsi" w:cstheme="minorHAnsi"/>
        </w:rPr>
        <w:t>Kontrolou bylo ověřováno, zda MD provádí kontrolu zadávání</w:t>
      </w:r>
      <w:r w:rsidR="006F0ECA">
        <w:rPr>
          <w:rFonts w:asciiTheme="minorHAnsi" w:hAnsiTheme="minorHAnsi" w:cstheme="minorHAnsi"/>
        </w:rPr>
        <w:t xml:space="preserve"> zakázek po vydání rozhodnutí o </w:t>
      </w:r>
      <w:r w:rsidRPr="00392E29">
        <w:rPr>
          <w:rFonts w:asciiTheme="minorHAnsi" w:hAnsiTheme="minorHAnsi" w:cstheme="minorHAnsi"/>
        </w:rPr>
        <w:t>přidělení dotace před proplacením závěrečné žádosti o platbu</w:t>
      </w:r>
      <w:r w:rsidR="00BA561B">
        <w:rPr>
          <w:rFonts w:asciiTheme="minorHAnsi" w:hAnsiTheme="minorHAnsi" w:cstheme="minorHAnsi"/>
        </w:rPr>
        <w:t xml:space="preserve"> a</w:t>
      </w:r>
      <w:r w:rsidR="00DD6FE8">
        <w:rPr>
          <w:rFonts w:asciiTheme="minorHAnsi" w:hAnsiTheme="minorHAnsi" w:cstheme="minorHAnsi"/>
        </w:rPr>
        <w:t> zda</w:t>
      </w:r>
      <w:r w:rsidR="00BA561B">
        <w:rPr>
          <w:rFonts w:asciiTheme="minorHAnsi" w:hAnsiTheme="minorHAnsi" w:cstheme="minorHAnsi"/>
        </w:rPr>
        <w:t xml:space="preserve"> provádí kontrolu na místě.</w:t>
      </w:r>
      <w:r w:rsidRPr="00392E29">
        <w:rPr>
          <w:rFonts w:asciiTheme="minorHAnsi" w:hAnsiTheme="minorHAnsi" w:cstheme="minorHAnsi"/>
        </w:rPr>
        <w:t xml:space="preserve"> </w:t>
      </w:r>
      <w:r w:rsidR="00534B75" w:rsidRPr="00392E29">
        <w:rPr>
          <w:rFonts w:asciiTheme="minorHAnsi" w:hAnsiTheme="minorHAnsi" w:cstheme="minorHAnsi"/>
        </w:rPr>
        <w:t xml:space="preserve">Dále bylo kontrole podrobeno, zda má MD zpracován plán kontrol a zda ho průběžně aktualizuje. </w:t>
      </w:r>
    </w:p>
    <w:p w14:paraId="288C369C" w14:textId="425710FB" w:rsidR="004F7021" w:rsidRPr="004F7021" w:rsidRDefault="00DD6FE8" w:rsidP="003E008A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03EA5" w:rsidRPr="003511C0">
        <w:rPr>
          <w:rFonts w:asciiTheme="minorHAnsi" w:hAnsiTheme="minorHAnsi" w:cstheme="minorHAnsi"/>
        </w:rPr>
        <w:t xml:space="preserve"> 12 kontrolovaných projektů </w:t>
      </w:r>
      <w:r>
        <w:rPr>
          <w:rFonts w:asciiTheme="minorHAnsi" w:hAnsiTheme="minorHAnsi" w:cstheme="minorHAnsi"/>
        </w:rPr>
        <w:t xml:space="preserve">provedlo MD </w:t>
      </w:r>
      <w:r w:rsidR="00803EA5" w:rsidRPr="003511C0">
        <w:rPr>
          <w:rFonts w:asciiTheme="minorHAnsi" w:hAnsiTheme="minorHAnsi" w:cstheme="minorHAnsi"/>
        </w:rPr>
        <w:t>kontrolu zadávání zakázek u</w:t>
      </w:r>
      <w:r>
        <w:rPr>
          <w:rFonts w:asciiTheme="minorHAnsi" w:hAnsiTheme="minorHAnsi" w:cstheme="minorHAnsi"/>
        </w:rPr>
        <w:t xml:space="preserve"> devíti </w:t>
      </w:r>
      <w:r w:rsidR="00803EA5" w:rsidRPr="003511C0">
        <w:rPr>
          <w:rFonts w:asciiTheme="minorHAnsi" w:hAnsiTheme="minorHAnsi" w:cstheme="minorHAnsi"/>
        </w:rPr>
        <w:t>projektů v celkovém objemu CZV 2 490,7</w:t>
      </w:r>
      <w:r w:rsidR="009B1202" w:rsidRPr="003511C0">
        <w:rPr>
          <w:rFonts w:asciiTheme="minorHAnsi" w:hAnsiTheme="minorHAnsi" w:cstheme="minorHAnsi"/>
        </w:rPr>
        <w:t>46</w:t>
      </w:r>
      <w:r w:rsidR="00803EA5" w:rsidRPr="003511C0">
        <w:rPr>
          <w:rFonts w:asciiTheme="minorHAnsi" w:hAnsiTheme="minorHAnsi" w:cstheme="minorHAnsi"/>
        </w:rPr>
        <w:t xml:space="preserve"> mil. Kč.</w:t>
      </w:r>
      <w:r w:rsidR="00A10F9E" w:rsidRPr="003511C0">
        <w:rPr>
          <w:rFonts w:asciiTheme="minorHAnsi" w:hAnsiTheme="minorHAnsi" w:cstheme="minorHAnsi"/>
        </w:rPr>
        <w:t xml:space="preserve"> MD rovněž provedlo v kontrolovaném období </w:t>
      </w:r>
      <w:r>
        <w:rPr>
          <w:rFonts w:asciiTheme="minorHAnsi" w:hAnsiTheme="minorHAnsi" w:cstheme="minorHAnsi"/>
        </w:rPr>
        <w:t>dvě</w:t>
      </w:r>
      <w:r w:rsidR="00A10F9E" w:rsidRPr="003511C0">
        <w:rPr>
          <w:rFonts w:asciiTheme="minorHAnsi" w:hAnsiTheme="minorHAnsi" w:cstheme="minorHAnsi"/>
        </w:rPr>
        <w:t xml:space="preserve"> kontroly delegovaných činností u Z</w:t>
      </w:r>
      <w:r w:rsidR="004D2201" w:rsidRPr="003511C0">
        <w:rPr>
          <w:rFonts w:asciiTheme="minorHAnsi" w:hAnsiTheme="minorHAnsi" w:cstheme="minorHAnsi"/>
        </w:rPr>
        <w:t>S</w:t>
      </w:r>
      <w:r w:rsidR="00A10F9E" w:rsidRPr="003511C0">
        <w:rPr>
          <w:rFonts w:asciiTheme="minorHAnsi" w:hAnsiTheme="minorHAnsi" w:cstheme="minorHAnsi"/>
        </w:rPr>
        <w:t xml:space="preserve">. </w:t>
      </w:r>
      <w:r w:rsidR="00534B75" w:rsidRPr="003511C0">
        <w:rPr>
          <w:rFonts w:asciiTheme="minorHAnsi" w:hAnsiTheme="minorHAnsi" w:cstheme="minorHAnsi"/>
        </w:rPr>
        <w:t>Kontrolou nebyly zjištěny nedostatky.</w:t>
      </w:r>
    </w:p>
    <w:p w14:paraId="2617B8E5" w14:textId="77777777" w:rsidR="002D4046" w:rsidRPr="00392E29" w:rsidRDefault="002D4046" w:rsidP="0001743C">
      <w:pPr>
        <w:keepNext/>
        <w:spacing w:after="120"/>
        <w:jc w:val="left"/>
        <w:rPr>
          <w:rFonts w:asciiTheme="minorHAnsi" w:hAnsiTheme="minorHAnsi" w:cstheme="minorHAnsi"/>
          <w:b/>
        </w:rPr>
      </w:pPr>
      <w:r w:rsidRPr="00392E29">
        <w:rPr>
          <w:rFonts w:asciiTheme="minorHAnsi" w:hAnsiTheme="minorHAnsi" w:cstheme="minorHAnsi"/>
          <w:b/>
        </w:rPr>
        <w:t>Způsobilost výdajů a podmínka publicity projektů</w:t>
      </w:r>
    </w:p>
    <w:p w14:paraId="771CE1D6" w14:textId="4B12DD51" w:rsidR="002D4046" w:rsidRDefault="00AE4574" w:rsidP="003E008A">
      <w:pPr>
        <w:pStyle w:val="KP-normlntext"/>
        <w:rPr>
          <w:b/>
        </w:rPr>
      </w:pPr>
      <w:r>
        <w:rPr>
          <w:color w:val="auto"/>
        </w:rPr>
        <w:t>Kontrola NKÚ ověřila, že z</w:t>
      </w:r>
      <w:r w:rsidR="002D4046" w:rsidRPr="00392E29">
        <w:rPr>
          <w:color w:val="auto"/>
        </w:rPr>
        <w:t>působilé výdaje kontrolovaných pr</w:t>
      </w:r>
      <w:r w:rsidR="00E158EA">
        <w:rPr>
          <w:color w:val="auto"/>
        </w:rPr>
        <w:t>ojektů vykázané v žádostech o </w:t>
      </w:r>
      <w:r w:rsidR="002D4046" w:rsidRPr="00392E29">
        <w:rPr>
          <w:color w:val="auto"/>
        </w:rPr>
        <w:t>platbu byly věcně, časově a místně způsobilé. Výdaje zařazené do způsobilých výdajů splňovaly hlediska způsobilosti a byly řádně identifikovatelné, prokazatelné a doložitelné. D</w:t>
      </w:r>
      <w:r w:rsidR="00AB247E">
        <w:rPr>
          <w:color w:val="auto"/>
        </w:rPr>
        <w:t>á</w:t>
      </w:r>
      <w:r w:rsidR="002D4046" w:rsidRPr="00392E29">
        <w:rPr>
          <w:color w:val="auto"/>
        </w:rPr>
        <w:t>le bylo kontrolou zjištěno, že u kontrolovaných projektů byla zajištěna</w:t>
      </w:r>
      <w:r w:rsidR="00281A18" w:rsidRPr="00392E29">
        <w:rPr>
          <w:color w:val="auto"/>
        </w:rPr>
        <w:t xml:space="preserve"> publicita</w:t>
      </w:r>
      <w:r w:rsidR="00E158EA">
        <w:rPr>
          <w:color w:val="auto"/>
        </w:rPr>
        <w:t xml:space="preserve"> projektu v </w:t>
      </w:r>
      <w:r w:rsidR="002D4046" w:rsidRPr="00392E29">
        <w:rPr>
          <w:color w:val="auto"/>
        </w:rPr>
        <w:t xml:space="preserve">souladu se závaznými </w:t>
      </w:r>
      <w:r w:rsidR="00DD6FE8">
        <w:rPr>
          <w:color w:val="auto"/>
        </w:rPr>
        <w:t>p</w:t>
      </w:r>
      <w:r w:rsidR="002D4046" w:rsidRPr="00392E29">
        <w:rPr>
          <w:color w:val="auto"/>
        </w:rPr>
        <w:t>ravidly pro publicitu.</w:t>
      </w:r>
    </w:p>
    <w:p w14:paraId="2A10B4DF" w14:textId="77777777" w:rsidR="002D4046" w:rsidRDefault="002D4046" w:rsidP="00CD0F8F">
      <w:pPr>
        <w:rPr>
          <w:rFonts w:asciiTheme="minorHAnsi" w:hAnsiTheme="minorHAnsi" w:cstheme="minorHAnsi"/>
          <w:b/>
        </w:rPr>
      </w:pPr>
    </w:p>
    <w:p w14:paraId="5DF798AA" w14:textId="77777777" w:rsidR="00ED2DF2" w:rsidRDefault="00ED2DF2" w:rsidP="00CD0F8F">
      <w:pPr>
        <w:rPr>
          <w:rFonts w:asciiTheme="minorHAnsi" w:hAnsiTheme="minorHAnsi" w:cstheme="minorHAnsi"/>
          <w:b/>
        </w:rPr>
      </w:pPr>
    </w:p>
    <w:p w14:paraId="7EA8A0CC" w14:textId="77777777" w:rsidR="001E1428" w:rsidRPr="001E1428" w:rsidRDefault="001E1428" w:rsidP="00306DC5">
      <w:pPr>
        <w:keepNext/>
        <w:ind w:left="2268" w:hanging="2268"/>
        <w:rPr>
          <w:rFonts w:asciiTheme="minorHAnsi" w:hAnsiTheme="minorHAnsi" w:cstheme="minorHAnsi"/>
          <w:b/>
        </w:rPr>
      </w:pPr>
      <w:r w:rsidRPr="001E1428">
        <w:rPr>
          <w:rFonts w:asciiTheme="minorHAnsi" w:hAnsiTheme="minorHAnsi" w:cstheme="minorHAnsi"/>
          <w:b/>
        </w:rPr>
        <w:lastRenderedPageBreak/>
        <w:t>Seznam zkratek</w:t>
      </w:r>
    </w:p>
    <w:p w14:paraId="262DB9A8" w14:textId="77777777" w:rsidR="00767EE5" w:rsidRPr="00E061B1" w:rsidRDefault="00767EE5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CZV</w:t>
      </w:r>
      <w:r>
        <w:rPr>
          <w:rFonts w:asciiTheme="minorHAnsi" w:hAnsiTheme="minorHAnsi" w:cstheme="minorHAnsi"/>
        </w:rPr>
        <w:tab/>
        <w:t>celkové způsobilé výdaje</w:t>
      </w:r>
    </w:p>
    <w:p w14:paraId="6C86EA1D" w14:textId="226B8243" w:rsidR="000A3B75" w:rsidRDefault="000A3B75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>Česká republika</w:t>
      </w:r>
    </w:p>
    <w:p w14:paraId="630A99DC" w14:textId="5E0C1569" w:rsidR="000A3B75" w:rsidRDefault="000A3B75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DPH</w:t>
      </w:r>
      <w:r>
        <w:rPr>
          <w:rFonts w:asciiTheme="minorHAnsi" w:hAnsiTheme="minorHAnsi" w:cstheme="minorHAnsi"/>
        </w:rPr>
        <w:tab/>
        <w:t>daň z přidané hodnoty</w:t>
      </w:r>
    </w:p>
    <w:p w14:paraId="43382C23" w14:textId="06EF0388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ESI </w:t>
      </w:r>
      <w:r w:rsidR="000A3B75">
        <w:rPr>
          <w:rFonts w:asciiTheme="minorHAnsi" w:hAnsiTheme="minorHAnsi" w:cstheme="minorHAnsi"/>
        </w:rPr>
        <w:t>fondy</w:t>
      </w:r>
      <w:r w:rsidR="00FD43BB">
        <w:rPr>
          <w:rFonts w:asciiTheme="minorHAnsi" w:hAnsiTheme="minorHAnsi" w:cstheme="minorHAnsi"/>
        </w:rPr>
        <w:tab/>
      </w:r>
      <w:r w:rsidR="00DD6FE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vropské strukturální a investiční fondy </w:t>
      </w:r>
    </w:p>
    <w:p w14:paraId="5D0206D7" w14:textId="3874429E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Evropská </w:t>
      </w:r>
      <w:r w:rsidR="00DD6FE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nie </w:t>
      </w:r>
    </w:p>
    <w:p w14:paraId="31CD54ED" w14:textId="7777777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IROP </w:t>
      </w:r>
      <w:r w:rsidR="00FD43BB">
        <w:rPr>
          <w:rFonts w:asciiTheme="minorHAnsi" w:hAnsiTheme="minorHAnsi" w:cstheme="minorHAnsi"/>
        </w:rPr>
        <w:tab/>
      </w:r>
      <w:r w:rsidRPr="000F4FF5">
        <w:rPr>
          <w:rFonts w:asciiTheme="minorHAnsi" w:hAnsiTheme="minorHAnsi" w:cstheme="minorHAnsi"/>
          <w:i/>
        </w:rPr>
        <w:t>Integrovaný regionální operační program</w:t>
      </w:r>
      <w:r>
        <w:rPr>
          <w:rFonts w:asciiTheme="minorHAnsi" w:hAnsiTheme="minorHAnsi" w:cstheme="minorHAnsi"/>
        </w:rPr>
        <w:t xml:space="preserve"> </w:t>
      </w:r>
    </w:p>
    <w:p w14:paraId="2D3FD460" w14:textId="77777777" w:rsidR="00B1114C" w:rsidRDefault="00FD43BB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ISKP14+ </w:t>
      </w:r>
      <w:r>
        <w:rPr>
          <w:rFonts w:asciiTheme="minorHAnsi" w:hAnsiTheme="minorHAnsi" w:cstheme="minorHAnsi"/>
        </w:rPr>
        <w:tab/>
      </w:r>
      <w:r w:rsidR="00B1114C">
        <w:rPr>
          <w:rFonts w:asciiTheme="minorHAnsi" w:hAnsiTheme="minorHAnsi" w:cstheme="minorHAnsi"/>
        </w:rPr>
        <w:t xml:space="preserve">informační systém koncového příjemce </w:t>
      </w:r>
    </w:p>
    <w:p w14:paraId="04C33D45" w14:textId="7777777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MD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Ministerstvo dopravy </w:t>
      </w:r>
    </w:p>
    <w:p w14:paraId="5112441A" w14:textId="49F22D9D" w:rsidR="007656AB" w:rsidRDefault="007656AB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 w:rsidRPr="003511C0">
        <w:rPr>
          <w:rFonts w:asciiTheme="minorHAnsi" w:hAnsiTheme="minorHAnsi" w:cstheme="minorHAnsi"/>
        </w:rPr>
        <w:t>MS2014+</w:t>
      </w:r>
      <w:r w:rsidR="001D1C43">
        <w:rPr>
          <w:rFonts w:asciiTheme="minorHAnsi" w:hAnsiTheme="minorHAnsi" w:cstheme="minorHAnsi"/>
        </w:rPr>
        <w:t xml:space="preserve">  </w:t>
      </w:r>
      <w:r w:rsidR="001D1C43">
        <w:rPr>
          <w:rFonts w:asciiTheme="minorHAnsi" w:hAnsiTheme="minorHAnsi" w:cstheme="minorHAnsi"/>
        </w:rPr>
        <w:tab/>
      </w:r>
      <w:r w:rsidR="008114FB">
        <w:rPr>
          <w:rFonts w:asciiTheme="minorHAnsi" w:hAnsiTheme="minorHAnsi" w:cstheme="minorHAnsi"/>
        </w:rPr>
        <w:t>m</w:t>
      </w:r>
      <w:r w:rsidR="00BF70AB" w:rsidRPr="008114FB">
        <w:rPr>
          <w:rFonts w:asciiTheme="minorHAnsi" w:hAnsiTheme="minorHAnsi" w:cstheme="minorHAnsi"/>
        </w:rPr>
        <w:t>onitorovací systém evropských strukturálních a investičních fondů pro</w:t>
      </w:r>
      <w:r w:rsidR="001D1C43" w:rsidRPr="008114FB">
        <w:rPr>
          <w:rFonts w:asciiTheme="minorHAnsi" w:hAnsiTheme="minorHAnsi" w:cstheme="minorHAnsi"/>
        </w:rPr>
        <w:t xml:space="preserve"> programové období 2014–</w:t>
      </w:r>
      <w:r w:rsidR="00BF70AB" w:rsidRPr="008114FB">
        <w:rPr>
          <w:rFonts w:asciiTheme="minorHAnsi" w:hAnsiTheme="minorHAnsi" w:cstheme="minorHAnsi"/>
        </w:rPr>
        <w:t>2020</w:t>
      </w:r>
    </w:p>
    <w:p w14:paraId="44CB7096" w14:textId="77777777" w:rsidR="00B1114C" w:rsidRDefault="00FD43BB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</w:t>
      </w:r>
      <w:r>
        <w:rPr>
          <w:rFonts w:asciiTheme="minorHAnsi" w:hAnsiTheme="minorHAnsi" w:cstheme="minorHAnsi"/>
        </w:rPr>
        <w:tab/>
      </w:r>
      <w:r w:rsidR="00B1114C">
        <w:rPr>
          <w:rFonts w:asciiTheme="minorHAnsi" w:hAnsiTheme="minorHAnsi" w:cstheme="minorHAnsi"/>
        </w:rPr>
        <w:t xml:space="preserve">Nejvyšší kontrolní úřad </w:t>
      </w:r>
    </w:p>
    <w:p w14:paraId="7C3F121F" w14:textId="1ACC41A8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 w:rsidRPr="003511C0">
        <w:rPr>
          <w:rFonts w:asciiTheme="minorHAnsi" w:hAnsiTheme="minorHAnsi" w:cstheme="minorHAnsi"/>
        </w:rPr>
        <w:t xml:space="preserve">OPD </w:t>
      </w:r>
      <w:r w:rsidR="00EB3B65" w:rsidRPr="003511C0">
        <w:rPr>
          <w:rFonts w:asciiTheme="minorHAnsi" w:hAnsiTheme="minorHAnsi" w:cstheme="minorHAnsi"/>
        </w:rPr>
        <w:t>II</w:t>
      </w:r>
      <w:r w:rsidR="008D0FF1">
        <w:rPr>
          <w:rFonts w:asciiTheme="minorHAnsi" w:hAnsiTheme="minorHAnsi" w:cstheme="minorHAnsi"/>
        </w:rPr>
        <w:t xml:space="preserve"> / OPD</w:t>
      </w:r>
      <w:r w:rsidR="00FD43BB" w:rsidRPr="003511C0">
        <w:rPr>
          <w:rFonts w:asciiTheme="minorHAnsi" w:hAnsiTheme="minorHAnsi" w:cstheme="minorHAnsi"/>
        </w:rPr>
        <w:tab/>
      </w:r>
      <w:r w:rsidRPr="003511C0">
        <w:rPr>
          <w:rFonts w:asciiTheme="minorHAnsi" w:hAnsiTheme="minorHAnsi" w:cstheme="minorHAnsi"/>
        </w:rPr>
        <w:t xml:space="preserve">operační program </w:t>
      </w:r>
      <w:r w:rsidRPr="000F4FF5">
        <w:rPr>
          <w:rFonts w:asciiTheme="minorHAnsi" w:hAnsiTheme="minorHAnsi" w:cstheme="minorHAnsi"/>
          <w:i/>
        </w:rPr>
        <w:t xml:space="preserve">Doprava </w:t>
      </w:r>
      <w:r w:rsidR="001D1C43" w:rsidRPr="000F4FF5">
        <w:rPr>
          <w:rFonts w:asciiTheme="minorHAnsi" w:hAnsiTheme="minorHAnsi" w:cstheme="minorHAnsi"/>
          <w:i/>
        </w:rPr>
        <w:t>2014</w:t>
      </w:r>
      <w:r w:rsidR="004B3A8C" w:rsidRPr="000F4FF5">
        <w:rPr>
          <w:rFonts w:asciiTheme="minorHAnsi" w:hAnsiTheme="minorHAnsi" w:cstheme="minorHAnsi"/>
          <w:i/>
        </w:rPr>
        <w:t>–</w:t>
      </w:r>
      <w:r w:rsidR="00EB3B65" w:rsidRPr="000F4FF5">
        <w:rPr>
          <w:rFonts w:asciiTheme="minorHAnsi" w:hAnsiTheme="minorHAnsi" w:cstheme="minorHAnsi"/>
          <w:i/>
        </w:rPr>
        <w:t>2020</w:t>
      </w:r>
    </w:p>
    <w:p w14:paraId="1AA73CBB" w14:textId="7EB4154A" w:rsidR="004B3A8C" w:rsidRDefault="000416AD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793402">
        <w:rPr>
          <w:rFonts w:asciiTheme="minorHAnsi" w:hAnsiTheme="minorHAnsi" w:cstheme="minorHAnsi"/>
        </w:rPr>
        <w:t xml:space="preserve">ámcová smlouva </w:t>
      </w:r>
      <w:r w:rsidR="00C200B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r</w:t>
      </w:r>
      <w:r w:rsidR="004B3A8C">
        <w:rPr>
          <w:rFonts w:asciiTheme="minorHAnsi" w:hAnsiTheme="minorHAnsi" w:cstheme="minorHAnsi"/>
        </w:rPr>
        <w:t>ámcová smlouva</w:t>
      </w:r>
      <w:r w:rsidR="004B3A8C" w:rsidRPr="004B3A8C">
        <w:rPr>
          <w:rFonts w:asciiTheme="minorHAnsi" w:hAnsiTheme="minorHAnsi" w:cstheme="minorHAnsi"/>
        </w:rPr>
        <w:t xml:space="preserve"> na financování projektu v rámci </w:t>
      </w:r>
      <w:r>
        <w:rPr>
          <w:rFonts w:asciiTheme="minorHAnsi" w:hAnsiTheme="minorHAnsi" w:cstheme="minorHAnsi"/>
        </w:rPr>
        <w:t>o</w:t>
      </w:r>
      <w:r w:rsidR="004B3A8C" w:rsidRPr="004B3A8C">
        <w:rPr>
          <w:rFonts w:asciiTheme="minorHAnsi" w:hAnsiTheme="minorHAnsi" w:cstheme="minorHAnsi"/>
        </w:rPr>
        <w:t xml:space="preserve">peračního programu </w:t>
      </w:r>
      <w:r w:rsidR="004B3A8C" w:rsidRPr="000F4FF5">
        <w:rPr>
          <w:rFonts w:asciiTheme="minorHAnsi" w:hAnsiTheme="minorHAnsi" w:cstheme="minorHAnsi"/>
          <w:i/>
        </w:rPr>
        <w:t>Doprava</w:t>
      </w:r>
      <w:r w:rsidRPr="000F4FF5">
        <w:rPr>
          <w:rFonts w:asciiTheme="minorHAnsi" w:hAnsiTheme="minorHAnsi" w:cstheme="minorHAnsi"/>
          <w:i/>
        </w:rPr>
        <w:t xml:space="preserve"> 2014–2020</w:t>
      </w:r>
      <w:r w:rsidR="004B3A8C" w:rsidRPr="004B3A8C">
        <w:rPr>
          <w:rFonts w:asciiTheme="minorHAnsi" w:hAnsiTheme="minorHAnsi" w:cstheme="minorHAnsi"/>
        </w:rPr>
        <w:t xml:space="preserve"> z rozpočtu Státního fondu dopravní infrastruktury</w:t>
      </w:r>
      <w:r w:rsidR="004B3A8C">
        <w:rPr>
          <w:rFonts w:asciiTheme="minorHAnsi" w:hAnsiTheme="minorHAnsi" w:cstheme="minorHAnsi"/>
        </w:rPr>
        <w:t xml:space="preserve"> </w:t>
      </w:r>
    </w:p>
    <w:p w14:paraId="1CD18304" w14:textId="453C370E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ŘO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říd</w:t>
      </w:r>
      <w:r w:rsidR="008114F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cí orgán </w:t>
      </w:r>
    </w:p>
    <w:p w14:paraId="2C9BE2F5" w14:textId="7777777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specifický cíl </w:t>
      </w:r>
    </w:p>
    <w:p w14:paraId="735E94D0" w14:textId="77777777" w:rsidR="004B3A8C" w:rsidRDefault="00793402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SFDI</w:t>
      </w:r>
      <w:r>
        <w:rPr>
          <w:rFonts w:asciiTheme="minorHAnsi" w:hAnsiTheme="minorHAnsi" w:cstheme="minorHAnsi"/>
        </w:rPr>
        <w:tab/>
      </w:r>
      <w:r w:rsidR="004B3A8C">
        <w:rPr>
          <w:rFonts w:asciiTheme="minorHAnsi" w:hAnsiTheme="minorHAnsi" w:cstheme="minorHAnsi"/>
        </w:rPr>
        <w:t>Státní fond dopravní infrastruktury</w:t>
      </w:r>
    </w:p>
    <w:p w14:paraId="0E7FD82A" w14:textId="2C3917A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SUMF </w:t>
      </w:r>
      <w:r w:rsidR="00FD43BB">
        <w:rPr>
          <w:rFonts w:asciiTheme="minorHAnsi" w:hAnsiTheme="minorHAnsi" w:cstheme="minorHAnsi"/>
        </w:rPr>
        <w:tab/>
      </w:r>
      <w:r w:rsidR="008114F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trategický rámec udržitelné městské mobility </w:t>
      </w:r>
    </w:p>
    <w:p w14:paraId="59948C9D" w14:textId="14AF1532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SUMP </w:t>
      </w:r>
      <w:r w:rsidR="00FD43BB">
        <w:rPr>
          <w:rFonts w:asciiTheme="minorHAnsi" w:hAnsiTheme="minorHAnsi" w:cstheme="minorHAnsi"/>
        </w:rPr>
        <w:tab/>
      </w:r>
      <w:r w:rsidR="008114F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lán udržitelné městské mobility</w:t>
      </w:r>
    </w:p>
    <w:p w14:paraId="32E33635" w14:textId="7777777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ZS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zprostředkující subjekt </w:t>
      </w:r>
    </w:p>
    <w:p w14:paraId="51A35A8E" w14:textId="77777777" w:rsidR="00B1114C" w:rsidRDefault="00B1114C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ZVZ </w:t>
      </w:r>
      <w:r w:rsidR="00FD43B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zákon o veřejných zakázkách </w:t>
      </w:r>
    </w:p>
    <w:p w14:paraId="01BF2FC1" w14:textId="671325FB" w:rsidR="00C82197" w:rsidRDefault="00C82197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ZZoR</w:t>
      </w:r>
      <w:proofErr w:type="spellEnd"/>
      <w:r>
        <w:rPr>
          <w:rFonts w:asciiTheme="minorHAnsi" w:hAnsiTheme="minorHAnsi" w:cstheme="minorHAnsi"/>
        </w:rPr>
        <w:tab/>
        <w:t>závěrečná zpráva o realizaci projektu</w:t>
      </w:r>
    </w:p>
    <w:p w14:paraId="02D5E87C" w14:textId="078B300E" w:rsidR="00B1114C" w:rsidRDefault="00FD43BB" w:rsidP="00306DC5">
      <w:pPr>
        <w:keepNext/>
        <w:spacing w:before="60" w:after="60"/>
        <w:ind w:left="2268" w:hanging="22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ZZVZ </w:t>
      </w:r>
      <w:r>
        <w:rPr>
          <w:rFonts w:asciiTheme="minorHAnsi" w:hAnsiTheme="minorHAnsi" w:cstheme="minorHAnsi"/>
        </w:rPr>
        <w:tab/>
      </w:r>
      <w:r w:rsidR="00B1114C">
        <w:rPr>
          <w:rFonts w:asciiTheme="minorHAnsi" w:hAnsiTheme="minorHAnsi" w:cstheme="minorHAnsi"/>
        </w:rPr>
        <w:t>zákon o zadávání veřejných zakázek</w:t>
      </w:r>
    </w:p>
    <w:p w14:paraId="634489ED" w14:textId="77777777" w:rsidR="000E3B2E" w:rsidRDefault="000E3B2E" w:rsidP="00306DC5">
      <w:pPr>
        <w:spacing w:before="60" w:after="60"/>
        <w:ind w:left="2268" w:hanging="2268"/>
        <w:rPr>
          <w:rFonts w:asciiTheme="minorHAnsi" w:hAnsiTheme="minorHAnsi" w:cstheme="minorHAnsi"/>
        </w:rPr>
      </w:pPr>
    </w:p>
    <w:p w14:paraId="576C41BC" w14:textId="77777777" w:rsidR="00CD0F8F" w:rsidRDefault="00CD0F8F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F22A4B5" w14:textId="77777777" w:rsidR="001E1428" w:rsidRPr="00C200B1" w:rsidRDefault="001E1428" w:rsidP="00C10498">
      <w:pPr>
        <w:widowControl w:val="0"/>
        <w:tabs>
          <w:tab w:val="left" w:pos="7020"/>
        </w:tabs>
        <w:spacing w:after="120"/>
        <w:ind w:hanging="851"/>
        <w:jc w:val="right"/>
        <w:rPr>
          <w:rFonts w:asciiTheme="minorHAnsi" w:hAnsiTheme="minorHAnsi" w:cstheme="minorHAnsi"/>
          <w:b/>
        </w:rPr>
      </w:pPr>
      <w:r w:rsidRPr="00C200B1">
        <w:rPr>
          <w:rFonts w:asciiTheme="minorHAnsi" w:hAnsiTheme="minorHAnsi" w:cstheme="minorHAnsi"/>
          <w:b/>
        </w:rPr>
        <w:lastRenderedPageBreak/>
        <w:t xml:space="preserve">Příloha č. </w:t>
      </w:r>
      <w:r w:rsidR="00544965" w:rsidRPr="00C200B1">
        <w:rPr>
          <w:rFonts w:asciiTheme="minorHAnsi" w:hAnsiTheme="minorHAnsi" w:cstheme="minorHAnsi"/>
          <w:b/>
        </w:rPr>
        <w:t>1</w:t>
      </w:r>
      <w:r w:rsidRPr="00C200B1">
        <w:rPr>
          <w:rFonts w:asciiTheme="minorHAnsi" w:hAnsiTheme="minorHAnsi" w:cstheme="minorHAnsi"/>
          <w:b/>
        </w:rPr>
        <w:t xml:space="preserve"> </w:t>
      </w:r>
    </w:p>
    <w:p w14:paraId="1F15A4AC" w14:textId="77777777" w:rsidR="001E1428" w:rsidRPr="001E1428" w:rsidRDefault="001E1428" w:rsidP="00C10498">
      <w:pPr>
        <w:spacing w:after="120"/>
        <w:ind w:hanging="993"/>
        <w:jc w:val="center"/>
        <w:rPr>
          <w:rFonts w:asciiTheme="minorHAnsi" w:eastAsiaTheme="minorHAnsi" w:hAnsiTheme="minorHAnsi" w:cstheme="minorBidi"/>
          <w:b/>
        </w:rPr>
      </w:pPr>
      <w:r w:rsidRPr="001E1428">
        <w:rPr>
          <w:rFonts w:asciiTheme="minorHAnsi" w:eastAsiaTheme="minorHAnsi" w:hAnsiTheme="minorHAnsi" w:cstheme="minorBidi"/>
          <w:b/>
        </w:rPr>
        <w:t>Schválené žádosti o podporu v rámci prvního</w:t>
      </w:r>
      <w:r>
        <w:rPr>
          <w:rFonts w:asciiTheme="minorHAnsi" w:eastAsiaTheme="minorHAnsi" w:hAnsiTheme="minorHAnsi" w:cstheme="minorBidi"/>
          <w:b/>
        </w:rPr>
        <w:t xml:space="preserve"> a druhého kola výzev</w:t>
      </w:r>
      <w:r w:rsidR="00777260">
        <w:rPr>
          <w:rFonts w:asciiTheme="minorHAnsi" w:eastAsiaTheme="minorHAnsi" w:hAnsiTheme="minorHAnsi" w:cstheme="minorBidi"/>
          <w:b/>
        </w:rPr>
        <w:t xml:space="preserve"> SC 1.4</w:t>
      </w:r>
    </w:p>
    <w:tbl>
      <w:tblPr>
        <w:tblStyle w:val="Mkatabulky"/>
        <w:tblW w:w="10602" w:type="dxa"/>
        <w:jc w:val="center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417"/>
        <w:gridCol w:w="1247"/>
        <w:gridCol w:w="1191"/>
        <w:gridCol w:w="1531"/>
        <w:gridCol w:w="1531"/>
      </w:tblGrid>
      <w:tr w:rsidR="001E1428" w:rsidRPr="001E1428" w14:paraId="0E544665" w14:textId="77777777" w:rsidTr="00A915C5">
        <w:trPr>
          <w:cantSplit/>
          <w:trHeight w:val="227"/>
          <w:tblHeader/>
          <w:jc w:val="center"/>
        </w:trPr>
        <w:tc>
          <w:tcPr>
            <w:tcW w:w="567" w:type="dxa"/>
            <w:shd w:val="clear" w:color="auto" w:fill="E5F1FF"/>
            <w:vAlign w:val="center"/>
            <w:hideMark/>
          </w:tcPr>
          <w:p w14:paraId="1C5B2A23" w14:textId="77777777" w:rsidR="001E1428" w:rsidRPr="001E1428" w:rsidRDefault="001E1428" w:rsidP="004B3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č</w:t>
            </w: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íslo</w:t>
            </w:r>
          </w:p>
        </w:tc>
        <w:tc>
          <w:tcPr>
            <w:tcW w:w="3118" w:type="dxa"/>
            <w:shd w:val="clear" w:color="auto" w:fill="E5F1FF"/>
            <w:vAlign w:val="center"/>
            <w:hideMark/>
          </w:tcPr>
          <w:p w14:paraId="706C3769" w14:textId="1FD042E2" w:rsidR="001E1428" w:rsidRDefault="001E1428" w:rsidP="004B3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Registrační číslo projektu</w:t>
            </w:r>
            <w:r w:rsidR="005E0E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, </w:t>
            </w:r>
          </w:p>
          <w:p w14:paraId="0296A7EA" w14:textId="41783E60" w:rsidR="001E1428" w:rsidRPr="001E1428" w:rsidRDefault="005E0EEC" w:rsidP="004B3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n</w:t>
            </w:r>
            <w:r w:rsid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ázev projektu</w:t>
            </w:r>
          </w:p>
        </w:tc>
        <w:tc>
          <w:tcPr>
            <w:tcW w:w="1417" w:type="dxa"/>
            <w:shd w:val="clear" w:color="auto" w:fill="E5F1FF"/>
            <w:vAlign w:val="center"/>
            <w:hideMark/>
          </w:tcPr>
          <w:p w14:paraId="68B47DB8" w14:textId="77777777" w:rsidR="001E1428" w:rsidRPr="001E1428" w:rsidRDefault="001E1428" w:rsidP="004B3D1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1247" w:type="dxa"/>
            <w:shd w:val="clear" w:color="auto" w:fill="E5F1FF"/>
            <w:vAlign w:val="center"/>
            <w:hideMark/>
          </w:tcPr>
          <w:p w14:paraId="6F47E126" w14:textId="531ACCC3" w:rsidR="001E1428" w:rsidRPr="001E1428" w:rsidRDefault="001E1428" w:rsidP="000A3B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Datum zahájení </w:t>
            </w:r>
            <w:r w:rsidR="008114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(</w:t>
            </w: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předp</w:t>
            </w:r>
            <w:r w:rsidR="000A3B7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oklad</w:t>
            </w:r>
            <w:r w:rsidR="008114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91" w:type="dxa"/>
            <w:shd w:val="clear" w:color="auto" w:fill="E5F1FF"/>
            <w:vAlign w:val="center"/>
            <w:hideMark/>
          </w:tcPr>
          <w:p w14:paraId="33954F77" w14:textId="05F9E6FE" w:rsidR="001E1428" w:rsidRPr="001E1428" w:rsidRDefault="001E1428" w:rsidP="000A3B7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 xml:space="preserve">Datum ukončení </w:t>
            </w:r>
            <w:r w:rsidR="008114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(</w:t>
            </w: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předp</w:t>
            </w:r>
            <w:r w:rsidR="000A3B7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oklad</w:t>
            </w:r>
            <w:r w:rsidR="008114F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531" w:type="dxa"/>
            <w:shd w:val="clear" w:color="auto" w:fill="E5F1FF"/>
            <w:vAlign w:val="center"/>
            <w:hideMark/>
          </w:tcPr>
          <w:p w14:paraId="02164800" w14:textId="77777777" w:rsidR="001E1428" w:rsidRPr="001E1428" w:rsidRDefault="001E1428" w:rsidP="004B3D19">
            <w:pPr>
              <w:ind w:right="2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CZV projektu</w:t>
            </w:r>
          </w:p>
          <w:p w14:paraId="2BD4CB38" w14:textId="77777777" w:rsidR="001E1428" w:rsidRPr="001E1428" w:rsidRDefault="001E1428" w:rsidP="004B3D19">
            <w:pPr>
              <w:ind w:right="2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1531" w:type="dxa"/>
            <w:shd w:val="clear" w:color="auto" w:fill="E5F1FF"/>
            <w:vAlign w:val="center"/>
            <w:hideMark/>
          </w:tcPr>
          <w:p w14:paraId="1D84E510" w14:textId="77777777" w:rsidR="001E1428" w:rsidRPr="001E1428" w:rsidRDefault="001E1428" w:rsidP="004B3D19">
            <w:pPr>
              <w:ind w:right="2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E14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  <w:t>Příspěvek EU celkem (v Kč)</w:t>
            </w:r>
          </w:p>
        </w:tc>
      </w:tr>
      <w:tr w:rsidR="001E1428" w:rsidRPr="001E1428" w14:paraId="5A0BD974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521D5147" w14:textId="59F6505C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118" w:type="dxa"/>
            <w:vAlign w:val="center"/>
            <w:hideMark/>
          </w:tcPr>
          <w:p w14:paraId="49C400A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CZ.04.1.40/0.0/0.0/15_024/0000095</w:t>
            </w:r>
          </w:p>
          <w:p w14:paraId="7F5A348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Rozšíření trolejové dopravy v Jihlavě</w:t>
            </w:r>
          </w:p>
        </w:tc>
        <w:tc>
          <w:tcPr>
            <w:tcW w:w="1417" w:type="dxa"/>
            <w:vAlign w:val="center"/>
            <w:hideMark/>
          </w:tcPr>
          <w:p w14:paraId="429CFBE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Jihlavy,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1B797C74" w14:textId="7B809C00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1. 9. 2017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1EA8415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30. 11. 2017</w:t>
            </w:r>
          </w:p>
        </w:tc>
        <w:tc>
          <w:tcPr>
            <w:tcW w:w="1531" w:type="dxa"/>
            <w:vAlign w:val="center"/>
            <w:hideMark/>
          </w:tcPr>
          <w:p w14:paraId="37DE655E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16 664 832,33</w:t>
            </w:r>
          </w:p>
        </w:tc>
        <w:tc>
          <w:tcPr>
            <w:tcW w:w="1531" w:type="dxa"/>
            <w:vAlign w:val="center"/>
            <w:hideMark/>
          </w:tcPr>
          <w:p w14:paraId="69E38FAD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14 150 708,48</w:t>
            </w:r>
          </w:p>
        </w:tc>
      </w:tr>
      <w:tr w:rsidR="001E1428" w:rsidRPr="001E1428" w14:paraId="6EB3292F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3A22FC7" w14:textId="51BD12B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118" w:type="dxa"/>
            <w:vAlign w:val="center"/>
            <w:hideMark/>
          </w:tcPr>
          <w:p w14:paraId="500FA9B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CZ.04.1.40/0.0/0.0/16_017/0000128</w:t>
            </w:r>
          </w:p>
          <w:p w14:paraId="03EE3204" w14:textId="3F9F9E43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Prodloužení tramvajové tratě na Borská pole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část Tramvajová trať</w:t>
            </w:r>
          </w:p>
        </w:tc>
        <w:tc>
          <w:tcPr>
            <w:tcW w:w="1417" w:type="dxa"/>
            <w:vAlign w:val="center"/>
            <w:hideMark/>
          </w:tcPr>
          <w:p w14:paraId="64016BD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Plzeň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2592ED46" w14:textId="6765DCD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2. 4. 2018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10A56BED" w14:textId="4032CE8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29. 5. 2020</w:t>
            </w:r>
          </w:p>
        </w:tc>
        <w:tc>
          <w:tcPr>
            <w:tcW w:w="1531" w:type="dxa"/>
            <w:vAlign w:val="center"/>
            <w:hideMark/>
          </w:tcPr>
          <w:p w14:paraId="352A203D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441 800 591,00</w:t>
            </w:r>
          </w:p>
        </w:tc>
        <w:tc>
          <w:tcPr>
            <w:tcW w:w="1531" w:type="dxa"/>
            <w:vAlign w:val="center"/>
            <w:hideMark/>
          </w:tcPr>
          <w:p w14:paraId="2C23A665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355 176 749,15</w:t>
            </w:r>
          </w:p>
        </w:tc>
      </w:tr>
      <w:tr w:rsidR="001E1428" w:rsidRPr="001E1428" w14:paraId="07BFB674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A3FEEA0" w14:textId="4B8F354E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118" w:type="dxa"/>
            <w:vAlign w:val="center"/>
            <w:hideMark/>
          </w:tcPr>
          <w:p w14:paraId="31B2686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CZ.04.1.40/0.0/0.0/16_017/0000138</w:t>
            </w:r>
          </w:p>
          <w:p w14:paraId="245B65E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Výměna 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technologií měníren Letná a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Bory pro MHD v Plzni</w:t>
            </w:r>
          </w:p>
        </w:tc>
        <w:tc>
          <w:tcPr>
            <w:tcW w:w="1417" w:type="dxa"/>
            <w:vAlign w:val="center"/>
            <w:hideMark/>
          </w:tcPr>
          <w:p w14:paraId="6160EA6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Plzeňské městské dopravní podniky,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5E0DD7BF" w14:textId="0A8FC92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1. 3. 2018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541AA229" w14:textId="428EA90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30. 6. 2020</w:t>
            </w:r>
          </w:p>
        </w:tc>
        <w:tc>
          <w:tcPr>
            <w:tcW w:w="1531" w:type="dxa"/>
            <w:vAlign w:val="center"/>
            <w:hideMark/>
          </w:tcPr>
          <w:p w14:paraId="1CCBEEB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76 683 715,92</w:t>
            </w:r>
          </w:p>
        </w:tc>
        <w:tc>
          <w:tcPr>
            <w:tcW w:w="1531" w:type="dxa"/>
            <w:vAlign w:val="center"/>
            <w:hideMark/>
          </w:tcPr>
          <w:p w14:paraId="5690B013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65 181 158,53</w:t>
            </w:r>
          </w:p>
        </w:tc>
      </w:tr>
      <w:tr w:rsidR="001E1428" w:rsidRPr="001E1428" w14:paraId="7283E8A1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0C722AE" w14:textId="7C7E61E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118" w:type="dxa"/>
            <w:vAlign w:val="center"/>
            <w:hideMark/>
          </w:tcPr>
          <w:p w14:paraId="528A634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CZ.04.1.40/0.0/0.0/16_018/0000120</w:t>
            </w:r>
          </w:p>
          <w:p w14:paraId="22103EA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Tramvajová trať Plotní</w:t>
            </w:r>
          </w:p>
        </w:tc>
        <w:tc>
          <w:tcPr>
            <w:tcW w:w="1417" w:type="dxa"/>
            <w:vAlign w:val="center"/>
            <w:hideMark/>
          </w:tcPr>
          <w:p w14:paraId="643FDFDC" w14:textId="5B0AF861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Brna,</w:t>
            </w:r>
            <w:r w:rsidR="008114F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017BE34D" w14:textId="7919EA0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1. 3. 2018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08CBB56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31. 12. 2020</w:t>
            </w:r>
          </w:p>
        </w:tc>
        <w:tc>
          <w:tcPr>
            <w:tcW w:w="1531" w:type="dxa"/>
            <w:vAlign w:val="center"/>
            <w:hideMark/>
          </w:tcPr>
          <w:p w14:paraId="09FBCFC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322 838 187,00</w:t>
            </w:r>
          </w:p>
        </w:tc>
        <w:tc>
          <w:tcPr>
            <w:tcW w:w="1531" w:type="dxa"/>
            <w:vAlign w:val="center"/>
            <w:hideMark/>
          </w:tcPr>
          <w:p w14:paraId="1C5E8E4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269 335 828,85</w:t>
            </w:r>
          </w:p>
        </w:tc>
      </w:tr>
      <w:tr w:rsidR="001E1428" w:rsidRPr="001E1428" w14:paraId="700C1A30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9805399" w14:textId="4D82945E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118" w:type="dxa"/>
            <w:vAlign w:val="center"/>
            <w:hideMark/>
          </w:tcPr>
          <w:p w14:paraId="5B13F46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CZ.04.1.40/0.0/0.0/16_018/0000124</w:t>
            </w:r>
          </w:p>
          <w:p w14:paraId="27946C90" w14:textId="08E86DA3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Trolejbusová trať </w:t>
            </w:r>
            <w:proofErr w:type="gram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Novolíšeňská</w:t>
            </w:r>
            <w:proofErr w:type="gramEnd"/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proofErr w:type="gram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Jírova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041592EE" w14:textId="4AC06B1E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Brna,</w:t>
            </w:r>
            <w:r w:rsidR="008114F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4AB253EE" w14:textId="546B0D3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1. 5. 2018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364AB66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29. 11. 2019</w:t>
            </w:r>
          </w:p>
        </w:tc>
        <w:tc>
          <w:tcPr>
            <w:tcW w:w="1531" w:type="dxa"/>
            <w:vAlign w:val="center"/>
            <w:hideMark/>
          </w:tcPr>
          <w:p w14:paraId="6B43E78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124 257 624,00</w:t>
            </w:r>
          </w:p>
        </w:tc>
        <w:tc>
          <w:tcPr>
            <w:tcW w:w="1531" w:type="dxa"/>
            <w:vAlign w:val="center"/>
            <w:hideMark/>
          </w:tcPr>
          <w:p w14:paraId="27151D27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105 618 980,40</w:t>
            </w:r>
          </w:p>
        </w:tc>
      </w:tr>
      <w:tr w:rsidR="001E1428" w:rsidRPr="001E1428" w14:paraId="09A67C6D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B55860C" w14:textId="1C5F921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118" w:type="dxa"/>
            <w:vAlign w:val="center"/>
            <w:hideMark/>
          </w:tcPr>
          <w:p w14:paraId="3B042F5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CZ.04.1.40/0.0/0.0/16_019/0000068</w:t>
            </w:r>
          </w:p>
          <w:p w14:paraId="2A98B9D4" w14:textId="2DE87294" w:rsidR="001E1428" w:rsidRPr="001E1428" w:rsidRDefault="001E1428" w:rsidP="004B3D19">
            <w:pPr>
              <w:jc w:val="lef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Modernizace tramvajové tratě 1.</w:t>
            </w:r>
            <w:r w:rsidR="008114F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máje</w:t>
            </w:r>
          </w:p>
        </w:tc>
        <w:tc>
          <w:tcPr>
            <w:tcW w:w="1417" w:type="dxa"/>
            <w:vAlign w:val="center"/>
            <w:hideMark/>
          </w:tcPr>
          <w:p w14:paraId="401DCDB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Olomouc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994D6" w14:textId="1913F4A4" w:rsidR="001E1428" w:rsidRPr="001E1428" w:rsidRDefault="0078269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Neuvedeno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377FA7CA" w14:textId="028EF68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28. 2. 2018</w:t>
            </w:r>
          </w:p>
        </w:tc>
        <w:tc>
          <w:tcPr>
            <w:tcW w:w="1531" w:type="dxa"/>
            <w:vAlign w:val="center"/>
            <w:hideMark/>
          </w:tcPr>
          <w:p w14:paraId="3754C64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44 260 786,55</w:t>
            </w:r>
          </w:p>
        </w:tc>
        <w:tc>
          <w:tcPr>
            <w:tcW w:w="1531" w:type="dxa"/>
            <w:vAlign w:val="center"/>
            <w:hideMark/>
          </w:tcPr>
          <w:p w14:paraId="4A46653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30 962 633,23</w:t>
            </w:r>
          </w:p>
        </w:tc>
      </w:tr>
      <w:tr w:rsidR="001E1428" w:rsidRPr="001E1428" w14:paraId="182FB2B8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53001BF7" w14:textId="5CDC6614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3118" w:type="dxa"/>
            <w:vAlign w:val="center"/>
            <w:hideMark/>
          </w:tcPr>
          <w:p w14:paraId="463DBFA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CZ.04.1.40/0.0/0.0/16_019/0000132</w:t>
            </w:r>
          </w:p>
          <w:p w14:paraId="49EF2DB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Měnírna Jih včetně posílení napájení tramvajové trati na tř. Kosmonautů</w:t>
            </w:r>
          </w:p>
        </w:tc>
        <w:tc>
          <w:tcPr>
            <w:tcW w:w="1417" w:type="dxa"/>
            <w:vAlign w:val="center"/>
            <w:hideMark/>
          </w:tcPr>
          <w:p w14:paraId="77BA4F9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Olomouce,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418D8E28" w14:textId="1F04541F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1. 12. 2017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6E93770F" w14:textId="3699D384" w:rsidR="001E1428" w:rsidRPr="001E1428" w:rsidRDefault="001E1428" w:rsidP="00782698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31. 5. 2018</w:t>
            </w:r>
          </w:p>
        </w:tc>
        <w:tc>
          <w:tcPr>
            <w:tcW w:w="1531" w:type="dxa"/>
            <w:vAlign w:val="center"/>
            <w:hideMark/>
          </w:tcPr>
          <w:p w14:paraId="2A4B752F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24 882 015,00</w:t>
            </w:r>
          </w:p>
        </w:tc>
        <w:tc>
          <w:tcPr>
            <w:tcW w:w="1531" w:type="dxa"/>
            <w:vAlign w:val="center"/>
            <w:hideMark/>
          </w:tcPr>
          <w:p w14:paraId="2BDB53EF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21 149 712,75</w:t>
            </w:r>
          </w:p>
        </w:tc>
      </w:tr>
      <w:tr w:rsidR="001E1428" w:rsidRPr="001E1428" w14:paraId="6C90073E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8E80DD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3118" w:type="dxa"/>
            <w:vAlign w:val="center"/>
            <w:hideMark/>
          </w:tcPr>
          <w:p w14:paraId="7967D88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CZ.04.1.40/0.0/0.0/16_019/0000137</w:t>
            </w:r>
          </w:p>
          <w:p w14:paraId="1FE9C02E" w14:textId="06BDA98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Tramvajová trať 8.</w:t>
            </w:r>
            <w:r w:rsidR="008114FB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května</w:t>
            </w:r>
          </w:p>
        </w:tc>
        <w:tc>
          <w:tcPr>
            <w:tcW w:w="1417" w:type="dxa"/>
            <w:vAlign w:val="center"/>
            <w:hideMark/>
          </w:tcPr>
          <w:p w14:paraId="657E6D2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Olomouc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3E2ED6E6" w14:textId="1204D5D1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1. 3. 2020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25F70BF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30. 11. 2020</w:t>
            </w:r>
          </w:p>
        </w:tc>
        <w:tc>
          <w:tcPr>
            <w:tcW w:w="1531" w:type="dxa"/>
            <w:vAlign w:val="center"/>
            <w:hideMark/>
          </w:tcPr>
          <w:p w14:paraId="11922D5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45 597 422,79</w:t>
            </w:r>
          </w:p>
        </w:tc>
        <w:tc>
          <w:tcPr>
            <w:tcW w:w="1531" w:type="dxa"/>
            <w:vAlign w:val="center"/>
            <w:hideMark/>
          </w:tcPr>
          <w:p w14:paraId="2FE12D35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35 606 799,46</w:t>
            </w:r>
          </w:p>
        </w:tc>
      </w:tr>
      <w:tr w:rsidR="001E1428" w:rsidRPr="001E1428" w14:paraId="158C1E71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C72D02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3118" w:type="dxa"/>
            <w:vAlign w:val="center"/>
            <w:hideMark/>
          </w:tcPr>
          <w:p w14:paraId="0BA95BE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CZ.04.1.40/0.0/0.0/16_020/0000119</w:t>
            </w:r>
          </w:p>
          <w:p w14:paraId="7B36F1F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Rekonstrukce tramvajové trati včetně výstavby nových tramvajových mostů na ul. Výškovická, Ostrava</w:t>
            </w:r>
          </w:p>
        </w:tc>
        <w:tc>
          <w:tcPr>
            <w:tcW w:w="1417" w:type="dxa"/>
            <w:vAlign w:val="center"/>
            <w:hideMark/>
          </w:tcPr>
          <w:p w14:paraId="05ECD2F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69671A56" w14:textId="232376CF" w:rsidR="001E1428" w:rsidRPr="001E1428" w:rsidRDefault="001E1428" w:rsidP="00782698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1. 3. 2018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336A3AB2" w14:textId="244AE355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31. 8. 2020</w:t>
            </w:r>
          </w:p>
        </w:tc>
        <w:tc>
          <w:tcPr>
            <w:tcW w:w="1531" w:type="dxa"/>
            <w:vAlign w:val="center"/>
            <w:hideMark/>
          </w:tcPr>
          <w:p w14:paraId="0D5A964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89 730 894,38</w:t>
            </w:r>
          </w:p>
        </w:tc>
        <w:tc>
          <w:tcPr>
            <w:tcW w:w="1531" w:type="dxa"/>
            <w:vAlign w:val="center"/>
            <w:hideMark/>
          </w:tcPr>
          <w:p w14:paraId="6743226A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76 271 260,22</w:t>
            </w:r>
          </w:p>
        </w:tc>
      </w:tr>
      <w:tr w:rsidR="001E1428" w:rsidRPr="001E1428" w14:paraId="0B17598E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B78980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3118" w:type="dxa"/>
            <w:vAlign w:val="center"/>
            <w:hideMark/>
          </w:tcPr>
          <w:p w14:paraId="1C6D79F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CZ.04.1.40/0.0/0.0/16_022/0000135</w:t>
            </w:r>
          </w:p>
          <w:p w14:paraId="2EEC093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Prodloužení trolejbusové trati na obratiště Zámeček</w:t>
            </w:r>
          </w:p>
        </w:tc>
        <w:tc>
          <w:tcPr>
            <w:tcW w:w="1417" w:type="dxa"/>
            <w:vAlign w:val="center"/>
            <w:hideMark/>
          </w:tcPr>
          <w:p w14:paraId="302B383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05183B4C" w14:textId="6803BD6E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11. 7. 2017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0DA7979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31. 12. 2017</w:t>
            </w:r>
          </w:p>
        </w:tc>
        <w:tc>
          <w:tcPr>
            <w:tcW w:w="1531" w:type="dxa"/>
            <w:vAlign w:val="center"/>
            <w:hideMark/>
          </w:tcPr>
          <w:p w14:paraId="71706D6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12 771 475,13</w:t>
            </w:r>
          </w:p>
        </w:tc>
        <w:tc>
          <w:tcPr>
            <w:tcW w:w="1531" w:type="dxa"/>
            <w:vAlign w:val="center"/>
            <w:hideMark/>
          </w:tcPr>
          <w:p w14:paraId="0121DC9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10 855 753,86</w:t>
            </w:r>
          </w:p>
        </w:tc>
      </w:tr>
      <w:tr w:rsidR="001E1428" w:rsidRPr="001E1428" w14:paraId="1260E641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9D35CE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3118" w:type="dxa"/>
            <w:vAlign w:val="center"/>
            <w:hideMark/>
          </w:tcPr>
          <w:p w14:paraId="5C9EDCD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CZ.04.1.40/0.0/0.0/16_022/0000136</w:t>
            </w:r>
          </w:p>
          <w:p w14:paraId="558C30E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Prodloužení trolejbusové trati v Trnové a </w:t>
            </w:r>
            <w:proofErr w:type="spell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Ohrazenici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E3C5CC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247" w:type="dxa"/>
            <w:shd w:val="clear" w:color="auto" w:fill="FFFFFF"/>
            <w:vAlign w:val="center"/>
            <w:hideMark/>
          </w:tcPr>
          <w:p w14:paraId="6CBF9F0C" w14:textId="1BE40DA2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11. 7. 2017</w:t>
            </w:r>
          </w:p>
        </w:tc>
        <w:tc>
          <w:tcPr>
            <w:tcW w:w="1191" w:type="dxa"/>
            <w:shd w:val="clear" w:color="auto" w:fill="FFFFFF"/>
            <w:vAlign w:val="center"/>
            <w:hideMark/>
          </w:tcPr>
          <w:p w14:paraId="0E45731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31. 12. 2017</w:t>
            </w:r>
          </w:p>
        </w:tc>
        <w:tc>
          <w:tcPr>
            <w:tcW w:w="1531" w:type="dxa"/>
            <w:vAlign w:val="center"/>
            <w:hideMark/>
          </w:tcPr>
          <w:p w14:paraId="195D0A35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30 264 224,82</w:t>
            </w:r>
          </w:p>
        </w:tc>
        <w:tc>
          <w:tcPr>
            <w:tcW w:w="1531" w:type="dxa"/>
            <w:vAlign w:val="center"/>
            <w:hideMark/>
          </w:tcPr>
          <w:p w14:paraId="215D465B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25 724 591,09</w:t>
            </w:r>
          </w:p>
        </w:tc>
      </w:tr>
      <w:tr w:rsidR="001E1428" w:rsidRPr="001E1428" w14:paraId="76AC0086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2A6E133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118" w:type="dxa"/>
            <w:vAlign w:val="center"/>
            <w:hideMark/>
          </w:tcPr>
          <w:p w14:paraId="5BE5243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CZ.04.1.40/0.0/0.0/18_053/0000410</w:t>
            </w:r>
          </w:p>
          <w:p w14:paraId="00AC1586" w14:textId="24943120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TT Divoká </w:t>
            </w:r>
            <w:proofErr w:type="gram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Šárka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- Sídliště</w:t>
            </w:r>
            <w:proofErr w:type="gramEnd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Na Dědině</w:t>
            </w:r>
          </w:p>
        </w:tc>
        <w:tc>
          <w:tcPr>
            <w:tcW w:w="1417" w:type="dxa"/>
            <w:vAlign w:val="center"/>
            <w:hideMark/>
          </w:tcPr>
          <w:p w14:paraId="64C2759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hl. m. Prahy, akciová společnost</w:t>
            </w:r>
          </w:p>
        </w:tc>
        <w:tc>
          <w:tcPr>
            <w:tcW w:w="1247" w:type="dxa"/>
            <w:vAlign w:val="center"/>
            <w:hideMark/>
          </w:tcPr>
          <w:p w14:paraId="13261FBD" w14:textId="7E3C0D65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1. 3. 2021</w:t>
            </w:r>
          </w:p>
        </w:tc>
        <w:tc>
          <w:tcPr>
            <w:tcW w:w="1191" w:type="dxa"/>
            <w:vAlign w:val="center"/>
            <w:hideMark/>
          </w:tcPr>
          <w:p w14:paraId="389C5A9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30. 12. 2022</w:t>
            </w:r>
          </w:p>
        </w:tc>
        <w:tc>
          <w:tcPr>
            <w:tcW w:w="1531" w:type="dxa"/>
            <w:vAlign w:val="center"/>
            <w:hideMark/>
          </w:tcPr>
          <w:p w14:paraId="614C574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836 668 914,00</w:t>
            </w:r>
          </w:p>
        </w:tc>
        <w:tc>
          <w:tcPr>
            <w:tcW w:w="1531" w:type="dxa"/>
            <w:vAlign w:val="center"/>
            <w:hideMark/>
          </w:tcPr>
          <w:p w14:paraId="48BC30E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711 168 576,90</w:t>
            </w:r>
          </w:p>
        </w:tc>
      </w:tr>
      <w:tr w:rsidR="001E1428" w:rsidRPr="001E1428" w14:paraId="7F61CB48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F9D1E4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118" w:type="dxa"/>
            <w:vAlign w:val="center"/>
            <w:hideMark/>
          </w:tcPr>
          <w:p w14:paraId="099E439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CZ.04.1.40/0.0/0.0/18_053/0000411</w:t>
            </w:r>
          </w:p>
          <w:p w14:paraId="179480A8" w14:textId="20F04C1F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Tramvajová trať Sídliště Modřany-Libuš (1. etapa)</w:t>
            </w:r>
          </w:p>
        </w:tc>
        <w:tc>
          <w:tcPr>
            <w:tcW w:w="1417" w:type="dxa"/>
            <w:vAlign w:val="center"/>
            <w:hideMark/>
          </w:tcPr>
          <w:p w14:paraId="37185D5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hl. m. Prahy, akciová společnost</w:t>
            </w:r>
          </w:p>
        </w:tc>
        <w:tc>
          <w:tcPr>
            <w:tcW w:w="1247" w:type="dxa"/>
            <w:vAlign w:val="center"/>
            <w:hideMark/>
          </w:tcPr>
          <w:p w14:paraId="3CC27255" w14:textId="094535F1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1. 11. 2020</w:t>
            </w:r>
          </w:p>
        </w:tc>
        <w:tc>
          <w:tcPr>
            <w:tcW w:w="1191" w:type="dxa"/>
            <w:vAlign w:val="center"/>
            <w:hideMark/>
          </w:tcPr>
          <w:p w14:paraId="0AA8ED8A" w14:textId="0AE763B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28. 2. 2022</w:t>
            </w:r>
          </w:p>
        </w:tc>
        <w:tc>
          <w:tcPr>
            <w:tcW w:w="1531" w:type="dxa"/>
            <w:vAlign w:val="center"/>
            <w:hideMark/>
          </w:tcPr>
          <w:p w14:paraId="0DAD85A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359 307 856,00</w:t>
            </w:r>
          </w:p>
        </w:tc>
        <w:tc>
          <w:tcPr>
            <w:tcW w:w="1531" w:type="dxa"/>
            <w:vAlign w:val="center"/>
            <w:hideMark/>
          </w:tcPr>
          <w:p w14:paraId="54EC1155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305 411 677,00</w:t>
            </w:r>
          </w:p>
        </w:tc>
      </w:tr>
      <w:tr w:rsidR="001E1428" w:rsidRPr="001E1428" w14:paraId="0F6335B4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5C08E7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118" w:type="dxa"/>
            <w:vAlign w:val="center"/>
            <w:hideMark/>
          </w:tcPr>
          <w:p w14:paraId="2725D76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CZ.04.1.40/0.0/0.0/18_053/0000412</w:t>
            </w:r>
          </w:p>
          <w:p w14:paraId="71C4528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Tramvajová smyčka Zahradní Město</w:t>
            </w:r>
          </w:p>
        </w:tc>
        <w:tc>
          <w:tcPr>
            <w:tcW w:w="1417" w:type="dxa"/>
            <w:vAlign w:val="center"/>
            <w:hideMark/>
          </w:tcPr>
          <w:p w14:paraId="139F821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hl. m. Prahy, akciová společnost</w:t>
            </w:r>
          </w:p>
        </w:tc>
        <w:tc>
          <w:tcPr>
            <w:tcW w:w="1247" w:type="dxa"/>
            <w:vAlign w:val="center"/>
            <w:hideMark/>
          </w:tcPr>
          <w:p w14:paraId="694DFC2D" w14:textId="42D80B9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1. 3. 2021</w:t>
            </w:r>
          </w:p>
        </w:tc>
        <w:tc>
          <w:tcPr>
            <w:tcW w:w="1191" w:type="dxa"/>
            <w:vAlign w:val="center"/>
            <w:hideMark/>
          </w:tcPr>
          <w:p w14:paraId="6FD02C0D" w14:textId="5173D4C9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30. 9. 2021</w:t>
            </w:r>
          </w:p>
        </w:tc>
        <w:tc>
          <w:tcPr>
            <w:tcW w:w="1531" w:type="dxa"/>
            <w:vAlign w:val="center"/>
            <w:hideMark/>
          </w:tcPr>
          <w:p w14:paraId="2036E988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113 835 669,00</w:t>
            </w:r>
          </w:p>
        </w:tc>
        <w:tc>
          <w:tcPr>
            <w:tcW w:w="1531" w:type="dxa"/>
            <w:vAlign w:val="center"/>
            <w:hideMark/>
          </w:tcPr>
          <w:p w14:paraId="75A9D527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96 760 318,65</w:t>
            </w:r>
          </w:p>
        </w:tc>
      </w:tr>
      <w:tr w:rsidR="001E1428" w:rsidRPr="001E1428" w14:paraId="4404E4BC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C0FE9A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118" w:type="dxa"/>
            <w:vAlign w:val="center"/>
            <w:hideMark/>
          </w:tcPr>
          <w:p w14:paraId="39843690" w14:textId="4307EFC6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CZ.04.1.40/0.0/0.0/18_053/0000422 Tramvajová trať Sídliště Barrandov-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Holyně-Slivenec (0.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1. etapa)</w:t>
            </w:r>
          </w:p>
        </w:tc>
        <w:tc>
          <w:tcPr>
            <w:tcW w:w="1417" w:type="dxa"/>
            <w:vAlign w:val="center"/>
            <w:hideMark/>
          </w:tcPr>
          <w:p w14:paraId="202E0C7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hl. m. Prahy, akciová společnost</w:t>
            </w:r>
          </w:p>
        </w:tc>
        <w:tc>
          <w:tcPr>
            <w:tcW w:w="1247" w:type="dxa"/>
            <w:vAlign w:val="center"/>
            <w:hideMark/>
          </w:tcPr>
          <w:p w14:paraId="21A08553" w14:textId="23CE6845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15. 3. 2020</w:t>
            </w:r>
          </w:p>
        </w:tc>
        <w:tc>
          <w:tcPr>
            <w:tcW w:w="1191" w:type="dxa"/>
            <w:vAlign w:val="center"/>
            <w:hideMark/>
          </w:tcPr>
          <w:p w14:paraId="26278A0F" w14:textId="7694E6D0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30. 9. 2022</w:t>
            </w:r>
          </w:p>
        </w:tc>
        <w:tc>
          <w:tcPr>
            <w:tcW w:w="1531" w:type="dxa"/>
            <w:vAlign w:val="center"/>
            <w:hideMark/>
          </w:tcPr>
          <w:p w14:paraId="55E8312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232 500 470,70</w:t>
            </w:r>
          </w:p>
        </w:tc>
        <w:tc>
          <w:tcPr>
            <w:tcW w:w="1531" w:type="dxa"/>
            <w:vAlign w:val="center"/>
            <w:hideMark/>
          </w:tcPr>
          <w:p w14:paraId="47B34903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197 625 400,29</w:t>
            </w:r>
          </w:p>
        </w:tc>
      </w:tr>
      <w:tr w:rsidR="001E1428" w:rsidRPr="001E1428" w14:paraId="7706EA5B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0AC7E8A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3118" w:type="dxa"/>
            <w:vAlign w:val="center"/>
            <w:hideMark/>
          </w:tcPr>
          <w:p w14:paraId="3235E94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CZ.04.1.40/0.0/0.0/18_054/0000408 Rekonstrukce vozovny tramvají Slovany, Plzeň</w:t>
            </w:r>
          </w:p>
        </w:tc>
        <w:tc>
          <w:tcPr>
            <w:tcW w:w="1417" w:type="dxa"/>
            <w:vAlign w:val="center"/>
            <w:hideMark/>
          </w:tcPr>
          <w:p w14:paraId="5943E82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Plzeňské městské dopravní podniky, a.s.</w:t>
            </w:r>
          </w:p>
        </w:tc>
        <w:tc>
          <w:tcPr>
            <w:tcW w:w="1247" w:type="dxa"/>
            <w:vAlign w:val="center"/>
            <w:hideMark/>
          </w:tcPr>
          <w:p w14:paraId="1D2D9D9F" w14:textId="2BA0F9D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1. 7. 2020</w:t>
            </w:r>
          </w:p>
        </w:tc>
        <w:tc>
          <w:tcPr>
            <w:tcW w:w="1191" w:type="dxa"/>
            <w:vAlign w:val="center"/>
            <w:hideMark/>
          </w:tcPr>
          <w:p w14:paraId="7A04AFD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31. 12. 2022</w:t>
            </w:r>
          </w:p>
        </w:tc>
        <w:tc>
          <w:tcPr>
            <w:tcW w:w="1531" w:type="dxa"/>
            <w:vAlign w:val="center"/>
            <w:hideMark/>
          </w:tcPr>
          <w:p w14:paraId="20DB4F4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847 696 471,00</w:t>
            </w:r>
          </w:p>
        </w:tc>
        <w:tc>
          <w:tcPr>
            <w:tcW w:w="1531" w:type="dxa"/>
            <w:vAlign w:val="center"/>
            <w:hideMark/>
          </w:tcPr>
          <w:p w14:paraId="187C63A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720 542 000,00</w:t>
            </w:r>
          </w:p>
        </w:tc>
      </w:tr>
      <w:tr w:rsidR="001E1428" w:rsidRPr="001E1428" w14:paraId="5890AF35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5F59A13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3118" w:type="dxa"/>
            <w:vAlign w:val="center"/>
            <w:hideMark/>
          </w:tcPr>
          <w:p w14:paraId="0C8A941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CZ.04.1.40/0.0/0.0/18_055/0000326 Prodloužení tramvajové trati z Osové ke Kampusu MU v Bohunicích</w:t>
            </w:r>
          </w:p>
        </w:tc>
        <w:tc>
          <w:tcPr>
            <w:tcW w:w="1417" w:type="dxa"/>
            <w:vAlign w:val="center"/>
            <w:hideMark/>
          </w:tcPr>
          <w:p w14:paraId="3B5F4F4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Brna, a.s.</w:t>
            </w:r>
          </w:p>
        </w:tc>
        <w:tc>
          <w:tcPr>
            <w:tcW w:w="1247" w:type="dxa"/>
            <w:vAlign w:val="center"/>
            <w:hideMark/>
          </w:tcPr>
          <w:p w14:paraId="52704CD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12. 10. 2015</w:t>
            </w:r>
          </w:p>
        </w:tc>
        <w:tc>
          <w:tcPr>
            <w:tcW w:w="1191" w:type="dxa"/>
            <w:vAlign w:val="center"/>
            <w:hideMark/>
          </w:tcPr>
          <w:p w14:paraId="394111A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17. 12. 2022</w:t>
            </w:r>
          </w:p>
        </w:tc>
        <w:tc>
          <w:tcPr>
            <w:tcW w:w="1531" w:type="dxa"/>
            <w:vAlign w:val="center"/>
            <w:hideMark/>
          </w:tcPr>
          <w:p w14:paraId="104FE275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1 362 239 493,00</w:t>
            </w:r>
          </w:p>
        </w:tc>
        <w:tc>
          <w:tcPr>
            <w:tcW w:w="1531" w:type="dxa"/>
            <w:vAlign w:val="center"/>
            <w:hideMark/>
          </w:tcPr>
          <w:p w14:paraId="63AF565A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1 157 903 569,05</w:t>
            </w:r>
          </w:p>
        </w:tc>
      </w:tr>
      <w:tr w:rsidR="001E1428" w:rsidRPr="001E1428" w14:paraId="2BB1F094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19E6F6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3118" w:type="dxa"/>
            <w:vAlign w:val="center"/>
            <w:hideMark/>
          </w:tcPr>
          <w:p w14:paraId="76249283" w14:textId="343C2C15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CZ.04.1.40/0.0/0.0/18_055/0000397 Modernizace a rozšíření tramvajové vozovny Pisárky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II. etapa</w:t>
            </w:r>
          </w:p>
        </w:tc>
        <w:tc>
          <w:tcPr>
            <w:tcW w:w="1417" w:type="dxa"/>
            <w:vAlign w:val="center"/>
            <w:hideMark/>
          </w:tcPr>
          <w:p w14:paraId="7415B27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Brna, a.s.</w:t>
            </w:r>
          </w:p>
        </w:tc>
        <w:tc>
          <w:tcPr>
            <w:tcW w:w="1247" w:type="dxa"/>
            <w:vAlign w:val="center"/>
            <w:hideMark/>
          </w:tcPr>
          <w:p w14:paraId="7F6C30E8" w14:textId="75010BE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24. 9. 2018</w:t>
            </w:r>
          </w:p>
        </w:tc>
        <w:tc>
          <w:tcPr>
            <w:tcW w:w="1191" w:type="dxa"/>
            <w:vAlign w:val="center"/>
            <w:hideMark/>
          </w:tcPr>
          <w:p w14:paraId="749D1E9A" w14:textId="25F3EC56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31. 8. 2020</w:t>
            </w:r>
          </w:p>
        </w:tc>
        <w:tc>
          <w:tcPr>
            <w:tcW w:w="1531" w:type="dxa"/>
            <w:vAlign w:val="center"/>
            <w:hideMark/>
          </w:tcPr>
          <w:p w14:paraId="4AABF08E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413 458 395,00</w:t>
            </w:r>
          </w:p>
        </w:tc>
        <w:tc>
          <w:tcPr>
            <w:tcW w:w="1531" w:type="dxa"/>
            <w:vAlign w:val="center"/>
            <w:hideMark/>
          </w:tcPr>
          <w:p w14:paraId="4138661B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351 439 635,75</w:t>
            </w:r>
          </w:p>
        </w:tc>
      </w:tr>
      <w:tr w:rsidR="001E1428" w:rsidRPr="001E1428" w14:paraId="765E421C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4671E4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3118" w:type="dxa"/>
            <w:vAlign w:val="center"/>
            <w:hideMark/>
          </w:tcPr>
          <w:p w14:paraId="630172B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CZ.04.1.40/0.0/0.0/18_055/0000398 Posílení napájení oblasti </w:t>
            </w:r>
            <w:proofErr w:type="spell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Netroufalky</w:t>
            </w:r>
            <w:proofErr w:type="spellEnd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pro elektrickou trakci</w:t>
            </w:r>
          </w:p>
        </w:tc>
        <w:tc>
          <w:tcPr>
            <w:tcW w:w="1417" w:type="dxa"/>
            <w:vAlign w:val="center"/>
            <w:hideMark/>
          </w:tcPr>
          <w:p w14:paraId="4999D58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Brna, a.s.</w:t>
            </w:r>
          </w:p>
        </w:tc>
        <w:tc>
          <w:tcPr>
            <w:tcW w:w="1247" w:type="dxa"/>
            <w:vAlign w:val="center"/>
            <w:hideMark/>
          </w:tcPr>
          <w:p w14:paraId="2DA18518" w14:textId="66F85F2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25. 7. 2018</w:t>
            </w:r>
          </w:p>
        </w:tc>
        <w:tc>
          <w:tcPr>
            <w:tcW w:w="1191" w:type="dxa"/>
            <w:vAlign w:val="center"/>
            <w:hideMark/>
          </w:tcPr>
          <w:p w14:paraId="287BB68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30. 11. 2020</w:t>
            </w:r>
          </w:p>
        </w:tc>
        <w:tc>
          <w:tcPr>
            <w:tcW w:w="1531" w:type="dxa"/>
            <w:vAlign w:val="center"/>
            <w:hideMark/>
          </w:tcPr>
          <w:p w14:paraId="2D15ED2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84 349 762,00</w:t>
            </w:r>
          </w:p>
        </w:tc>
        <w:tc>
          <w:tcPr>
            <w:tcW w:w="1531" w:type="dxa"/>
            <w:vAlign w:val="center"/>
            <w:hideMark/>
          </w:tcPr>
          <w:p w14:paraId="3D36B22D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71 697 297,70</w:t>
            </w:r>
          </w:p>
        </w:tc>
      </w:tr>
      <w:tr w:rsidR="001E1428" w:rsidRPr="001E1428" w14:paraId="791F92E5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91B1D3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3118" w:type="dxa"/>
            <w:vAlign w:val="center"/>
            <w:hideMark/>
          </w:tcPr>
          <w:p w14:paraId="403D8AB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CZ.04.1.40/0.0/0.0/18_056/0000402 Měnírna Fibichova</w:t>
            </w:r>
          </w:p>
        </w:tc>
        <w:tc>
          <w:tcPr>
            <w:tcW w:w="1417" w:type="dxa"/>
            <w:vAlign w:val="center"/>
            <w:hideMark/>
          </w:tcPr>
          <w:p w14:paraId="1400963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Olomouce, a.s.</w:t>
            </w:r>
          </w:p>
        </w:tc>
        <w:tc>
          <w:tcPr>
            <w:tcW w:w="1247" w:type="dxa"/>
            <w:vAlign w:val="center"/>
            <w:hideMark/>
          </w:tcPr>
          <w:p w14:paraId="758F3A67" w14:textId="518D5B41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2. 1. 2021</w:t>
            </w:r>
          </w:p>
        </w:tc>
        <w:tc>
          <w:tcPr>
            <w:tcW w:w="1191" w:type="dxa"/>
            <w:vAlign w:val="center"/>
            <w:hideMark/>
          </w:tcPr>
          <w:p w14:paraId="12C088B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31. 12. 2021</w:t>
            </w:r>
          </w:p>
        </w:tc>
        <w:tc>
          <w:tcPr>
            <w:tcW w:w="1531" w:type="dxa"/>
            <w:vAlign w:val="center"/>
            <w:hideMark/>
          </w:tcPr>
          <w:p w14:paraId="7F4A964B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52 257 103,35</w:t>
            </w:r>
          </w:p>
        </w:tc>
        <w:tc>
          <w:tcPr>
            <w:tcW w:w="1531" w:type="dxa"/>
            <w:vAlign w:val="center"/>
            <w:hideMark/>
          </w:tcPr>
          <w:p w14:paraId="6B74C11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44 418 537,84</w:t>
            </w:r>
          </w:p>
        </w:tc>
      </w:tr>
      <w:tr w:rsidR="001E1428" w:rsidRPr="001E1428" w14:paraId="2CDE4429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B5366C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3118" w:type="dxa"/>
            <w:vAlign w:val="center"/>
            <w:hideMark/>
          </w:tcPr>
          <w:p w14:paraId="599AEFC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CZ.04.1.40/0.0/0.0/18_056/0000403 Měnírna Západ</w:t>
            </w:r>
          </w:p>
        </w:tc>
        <w:tc>
          <w:tcPr>
            <w:tcW w:w="1417" w:type="dxa"/>
            <w:vAlign w:val="center"/>
            <w:hideMark/>
          </w:tcPr>
          <w:p w14:paraId="27ED9F6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Olomouce, a.s.</w:t>
            </w:r>
          </w:p>
        </w:tc>
        <w:tc>
          <w:tcPr>
            <w:tcW w:w="1247" w:type="dxa"/>
            <w:vAlign w:val="center"/>
            <w:hideMark/>
          </w:tcPr>
          <w:p w14:paraId="6209F548" w14:textId="796906C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2. 1. 2021</w:t>
            </w:r>
          </w:p>
        </w:tc>
        <w:tc>
          <w:tcPr>
            <w:tcW w:w="1191" w:type="dxa"/>
            <w:vAlign w:val="center"/>
            <w:hideMark/>
          </w:tcPr>
          <w:p w14:paraId="3313BF72" w14:textId="2495367F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30. 6. 2022</w:t>
            </w:r>
          </w:p>
        </w:tc>
        <w:tc>
          <w:tcPr>
            <w:tcW w:w="1531" w:type="dxa"/>
            <w:vAlign w:val="center"/>
            <w:hideMark/>
          </w:tcPr>
          <w:p w14:paraId="17A44EA9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56 662 790,63</w:t>
            </w:r>
          </w:p>
        </w:tc>
        <w:tc>
          <w:tcPr>
            <w:tcW w:w="1531" w:type="dxa"/>
            <w:vAlign w:val="center"/>
            <w:hideMark/>
          </w:tcPr>
          <w:p w14:paraId="156A5F7F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48 163 372,03</w:t>
            </w:r>
          </w:p>
        </w:tc>
      </w:tr>
      <w:tr w:rsidR="001E1428" w:rsidRPr="001E1428" w14:paraId="7D16EA12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5E9952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3118" w:type="dxa"/>
            <w:vAlign w:val="center"/>
            <w:hideMark/>
          </w:tcPr>
          <w:p w14:paraId="4D0B3B0D" w14:textId="4F9948DF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CZ.04.1.40/0.0/0.0/18_056/0000415 Tramvajová trať II.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etapa Nové Sady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Povel a Odstavy tramvají Jeremenkova</w:t>
            </w:r>
          </w:p>
        </w:tc>
        <w:tc>
          <w:tcPr>
            <w:tcW w:w="1417" w:type="dxa"/>
            <w:vAlign w:val="center"/>
            <w:hideMark/>
          </w:tcPr>
          <w:p w14:paraId="42E54BA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Olomouc</w:t>
            </w:r>
          </w:p>
        </w:tc>
        <w:tc>
          <w:tcPr>
            <w:tcW w:w="1247" w:type="dxa"/>
            <w:vAlign w:val="center"/>
            <w:hideMark/>
          </w:tcPr>
          <w:p w14:paraId="7194D92D" w14:textId="25E792A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2. 3. 2020</w:t>
            </w:r>
          </w:p>
        </w:tc>
        <w:tc>
          <w:tcPr>
            <w:tcW w:w="1191" w:type="dxa"/>
            <w:vAlign w:val="center"/>
            <w:hideMark/>
          </w:tcPr>
          <w:p w14:paraId="765C8F6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30. 11. 2022</w:t>
            </w:r>
          </w:p>
        </w:tc>
        <w:tc>
          <w:tcPr>
            <w:tcW w:w="1531" w:type="dxa"/>
            <w:vAlign w:val="center"/>
            <w:hideMark/>
          </w:tcPr>
          <w:p w14:paraId="57F7410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757 712 758,00</w:t>
            </w:r>
          </w:p>
        </w:tc>
        <w:tc>
          <w:tcPr>
            <w:tcW w:w="1531" w:type="dxa"/>
            <w:vAlign w:val="center"/>
            <w:hideMark/>
          </w:tcPr>
          <w:p w14:paraId="4385BFAB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644 055 844,30</w:t>
            </w:r>
          </w:p>
        </w:tc>
      </w:tr>
      <w:tr w:rsidR="001E1428" w:rsidRPr="001E1428" w14:paraId="6457BFF9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31EA46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3118" w:type="dxa"/>
            <w:vAlign w:val="center"/>
            <w:hideMark/>
          </w:tcPr>
          <w:p w14:paraId="79960AF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CZ.04.1.40/0.0/0.0/18_057/0000381</w:t>
            </w:r>
          </w:p>
          <w:p w14:paraId="0C2F6FD7" w14:textId="369151A4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ITI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– 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Modernizace trakčních měníren DPO</w:t>
            </w:r>
          </w:p>
        </w:tc>
        <w:tc>
          <w:tcPr>
            <w:tcW w:w="1417" w:type="dxa"/>
            <w:vAlign w:val="center"/>
            <w:hideMark/>
          </w:tcPr>
          <w:p w14:paraId="12E230F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247" w:type="dxa"/>
            <w:vAlign w:val="center"/>
            <w:hideMark/>
          </w:tcPr>
          <w:p w14:paraId="0A7C8357" w14:textId="510947D0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1. 5. 2018</w:t>
            </w:r>
          </w:p>
        </w:tc>
        <w:tc>
          <w:tcPr>
            <w:tcW w:w="1191" w:type="dxa"/>
            <w:vAlign w:val="center"/>
            <w:hideMark/>
          </w:tcPr>
          <w:p w14:paraId="65C768C2" w14:textId="24883CB4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30. 9. 2021</w:t>
            </w:r>
          </w:p>
        </w:tc>
        <w:tc>
          <w:tcPr>
            <w:tcW w:w="1531" w:type="dxa"/>
            <w:vAlign w:val="center"/>
            <w:hideMark/>
          </w:tcPr>
          <w:p w14:paraId="2E0AD79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113 344 332,19</w:t>
            </w:r>
          </w:p>
        </w:tc>
        <w:tc>
          <w:tcPr>
            <w:tcW w:w="1531" w:type="dxa"/>
            <w:vAlign w:val="center"/>
            <w:hideMark/>
          </w:tcPr>
          <w:p w14:paraId="70FE3C2F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96 342 682,36</w:t>
            </w:r>
          </w:p>
        </w:tc>
      </w:tr>
      <w:tr w:rsidR="001E1428" w:rsidRPr="001E1428" w14:paraId="3BFE78C6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56C98B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3118" w:type="dxa"/>
            <w:vAlign w:val="center"/>
            <w:hideMark/>
          </w:tcPr>
          <w:p w14:paraId="022A5AA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CZ.04.1.40/0.0/0.0/18_057/0000399</w:t>
            </w:r>
          </w:p>
          <w:p w14:paraId="2DE378EE" w14:textId="0E78625D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ITI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– 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Zvyšování rychlosti tramvajové dopravy v DPO</w:t>
            </w:r>
          </w:p>
        </w:tc>
        <w:tc>
          <w:tcPr>
            <w:tcW w:w="1417" w:type="dxa"/>
            <w:vAlign w:val="center"/>
            <w:hideMark/>
          </w:tcPr>
          <w:p w14:paraId="0AA2FCE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247" w:type="dxa"/>
            <w:vAlign w:val="center"/>
            <w:hideMark/>
          </w:tcPr>
          <w:p w14:paraId="29CD34D6" w14:textId="6692BE5C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2. 4. 2019</w:t>
            </w:r>
          </w:p>
        </w:tc>
        <w:tc>
          <w:tcPr>
            <w:tcW w:w="1191" w:type="dxa"/>
            <w:vAlign w:val="center"/>
            <w:hideMark/>
          </w:tcPr>
          <w:p w14:paraId="4070C671" w14:textId="5AF3156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30. 8. 2022</w:t>
            </w:r>
          </w:p>
        </w:tc>
        <w:tc>
          <w:tcPr>
            <w:tcW w:w="1531" w:type="dxa"/>
            <w:vAlign w:val="center"/>
            <w:hideMark/>
          </w:tcPr>
          <w:p w14:paraId="4179A894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180 829 894,72</w:t>
            </w:r>
          </w:p>
        </w:tc>
        <w:tc>
          <w:tcPr>
            <w:tcW w:w="1531" w:type="dxa"/>
            <w:vAlign w:val="center"/>
            <w:hideMark/>
          </w:tcPr>
          <w:p w14:paraId="73451333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153 705 410,51</w:t>
            </w:r>
          </w:p>
        </w:tc>
      </w:tr>
      <w:tr w:rsidR="001E1428" w:rsidRPr="001E1428" w14:paraId="2A59AC07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2C6C177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3118" w:type="dxa"/>
            <w:vAlign w:val="center"/>
            <w:hideMark/>
          </w:tcPr>
          <w:p w14:paraId="49CD6B1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CZ.04.1.40/0.0/0.0/18_057/0000401 Rekonstrukce a modernizace technologického vybavení měníren Čajkovského a </w:t>
            </w:r>
            <w:proofErr w:type="spell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Kylešovská</w:t>
            </w:r>
            <w:proofErr w:type="spellEnd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a vlastních objektů měníren</w:t>
            </w:r>
          </w:p>
        </w:tc>
        <w:tc>
          <w:tcPr>
            <w:tcW w:w="1417" w:type="dxa"/>
            <w:vAlign w:val="center"/>
            <w:hideMark/>
          </w:tcPr>
          <w:p w14:paraId="68929EB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Městský dopravní podnik Opava, a.s.</w:t>
            </w:r>
          </w:p>
        </w:tc>
        <w:tc>
          <w:tcPr>
            <w:tcW w:w="1247" w:type="dxa"/>
            <w:vAlign w:val="center"/>
            <w:hideMark/>
          </w:tcPr>
          <w:p w14:paraId="5BE0676A" w14:textId="5B40E81A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1. 11. 2020</w:t>
            </w:r>
          </w:p>
        </w:tc>
        <w:tc>
          <w:tcPr>
            <w:tcW w:w="1191" w:type="dxa"/>
            <w:vAlign w:val="center"/>
            <w:hideMark/>
          </w:tcPr>
          <w:p w14:paraId="4AEC3489" w14:textId="2803CF3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28. 2. 2022</w:t>
            </w:r>
          </w:p>
        </w:tc>
        <w:tc>
          <w:tcPr>
            <w:tcW w:w="1531" w:type="dxa"/>
            <w:vAlign w:val="center"/>
            <w:hideMark/>
          </w:tcPr>
          <w:p w14:paraId="62A83C3E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17 502 717,27</w:t>
            </w:r>
          </w:p>
        </w:tc>
        <w:tc>
          <w:tcPr>
            <w:tcW w:w="1531" w:type="dxa"/>
            <w:vAlign w:val="center"/>
            <w:hideMark/>
          </w:tcPr>
          <w:p w14:paraId="6B1BF38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14 877 309,67</w:t>
            </w:r>
          </w:p>
        </w:tc>
      </w:tr>
      <w:tr w:rsidR="001E1428" w:rsidRPr="001E1428" w14:paraId="74583A88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D294E4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3118" w:type="dxa"/>
            <w:vAlign w:val="center"/>
            <w:hideMark/>
          </w:tcPr>
          <w:p w14:paraId="44ADBDE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CZ.04.1.40/0.0/0.0/18_057/0000419</w:t>
            </w:r>
          </w:p>
          <w:p w14:paraId="585C4B1F" w14:textId="4F864B34" w:rsidR="001E1428" w:rsidRPr="001E1428" w:rsidRDefault="005E0EEC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1E1428"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TI </w:t>
            </w: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="001E1428"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Modernizace tramvajových tratí DPO</w:t>
            </w:r>
          </w:p>
        </w:tc>
        <w:tc>
          <w:tcPr>
            <w:tcW w:w="1417" w:type="dxa"/>
            <w:vAlign w:val="center"/>
            <w:hideMark/>
          </w:tcPr>
          <w:p w14:paraId="67BAC12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247" w:type="dxa"/>
            <w:vAlign w:val="center"/>
            <w:hideMark/>
          </w:tcPr>
          <w:p w14:paraId="029197D2" w14:textId="261AF71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1. 5. 2020</w:t>
            </w:r>
          </w:p>
        </w:tc>
        <w:tc>
          <w:tcPr>
            <w:tcW w:w="1191" w:type="dxa"/>
            <w:vAlign w:val="center"/>
            <w:hideMark/>
          </w:tcPr>
          <w:p w14:paraId="2679F6C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31. 12. 2022</w:t>
            </w:r>
          </w:p>
        </w:tc>
        <w:tc>
          <w:tcPr>
            <w:tcW w:w="1531" w:type="dxa"/>
            <w:vAlign w:val="center"/>
            <w:hideMark/>
          </w:tcPr>
          <w:p w14:paraId="2FFE1A6D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492 373 775,13</w:t>
            </w:r>
          </w:p>
        </w:tc>
        <w:tc>
          <w:tcPr>
            <w:tcW w:w="1531" w:type="dxa"/>
            <w:vAlign w:val="center"/>
            <w:hideMark/>
          </w:tcPr>
          <w:p w14:paraId="42488D0E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418 517 708,86</w:t>
            </w:r>
          </w:p>
        </w:tc>
      </w:tr>
      <w:tr w:rsidR="001E1428" w:rsidRPr="001E1428" w14:paraId="644D80F6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7CA7B8C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3118" w:type="dxa"/>
            <w:vAlign w:val="center"/>
            <w:hideMark/>
          </w:tcPr>
          <w:p w14:paraId="2DF2ABB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CZ.04.1.40/0.0/0.0/18_058/0000361</w:t>
            </w:r>
          </w:p>
          <w:p w14:paraId="51B236B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Výměna technologie usměrňovacích skupin a stejnosměrného rozvodu 660</w:t>
            </w:r>
            <w:r w:rsidR="0024687F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V</w:t>
            </w:r>
          </w:p>
        </w:tc>
        <w:tc>
          <w:tcPr>
            <w:tcW w:w="1417" w:type="dxa"/>
            <w:vAlign w:val="center"/>
            <w:hideMark/>
          </w:tcPr>
          <w:p w14:paraId="3CE9DCE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Ústí nad Labem a.s.</w:t>
            </w:r>
          </w:p>
        </w:tc>
        <w:tc>
          <w:tcPr>
            <w:tcW w:w="1247" w:type="dxa"/>
            <w:vAlign w:val="center"/>
            <w:hideMark/>
          </w:tcPr>
          <w:p w14:paraId="72CC5C43" w14:textId="2E1F580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1. 10. 2019</w:t>
            </w:r>
          </w:p>
        </w:tc>
        <w:tc>
          <w:tcPr>
            <w:tcW w:w="1191" w:type="dxa"/>
            <w:vAlign w:val="center"/>
            <w:hideMark/>
          </w:tcPr>
          <w:p w14:paraId="24FC681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31. 10. 2021</w:t>
            </w:r>
          </w:p>
        </w:tc>
        <w:tc>
          <w:tcPr>
            <w:tcW w:w="1531" w:type="dxa"/>
            <w:vAlign w:val="center"/>
            <w:hideMark/>
          </w:tcPr>
          <w:p w14:paraId="0231BD48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46 255 000,00</w:t>
            </w:r>
          </w:p>
        </w:tc>
        <w:tc>
          <w:tcPr>
            <w:tcW w:w="1531" w:type="dxa"/>
            <w:vAlign w:val="center"/>
            <w:hideMark/>
          </w:tcPr>
          <w:p w14:paraId="493729DB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35 451 912,00</w:t>
            </w:r>
          </w:p>
        </w:tc>
      </w:tr>
      <w:tr w:rsidR="001E1428" w:rsidRPr="001E1428" w14:paraId="25B24443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0C595C6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3118" w:type="dxa"/>
            <w:vAlign w:val="center"/>
            <w:hideMark/>
          </w:tcPr>
          <w:p w14:paraId="5B397DC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CZ.04.1.40/0.0/0.0/18_058/0000365</w:t>
            </w:r>
          </w:p>
          <w:p w14:paraId="479B3042" w14:textId="12EB17B3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Modernizace a rekonstrukce tramvajové trati </w:t>
            </w:r>
            <w:proofErr w:type="gram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Most</w:t>
            </w:r>
            <w:proofErr w:type="gramEnd"/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proofErr w:type="gramStart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Litvínov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27971C3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 Mostu a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Litvínova, a.s.</w:t>
            </w:r>
          </w:p>
        </w:tc>
        <w:tc>
          <w:tcPr>
            <w:tcW w:w="1247" w:type="dxa"/>
            <w:vAlign w:val="center"/>
            <w:hideMark/>
          </w:tcPr>
          <w:p w14:paraId="6B21FAFD" w14:textId="538714CC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3. 2. 2020</w:t>
            </w:r>
          </w:p>
        </w:tc>
        <w:tc>
          <w:tcPr>
            <w:tcW w:w="1191" w:type="dxa"/>
            <w:vAlign w:val="center"/>
            <w:hideMark/>
          </w:tcPr>
          <w:p w14:paraId="11A69EA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31. 12. 2021</w:t>
            </w:r>
          </w:p>
        </w:tc>
        <w:tc>
          <w:tcPr>
            <w:tcW w:w="1531" w:type="dxa"/>
            <w:vAlign w:val="center"/>
            <w:hideMark/>
          </w:tcPr>
          <w:p w14:paraId="4021C92F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566 399 260,00</w:t>
            </w:r>
          </w:p>
        </w:tc>
        <w:tc>
          <w:tcPr>
            <w:tcW w:w="1531" w:type="dxa"/>
            <w:vAlign w:val="center"/>
            <w:hideMark/>
          </w:tcPr>
          <w:p w14:paraId="6B2FD95A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468 103 500,00</w:t>
            </w:r>
          </w:p>
        </w:tc>
      </w:tr>
      <w:tr w:rsidR="001E1428" w:rsidRPr="001E1428" w14:paraId="6444A3CA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2F18DD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3118" w:type="dxa"/>
            <w:vAlign w:val="center"/>
            <w:hideMark/>
          </w:tcPr>
          <w:p w14:paraId="47DB403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CZ.04.1.40/0.0/0.0/18_058/0000366 Rozšíření a modernizace trolejbusových tratí Teplice</w:t>
            </w:r>
          </w:p>
        </w:tc>
        <w:tc>
          <w:tcPr>
            <w:tcW w:w="1417" w:type="dxa"/>
            <w:vAlign w:val="center"/>
            <w:hideMark/>
          </w:tcPr>
          <w:p w14:paraId="413BEA1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Teplice</w:t>
            </w:r>
          </w:p>
        </w:tc>
        <w:tc>
          <w:tcPr>
            <w:tcW w:w="1247" w:type="dxa"/>
            <w:vAlign w:val="center"/>
            <w:hideMark/>
          </w:tcPr>
          <w:p w14:paraId="328FE885" w14:textId="25177973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1. 3. 2020</w:t>
            </w:r>
          </w:p>
        </w:tc>
        <w:tc>
          <w:tcPr>
            <w:tcW w:w="1191" w:type="dxa"/>
            <w:vAlign w:val="center"/>
            <w:hideMark/>
          </w:tcPr>
          <w:p w14:paraId="55D7F55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31. 12. 2021</w:t>
            </w:r>
          </w:p>
        </w:tc>
        <w:tc>
          <w:tcPr>
            <w:tcW w:w="1531" w:type="dxa"/>
            <w:vAlign w:val="center"/>
            <w:hideMark/>
          </w:tcPr>
          <w:p w14:paraId="58EB8E8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46 286 711,81</w:t>
            </w:r>
          </w:p>
        </w:tc>
        <w:tc>
          <w:tcPr>
            <w:tcW w:w="1531" w:type="dxa"/>
            <w:vAlign w:val="center"/>
            <w:hideMark/>
          </w:tcPr>
          <w:p w14:paraId="5FC6AF6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39 343 705,03</w:t>
            </w:r>
          </w:p>
        </w:tc>
      </w:tr>
      <w:tr w:rsidR="001E1428" w:rsidRPr="001E1428" w14:paraId="4BCCF6CA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84C694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3118" w:type="dxa"/>
            <w:vAlign w:val="center"/>
            <w:hideMark/>
          </w:tcPr>
          <w:p w14:paraId="666EB98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CZ.04.1.40/0.0/0.0/18_059/0000358</w:t>
            </w:r>
          </w:p>
          <w:p w14:paraId="40D064D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Trolejbusová trať Pod Strání</w:t>
            </w:r>
          </w:p>
        </w:tc>
        <w:tc>
          <w:tcPr>
            <w:tcW w:w="1417" w:type="dxa"/>
            <w:vAlign w:val="center"/>
            <w:hideMark/>
          </w:tcPr>
          <w:p w14:paraId="15BA063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Hradce Králové, a.s.</w:t>
            </w:r>
          </w:p>
        </w:tc>
        <w:tc>
          <w:tcPr>
            <w:tcW w:w="1247" w:type="dxa"/>
            <w:vAlign w:val="center"/>
            <w:hideMark/>
          </w:tcPr>
          <w:p w14:paraId="1C8D51F6" w14:textId="1209EB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27. 6. 2018</w:t>
            </w:r>
          </w:p>
        </w:tc>
        <w:tc>
          <w:tcPr>
            <w:tcW w:w="1191" w:type="dxa"/>
            <w:vAlign w:val="center"/>
            <w:hideMark/>
          </w:tcPr>
          <w:p w14:paraId="748E060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31. 12. 2019</w:t>
            </w:r>
          </w:p>
        </w:tc>
        <w:tc>
          <w:tcPr>
            <w:tcW w:w="1531" w:type="dxa"/>
            <w:vAlign w:val="center"/>
            <w:hideMark/>
          </w:tcPr>
          <w:p w14:paraId="07896B0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12 025 000,00</w:t>
            </w:r>
          </w:p>
        </w:tc>
        <w:tc>
          <w:tcPr>
            <w:tcW w:w="1531" w:type="dxa"/>
            <w:vAlign w:val="center"/>
            <w:hideMark/>
          </w:tcPr>
          <w:p w14:paraId="3DDC69A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10 221 250,00</w:t>
            </w:r>
          </w:p>
        </w:tc>
      </w:tr>
      <w:tr w:rsidR="001E1428" w:rsidRPr="001E1428" w14:paraId="2EA32185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124912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3118" w:type="dxa"/>
            <w:vAlign w:val="center"/>
            <w:hideMark/>
          </w:tcPr>
          <w:p w14:paraId="42E162F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CZ.04.1.40/0.0/0.0/18_059/0000362 Výstavba měnírny na konečné MHD Cihelna v Hradci Králové</w:t>
            </w:r>
          </w:p>
        </w:tc>
        <w:tc>
          <w:tcPr>
            <w:tcW w:w="1417" w:type="dxa"/>
            <w:vAlign w:val="center"/>
            <w:hideMark/>
          </w:tcPr>
          <w:p w14:paraId="5B9EFA8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Hradce Králové, a.s.</w:t>
            </w:r>
          </w:p>
        </w:tc>
        <w:tc>
          <w:tcPr>
            <w:tcW w:w="1247" w:type="dxa"/>
            <w:vAlign w:val="center"/>
            <w:hideMark/>
          </w:tcPr>
          <w:p w14:paraId="7CFE8BA5" w14:textId="25454D0E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17. 8. 2018</w:t>
            </w:r>
          </w:p>
        </w:tc>
        <w:tc>
          <w:tcPr>
            <w:tcW w:w="1191" w:type="dxa"/>
            <w:vAlign w:val="center"/>
            <w:hideMark/>
          </w:tcPr>
          <w:p w14:paraId="4C40416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31. 12. 2019</w:t>
            </w:r>
          </w:p>
        </w:tc>
        <w:tc>
          <w:tcPr>
            <w:tcW w:w="1531" w:type="dxa"/>
            <w:vAlign w:val="center"/>
            <w:hideMark/>
          </w:tcPr>
          <w:p w14:paraId="581943F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5 733 875,18</w:t>
            </w:r>
          </w:p>
        </w:tc>
        <w:tc>
          <w:tcPr>
            <w:tcW w:w="1531" w:type="dxa"/>
            <w:vAlign w:val="center"/>
            <w:hideMark/>
          </w:tcPr>
          <w:p w14:paraId="5C511BC4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4 873 793,90</w:t>
            </w:r>
          </w:p>
        </w:tc>
      </w:tr>
      <w:tr w:rsidR="001E1428" w:rsidRPr="001E1428" w14:paraId="4D904E9A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4349B3B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3118" w:type="dxa"/>
            <w:vAlign w:val="center"/>
            <w:hideMark/>
          </w:tcPr>
          <w:p w14:paraId="7D7F9F5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CZ.04.1.40/0.0/0.0/18_059/0000407 Modernizace měnírny Nový Hradec Králové</w:t>
            </w:r>
          </w:p>
        </w:tc>
        <w:tc>
          <w:tcPr>
            <w:tcW w:w="1417" w:type="dxa"/>
            <w:vAlign w:val="center"/>
            <w:hideMark/>
          </w:tcPr>
          <w:p w14:paraId="241080C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Hradce Králové, a.s.</w:t>
            </w:r>
          </w:p>
        </w:tc>
        <w:tc>
          <w:tcPr>
            <w:tcW w:w="1247" w:type="dxa"/>
            <w:vAlign w:val="center"/>
            <w:hideMark/>
          </w:tcPr>
          <w:p w14:paraId="28285623" w14:textId="6DD3EFE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1. 4. 2021</w:t>
            </w:r>
          </w:p>
        </w:tc>
        <w:tc>
          <w:tcPr>
            <w:tcW w:w="1191" w:type="dxa"/>
            <w:vAlign w:val="center"/>
            <w:hideMark/>
          </w:tcPr>
          <w:p w14:paraId="2E7D5761" w14:textId="67C7AA7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31. 8. 2021</w:t>
            </w:r>
          </w:p>
        </w:tc>
        <w:tc>
          <w:tcPr>
            <w:tcW w:w="1531" w:type="dxa"/>
            <w:vAlign w:val="center"/>
            <w:hideMark/>
          </w:tcPr>
          <w:p w14:paraId="198DF5D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20 655 000,00</w:t>
            </w:r>
          </w:p>
        </w:tc>
        <w:tc>
          <w:tcPr>
            <w:tcW w:w="1531" w:type="dxa"/>
            <w:vAlign w:val="center"/>
            <w:hideMark/>
          </w:tcPr>
          <w:p w14:paraId="761CE529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17 556 750,00</w:t>
            </w:r>
          </w:p>
        </w:tc>
      </w:tr>
      <w:tr w:rsidR="001E1428" w:rsidRPr="001E1428" w14:paraId="418DC2A8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4245BC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3118" w:type="dxa"/>
            <w:vAlign w:val="center"/>
            <w:hideMark/>
          </w:tcPr>
          <w:p w14:paraId="71E11E4E" w14:textId="06FE702E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CZ.04.1.40/0.0/0.0/18_059/0000424 Trolejbusová trať Dukla, vozovna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Hlavní nádraží</w:t>
            </w:r>
          </w:p>
        </w:tc>
        <w:tc>
          <w:tcPr>
            <w:tcW w:w="1417" w:type="dxa"/>
            <w:vAlign w:val="center"/>
            <w:hideMark/>
          </w:tcPr>
          <w:p w14:paraId="645487B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247" w:type="dxa"/>
            <w:vAlign w:val="center"/>
            <w:hideMark/>
          </w:tcPr>
          <w:p w14:paraId="19E6D77D" w14:textId="773E04D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1. 4. 2021</w:t>
            </w:r>
          </w:p>
        </w:tc>
        <w:tc>
          <w:tcPr>
            <w:tcW w:w="1191" w:type="dxa"/>
            <w:vAlign w:val="center"/>
            <w:hideMark/>
          </w:tcPr>
          <w:p w14:paraId="47E59AB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31. 10. 2021</w:t>
            </w:r>
          </w:p>
        </w:tc>
        <w:tc>
          <w:tcPr>
            <w:tcW w:w="1531" w:type="dxa"/>
            <w:vAlign w:val="center"/>
            <w:hideMark/>
          </w:tcPr>
          <w:p w14:paraId="4E6E5E0A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45 000 000,00</w:t>
            </w:r>
          </w:p>
        </w:tc>
        <w:tc>
          <w:tcPr>
            <w:tcW w:w="1531" w:type="dxa"/>
            <w:vAlign w:val="center"/>
            <w:hideMark/>
          </w:tcPr>
          <w:p w14:paraId="7B1A7880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38 207 500,00</w:t>
            </w:r>
          </w:p>
        </w:tc>
      </w:tr>
      <w:tr w:rsidR="001E1428" w:rsidRPr="001E1428" w14:paraId="53754199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671801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3118" w:type="dxa"/>
            <w:vAlign w:val="center"/>
            <w:hideMark/>
          </w:tcPr>
          <w:p w14:paraId="7B4CFDF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CZ.04.1.40/0.0/0.0/18_059/0000425</w:t>
            </w:r>
          </w:p>
          <w:p w14:paraId="53B83C0E" w14:textId="7548B1F7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Posílení napájení trolejbusových tratí v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centru Pardubic obnovou měnírny 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„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Stadion</w:t>
            </w:r>
            <w:r w:rsidR="005E0EEC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417" w:type="dxa"/>
            <w:vAlign w:val="center"/>
            <w:hideMark/>
          </w:tcPr>
          <w:p w14:paraId="5DE4D60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247" w:type="dxa"/>
            <w:vAlign w:val="center"/>
            <w:hideMark/>
          </w:tcPr>
          <w:p w14:paraId="2EF2B3F0" w14:textId="34A7675B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1. 3. 2021</w:t>
            </w:r>
          </w:p>
        </w:tc>
        <w:tc>
          <w:tcPr>
            <w:tcW w:w="1191" w:type="dxa"/>
            <w:vAlign w:val="center"/>
            <w:hideMark/>
          </w:tcPr>
          <w:p w14:paraId="2FEDD448" w14:textId="6808902C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31. 8. 2021</w:t>
            </w:r>
          </w:p>
        </w:tc>
        <w:tc>
          <w:tcPr>
            <w:tcW w:w="1531" w:type="dxa"/>
            <w:vAlign w:val="center"/>
            <w:hideMark/>
          </w:tcPr>
          <w:p w14:paraId="51F59CAE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18 000 000,00</w:t>
            </w:r>
          </w:p>
        </w:tc>
        <w:tc>
          <w:tcPr>
            <w:tcW w:w="1531" w:type="dxa"/>
            <w:vAlign w:val="center"/>
            <w:hideMark/>
          </w:tcPr>
          <w:p w14:paraId="5688A6D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15 300 000,00</w:t>
            </w:r>
          </w:p>
        </w:tc>
      </w:tr>
      <w:tr w:rsidR="001E1428" w:rsidRPr="001E1428" w14:paraId="5B91614C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54626CF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lastRenderedPageBreak/>
              <w:t>35.</w:t>
            </w:r>
          </w:p>
        </w:tc>
        <w:tc>
          <w:tcPr>
            <w:tcW w:w="3118" w:type="dxa"/>
            <w:vAlign w:val="center"/>
            <w:hideMark/>
          </w:tcPr>
          <w:p w14:paraId="5EFB062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CZ.04.1.40/0.0/0.0/18_059/0000426</w:t>
            </w:r>
          </w:p>
          <w:p w14:paraId="5F28493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Trolejbusová trať ve Studentské ulici</w:t>
            </w:r>
          </w:p>
        </w:tc>
        <w:tc>
          <w:tcPr>
            <w:tcW w:w="1417" w:type="dxa"/>
            <w:vAlign w:val="center"/>
            <w:hideMark/>
          </w:tcPr>
          <w:p w14:paraId="278D48D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247" w:type="dxa"/>
            <w:vAlign w:val="center"/>
            <w:hideMark/>
          </w:tcPr>
          <w:p w14:paraId="722FA6EF" w14:textId="49A86C9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1. 4. 2021</w:t>
            </w:r>
          </w:p>
        </w:tc>
        <w:tc>
          <w:tcPr>
            <w:tcW w:w="1191" w:type="dxa"/>
            <w:vAlign w:val="center"/>
            <w:hideMark/>
          </w:tcPr>
          <w:p w14:paraId="2924085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12. 12. 2021</w:t>
            </w:r>
          </w:p>
        </w:tc>
        <w:tc>
          <w:tcPr>
            <w:tcW w:w="1531" w:type="dxa"/>
            <w:vAlign w:val="center"/>
            <w:hideMark/>
          </w:tcPr>
          <w:p w14:paraId="6660286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531" w:type="dxa"/>
            <w:vAlign w:val="center"/>
            <w:hideMark/>
          </w:tcPr>
          <w:p w14:paraId="11FABF8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8 491 500,00</w:t>
            </w:r>
          </w:p>
        </w:tc>
      </w:tr>
      <w:tr w:rsidR="001E1428" w:rsidRPr="001E1428" w14:paraId="725296E6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34E8B9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36.</w:t>
            </w:r>
          </w:p>
        </w:tc>
        <w:tc>
          <w:tcPr>
            <w:tcW w:w="3118" w:type="dxa"/>
            <w:vAlign w:val="center"/>
            <w:hideMark/>
          </w:tcPr>
          <w:p w14:paraId="274EA1D6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CZ.04.1.40/0.0/0.0/18_060/0000416</w:t>
            </w:r>
          </w:p>
          <w:p w14:paraId="0EA3513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Výstavba a modernizace měníren Zlín a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Otrokovice</w:t>
            </w:r>
          </w:p>
        </w:tc>
        <w:tc>
          <w:tcPr>
            <w:tcW w:w="1417" w:type="dxa"/>
            <w:vAlign w:val="center"/>
            <w:hideMark/>
          </w:tcPr>
          <w:p w14:paraId="2A6F162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Dopravní společnost 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br/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Zlín-Otrokovice, s.r.o.</w:t>
            </w:r>
          </w:p>
        </w:tc>
        <w:tc>
          <w:tcPr>
            <w:tcW w:w="1247" w:type="dxa"/>
            <w:vAlign w:val="center"/>
            <w:hideMark/>
          </w:tcPr>
          <w:p w14:paraId="02B19CFB" w14:textId="52DEE6E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1. 12. 2020</w:t>
            </w:r>
          </w:p>
        </w:tc>
        <w:tc>
          <w:tcPr>
            <w:tcW w:w="1191" w:type="dxa"/>
            <w:vAlign w:val="center"/>
            <w:hideMark/>
          </w:tcPr>
          <w:p w14:paraId="72DFEF3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31. 12. 2021</w:t>
            </w:r>
          </w:p>
        </w:tc>
        <w:tc>
          <w:tcPr>
            <w:tcW w:w="1531" w:type="dxa"/>
            <w:vAlign w:val="center"/>
            <w:hideMark/>
          </w:tcPr>
          <w:p w14:paraId="13EA2839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69 952 737,00</w:t>
            </w:r>
          </w:p>
        </w:tc>
        <w:tc>
          <w:tcPr>
            <w:tcW w:w="1531" w:type="dxa"/>
            <w:vAlign w:val="center"/>
            <w:hideMark/>
          </w:tcPr>
          <w:p w14:paraId="1915BF24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59 459 826,45</w:t>
            </w:r>
          </w:p>
        </w:tc>
      </w:tr>
      <w:tr w:rsidR="001E1428" w:rsidRPr="001E1428" w14:paraId="7CCD2F75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573F90D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37.</w:t>
            </w:r>
          </w:p>
        </w:tc>
        <w:tc>
          <w:tcPr>
            <w:tcW w:w="3118" w:type="dxa"/>
            <w:vAlign w:val="center"/>
            <w:hideMark/>
          </w:tcPr>
          <w:p w14:paraId="2D265F8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CZ.04.1.40/0.0/0.0/18_060/0000417</w:t>
            </w:r>
          </w:p>
          <w:p w14:paraId="342BCF4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Prodloužení trolejové trati Otrokovice</w:t>
            </w:r>
          </w:p>
        </w:tc>
        <w:tc>
          <w:tcPr>
            <w:tcW w:w="1417" w:type="dxa"/>
            <w:vAlign w:val="center"/>
            <w:hideMark/>
          </w:tcPr>
          <w:p w14:paraId="0FBACB3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společnost Zlín-Otrokovice, s.r.o.</w:t>
            </w:r>
          </w:p>
        </w:tc>
        <w:tc>
          <w:tcPr>
            <w:tcW w:w="1247" w:type="dxa"/>
            <w:vAlign w:val="center"/>
            <w:hideMark/>
          </w:tcPr>
          <w:p w14:paraId="0C125486" w14:textId="242DE1EE" w:rsidR="001E1428" w:rsidRPr="001E1428" w:rsidRDefault="001E1428" w:rsidP="0034615A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1. 9. 2020</w:t>
            </w:r>
          </w:p>
        </w:tc>
        <w:tc>
          <w:tcPr>
            <w:tcW w:w="1191" w:type="dxa"/>
            <w:vAlign w:val="center"/>
            <w:hideMark/>
          </w:tcPr>
          <w:p w14:paraId="364148DC" w14:textId="547C544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31. 3. 2021</w:t>
            </w:r>
          </w:p>
        </w:tc>
        <w:tc>
          <w:tcPr>
            <w:tcW w:w="1531" w:type="dxa"/>
            <w:vAlign w:val="center"/>
            <w:hideMark/>
          </w:tcPr>
          <w:p w14:paraId="0194F1E6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9 576 674,00</w:t>
            </w:r>
          </w:p>
        </w:tc>
        <w:tc>
          <w:tcPr>
            <w:tcW w:w="1531" w:type="dxa"/>
            <w:vAlign w:val="center"/>
            <w:hideMark/>
          </w:tcPr>
          <w:p w14:paraId="4A10AD17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8 140 172,90</w:t>
            </w:r>
          </w:p>
        </w:tc>
      </w:tr>
      <w:tr w:rsidR="001E1428" w:rsidRPr="001E1428" w14:paraId="0B9BEEBA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66A29A95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38.</w:t>
            </w:r>
          </w:p>
        </w:tc>
        <w:tc>
          <w:tcPr>
            <w:tcW w:w="3118" w:type="dxa"/>
            <w:vAlign w:val="center"/>
            <w:hideMark/>
          </w:tcPr>
          <w:p w14:paraId="0711225F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CZ.04.1.40/0.0/0.0/18_061/0000396</w:t>
            </w:r>
          </w:p>
          <w:p w14:paraId="37603AA1" w14:textId="7C395A09" w:rsidR="001E1428" w:rsidRPr="001E1428" w:rsidRDefault="001E1428" w:rsidP="005E0EE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Rozšíření trolejbusové dopravy 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br/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Jihlava-sever</w:t>
            </w:r>
          </w:p>
        </w:tc>
        <w:tc>
          <w:tcPr>
            <w:tcW w:w="1417" w:type="dxa"/>
            <w:vAlign w:val="center"/>
            <w:hideMark/>
          </w:tcPr>
          <w:p w14:paraId="01B5FB19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Statutární město Jihlava</w:t>
            </w:r>
          </w:p>
        </w:tc>
        <w:tc>
          <w:tcPr>
            <w:tcW w:w="1247" w:type="dxa"/>
            <w:vAlign w:val="center"/>
            <w:hideMark/>
          </w:tcPr>
          <w:p w14:paraId="3D6EA1EF" w14:textId="71DC01F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20. 1. 2021</w:t>
            </w:r>
          </w:p>
        </w:tc>
        <w:tc>
          <w:tcPr>
            <w:tcW w:w="1191" w:type="dxa"/>
            <w:vAlign w:val="center"/>
            <w:hideMark/>
          </w:tcPr>
          <w:p w14:paraId="58471BFA" w14:textId="4A15E12F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30. 9. 2022</w:t>
            </w:r>
          </w:p>
        </w:tc>
        <w:tc>
          <w:tcPr>
            <w:tcW w:w="1531" w:type="dxa"/>
            <w:vAlign w:val="center"/>
            <w:hideMark/>
          </w:tcPr>
          <w:p w14:paraId="3B09219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124 646 000,00</w:t>
            </w:r>
          </w:p>
        </w:tc>
        <w:tc>
          <w:tcPr>
            <w:tcW w:w="1531" w:type="dxa"/>
            <w:vAlign w:val="center"/>
            <w:hideMark/>
          </w:tcPr>
          <w:p w14:paraId="685B24B4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105 949 100,00</w:t>
            </w:r>
          </w:p>
        </w:tc>
      </w:tr>
      <w:tr w:rsidR="001E1428" w:rsidRPr="001E1428" w14:paraId="5111C534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7822072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39.</w:t>
            </w:r>
          </w:p>
        </w:tc>
        <w:tc>
          <w:tcPr>
            <w:tcW w:w="3118" w:type="dxa"/>
            <w:vAlign w:val="center"/>
            <w:hideMark/>
          </w:tcPr>
          <w:p w14:paraId="4C7A064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CZ.04.1.40/0.0/0.0/18_062/0000405</w:t>
            </w:r>
          </w:p>
          <w:p w14:paraId="004F2C1C" w14:textId="68F89FCD" w:rsidR="001E1428" w:rsidRPr="001E1428" w:rsidRDefault="001E1428" w:rsidP="008A36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Modernizace napájecí sítě trolejbusové dopravy v Českých Budějovicích – Moderniza</w:t>
            </w:r>
            <w:r w:rsidR="004B3D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ce tří měníren napájejících el. </w:t>
            </w:r>
            <w:proofErr w:type="gramStart"/>
            <w:r w:rsidR="008A364E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roudem</w:t>
            </w:r>
            <w:proofErr w:type="gramEnd"/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trakční sítě trolejbusů</w:t>
            </w:r>
          </w:p>
        </w:tc>
        <w:tc>
          <w:tcPr>
            <w:tcW w:w="1417" w:type="dxa"/>
            <w:vAlign w:val="center"/>
            <w:hideMark/>
          </w:tcPr>
          <w:p w14:paraId="785BD3A2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České Budějovice, a.s.</w:t>
            </w:r>
          </w:p>
        </w:tc>
        <w:tc>
          <w:tcPr>
            <w:tcW w:w="1247" w:type="dxa"/>
            <w:vAlign w:val="center"/>
            <w:hideMark/>
          </w:tcPr>
          <w:p w14:paraId="75D2E729" w14:textId="547E79DD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1. 10. 2020</w:t>
            </w:r>
          </w:p>
        </w:tc>
        <w:tc>
          <w:tcPr>
            <w:tcW w:w="1191" w:type="dxa"/>
            <w:vAlign w:val="center"/>
            <w:hideMark/>
          </w:tcPr>
          <w:p w14:paraId="36FAFB1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31. 12. 2022</w:t>
            </w:r>
          </w:p>
        </w:tc>
        <w:tc>
          <w:tcPr>
            <w:tcW w:w="1531" w:type="dxa"/>
            <w:vAlign w:val="center"/>
            <w:hideMark/>
          </w:tcPr>
          <w:p w14:paraId="5580850A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121 563 082,91</w:t>
            </w:r>
          </w:p>
        </w:tc>
        <w:tc>
          <w:tcPr>
            <w:tcW w:w="1531" w:type="dxa"/>
            <w:vAlign w:val="center"/>
            <w:hideMark/>
          </w:tcPr>
          <w:p w14:paraId="3E7CB3FD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103 328 620,47</w:t>
            </w:r>
          </w:p>
        </w:tc>
      </w:tr>
      <w:tr w:rsidR="001E1428" w:rsidRPr="001E1428" w14:paraId="0388109E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1C742FE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40.</w:t>
            </w:r>
          </w:p>
        </w:tc>
        <w:tc>
          <w:tcPr>
            <w:tcW w:w="3118" w:type="dxa"/>
            <w:vAlign w:val="center"/>
            <w:hideMark/>
          </w:tcPr>
          <w:p w14:paraId="4461E1B7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CZ.04.1.40/0.0/0.0/18_062/0000406</w:t>
            </w:r>
          </w:p>
          <w:p w14:paraId="7A1D0258" w14:textId="77777777" w:rsidR="001E1428" w:rsidRPr="001E1428" w:rsidRDefault="004B3D19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budování nové měnírny MR5 a </w:t>
            </w:r>
            <w:r w:rsidR="001E1428"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vybudování nové trolejbusové trati (propojení trolejbusové vozovny v ulici Horní s ulicemi Strakonická a Nádražní)</w:t>
            </w:r>
          </w:p>
        </w:tc>
        <w:tc>
          <w:tcPr>
            <w:tcW w:w="1417" w:type="dxa"/>
            <w:vAlign w:val="center"/>
            <w:hideMark/>
          </w:tcPr>
          <w:p w14:paraId="45EFD424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města České Budějovice, a.s.</w:t>
            </w:r>
          </w:p>
        </w:tc>
        <w:tc>
          <w:tcPr>
            <w:tcW w:w="1247" w:type="dxa"/>
            <w:vAlign w:val="center"/>
            <w:hideMark/>
          </w:tcPr>
          <w:p w14:paraId="1CAA51C1" w14:textId="1C5308E8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1. 10. 2020</w:t>
            </w:r>
          </w:p>
        </w:tc>
        <w:tc>
          <w:tcPr>
            <w:tcW w:w="1191" w:type="dxa"/>
            <w:vAlign w:val="center"/>
            <w:hideMark/>
          </w:tcPr>
          <w:p w14:paraId="4D0F297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31. 12. 2022</w:t>
            </w:r>
          </w:p>
        </w:tc>
        <w:tc>
          <w:tcPr>
            <w:tcW w:w="1531" w:type="dxa"/>
            <w:vAlign w:val="center"/>
            <w:hideMark/>
          </w:tcPr>
          <w:p w14:paraId="59B57CBC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99 695 072,77</w:t>
            </w:r>
          </w:p>
        </w:tc>
        <w:tc>
          <w:tcPr>
            <w:tcW w:w="1531" w:type="dxa"/>
            <w:vAlign w:val="center"/>
            <w:hideMark/>
          </w:tcPr>
          <w:p w14:paraId="227F2A57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84 740 811,85</w:t>
            </w:r>
          </w:p>
        </w:tc>
      </w:tr>
      <w:tr w:rsidR="001E1428" w:rsidRPr="001E1428" w14:paraId="608A412D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15F23C0B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41.</w:t>
            </w:r>
          </w:p>
        </w:tc>
        <w:tc>
          <w:tcPr>
            <w:tcW w:w="3118" w:type="dxa"/>
            <w:vAlign w:val="center"/>
            <w:hideMark/>
          </w:tcPr>
          <w:p w14:paraId="08F61FC8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CZ.04.1.40/0.0/0.0/18_063/0000418</w:t>
            </w:r>
          </w:p>
          <w:p w14:paraId="652DEE75" w14:textId="19B9074C" w:rsidR="001E1428" w:rsidRPr="001E1428" w:rsidRDefault="001E1428" w:rsidP="008A364E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Tramvajová trať Liberec </w:t>
            </w:r>
            <w:r w:rsidR="008A364E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Jablonec nad Nisou </w:t>
            </w:r>
            <w:r w:rsidR="008A364E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 xml:space="preserve"> rekonstrukce</w:t>
            </w:r>
          </w:p>
        </w:tc>
        <w:tc>
          <w:tcPr>
            <w:tcW w:w="1417" w:type="dxa"/>
            <w:vAlign w:val="center"/>
            <w:hideMark/>
          </w:tcPr>
          <w:p w14:paraId="2E21DE30" w14:textId="77777777" w:rsidR="001E1428" w:rsidRPr="001E1428" w:rsidRDefault="004B3D19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Dopravní podnik měst Liberce a </w:t>
            </w:r>
            <w:r w:rsidR="001E1428"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Jablonce nad Nisou, a.s.</w:t>
            </w:r>
          </w:p>
        </w:tc>
        <w:tc>
          <w:tcPr>
            <w:tcW w:w="1247" w:type="dxa"/>
            <w:vAlign w:val="center"/>
            <w:hideMark/>
          </w:tcPr>
          <w:p w14:paraId="6455AF8D" w14:textId="1950D5CA" w:rsidR="001E1428" w:rsidRPr="001E1428" w:rsidRDefault="001E1428" w:rsidP="00782698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1. 5. 2021</w:t>
            </w:r>
          </w:p>
        </w:tc>
        <w:tc>
          <w:tcPr>
            <w:tcW w:w="1191" w:type="dxa"/>
            <w:vAlign w:val="center"/>
            <w:hideMark/>
          </w:tcPr>
          <w:p w14:paraId="463CA57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30. 12. 2022</w:t>
            </w:r>
          </w:p>
        </w:tc>
        <w:tc>
          <w:tcPr>
            <w:tcW w:w="1531" w:type="dxa"/>
            <w:vAlign w:val="center"/>
            <w:hideMark/>
          </w:tcPr>
          <w:p w14:paraId="1FA3A523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787 045 226,18</w:t>
            </w:r>
          </w:p>
        </w:tc>
        <w:tc>
          <w:tcPr>
            <w:tcW w:w="1531" w:type="dxa"/>
            <w:vAlign w:val="center"/>
            <w:hideMark/>
          </w:tcPr>
          <w:p w14:paraId="6402F552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668 988 442,25</w:t>
            </w:r>
          </w:p>
        </w:tc>
      </w:tr>
      <w:tr w:rsidR="001E1428" w:rsidRPr="001E1428" w14:paraId="1A1C206C" w14:textId="77777777" w:rsidTr="00A915C5">
        <w:trPr>
          <w:cantSplit/>
          <w:trHeight w:val="227"/>
          <w:jc w:val="center"/>
        </w:trPr>
        <w:tc>
          <w:tcPr>
            <w:tcW w:w="567" w:type="dxa"/>
            <w:vAlign w:val="center"/>
            <w:hideMark/>
          </w:tcPr>
          <w:p w14:paraId="32F334E3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42.</w:t>
            </w:r>
          </w:p>
        </w:tc>
        <w:tc>
          <w:tcPr>
            <w:tcW w:w="3118" w:type="dxa"/>
            <w:vAlign w:val="center"/>
            <w:hideMark/>
          </w:tcPr>
          <w:p w14:paraId="3740C4A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CZ.04.1.40/0.0/0.0/19_079/0000477</w:t>
            </w:r>
          </w:p>
          <w:p w14:paraId="4AC41800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Modernizace měnírny pro trolejbusovou dráhu Mariánské Lázně a rekonstrukce trakčního vedení pro trolejbusovou dráhu Mariánské Lázně</w:t>
            </w:r>
          </w:p>
        </w:tc>
        <w:tc>
          <w:tcPr>
            <w:tcW w:w="1417" w:type="dxa"/>
            <w:vAlign w:val="center"/>
            <w:hideMark/>
          </w:tcPr>
          <w:p w14:paraId="5FD984BA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Městská doprava Mariánské Lázně s.r.o.</w:t>
            </w:r>
          </w:p>
        </w:tc>
        <w:tc>
          <w:tcPr>
            <w:tcW w:w="1247" w:type="dxa"/>
            <w:vAlign w:val="center"/>
            <w:hideMark/>
          </w:tcPr>
          <w:p w14:paraId="36C5AD69" w14:textId="463307B7" w:rsidR="001E1428" w:rsidRPr="001E1428" w:rsidRDefault="001E1428" w:rsidP="00782698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1. 7. 2020</w:t>
            </w:r>
          </w:p>
        </w:tc>
        <w:tc>
          <w:tcPr>
            <w:tcW w:w="1191" w:type="dxa"/>
            <w:vAlign w:val="center"/>
            <w:hideMark/>
          </w:tcPr>
          <w:p w14:paraId="589A66D1" w14:textId="77777777" w:rsidR="001E1428" w:rsidRPr="001E1428" w:rsidRDefault="001E1428" w:rsidP="004B3D19">
            <w:pPr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sz w:val="18"/>
                <w:szCs w:val="18"/>
              </w:rPr>
              <w:t>31. 12. 2021</w:t>
            </w:r>
          </w:p>
        </w:tc>
        <w:tc>
          <w:tcPr>
            <w:tcW w:w="1531" w:type="dxa"/>
            <w:vAlign w:val="center"/>
            <w:hideMark/>
          </w:tcPr>
          <w:p w14:paraId="36673951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52 928 191,77</w:t>
            </w:r>
          </w:p>
        </w:tc>
        <w:tc>
          <w:tcPr>
            <w:tcW w:w="1531" w:type="dxa"/>
            <w:vAlign w:val="center"/>
            <w:hideMark/>
          </w:tcPr>
          <w:p w14:paraId="310EA6A7" w14:textId="77777777" w:rsidR="001E1428" w:rsidRPr="001E1428" w:rsidRDefault="001E1428" w:rsidP="004B3D19">
            <w:pPr>
              <w:ind w:right="28"/>
              <w:jc w:val="right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E1428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  <w:t>44 988 963,00</w:t>
            </w:r>
          </w:p>
        </w:tc>
      </w:tr>
    </w:tbl>
    <w:p w14:paraId="44149B36" w14:textId="2428C77D" w:rsidR="001E1428" w:rsidRPr="00071EDF" w:rsidRDefault="001E1428" w:rsidP="004B3D19">
      <w:pPr>
        <w:spacing w:before="40" w:after="160"/>
        <w:ind w:left="57" w:hanging="851"/>
        <w:jc w:val="left"/>
        <w:rPr>
          <w:rFonts w:asciiTheme="minorHAnsi" w:eastAsiaTheme="minorHAnsi" w:hAnsiTheme="minorHAnsi" w:cstheme="minorBidi"/>
          <w:sz w:val="20"/>
          <w:szCs w:val="20"/>
        </w:rPr>
      </w:pPr>
      <w:r w:rsidRPr="00071EDF">
        <w:rPr>
          <w:rFonts w:asciiTheme="minorHAnsi" w:eastAsiaTheme="minorHAnsi" w:hAnsiTheme="minorHAnsi" w:cstheme="minorBidi"/>
          <w:b/>
          <w:sz w:val="20"/>
          <w:szCs w:val="20"/>
        </w:rPr>
        <w:t>Zdroj:</w:t>
      </w:r>
      <w:r w:rsidRPr="00071EDF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="00143F5A" w:rsidRPr="00071EDF">
        <w:rPr>
          <w:rFonts w:asciiTheme="minorHAnsi" w:eastAsiaTheme="minorHAnsi" w:hAnsiTheme="minorHAnsi" w:cstheme="minorBidi"/>
          <w:sz w:val="20"/>
          <w:szCs w:val="20"/>
        </w:rPr>
        <w:t xml:space="preserve">informace </w:t>
      </w:r>
      <w:r w:rsidRPr="00071EDF">
        <w:rPr>
          <w:rFonts w:asciiTheme="minorHAnsi" w:eastAsiaTheme="minorHAnsi" w:hAnsiTheme="minorHAnsi" w:cstheme="minorBidi"/>
          <w:sz w:val="20"/>
          <w:szCs w:val="20"/>
        </w:rPr>
        <w:t>MD</w:t>
      </w:r>
      <w:r w:rsidR="00071EDF" w:rsidRPr="00071EDF">
        <w:rPr>
          <w:rFonts w:asciiTheme="minorHAnsi" w:eastAsiaTheme="minorHAnsi" w:hAnsiTheme="minorHAnsi" w:cstheme="minorBidi"/>
          <w:sz w:val="20"/>
          <w:szCs w:val="20"/>
        </w:rPr>
        <w:t>.</w:t>
      </w:r>
      <w:r w:rsidRPr="00071EDF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6593477F" w14:textId="77777777" w:rsidR="00C200B1" w:rsidRDefault="00C200B1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2ACE05" w14:textId="77777777" w:rsidR="00544965" w:rsidRPr="003731ED" w:rsidRDefault="00544965" w:rsidP="00264C4D">
      <w:pPr>
        <w:widowControl w:val="0"/>
        <w:tabs>
          <w:tab w:val="left" w:pos="7020"/>
        </w:tabs>
        <w:spacing w:after="120"/>
        <w:jc w:val="right"/>
        <w:rPr>
          <w:rFonts w:asciiTheme="minorHAnsi" w:hAnsiTheme="minorHAnsi" w:cstheme="minorHAnsi"/>
          <w:b/>
        </w:rPr>
      </w:pPr>
      <w:r w:rsidRPr="003731ED">
        <w:rPr>
          <w:rFonts w:asciiTheme="minorHAnsi" w:hAnsiTheme="minorHAnsi" w:cstheme="minorHAnsi"/>
          <w:b/>
        </w:rPr>
        <w:lastRenderedPageBreak/>
        <w:t>Příloha č. 2</w:t>
      </w:r>
    </w:p>
    <w:p w14:paraId="2B2E6B76" w14:textId="77777777" w:rsidR="00347AAC" w:rsidRDefault="009C7779" w:rsidP="0024687F">
      <w:pPr>
        <w:widowControl w:val="0"/>
        <w:tabs>
          <w:tab w:val="left" w:pos="7020"/>
        </w:tabs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Seznam ukončených projektů</w:t>
      </w:r>
      <w:r w:rsidR="00777260">
        <w:rPr>
          <w:rFonts w:asciiTheme="minorHAnsi" w:hAnsiTheme="minorHAnsi" w:cstheme="minorHAnsi"/>
          <w:b/>
        </w:rPr>
        <w:t xml:space="preserve"> v rámci SC 1.4</w:t>
      </w:r>
    </w:p>
    <w:tbl>
      <w:tblPr>
        <w:tblStyle w:val="Mkatabulky"/>
        <w:tblW w:w="9072" w:type="dxa"/>
        <w:jc w:val="center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02"/>
        <w:gridCol w:w="1701"/>
        <w:gridCol w:w="1531"/>
        <w:gridCol w:w="1701"/>
      </w:tblGrid>
      <w:tr w:rsidR="009C7779" w14:paraId="13D26701" w14:textId="77777777" w:rsidTr="00264C4D">
        <w:trPr>
          <w:trHeight w:val="858"/>
          <w:tblHeader/>
          <w:jc w:val="center"/>
        </w:trPr>
        <w:tc>
          <w:tcPr>
            <w:tcW w:w="737" w:type="dxa"/>
            <w:shd w:val="clear" w:color="auto" w:fill="E5F1FF"/>
            <w:vAlign w:val="center"/>
            <w:hideMark/>
          </w:tcPr>
          <w:p w14:paraId="2EDD58F2" w14:textId="0F7CAF08" w:rsidR="009C7779" w:rsidRDefault="009C7779" w:rsidP="002A5D7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Poř</w:t>
            </w:r>
            <w:proofErr w:type="spellEnd"/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r w:rsidR="002A5D73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č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íslo</w:t>
            </w:r>
          </w:p>
        </w:tc>
        <w:tc>
          <w:tcPr>
            <w:tcW w:w="3402" w:type="dxa"/>
            <w:shd w:val="clear" w:color="auto" w:fill="E5F1FF"/>
            <w:vAlign w:val="center"/>
            <w:hideMark/>
          </w:tcPr>
          <w:p w14:paraId="7CAA15E6" w14:textId="2B770D68" w:rsidR="009C7779" w:rsidRDefault="009C7779" w:rsidP="00264C4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Registrační číslo projektu</w:t>
            </w:r>
            <w:r w:rsidR="002A5D73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,</w:t>
            </w:r>
            <w:r w:rsidR="002A5D73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br/>
              <w:t>název projektu</w:t>
            </w:r>
          </w:p>
        </w:tc>
        <w:tc>
          <w:tcPr>
            <w:tcW w:w="1701" w:type="dxa"/>
            <w:shd w:val="clear" w:color="auto" w:fill="E5F1FF"/>
            <w:vAlign w:val="center"/>
            <w:hideMark/>
          </w:tcPr>
          <w:p w14:paraId="24171E87" w14:textId="77777777" w:rsidR="009C7779" w:rsidRDefault="009C7779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1531" w:type="dxa"/>
            <w:shd w:val="clear" w:color="auto" w:fill="E5F1FF"/>
            <w:vAlign w:val="center"/>
            <w:hideMark/>
          </w:tcPr>
          <w:p w14:paraId="25FAF231" w14:textId="602ACD92" w:rsidR="009C7779" w:rsidRDefault="00264C4D" w:rsidP="002A5D73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Závěrečná zpráva o </w:t>
            </w:r>
            <w:r w:rsidR="009C7779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realizaci projektu (</w:t>
            </w:r>
            <w:proofErr w:type="spellStart"/>
            <w:r w:rsidR="009C7779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ZZoR</w:t>
            </w:r>
            <w:proofErr w:type="spellEnd"/>
            <w:r w:rsidR="009C7779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701" w:type="dxa"/>
            <w:shd w:val="clear" w:color="auto" w:fill="E5F1FF"/>
            <w:vAlign w:val="center"/>
            <w:hideMark/>
          </w:tcPr>
          <w:p w14:paraId="272A10C7" w14:textId="6F802183" w:rsidR="009C7779" w:rsidRDefault="00264C4D" w:rsidP="002A5D73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Datum zahájení a </w:t>
            </w:r>
            <w:r w:rsidR="009C7779">
              <w:rPr>
                <w:rFonts w:cstheme="minorHAnsi"/>
                <w:b/>
                <w:color w:val="000000"/>
                <w:sz w:val="18"/>
                <w:szCs w:val="18"/>
                <w:lang w:eastAsia="cs-CZ"/>
              </w:rPr>
              <w:t>ukončení realizace projektu*</w:t>
            </w:r>
          </w:p>
        </w:tc>
      </w:tr>
      <w:tr w:rsidR="009C7779" w14:paraId="605D0AC8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09C65A7F" w14:textId="77777777" w:rsidR="009C7779" w:rsidRDefault="009C7779">
            <w:pPr>
              <w:jc w:val="center"/>
              <w:rPr>
                <w:rFonts w:eastAsia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  <w:hideMark/>
          </w:tcPr>
          <w:p w14:paraId="198A7868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CZ.04.1.40/0.0/0.0/15_024/0000095</w:t>
            </w:r>
          </w:p>
          <w:p w14:paraId="7039DF15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Rozšíření trolejové dopravy v Jihlavě</w:t>
            </w:r>
          </w:p>
        </w:tc>
        <w:tc>
          <w:tcPr>
            <w:tcW w:w="1701" w:type="dxa"/>
            <w:vAlign w:val="center"/>
            <w:hideMark/>
          </w:tcPr>
          <w:p w14:paraId="7730166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Dopravní podnik města Jihlavy,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0AD824F2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23. 11. 2018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10DFBF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1. 9. 2017</w:t>
            </w:r>
          </w:p>
          <w:p w14:paraId="3087A7A4" w14:textId="62B192B1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5F371CE9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30. 11. 2017</w:t>
            </w:r>
          </w:p>
        </w:tc>
      </w:tr>
      <w:tr w:rsidR="009C7779" w14:paraId="62FABC3D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6C738953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3402" w:type="dxa"/>
            <w:vAlign w:val="center"/>
            <w:hideMark/>
          </w:tcPr>
          <w:p w14:paraId="276819DC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CZ.04.1.40/0.0/0.0/16_017/0000128</w:t>
            </w:r>
          </w:p>
          <w:p w14:paraId="5FB4C531" w14:textId="3E6F36D6" w:rsidR="009C7779" w:rsidRDefault="009C7779" w:rsidP="002A5D73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Prodloužení tramvajové tratě na Borská pole </w:t>
            </w:r>
            <w:r w:rsidR="002A5D73">
              <w:rPr>
                <w:rFonts w:cstheme="minorHAnsi"/>
                <w:color w:val="000000"/>
                <w:sz w:val="18"/>
                <w:szCs w:val="18"/>
              </w:rPr>
              <w:t>–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část Tramvajová trať</w:t>
            </w:r>
          </w:p>
        </w:tc>
        <w:tc>
          <w:tcPr>
            <w:tcW w:w="1701" w:type="dxa"/>
            <w:vAlign w:val="center"/>
            <w:hideMark/>
          </w:tcPr>
          <w:p w14:paraId="34FDD273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Statutární město Plzeň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087F63F7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26. 1. 2021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A2ABA92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18. 4. 2016</w:t>
            </w:r>
          </w:p>
          <w:p w14:paraId="74444396" w14:textId="0C186C8B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79E1B571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30. 10. 2020</w:t>
            </w:r>
          </w:p>
        </w:tc>
      </w:tr>
      <w:tr w:rsidR="009C7779" w14:paraId="1974AE48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48146AAB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3402" w:type="dxa"/>
            <w:vAlign w:val="center"/>
            <w:hideMark/>
          </w:tcPr>
          <w:p w14:paraId="524CFB49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CZ.04.1.40/0.0/0.0/16_017/0000138</w:t>
            </w:r>
          </w:p>
          <w:p w14:paraId="6E50FF33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Výměna technologií měníren Letná a Bory pro MHD v Plzni</w:t>
            </w:r>
          </w:p>
        </w:tc>
        <w:tc>
          <w:tcPr>
            <w:tcW w:w="1701" w:type="dxa"/>
            <w:vAlign w:val="center"/>
            <w:hideMark/>
          </w:tcPr>
          <w:p w14:paraId="345B4602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Plzeňské městské dopravní podniky,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2C99859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11. 8. 2020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8A66A37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17. 8. 2018</w:t>
            </w:r>
          </w:p>
          <w:p w14:paraId="43458597" w14:textId="33915D17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5D22C1E1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15. 4. 2020</w:t>
            </w:r>
          </w:p>
        </w:tc>
      </w:tr>
      <w:tr w:rsidR="009C7779" w14:paraId="37AC410A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2C4EB5F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02" w:type="dxa"/>
            <w:vAlign w:val="center"/>
            <w:hideMark/>
          </w:tcPr>
          <w:p w14:paraId="62A73B83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CZ.04.1.40/0.0/0.0/16_018/0000124</w:t>
            </w:r>
          </w:p>
          <w:p w14:paraId="44A303AE" w14:textId="46A7B752" w:rsidR="009C7779" w:rsidRDefault="009C7779" w:rsidP="002461C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Trolejbusová trať 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Novolíšeňská</w:t>
            </w:r>
            <w:proofErr w:type="gramEnd"/>
            <w:r w:rsidR="00D34331"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  <w:proofErr w:type="gramStart"/>
            <w:r>
              <w:rPr>
                <w:rFonts w:cstheme="minorHAnsi"/>
                <w:color w:val="000000"/>
                <w:sz w:val="18"/>
                <w:szCs w:val="18"/>
              </w:rPr>
              <w:t>Jírova</w:t>
            </w:r>
            <w:proofErr w:type="gramEnd"/>
          </w:p>
        </w:tc>
        <w:tc>
          <w:tcPr>
            <w:tcW w:w="1701" w:type="dxa"/>
            <w:vAlign w:val="center"/>
            <w:hideMark/>
          </w:tcPr>
          <w:p w14:paraId="3CD1040D" w14:textId="36139E0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Dopravní podnik města Brna,</w:t>
            </w:r>
            <w:r w:rsidR="002A5D73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3995386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16. 4. 2020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CA1541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4. 3. 2019</w:t>
            </w:r>
          </w:p>
          <w:p w14:paraId="442377DB" w14:textId="27F03F04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1FB9D850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29. 11. 2019</w:t>
            </w:r>
          </w:p>
        </w:tc>
      </w:tr>
      <w:tr w:rsidR="009C7779" w14:paraId="0AD6826E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6647FD83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3402" w:type="dxa"/>
            <w:vAlign w:val="center"/>
            <w:hideMark/>
          </w:tcPr>
          <w:p w14:paraId="72D58578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CZ.04.1.40/0.0/0.0/16_019/0000068</w:t>
            </w:r>
          </w:p>
          <w:p w14:paraId="046E489B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Modernizace tramvajové tratě 1. máje</w:t>
            </w:r>
          </w:p>
        </w:tc>
        <w:tc>
          <w:tcPr>
            <w:tcW w:w="1701" w:type="dxa"/>
            <w:vAlign w:val="center"/>
            <w:hideMark/>
          </w:tcPr>
          <w:p w14:paraId="15E4071A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Statutární město Olomouc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67F12B0A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23. 11. 2018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2A0CFA1F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7. 4. 2017</w:t>
            </w:r>
          </w:p>
          <w:p w14:paraId="4EE448C8" w14:textId="57772D4F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26C91279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21. 11. 2017</w:t>
            </w:r>
          </w:p>
        </w:tc>
      </w:tr>
      <w:tr w:rsidR="009C7779" w14:paraId="0F72B7C4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62565A99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3402" w:type="dxa"/>
            <w:vAlign w:val="center"/>
            <w:hideMark/>
          </w:tcPr>
          <w:p w14:paraId="25DE98F8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CZ.04.1.40/0.0/0.0/16_019/0000132</w:t>
            </w:r>
          </w:p>
          <w:p w14:paraId="679F1F75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Měnírna Jih včetně posílení napájení tramvajové trati na tř. Kosmonautů</w:t>
            </w:r>
          </w:p>
        </w:tc>
        <w:tc>
          <w:tcPr>
            <w:tcW w:w="1701" w:type="dxa"/>
            <w:vAlign w:val="center"/>
            <w:hideMark/>
          </w:tcPr>
          <w:p w14:paraId="5E86C2A3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Dopravní podnik města Olomouce,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72E5E012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24. 10. 2018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7D21237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1. 12. 2017</w:t>
            </w:r>
          </w:p>
          <w:p w14:paraId="5111B59A" w14:textId="16D4ACFA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2F70A4E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31. 5. 2018</w:t>
            </w:r>
          </w:p>
        </w:tc>
      </w:tr>
      <w:tr w:rsidR="009C7779" w14:paraId="07A1E179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3F009420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3402" w:type="dxa"/>
            <w:vAlign w:val="center"/>
            <w:hideMark/>
          </w:tcPr>
          <w:p w14:paraId="143F52C4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CZ.04.1.40/0.0/0.0/16_020/0000119</w:t>
            </w:r>
          </w:p>
          <w:p w14:paraId="5C56D316" w14:textId="77FCA2B2" w:rsidR="009C7779" w:rsidRDefault="009C7779" w:rsidP="002A5D73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Rekonstrukce tramvajové trati včetně výstavby nových tramvajových mostů na ul.</w:t>
            </w:r>
            <w:r w:rsidR="002A5D73">
              <w:rPr>
                <w:rFonts w:cstheme="minorHAnsi"/>
                <w:color w:val="000000"/>
                <w:sz w:val="18"/>
                <w:szCs w:val="18"/>
              </w:rPr>
              <w:t> </w:t>
            </w:r>
            <w:r>
              <w:rPr>
                <w:rFonts w:cstheme="minorHAnsi"/>
                <w:color w:val="000000"/>
                <w:sz w:val="18"/>
                <w:szCs w:val="18"/>
              </w:rPr>
              <w:t>Výškovická, Ostrava</w:t>
            </w:r>
          </w:p>
        </w:tc>
        <w:tc>
          <w:tcPr>
            <w:tcW w:w="1701" w:type="dxa"/>
            <w:vAlign w:val="center"/>
            <w:hideMark/>
          </w:tcPr>
          <w:p w14:paraId="09ECE171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Dopravní podnik Ostrava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5F91557C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6. 10. 2020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589610B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1. 4. 2018</w:t>
            </w:r>
          </w:p>
          <w:p w14:paraId="625CCB85" w14:textId="31FA897D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1CF89612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30. 9. 2020</w:t>
            </w:r>
          </w:p>
        </w:tc>
      </w:tr>
      <w:tr w:rsidR="009C7779" w14:paraId="7787E276" w14:textId="77777777" w:rsidTr="00264C4D">
        <w:trPr>
          <w:jc w:val="center"/>
        </w:trPr>
        <w:tc>
          <w:tcPr>
            <w:tcW w:w="737" w:type="dxa"/>
            <w:vAlign w:val="center"/>
            <w:hideMark/>
          </w:tcPr>
          <w:p w14:paraId="6853838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3402" w:type="dxa"/>
            <w:vAlign w:val="center"/>
            <w:hideMark/>
          </w:tcPr>
          <w:p w14:paraId="66E977BB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CZ.04.1.40/0.0/0.0/16_022/0000135</w:t>
            </w:r>
          </w:p>
          <w:p w14:paraId="25A328C9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Prodloužení trolejbusové trati na obratiště Zámeček</w:t>
            </w:r>
          </w:p>
        </w:tc>
        <w:tc>
          <w:tcPr>
            <w:tcW w:w="1701" w:type="dxa"/>
            <w:vAlign w:val="center"/>
            <w:hideMark/>
          </w:tcPr>
          <w:p w14:paraId="7F60776A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32D219E4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4. 10. 2019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41380763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11. 7. 2017</w:t>
            </w:r>
          </w:p>
          <w:p w14:paraId="1D80265A" w14:textId="73795FF1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584C05D0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4. 3. 2018</w:t>
            </w:r>
          </w:p>
        </w:tc>
      </w:tr>
      <w:tr w:rsidR="009C7779" w14:paraId="7DB7726E" w14:textId="77777777" w:rsidTr="00264C4D">
        <w:trPr>
          <w:trHeight w:val="526"/>
          <w:jc w:val="center"/>
        </w:trPr>
        <w:tc>
          <w:tcPr>
            <w:tcW w:w="737" w:type="dxa"/>
            <w:vAlign w:val="center"/>
            <w:hideMark/>
          </w:tcPr>
          <w:p w14:paraId="3307CA45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3402" w:type="dxa"/>
            <w:vAlign w:val="center"/>
            <w:hideMark/>
          </w:tcPr>
          <w:p w14:paraId="4CE78737" w14:textId="77777777" w:rsidR="009C7779" w:rsidRDefault="009C7779" w:rsidP="00264C4D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CZ.04.1.40/0.0/0.0/16_022/0000136</w:t>
            </w:r>
          </w:p>
          <w:p w14:paraId="693B3420" w14:textId="12629119" w:rsidR="009C7779" w:rsidRDefault="009C7779" w:rsidP="002A5D73">
            <w:pPr>
              <w:spacing w:line="276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Prodloužení trolejbusové trati v Trnové a</w:t>
            </w:r>
            <w:r w:rsidR="002A5D73">
              <w:rPr>
                <w:rFonts w:cstheme="minorHAnsi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Ohrazenici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F4BA617" w14:textId="77777777" w:rsidR="009C7779" w:rsidRDefault="009C777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Dopravní podnik města Pardubic a.s.</w:t>
            </w:r>
          </w:p>
        </w:tc>
        <w:tc>
          <w:tcPr>
            <w:tcW w:w="1531" w:type="dxa"/>
            <w:shd w:val="clear" w:color="auto" w:fill="FFFFFF"/>
            <w:vAlign w:val="center"/>
            <w:hideMark/>
          </w:tcPr>
          <w:p w14:paraId="342F7A80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4. 10. 2019 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C7B588B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11. 7. 2017</w:t>
            </w:r>
          </w:p>
          <w:p w14:paraId="43009062" w14:textId="6A6518F6" w:rsidR="009C7779" w:rsidRDefault="00C8219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–</w:t>
            </w:r>
          </w:p>
          <w:p w14:paraId="07AFC8CF" w14:textId="77777777" w:rsidR="009C7779" w:rsidRDefault="009C77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4. 3. 2018</w:t>
            </w:r>
          </w:p>
        </w:tc>
      </w:tr>
    </w:tbl>
    <w:p w14:paraId="01ADDFE0" w14:textId="77777777" w:rsidR="00143F5A" w:rsidRPr="00B74A37" w:rsidRDefault="00143F5A" w:rsidP="00A32BAA">
      <w:pPr>
        <w:widowControl w:val="0"/>
        <w:tabs>
          <w:tab w:val="left" w:pos="7020"/>
        </w:tabs>
        <w:spacing w:before="40"/>
        <w:jc w:val="left"/>
        <w:rPr>
          <w:rFonts w:asciiTheme="minorHAnsi" w:hAnsiTheme="minorHAnsi" w:cstheme="minorHAnsi"/>
          <w:sz w:val="20"/>
          <w:szCs w:val="20"/>
        </w:rPr>
      </w:pPr>
      <w:r w:rsidRPr="00B74A37">
        <w:rPr>
          <w:rFonts w:asciiTheme="minorHAnsi" w:hAnsiTheme="minorHAnsi" w:cstheme="minorHAnsi"/>
          <w:b/>
          <w:sz w:val="20"/>
          <w:szCs w:val="20"/>
        </w:rPr>
        <w:t>Zdroj:</w:t>
      </w:r>
      <w:r w:rsidRPr="00B74A37">
        <w:rPr>
          <w:rFonts w:asciiTheme="minorHAnsi" w:hAnsiTheme="minorHAnsi" w:cstheme="minorHAnsi"/>
          <w:sz w:val="20"/>
          <w:szCs w:val="20"/>
        </w:rPr>
        <w:t xml:space="preserve"> informace MD</w:t>
      </w:r>
      <w:r w:rsidR="00B74A37">
        <w:rPr>
          <w:rFonts w:asciiTheme="minorHAnsi" w:hAnsiTheme="minorHAnsi" w:cstheme="minorHAnsi"/>
          <w:sz w:val="20"/>
          <w:szCs w:val="20"/>
        </w:rPr>
        <w:t>.</w:t>
      </w:r>
    </w:p>
    <w:p w14:paraId="067235DF" w14:textId="437B8E00" w:rsidR="00347AAC" w:rsidRDefault="004D215E" w:rsidP="00A32BAA">
      <w:pPr>
        <w:widowControl w:val="0"/>
        <w:tabs>
          <w:tab w:val="left" w:pos="7020"/>
        </w:tabs>
        <w:spacing w:before="40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B74A37">
        <w:rPr>
          <w:rFonts w:asciiTheme="minorHAnsi" w:hAnsiTheme="minorHAnsi" w:cstheme="minorHAnsi"/>
          <w:sz w:val="20"/>
          <w:szCs w:val="20"/>
        </w:rPr>
        <w:t>*</w:t>
      </w:r>
      <w:r w:rsidR="002A5D73">
        <w:rPr>
          <w:rFonts w:asciiTheme="minorHAnsi" w:hAnsiTheme="minorHAnsi" w:cstheme="minorHAnsi"/>
          <w:sz w:val="20"/>
          <w:szCs w:val="20"/>
        </w:rPr>
        <w:t xml:space="preserve"> </w:t>
      </w:r>
      <w:r w:rsidRPr="00B74A37">
        <w:rPr>
          <w:rFonts w:asciiTheme="minorHAnsi" w:hAnsiTheme="minorHAnsi" w:cstheme="minorHAnsi"/>
          <w:sz w:val="20"/>
          <w:szCs w:val="20"/>
        </w:rPr>
        <w:t xml:space="preserve">Data uváděná </w:t>
      </w:r>
      <w:r w:rsidR="002461CD">
        <w:rPr>
          <w:rFonts w:asciiTheme="minorHAnsi" w:hAnsiTheme="minorHAnsi" w:cstheme="minorHAnsi"/>
          <w:sz w:val="20"/>
          <w:szCs w:val="20"/>
        </w:rPr>
        <w:t>v</w:t>
      </w:r>
      <w:r w:rsidRPr="00B74A3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74A37">
        <w:rPr>
          <w:rFonts w:asciiTheme="minorHAnsi" w:hAnsiTheme="minorHAnsi" w:cstheme="minorHAnsi"/>
          <w:sz w:val="20"/>
          <w:szCs w:val="20"/>
        </w:rPr>
        <w:t>ZZoR</w:t>
      </w:r>
      <w:proofErr w:type="spellEnd"/>
      <w:r w:rsidR="00B74A37">
        <w:rPr>
          <w:rFonts w:asciiTheme="minorHAnsi" w:hAnsiTheme="minorHAnsi" w:cstheme="minorHAnsi"/>
          <w:sz w:val="20"/>
          <w:szCs w:val="20"/>
        </w:rPr>
        <w:t>.</w:t>
      </w:r>
    </w:p>
    <w:p w14:paraId="668966E8" w14:textId="77777777" w:rsidR="00A32BAA" w:rsidRDefault="00A32BAA" w:rsidP="00A32BAA">
      <w:pPr>
        <w:widowControl w:val="0"/>
        <w:tabs>
          <w:tab w:val="left" w:pos="702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403DBA46" w14:textId="77777777" w:rsidR="00A32BAA" w:rsidRPr="00B74A37" w:rsidRDefault="00A32BAA" w:rsidP="00A32BAA">
      <w:pPr>
        <w:widowControl w:val="0"/>
        <w:tabs>
          <w:tab w:val="left" w:pos="702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1B1FDE7B" w14:textId="77777777" w:rsidR="00A32BAA" w:rsidRDefault="00A32BAA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0A6E05D" w14:textId="77777777" w:rsidR="00347AAC" w:rsidRPr="003E008A" w:rsidRDefault="00347AAC" w:rsidP="00A32BAA">
      <w:pPr>
        <w:widowControl w:val="0"/>
        <w:tabs>
          <w:tab w:val="left" w:pos="7020"/>
        </w:tabs>
        <w:spacing w:after="120"/>
        <w:jc w:val="right"/>
        <w:rPr>
          <w:rFonts w:asciiTheme="minorHAnsi" w:hAnsiTheme="minorHAnsi" w:cstheme="minorHAnsi"/>
          <w:b/>
        </w:rPr>
      </w:pPr>
      <w:r w:rsidRPr="003E008A">
        <w:rPr>
          <w:rFonts w:asciiTheme="minorHAnsi" w:hAnsiTheme="minorHAnsi" w:cstheme="minorHAnsi"/>
          <w:b/>
        </w:rPr>
        <w:lastRenderedPageBreak/>
        <w:t>Příloha č. 3</w:t>
      </w:r>
    </w:p>
    <w:p w14:paraId="0CFA14CC" w14:textId="77777777" w:rsidR="00544965" w:rsidRPr="001E1428" w:rsidRDefault="00544965" w:rsidP="0024687F">
      <w:pPr>
        <w:widowControl w:val="0"/>
        <w:tabs>
          <w:tab w:val="left" w:pos="7020"/>
        </w:tabs>
        <w:spacing w:after="120"/>
        <w:jc w:val="center"/>
        <w:rPr>
          <w:rFonts w:asciiTheme="minorHAnsi" w:hAnsiTheme="minorHAnsi" w:cstheme="minorHAnsi"/>
          <w:b/>
        </w:rPr>
      </w:pPr>
      <w:r w:rsidRPr="001E1428">
        <w:rPr>
          <w:rFonts w:asciiTheme="minorHAnsi" w:hAnsiTheme="minorHAnsi" w:cstheme="minorHAnsi"/>
          <w:b/>
        </w:rPr>
        <w:t>Projekty vybrané ke kontrole</w:t>
      </w:r>
    </w:p>
    <w:tbl>
      <w:tblPr>
        <w:tblW w:w="91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505"/>
        <w:gridCol w:w="1546"/>
        <w:gridCol w:w="1058"/>
        <w:gridCol w:w="1020"/>
        <w:gridCol w:w="1304"/>
        <w:gridCol w:w="1210"/>
      </w:tblGrid>
      <w:tr w:rsidR="00E277CB" w:rsidRPr="001E1428" w14:paraId="39405BCB" w14:textId="77777777" w:rsidTr="0024687F">
        <w:trPr>
          <w:trHeight w:val="737"/>
          <w:tblHeader/>
        </w:trPr>
        <w:tc>
          <w:tcPr>
            <w:tcW w:w="510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C94BF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Poř</w:t>
            </w:r>
            <w:proofErr w:type="spellEnd"/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4E35DE5" w14:textId="77777777" w:rsidR="00544965" w:rsidRPr="001E1428" w:rsidRDefault="00544965" w:rsidP="0024687F">
            <w:pPr>
              <w:keepNext/>
              <w:spacing w:before="20" w:after="20"/>
              <w:ind w:left="-230" w:firstLine="23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číslo</w:t>
            </w:r>
          </w:p>
        </w:tc>
        <w:tc>
          <w:tcPr>
            <w:tcW w:w="2505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5F36E" w14:textId="77777777" w:rsidR="00544965" w:rsidRPr="001E1428" w:rsidRDefault="00544965" w:rsidP="0024687F">
            <w:pPr>
              <w:keepNext/>
              <w:spacing w:before="20" w:after="20"/>
              <w:ind w:left="-28" w:right="-28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Registrační číslo</w:t>
            </w:r>
            <w:r w:rsidR="0024687F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projektu</w:t>
            </w:r>
          </w:p>
        </w:tc>
        <w:tc>
          <w:tcPr>
            <w:tcW w:w="1546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8A99D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1058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7FC007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Zadavatel</w:t>
            </w:r>
          </w:p>
        </w:tc>
        <w:tc>
          <w:tcPr>
            <w:tcW w:w="1020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6BE23" w14:textId="3A603EC5" w:rsidR="00544965" w:rsidRPr="001E1428" w:rsidRDefault="00544965" w:rsidP="00313916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Datum realizace</w:t>
            </w:r>
            <w:r w:rsidR="0024687F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(předpoklad)</w:t>
            </w:r>
            <w:r w:rsidR="0024687F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od</w:t>
            </w:r>
            <w:proofErr w:type="gramEnd"/>
            <w:r w:rsidR="00C82197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–</w:t>
            </w:r>
            <w:proofErr w:type="gramStart"/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do</w:t>
            </w:r>
            <w:proofErr w:type="gramEnd"/>
          </w:p>
        </w:tc>
        <w:tc>
          <w:tcPr>
            <w:tcW w:w="1304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90648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Celkové způsobilé výdaje projektu v Kč (bez DPH)</w:t>
            </w:r>
          </w:p>
        </w:tc>
        <w:tc>
          <w:tcPr>
            <w:tcW w:w="1210" w:type="dxa"/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2A929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>Proplaceno z OPD k 31. 10. 2020</w:t>
            </w:r>
          </w:p>
        </w:tc>
      </w:tr>
      <w:tr w:rsidR="0024687F" w:rsidRPr="001E1428" w14:paraId="28C55097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0E42AD" w14:textId="589C6721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0CF13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CZ.04.1.40/0.0/0.0/16_017/0000128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4D8DA" w14:textId="453620FE" w:rsidR="00544965" w:rsidRPr="001E1428" w:rsidRDefault="00544965" w:rsidP="00C82197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Prodloužení tramvajové tratě na Borská pole </w:t>
            </w:r>
            <w:r w:rsidR="00C82197"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 část Tramvajová trať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011F0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Statutární město Plzeň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D0FDD" w14:textId="37E71228" w:rsidR="00544965" w:rsidRPr="001E1428" w:rsidRDefault="00544965" w:rsidP="00923F98">
            <w:pPr>
              <w:keepNext/>
              <w:ind w:left="-80" w:firstLine="80"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2. 4. 2018</w:t>
            </w:r>
          </w:p>
          <w:p w14:paraId="41864583" w14:textId="36B05FAC" w:rsidR="00544965" w:rsidRPr="001E1428" w:rsidRDefault="00C82197" w:rsidP="00923F98">
            <w:pPr>
              <w:keepNext/>
              <w:ind w:left="-80" w:firstLine="80"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  <w:p w14:paraId="57257D38" w14:textId="27532CD7" w:rsidR="00544965" w:rsidRPr="001E1428" w:rsidRDefault="00544965" w:rsidP="00782698">
            <w:pPr>
              <w:keepNext/>
              <w:ind w:left="-80" w:firstLine="80"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29. 5. 2020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1A3E3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415 644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695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90D6F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355 176 654,15</w:t>
            </w:r>
          </w:p>
        </w:tc>
      </w:tr>
      <w:tr w:rsidR="0024687F" w:rsidRPr="001E1428" w14:paraId="0D3203CA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B16EAC" w14:textId="10F77051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2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F90B5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CZ.04.1.40/0.0/0.0/16_017/0000138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F2987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Výměna technologií měníren Letná a Bory pro MHD v Plzni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8D53D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Plzeňské městské dopravní podniky,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598404" w14:textId="460B1828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1. 3. 2018</w:t>
            </w:r>
          </w:p>
          <w:p w14:paraId="392A54C9" w14:textId="613F1745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280379DD" w14:textId="32AA8DF9" w:rsidR="00544965" w:rsidRPr="001E1428" w:rsidRDefault="00544965" w:rsidP="007826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30. 6. 2020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6DAC5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76 683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716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375FC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64 161 107,89</w:t>
            </w:r>
          </w:p>
        </w:tc>
      </w:tr>
      <w:tr w:rsidR="0024687F" w:rsidRPr="001E1428" w14:paraId="4C9D4D43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81B8C" w14:textId="69A9B8F0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5A86B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CZ.04.1.40/0.0/0.0/16_018/0000120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AF38D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Tramvajová trať Plotní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E4A88" w14:textId="1B337C30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města Brna,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E02DF" w14:textId="5369CDF6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1. 3. 2018</w:t>
            </w:r>
          </w:p>
          <w:p w14:paraId="2E10F915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5C306CD3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31. 12. 2020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BBE75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322 838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187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6663F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254 754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900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4687F" w:rsidRPr="001E1428" w14:paraId="5B2ACAED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9DD07" w14:textId="623EF40F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4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13FA5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CZ.04.1.40/0.0/0.0/16_018/0000124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35836" w14:textId="1D0F3EF8" w:rsidR="00544965" w:rsidRPr="001E1428" w:rsidRDefault="00544965" w:rsidP="00782698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Trolejbusová trať </w:t>
            </w:r>
            <w:proofErr w:type="gramStart"/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Novolíšeňská</w:t>
            </w:r>
            <w:proofErr w:type="gramEnd"/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  <w:proofErr w:type="gramStart"/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Jírova</w:t>
            </w:r>
            <w:proofErr w:type="gramEnd"/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BDD17" w14:textId="64DDE6C5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města Brna,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DB484" w14:textId="3A1303F3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1. 5. 2018</w:t>
            </w:r>
          </w:p>
          <w:p w14:paraId="4082FAC7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7BDB816D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29. 11. 2019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12A56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124 257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624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1E2E8" w14:textId="068B4CBC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92 674 398</w:t>
            </w:r>
            <w:r w:rsidR="00AD3099">
              <w:rPr>
                <w:rFonts w:eastAsia="Calibri" w:cs="Calibri"/>
                <w:color w:val="000000"/>
                <w:sz w:val="16"/>
                <w:szCs w:val="16"/>
              </w:rPr>
              <w:t>,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81</w:t>
            </w:r>
          </w:p>
        </w:tc>
      </w:tr>
      <w:tr w:rsidR="0024687F" w:rsidRPr="001E1428" w14:paraId="497B06FB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7CE7A" w14:textId="0B532375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5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8D2C6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CZ.04.1.40/0.0/0.0/18_055/0000326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AAF19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Prodloužení tramvajové trati z</w:t>
            </w:r>
            <w:r w:rsidR="00A32BAA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Osové ke Kampusu MU v Bohunicích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C42A0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města Brna,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4C75F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12. 10. 2015</w:t>
            </w:r>
          </w:p>
          <w:p w14:paraId="521159C8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7EAE386D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17. 12. 2022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B7A794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1 362 239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493</w:t>
            </w:r>
            <w:r w:rsidR="001864BB">
              <w:rPr>
                <w:rFonts w:eastAsia="Calibri"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4CDE1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521 403 712,20</w:t>
            </w:r>
          </w:p>
        </w:tc>
      </w:tr>
      <w:tr w:rsidR="0024687F" w:rsidRPr="001E1428" w14:paraId="5463508F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7A7A6" w14:textId="5CE6A52B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6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74452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CZ.04.1.40/0.0/0.0/16_019/0000068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506C1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Modernizace tramvajové tratě 1.</w:t>
            </w:r>
            <w:r w:rsidR="00A32BAA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máje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11BD0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Statutární město Olomouc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4E495" w14:textId="290B7867" w:rsidR="00544965" w:rsidRPr="001E1428" w:rsidRDefault="00782698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N</w:t>
            </w:r>
            <w:r w:rsidR="00544965" w:rsidRPr="001E1428">
              <w:rPr>
                <w:rFonts w:eastAsia="Calibri" w:cs="Calibri"/>
                <w:sz w:val="16"/>
                <w:szCs w:val="16"/>
              </w:rPr>
              <w:t>euvedeno</w:t>
            </w:r>
          </w:p>
          <w:p w14:paraId="2C722928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32A1B547" w14:textId="3816D26C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28. 2. 2018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44528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36 579 162,44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DB346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25 560 686,13</w:t>
            </w:r>
          </w:p>
        </w:tc>
      </w:tr>
      <w:tr w:rsidR="0024687F" w:rsidRPr="001E1428" w14:paraId="4A910D4D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651E9" w14:textId="528DD9FD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7</w:t>
            </w:r>
            <w:r w:rsidR="00782698">
              <w:rPr>
                <w:rFonts w:eastAsia="Calibri" w:cs="Calibri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10C3E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CZ.04.1.40/0.0/0.0/16_019/0000132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F93FF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Měnírna Jih včetně posílení napájení tramvajové trati na tř.</w:t>
            </w:r>
            <w:r w:rsidR="00A32BAA">
              <w:rPr>
                <w:rFonts w:eastAsia="Calibri" w:cs="Calibri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sz w:val="16"/>
                <w:szCs w:val="16"/>
              </w:rPr>
              <w:t>Kosmonautů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D6B0A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Dopravní podnik města Olomouce,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02A77" w14:textId="5E934C41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1. 12. 2017</w:t>
            </w:r>
          </w:p>
          <w:p w14:paraId="74D9C3CF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6139DF52" w14:textId="53E13D58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31. 5. 2018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94833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24 882 015,00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38639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16 300 082,86</w:t>
            </w:r>
          </w:p>
        </w:tc>
      </w:tr>
      <w:tr w:rsidR="0024687F" w:rsidRPr="001E1428" w14:paraId="05D473D5" w14:textId="77777777" w:rsidTr="0024687F">
        <w:trPr>
          <w:trHeight w:val="4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81F96" w14:textId="4EADD935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8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08472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CZ.04.1.40/0.0/0.0/16_019/0000137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60A25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Tramvajová trať 8.</w:t>
            </w:r>
            <w:r w:rsidR="00A32BAA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května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FE32A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Statutární město Olomouc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AA52A" w14:textId="787D3084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1. 3. 2020</w:t>
            </w:r>
          </w:p>
          <w:p w14:paraId="5E1F0D1B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68469E45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30. 11. 2020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2B89F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37 683 820,49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199C2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17 000 000,00</w:t>
            </w:r>
          </w:p>
        </w:tc>
      </w:tr>
      <w:tr w:rsidR="0024687F" w:rsidRPr="001E1428" w14:paraId="1689A2F5" w14:textId="77777777" w:rsidTr="0024687F">
        <w:trPr>
          <w:trHeight w:val="98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C6960" w14:textId="6B40F0E9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9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36E27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CZ.04.1.40/0.0/0.0/18_056/0000415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5A5B0" w14:textId="75BB37A1" w:rsidR="00544965" w:rsidRPr="001E1428" w:rsidRDefault="00544965" w:rsidP="00782698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Tramvajová trať II.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etapa Nové Sady </w:t>
            </w:r>
            <w:r w:rsidR="00782698"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 Povel a Odstavy tramvají Jeremenkova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20A69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Statutární město Olomouc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61DD5" w14:textId="2BA99F4A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2. 3. 2020</w:t>
            </w:r>
          </w:p>
          <w:p w14:paraId="17235D5B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42C131E4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30. 11. 2022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3DCC3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757 712 758,00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8CBA8" w14:textId="61BB6793" w:rsidR="00544965" w:rsidRPr="001E1428" w:rsidRDefault="00D34331" w:rsidP="00D34331">
            <w:pPr>
              <w:keepNext/>
              <w:ind w:right="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Neuvedeno</w:t>
            </w:r>
          </w:p>
        </w:tc>
      </w:tr>
      <w:tr w:rsidR="0024687F" w:rsidRPr="001E1428" w14:paraId="3118B606" w14:textId="77777777" w:rsidTr="0024687F">
        <w:trPr>
          <w:trHeight w:val="72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D49F3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ACAE9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CZ.04.1.40/0.0/0.0/16_020/0000119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575277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Rekonstrukce tramvajové trati včetně výstavby nových tramvajových mostů na ul.</w:t>
            </w:r>
            <w:r w:rsidR="00A32BAA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Výškovická, Ostrava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388F4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Ostrava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A9DDDF" w14:textId="5CA552E9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1. 3. 2018</w:t>
            </w:r>
          </w:p>
          <w:p w14:paraId="21B176C6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30265DB3" w14:textId="4D6A99F2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31. 8. 2020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578B7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89 937 733,65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4D267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76 271 260,20</w:t>
            </w:r>
          </w:p>
        </w:tc>
      </w:tr>
      <w:tr w:rsidR="0024687F" w:rsidRPr="001E1428" w14:paraId="4CBF8D11" w14:textId="77777777" w:rsidTr="0024687F">
        <w:trPr>
          <w:trHeight w:val="72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BE0A5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5D2F7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CZ.04.1.40/0.0/0.0/18_057/0000381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B09F8" w14:textId="0DA0C8EF" w:rsidR="00544965" w:rsidRPr="001E1428" w:rsidRDefault="00544965" w:rsidP="00D34331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ITI</w:t>
            </w:r>
            <w:r w:rsidR="00D34331">
              <w:rPr>
                <w:rFonts w:eastAsia="Calibri" w:cs="Calibri"/>
                <w:color w:val="000000"/>
                <w:sz w:val="16"/>
                <w:szCs w:val="16"/>
              </w:rPr>
              <w:t xml:space="preserve"> –</w:t>
            </w:r>
            <w:r w:rsidR="00D34331" w:rsidRPr="001E1428"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Modernizace trakčních měníren DPO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A70CB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Ostrava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605C4" w14:textId="5162D30B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1. 5. 2018</w:t>
            </w:r>
          </w:p>
          <w:p w14:paraId="1DC8313B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2415762F" w14:textId="57473D76" w:rsidR="00544965" w:rsidRPr="001E1428" w:rsidRDefault="00544965" w:rsidP="00D34331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30. 9. 2021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3A311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113 344 332,19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B3A5" w14:textId="76996296" w:rsidR="00544965" w:rsidRPr="001E1428" w:rsidRDefault="00D34331" w:rsidP="00D34331">
            <w:pPr>
              <w:keepNext/>
              <w:ind w:right="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Neuvedeno</w:t>
            </w:r>
          </w:p>
        </w:tc>
      </w:tr>
      <w:tr w:rsidR="0024687F" w:rsidRPr="001E1428" w14:paraId="26505898" w14:textId="77777777" w:rsidTr="0024687F">
        <w:trPr>
          <w:trHeight w:val="960"/>
        </w:trPr>
        <w:tc>
          <w:tcPr>
            <w:tcW w:w="5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3B3FE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D09EB" w14:textId="77777777" w:rsidR="00544965" w:rsidRPr="001E1428" w:rsidRDefault="00544965" w:rsidP="00E277CB">
            <w:pPr>
              <w:keepNext/>
              <w:ind w:left="-28" w:right="-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CZ.04.1.40/0.0/0.0/18_057/0000399</w:t>
            </w:r>
          </w:p>
        </w:tc>
        <w:tc>
          <w:tcPr>
            <w:tcW w:w="15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22C8D" w14:textId="630DCA5B" w:rsidR="00544965" w:rsidRPr="001E1428" w:rsidRDefault="00544965" w:rsidP="00D34331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ITI</w:t>
            </w:r>
            <w:r w:rsidR="00D34331">
              <w:rPr>
                <w:rFonts w:eastAsia="Calibri" w:cs="Calibri"/>
                <w:color w:val="000000"/>
                <w:sz w:val="16"/>
                <w:szCs w:val="16"/>
              </w:rPr>
              <w:t xml:space="preserve"> – 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Zvyšování rychlosti tramvajové dopravy v</w:t>
            </w:r>
            <w:r w:rsidR="00A32BAA">
              <w:rPr>
                <w:rFonts w:eastAsia="Calibri" w:cs="Calibri"/>
                <w:color w:val="000000"/>
                <w:sz w:val="16"/>
                <w:szCs w:val="16"/>
              </w:rPr>
              <w:t> </w:t>
            </w: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DPO</w:t>
            </w:r>
          </w:p>
        </w:tc>
        <w:tc>
          <w:tcPr>
            <w:tcW w:w="105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13EF32" w14:textId="77777777" w:rsidR="00544965" w:rsidRPr="001E1428" w:rsidRDefault="00544965" w:rsidP="0024687F">
            <w:pPr>
              <w:keepNext/>
              <w:spacing w:before="20" w:after="20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Dopravní podnik Ostrava a.s.</w:t>
            </w:r>
          </w:p>
        </w:tc>
        <w:tc>
          <w:tcPr>
            <w:tcW w:w="10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C2010" w14:textId="0F50CB05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2. 4. 2019</w:t>
            </w:r>
          </w:p>
          <w:p w14:paraId="2CF6E9EB" w14:textId="77777777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–</w:t>
            </w:r>
          </w:p>
          <w:p w14:paraId="1778A9A0" w14:textId="29892ED9" w:rsidR="00544965" w:rsidRPr="001E1428" w:rsidRDefault="00544965" w:rsidP="00923F98">
            <w:pPr>
              <w:keepNext/>
              <w:jc w:val="center"/>
              <w:rPr>
                <w:rFonts w:eastAsia="Calibri" w:cs="Calibri"/>
                <w:sz w:val="16"/>
                <w:szCs w:val="16"/>
              </w:rPr>
            </w:pPr>
            <w:r w:rsidRPr="001E1428">
              <w:rPr>
                <w:rFonts w:eastAsia="Calibri" w:cs="Calibri"/>
                <w:sz w:val="16"/>
                <w:szCs w:val="16"/>
              </w:rPr>
              <w:t>30. 8. 2022</w:t>
            </w:r>
          </w:p>
        </w:tc>
        <w:tc>
          <w:tcPr>
            <w:tcW w:w="130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01D05" w14:textId="77777777" w:rsidR="00544965" w:rsidRPr="001E1428" w:rsidRDefault="00544965" w:rsidP="00E277CB">
            <w:pPr>
              <w:keepNext/>
              <w:ind w:right="28"/>
              <w:jc w:val="right"/>
              <w:rPr>
                <w:rFonts w:eastAsia="Calibri" w:cs="Calibri"/>
                <w:color w:val="000000"/>
                <w:sz w:val="16"/>
                <w:szCs w:val="16"/>
              </w:rPr>
            </w:pPr>
            <w:r w:rsidRPr="001E1428">
              <w:rPr>
                <w:rFonts w:eastAsia="Calibri" w:cs="Calibri"/>
                <w:color w:val="000000"/>
                <w:sz w:val="16"/>
                <w:szCs w:val="16"/>
              </w:rPr>
              <w:t>180 829 894,72</w:t>
            </w:r>
          </w:p>
        </w:tc>
        <w:tc>
          <w:tcPr>
            <w:tcW w:w="121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5FDA5" w14:textId="70EEEB68" w:rsidR="00544965" w:rsidRPr="001E1428" w:rsidRDefault="00D34331" w:rsidP="00D34331">
            <w:pPr>
              <w:keepNext/>
              <w:ind w:right="28"/>
              <w:jc w:val="center"/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Neuvedeno</w:t>
            </w:r>
          </w:p>
        </w:tc>
      </w:tr>
    </w:tbl>
    <w:p w14:paraId="736374CA" w14:textId="77777777" w:rsidR="00544965" w:rsidRPr="00B74A37" w:rsidRDefault="00544965" w:rsidP="00A32BAA">
      <w:pPr>
        <w:keepNext/>
        <w:keepLines/>
        <w:spacing w:before="40"/>
        <w:rPr>
          <w:rFonts w:asciiTheme="minorHAnsi" w:hAnsiTheme="minorHAnsi" w:cstheme="minorHAnsi"/>
          <w:sz w:val="20"/>
          <w:szCs w:val="20"/>
        </w:rPr>
      </w:pPr>
      <w:r w:rsidRPr="00B74A37">
        <w:rPr>
          <w:rFonts w:asciiTheme="minorHAnsi" w:hAnsiTheme="minorHAnsi" w:cstheme="minorHAnsi"/>
          <w:b/>
          <w:sz w:val="20"/>
          <w:szCs w:val="20"/>
        </w:rPr>
        <w:t>Zdroj:</w:t>
      </w:r>
      <w:r w:rsidRPr="00B74A37">
        <w:rPr>
          <w:rFonts w:asciiTheme="minorHAnsi" w:hAnsiTheme="minorHAnsi" w:cstheme="minorHAnsi"/>
          <w:sz w:val="20"/>
          <w:szCs w:val="20"/>
        </w:rPr>
        <w:t xml:space="preserve"> </w:t>
      </w:r>
      <w:r w:rsidR="00845F1C">
        <w:rPr>
          <w:rFonts w:asciiTheme="minorHAnsi" w:hAnsiTheme="minorHAnsi" w:cstheme="minorHAnsi"/>
          <w:color w:val="000000"/>
          <w:sz w:val="20"/>
          <w:szCs w:val="20"/>
          <w:lang w:eastAsia="cs-CZ"/>
        </w:rPr>
        <w:t>informace MD</w:t>
      </w:r>
      <w:r w:rsidR="00071EDF">
        <w:rPr>
          <w:rFonts w:asciiTheme="minorHAnsi" w:hAnsiTheme="minorHAnsi" w:cstheme="minorHAnsi"/>
          <w:color w:val="000000"/>
          <w:sz w:val="20"/>
          <w:szCs w:val="20"/>
          <w:lang w:eastAsia="cs-CZ"/>
        </w:rPr>
        <w:t>.</w:t>
      </w:r>
      <w:r w:rsidR="00845F1C">
        <w:rPr>
          <w:rFonts w:asciiTheme="minorHAnsi" w:hAnsiTheme="minorHAnsi" w:cstheme="minorHAnsi"/>
          <w:color w:val="000000"/>
          <w:sz w:val="20"/>
          <w:szCs w:val="20"/>
          <w:lang w:eastAsia="cs-CZ"/>
        </w:rPr>
        <w:t xml:space="preserve"> </w:t>
      </w:r>
    </w:p>
    <w:p w14:paraId="498464B7" w14:textId="77777777" w:rsidR="00544965" w:rsidRDefault="00544965" w:rsidP="0024687F">
      <w:pPr>
        <w:widowControl w:val="0"/>
        <w:tabs>
          <w:tab w:val="left" w:pos="7020"/>
        </w:tabs>
        <w:jc w:val="left"/>
        <w:rPr>
          <w:rFonts w:asciiTheme="minorHAnsi" w:hAnsiTheme="minorHAnsi" w:cstheme="minorHAnsi"/>
        </w:rPr>
      </w:pPr>
    </w:p>
    <w:p w14:paraId="771899B8" w14:textId="77777777" w:rsidR="007D4267" w:rsidRDefault="007D426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05CE0E80" w14:textId="77777777" w:rsidR="001E1428" w:rsidRPr="007D4267" w:rsidRDefault="00F371ED" w:rsidP="007D4267">
      <w:pPr>
        <w:widowControl w:val="0"/>
        <w:spacing w:after="120"/>
        <w:jc w:val="right"/>
        <w:rPr>
          <w:b/>
        </w:rPr>
      </w:pPr>
      <w:r w:rsidRPr="007D4267">
        <w:rPr>
          <w:b/>
        </w:rPr>
        <w:lastRenderedPageBreak/>
        <w:t>Příloha č. 4</w:t>
      </w:r>
    </w:p>
    <w:p w14:paraId="4D0EF248" w14:textId="77777777" w:rsidR="00F371ED" w:rsidRPr="002750D8" w:rsidRDefault="00F371ED" w:rsidP="007D4267">
      <w:pPr>
        <w:spacing w:after="120"/>
        <w:rPr>
          <w:rFonts w:asciiTheme="minorHAnsi" w:hAnsiTheme="minorHAnsi" w:cstheme="minorHAnsi"/>
          <w:b/>
          <w:lang w:eastAsia="cs-CZ"/>
        </w:rPr>
      </w:pPr>
      <w:r w:rsidRPr="002750D8">
        <w:rPr>
          <w:rFonts w:asciiTheme="minorHAnsi" w:hAnsiTheme="minorHAnsi" w:cstheme="minorHAnsi"/>
          <w:b/>
          <w:lang w:eastAsia="cs-CZ"/>
        </w:rPr>
        <w:t>První kolo výzev k předložení žádostí o podporu v rámci SC 1.4</w:t>
      </w:r>
    </w:p>
    <w:tbl>
      <w:tblPr>
        <w:tblStyle w:val="Mkatabulky4"/>
        <w:tblW w:w="9134" w:type="dxa"/>
        <w:jc w:val="center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1757"/>
        <w:gridCol w:w="1474"/>
        <w:gridCol w:w="1191"/>
        <w:gridCol w:w="1423"/>
        <w:gridCol w:w="1191"/>
      </w:tblGrid>
      <w:tr w:rsidR="007D4267" w:rsidRPr="00F371ED" w14:paraId="4599745F" w14:textId="77777777" w:rsidTr="00B730BD">
        <w:trPr>
          <w:trHeight w:val="283"/>
          <w:jc w:val="center"/>
        </w:trPr>
        <w:tc>
          <w:tcPr>
            <w:tcW w:w="2098" w:type="dxa"/>
            <w:shd w:val="clear" w:color="auto" w:fill="E5F1FF"/>
            <w:vAlign w:val="center"/>
          </w:tcPr>
          <w:p w14:paraId="51718D52" w14:textId="70C52DEB" w:rsidR="00F371ED" w:rsidRPr="00F371ED" w:rsidRDefault="00F371ED" w:rsidP="007D42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Město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aglomerační oblast</w:t>
            </w:r>
          </w:p>
        </w:tc>
        <w:tc>
          <w:tcPr>
            <w:tcW w:w="1757" w:type="dxa"/>
            <w:shd w:val="clear" w:color="auto" w:fill="E5F1FF"/>
            <w:vAlign w:val="center"/>
          </w:tcPr>
          <w:p w14:paraId="29999413" w14:textId="5D1505D1" w:rsidR="00F371ED" w:rsidRPr="00F371ED" w:rsidRDefault="00F371ED" w:rsidP="00B730BD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První kolo výzev</w:t>
            </w:r>
            <w:r w:rsidR="00D429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−</w:t>
            </w:r>
            <w:r w:rsidR="00B73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42993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říspěvek EU v Kč</w:t>
            </w:r>
          </w:p>
        </w:tc>
        <w:tc>
          <w:tcPr>
            <w:tcW w:w="1474" w:type="dxa"/>
            <w:shd w:val="clear" w:color="auto" w:fill="E5F1FF"/>
            <w:vAlign w:val="center"/>
          </w:tcPr>
          <w:p w14:paraId="03D267C2" w14:textId="77777777" w:rsidR="00F371ED" w:rsidRPr="00F371ED" w:rsidRDefault="00F371ED" w:rsidP="007D426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Podané žádosti v Kč</w:t>
            </w:r>
          </w:p>
        </w:tc>
        <w:tc>
          <w:tcPr>
            <w:tcW w:w="1191" w:type="dxa"/>
            <w:shd w:val="clear" w:color="auto" w:fill="E5F1FF"/>
            <w:vAlign w:val="center"/>
          </w:tcPr>
          <w:p w14:paraId="5E7D53EB" w14:textId="052B835C" w:rsidR="00F371ED" w:rsidRPr="00F371ED" w:rsidRDefault="00F371ED" w:rsidP="00B73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Podané</w:t>
            </w:r>
            <w:r w:rsidR="00B73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žádosti v %</w:t>
            </w:r>
          </w:p>
        </w:tc>
        <w:tc>
          <w:tcPr>
            <w:tcW w:w="1423" w:type="dxa"/>
            <w:shd w:val="clear" w:color="auto" w:fill="E5F1FF"/>
            <w:vAlign w:val="center"/>
          </w:tcPr>
          <w:p w14:paraId="46057004" w14:textId="215535D5" w:rsidR="00F371ED" w:rsidRPr="00F371ED" w:rsidRDefault="00F371ED" w:rsidP="00B73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Schválené</w:t>
            </w:r>
            <w:r w:rsidR="00B73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žádosti v Kč</w:t>
            </w:r>
          </w:p>
        </w:tc>
        <w:tc>
          <w:tcPr>
            <w:tcW w:w="1191" w:type="dxa"/>
            <w:shd w:val="clear" w:color="auto" w:fill="E5F1FF"/>
            <w:vAlign w:val="center"/>
          </w:tcPr>
          <w:p w14:paraId="7C5AE1E8" w14:textId="47E56C6A" w:rsidR="00F371ED" w:rsidRPr="00F371ED" w:rsidRDefault="00F371ED" w:rsidP="00B730B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Schválené</w:t>
            </w:r>
            <w:r w:rsidR="00B730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žádosti v %</w:t>
            </w:r>
          </w:p>
        </w:tc>
      </w:tr>
      <w:tr w:rsidR="007D4267" w:rsidRPr="00F371ED" w14:paraId="3C122B3D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2B123A5A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Praha</w:t>
            </w:r>
          </w:p>
        </w:tc>
        <w:tc>
          <w:tcPr>
            <w:tcW w:w="1757" w:type="dxa"/>
            <w:vAlign w:val="center"/>
          </w:tcPr>
          <w:p w14:paraId="7555605D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5 000 000 000</w:t>
            </w:r>
          </w:p>
        </w:tc>
        <w:tc>
          <w:tcPr>
            <w:tcW w:w="1474" w:type="dxa"/>
            <w:vAlign w:val="center"/>
          </w:tcPr>
          <w:p w14:paraId="675ECF89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3B4CAF6F" w14:textId="199F7A8C" w:rsidR="00F371ED" w:rsidRPr="00F371ED" w:rsidRDefault="002461C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23" w:type="dxa"/>
            <w:vAlign w:val="center"/>
          </w:tcPr>
          <w:p w14:paraId="07F3080C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11887C38" w14:textId="66EADA4B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728ACB04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20119429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Brno</w:t>
            </w:r>
          </w:p>
        </w:tc>
        <w:tc>
          <w:tcPr>
            <w:tcW w:w="1757" w:type="dxa"/>
            <w:vAlign w:val="center"/>
          </w:tcPr>
          <w:p w14:paraId="5D6DA9EE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1 606 500 000</w:t>
            </w:r>
          </w:p>
        </w:tc>
        <w:tc>
          <w:tcPr>
            <w:tcW w:w="1474" w:type="dxa"/>
            <w:vAlign w:val="center"/>
          </w:tcPr>
          <w:p w14:paraId="531D02C6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2 090 660 071</w:t>
            </w:r>
          </w:p>
        </w:tc>
        <w:tc>
          <w:tcPr>
            <w:tcW w:w="1191" w:type="dxa"/>
            <w:vAlign w:val="center"/>
          </w:tcPr>
          <w:p w14:paraId="1B0054AD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130,14</w:t>
            </w:r>
          </w:p>
        </w:tc>
        <w:tc>
          <w:tcPr>
            <w:tcW w:w="1423" w:type="dxa"/>
            <w:vAlign w:val="center"/>
          </w:tcPr>
          <w:p w14:paraId="76BD3627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374 954 808</w:t>
            </w:r>
          </w:p>
        </w:tc>
        <w:tc>
          <w:tcPr>
            <w:tcW w:w="1191" w:type="dxa"/>
            <w:vAlign w:val="center"/>
          </w:tcPr>
          <w:p w14:paraId="53D3770B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23,34</w:t>
            </w:r>
          </w:p>
        </w:tc>
      </w:tr>
      <w:tr w:rsidR="007D4267" w:rsidRPr="00F371ED" w14:paraId="25FFF82A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519B597B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1757" w:type="dxa"/>
            <w:vAlign w:val="center"/>
          </w:tcPr>
          <w:p w14:paraId="4FC4956E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630 000 000</w:t>
            </w:r>
          </w:p>
        </w:tc>
        <w:tc>
          <w:tcPr>
            <w:tcW w:w="1474" w:type="dxa"/>
            <w:vAlign w:val="center"/>
          </w:tcPr>
          <w:p w14:paraId="43A57D52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420 357 908</w:t>
            </w:r>
          </w:p>
        </w:tc>
        <w:tc>
          <w:tcPr>
            <w:tcW w:w="1191" w:type="dxa"/>
            <w:vAlign w:val="center"/>
          </w:tcPr>
          <w:p w14:paraId="3EC57CE5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66,72</w:t>
            </w:r>
          </w:p>
        </w:tc>
        <w:tc>
          <w:tcPr>
            <w:tcW w:w="1423" w:type="dxa"/>
            <w:vAlign w:val="center"/>
          </w:tcPr>
          <w:p w14:paraId="39552952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420 357 908</w:t>
            </w:r>
          </w:p>
        </w:tc>
        <w:tc>
          <w:tcPr>
            <w:tcW w:w="1191" w:type="dxa"/>
            <w:vAlign w:val="center"/>
          </w:tcPr>
          <w:p w14:paraId="131EF73F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66,72</w:t>
            </w:r>
          </w:p>
        </w:tc>
      </w:tr>
      <w:tr w:rsidR="007D4267" w:rsidRPr="00F371ED" w14:paraId="0EA2A888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67E039A6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Olomouc</w:t>
            </w:r>
          </w:p>
        </w:tc>
        <w:tc>
          <w:tcPr>
            <w:tcW w:w="1757" w:type="dxa"/>
            <w:vAlign w:val="center"/>
          </w:tcPr>
          <w:p w14:paraId="20107FB5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715 500 000</w:t>
            </w:r>
          </w:p>
        </w:tc>
        <w:tc>
          <w:tcPr>
            <w:tcW w:w="1474" w:type="dxa"/>
            <w:vAlign w:val="center"/>
          </w:tcPr>
          <w:p w14:paraId="33FFF389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87 719 146</w:t>
            </w:r>
          </w:p>
        </w:tc>
        <w:tc>
          <w:tcPr>
            <w:tcW w:w="1191" w:type="dxa"/>
            <w:vAlign w:val="center"/>
          </w:tcPr>
          <w:p w14:paraId="7D2E8BC2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12,26</w:t>
            </w:r>
          </w:p>
        </w:tc>
        <w:tc>
          <w:tcPr>
            <w:tcW w:w="1423" w:type="dxa"/>
            <w:vAlign w:val="center"/>
          </w:tcPr>
          <w:p w14:paraId="7DB48C21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87 719 146</w:t>
            </w:r>
          </w:p>
        </w:tc>
        <w:tc>
          <w:tcPr>
            <w:tcW w:w="1191" w:type="dxa"/>
            <w:vAlign w:val="center"/>
          </w:tcPr>
          <w:p w14:paraId="1270DB88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12,26</w:t>
            </w:r>
          </w:p>
        </w:tc>
      </w:tr>
      <w:tr w:rsidR="007D4267" w:rsidRPr="00F371ED" w14:paraId="0EA63E2E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11281EC2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Ostravská aglomerace</w:t>
            </w:r>
          </w:p>
        </w:tc>
        <w:tc>
          <w:tcPr>
            <w:tcW w:w="1757" w:type="dxa"/>
            <w:vAlign w:val="center"/>
          </w:tcPr>
          <w:p w14:paraId="4B30B88A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990 000 000</w:t>
            </w:r>
          </w:p>
        </w:tc>
        <w:tc>
          <w:tcPr>
            <w:tcW w:w="1474" w:type="dxa"/>
            <w:vAlign w:val="center"/>
          </w:tcPr>
          <w:p w14:paraId="27246B96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121 035 988</w:t>
            </w:r>
          </w:p>
        </w:tc>
        <w:tc>
          <w:tcPr>
            <w:tcW w:w="1191" w:type="dxa"/>
            <w:vAlign w:val="center"/>
          </w:tcPr>
          <w:p w14:paraId="3B403115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12,13</w:t>
            </w:r>
          </w:p>
        </w:tc>
        <w:tc>
          <w:tcPr>
            <w:tcW w:w="1423" w:type="dxa"/>
            <w:vAlign w:val="center"/>
          </w:tcPr>
          <w:p w14:paraId="28A7D96F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76 271 260</w:t>
            </w:r>
          </w:p>
        </w:tc>
        <w:tc>
          <w:tcPr>
            <w:tcW w:w="1191" w:type="dxa"/>
            <w:vAlign w:val="center"/>
          </w:tcPr>
          <w:p w14:paraId="4A4D32E4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7,70</w:t>
            </w:r>
          </w:p>
        </w:tc>
      </w:tr>
      <w:tr w:rsidR="007D4267" w:rsidRPr="00F371ED" w14:paraId="4025B085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1AAC2D06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Ústecko-chomutovská aglomerace</w:t>
            </w:r>
          </w:p>
        </w:tc>
        <w:tc>
          <w:tcPr>
            <w:tcW w:w="1757" w:type="dxa"/>
            <w:vAlign w:val="center"/>
          </w:tcPr>
          <w:p w14:paraId="5A480F80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432 000 000</w:t>
            </w:r>
          </w:p>
        </w:tc>
        <w:tc>
          <w:tcPr>
            <w:tcW w:w="1474" w:type="dxa"/>
            <w:vAlign w:val="center"/>
          </w:tcPr>
          <w:p w14:paraId="198796EA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01B55AB1" w14:textId="7BCC38DA" w:rsidR="00F371ED" w:rsidRPr="00F371ED" w:rsidRDefault="002461C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23" w:type="dxa"/>
            <w:vAlign w:val="center"/>
          </w:tcPr>
          <w:p w14:paraId="2564D6F3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2896E6EC" w14:textId="2BA9FABA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2DE8DF19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00F1AE6B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Hradecko-pardubická aglomerace</w:t>
            </w:r>
          </w:p>
        </w:tc>
        <w:tc>
          <w:tcPr>
            <w:tcW w:w="1757" w:type="dxa"/>
            <w:vAlign w:val="center"/>
          </w:tcPr>
          <w:p w14:paraId="52BCF904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126 000 000</w:t>
            </w:r>
          </w:p>
        </w:tc>
        <w:tc>
          <w:tcPr>
            <w:tcW w:w="1474" w:type="dxa"/>
            <w:vAlign w:val="center"/>
          </w:tcPr>
          <w:p w14:paraId="36A9E67F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48 263 755</w:t>
            </w:r>
          </w:p>
        </w:tc>
        <w:tc>
          <w:tcPr>
            <w:tcW w:w="1191" w:type="dxa"/>
            <w:vAlign w:val="center"/>
          </w:tcPr>
          <w:p w14:paraId="2EFC657D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35,49</w:t>
            </w:r>
          </w:p>
        </w:tc>
        <w:tc>
          <w:tcPr>
            <w:tcW w:w="1423" w:type="dxa"/>
            <w:vAlign w:val="center"/>
          </w:tcPr>
          <w:p w14:paraId="23CE2D9A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36 580 345</w:t>
            </w:r>
          </w:p>
        </w:tc>
        <w:tc>
          <w:tcPr>
            <w:tcW w:w="1191" w:type="dxa"/>
            <w:vAlign w:val="center"/>
          </w:tcPr>
          <w:p w14:paraId="37B82179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29,03</w:t>
            </w:r>
          </w:p>
        </w:tc>
      </w:tr>
      <w:tr w:rsidR="007D4267" w:rsidRPr="00F371ED" w14:paraId="02D2D985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59C38824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Zlín</w:t>
            </w:r>
          </w:p>
        </w:tc>
        <w:tc>
          <w:tcPr>
            <w:tcW w:w="1757" w:type="dxa"/>
            <w:vAlign w:val="center"/>
          </w:tcPr>
          <w:p w14:paraId="3D4AA08C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25 600 000</w:t>
            </w:r>
          </w:p>
        </w:tc>
        <w:tc>
          <w:tcPr>
            <w:tcW w:w="1474" w:type="dxa"/>
            <w:vAlign w:val="center"/>
          </w:tcPr>
          <w:p w14:paraId="72FE0208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15A0F1AF" w14:textId="67F74F22" w:rsidR="00F371ED" w:rsidRPr="00F371ED" w:rsidRDefault="002461C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23" w:type="dxa"/>
            <w:vAlign w:val="center"/>
          </w:tcPr>
          <w:p w14:paraId="5A6474F4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5AE79F30" w14:textId="523086A9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13749AFB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6DEF7810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Jihlava</w:t>
            </w:r>
          </w:p>
        </w:tc>
        <w:tc>
          <w:tcPr>
            <w:tcW w:w="1757" w:type="dxa"/>
            <w:vAlign w:val="center"/>
          </w:tcPr>
          <w:p w14:paraId="16DDF939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20 100 000</w:t>
            </w:r>
          </w:p>
        </w:tc>
        <w:tc>
          <w:tcPr>
            <w:tcW w:w="1474" w:type="dxa"/>
            <w:vAlign w:val="center"/>
          </w:tcPr>
          <w:p w14:paraId="5CAED067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14 150 708</w:t>
            </w:r>
          </w:p>
        </w:tc>
        <w:tc>
          <w:tcPr>
            <w:tcW w:w="1191" w:type="dxa"/>
            <w:vAlign w:val="center"/>
          </w:tcPr>
          <w:p w14:paraId="397DF14F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70,40</w:t>
            </w:r>
          </w:p>
        </w:tc>
        <w:tc>
          <w:tcPr>
            <w:tcW w:w="1423" w:type="dxa"/>
            <w:vAlign w:val="center"/>
          </w:tcPr>
          <w:p w14:paraId="2F9F4123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14 150 709</w:t>
            </w:r>
          </w:p>
        </w:tc>
        <w:tc>
          <w:tcPr>
            <w:tcW w:w="1191" w:type="dxa"/>
            <w:vAlign w:val="center"/>
          </w:tcPr>
          <w:p w14:paraId="0B92A29A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70,40</w:t>
            </w:r>
          </w:p>
        </w:tc>
      </w:tr>
      <w:tr w:rsidR="007D4267" w:rsidRPr="00F371ED" w14:paraId="41AE7F3F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7B6A4906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České Budějovice</w:t>
            </w:r>
          </w:p>
        </w:tc>
        <w:tc>
          <w:tcPr>
            <w:tcW w:w="1757" w:type="dxa"/>
            <w:vAlign w:val="center"/>
          </w:tcPr>
          <w:p w14:paraId="37807413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26 500 000</w:t>
            </w:r>
          </w:p>
        </w:tc>
        <w:tc>
          <w:tcPr>
            <w:tcW w:w="1474" w:type="dxa"/>
            <w:vAlign w:val="center"/>
          </w:tcPr>
          <w:p w14:paraId="55F1D158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38F91202" w14:textId="7181E65C" w:rsidR="00F371ED" w:rsidRPr="00F371ED" w:rsidRDefault="002461C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23" w:type="dxa"/>
            <w:vAlign w:val="center"/>
          </w:tcPr>
          <w:p w14:paraId="4634A5ED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6CCE4EB6" w14:textId="141F9FB5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21D2F820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5E5479B6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Liberecká aglomerace</w:t>
            </w:r>
          </w:p>
        </w:tc>
        <w:tc>
          <w:tcPr>
            <w:tcW w:w="1757" w:type="dxa"/>
            <w:vAlign w:val="center"/>
          </w:tcPr>
          <w:p w14:paraId="69CE358C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827 700 000</w:t>
            </w:r>
          </w:p>
        </w:tc>
        <w:tc>
          <w:tcPr>
            <w:tcW w:w="1474" w:type="dxa"/>
            <w:vAlign w:val="center"/>
          </w:tcPr>
          <w:p w14:paraId="26E9346C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45 855 245</w:t>
            </w:r>
          </w:p>
        </w:tc>
        <w:tc>
          <w:tcPr>
            <w:tcW w:w="1191" w:type="dxa"/>
            <w:vAlign w:val="center"/>
          </w:tcPr>
          <w:p w14:paraId="5B8CD0AD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5,54</w:t>
            </w:r>
          </w:p>
        </w:tc>
        <w:tc>
          <w:tcPr>
            <w:tcW w:w="1423" w:type="dxa"/>
            <w:vAlign w:val="center"/>
          </w:tcPr>
          <w:p w14:paraId="442E5497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406FF33B" w14:textId="4665002B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7DBCCB4C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3585A75C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Mariánské Lázně</w:t>
            </w:r>
          </w:p>
        </w:tc>
        <w:tc>
          <w:tcPr>
            <w:tcW w:w="1757" w:type="dxa"/>
            <w:vAlign w:val="center"/>
          </w:tcPr>
          <w:p w14:paraId="6372560D" w14:textId="54F2082A" w:rsidR="00F371ED" w:rsidRPr="00F371ED" w:rsidRDefault="002461C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74" w:type="dxa"/>
            <w:vAlign w:val="center"/>
          </w:tcPr>
          <w:p w14:paraId="345C2490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4DF37B1C" w14:textId="18196BAB" w:rsidR="00F371ED" w:rsidRPr="00F371ED" w:rsidRDefault="002461C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  <w:tc>
          <w:tcPr>
            <w:tcW w:w="1423" w:type="dxa"/>
            <w:vAlign w:val="center"/>
          </w:tcPr>
          <w:p w14:paraId="10C6B000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191" w:type="dxa"/>
            <w:vAlign w:val="center"/>
          </w:tcPr>
          <w:p w14:paraId="315AA6C6" w14:textId="03D5BBA2" w:rsidR="00F371ED" w:rsidRPr="00F371ED" w:rsidRDefault="002461CD" w:rsidP="00CF2CE9">
            <w:pPr>
              <w:ind w:right="16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–</w:t>
            </w:r>
          </w:p>
        </w:tc>
      </w:tr>
      <w:tr w:rsidR="007D4267" w:rsidRPr="00F371ED" w14:paraId="05C2463E" w14:textId="77777777" w:rsidTr="00B730BD">
        <w:trPr>
          <w:trHeight w:val="283"/>
          <w:jc w:val="center"/>
        </w:trPr>
        <w:tc>
          <w:tcPr>
            <w:tcW w:w="2098" w:type="dxa"/>
            <w:vAlign w:val="center"/>
          </w:tcPr>
          <w:p w14:paraId="4ED02CDA" w14:textId="77777777" w:rsidR="00F371ED" w:rsidRPr="00F371ED" w:rsidRDefault="00F371ED" w:rsidP="007D426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757" w:type="dxa"/>
            <w:vAlign w:val="center"/>
          </w:tcPr>
          <w:p w14:paraId="235585FB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10 399 900 000</w:t>
            </w:r>
          </w:p>
        </w:tc>
        <w:tc>
          <w:tcPr>
            <w:tcW w:w="1474" w:type="dxa"/>
            <w:vAlign w:val="center"/>
          </w:tcPr>
          <w:p w14:paraId="2301BF68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2 828 042 821</w:t>
            </w:r>
          </w:p>
        </w:tc>
        <w:tc>
          <w:tcPr>
            <w:tcW w:w="1191" w:type="dxa"/>
            <w:vAlign w:val="center"/>
          </w:tcPr>
          <w:p w14:paraId="1518CEBA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27,19</w:t>
            </w:r>
          </w:p>
        </w:tc>
        <w:tc>
          <w:tcPr>
            <w:tcW w:w="1423" w:type="dxa"/>
            <w:vAlign w:val="center"/>
          </w:tcPr>
          <w:p w14:paraId="73BF7628" w14:textId="77777777" w:rsidR="00F371ED" w:rsidRPr="00F371ED" w:rsidRDefault="00F371ED" w:rsidP="007D4267">
            <w:pPr>
              <w:ind w:right="5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1 010 034 176</w:t>
            </w:r>
          </w:p>
        </w:tc>
        <w:tc>
          <w:tcPr>
            <w:tcW w:w="1191" w:type="dxa"/>
            <w:vAlign w:val="center"/>
          </w:tcPr>
          <w:p w14:paraId="1324CC67" w14:textId="77777777" w:rsidR="00F371ED" w:rsidRPr="00F371ED" w:rsidRDefault="00F371ED" w:rsidP="00CF2CE9">
            <w:pPr>
              <w:ind w:right="16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9,71</w:t>
            </w:r>
          </w:p>
        </w:tc>
      </w:tr>
    </w:tbl>
    <w:p w14:paraId="090D5C31" w14:textId="0A8D19C4" w:rsidR="00F371ED" w:rsidRPr="00B74A37" w:rsidRDefault="00F371ED" w:rsidP="007D4267">
      <w:pPr>
        <w:spacing w:before="40"/>
        <w:rPr>
          <w:rFonts w:asciiTheme="minorHAnsi" w:hAnsiTheme="minorHAnsi" w:cstheme="minorHAnsi"/>
          <w:sz w:val="20"/>
          <w:szCs w:val="20"/>
          <w:lang w:eastAsia="cs-CZ"/>
        </w:rPr>
      </w:pPr>
      <w:r w:rsidRPr="00B74A37">
        <w:rPr>
          <w:rFonts w:asciiTheme="minorHAnsi" w:hAnsiTheme="minorHAnsi" w:cstheme="minorHAnsi"/>
          <w:b/>
          <w:sz w:val="20"/>
          <w:szCs w:val="20"/>
          <w:lang w:eastAsia="cs-CZ"/>
        </w:rPr>
        <w:t>Zdroj:</w:t>
      </w:r>
      <w:r w:rsidRPr="00B74A3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  <w:r w:rsidR="002461CD">
        <w:rPr>
          <w:rFonts w:asciiTheme="minorHAnsi" w:hAnsiTheme="minorHAnsi" w:cstheme="minorHAnsi"/>
          <w:sz w:val="20"/>
          <w:szCs w:val="20"/>
          <w:lang w:eastAsia="cs-CZ"/>
        </w:rPr>
        <w:t>v</w:t>
      </w:r>
      <w:r w:rsidRPr="00B74A37">
        <w:rPr>
          <w:rFonts w:asciiTheme="minorHAnsi" w:hAnsiTheme="minorHAnsi" w:cstheme="minorHAnsi"/>
          <w:sz w:val="20"/>
          <w:szCs w:val="20"/>
          <w:lang w:eastAsia="cs-CZ"/>
        </w:rPr>
        <w:t>ýzvy k předložení žádosti o podporu v rámci SC 1.4, informace MD</w:t>
      </w:r>
      <w:r w:rsidR="00B74A37">
        <w:rPr>
          <w:rFonts w:asciiTheme="minorHAnsi" w:hAnsiTheme="minorHAnsi" w:cstheme="minorHAnsi"/>
          <w:sz w:val="20"/>
          <w:szCs w:val="20"/>
          <w:lang w:eastAsia="cs-CZ"/>
        </w:rPr>
        <w:t>.</w:t>
      </w:r>
    </w:p>
    <w:p w14:paraId="609688F5" w14:textId="77777777" w:rsidR="00C62B63" w:rsidRDefault="00C62B63" w:rsidP="007D4267">
      <w:pPr>
        <w:rPr>
          <w:b/>
        </w:rPr>
      </w:pPr>
    </w:p>
    <w:p w14:paraId="0A1111F3" w14:textId="77777777" w:rsidR="00C62B63" w:rsidRDefault="00C62B63" w:rsidP="007D4267">
      <w:pPr>
        <w:rPr>
          <w:b/>
        </w:rPr>
      </w:pPr>
    </w:p>
    <w:p w14:paraId="4BEA3CD1" w14:textId="77777777" w:rsidR="00F371ED" w:rsidRPr="007D4267" w:rsidRDefault="00F371ED" w:rsidP="007D4267">
      <w:pPr>
        <w:spacing w:after="120"/>
        <w:jc w:val="right"/>
        <w:rPr>
          <w:b/>
        </w:rPr>
      </w:pPr>
      <w:r w:rsidRPr="007D4267">
        <w:rPr>
          <w:b/>
        </w:rPr>
        <w:t>Příloha č. 5</w:t>
      </w:r>
    </w:p>
    <w:p w14:paraId="742BF7D6" w14:textId="042DABA7" w:rsidR="002750D8" w:rsidRPr="00B74A37" w:rsidRDefault="00F371ED" w:rsidP="007D4267">
      <w:pPr>
        <w:spacing w:after="120"/>
        <w:rPr>
          <w:rFonts w:asciiTheme="minorHAnsi" w:hAnsiTheme="minorHAnsi" w:cstheme="minorHAnsi"/>
          <w:b/>
        </w:rPr>
      </w:pPr>
      <w:r w:rsidRPr="002750D8">
        <w:rPr>
          <w:rFonts w:asciiTheme="minorHAnsi" w:hAnsiTheme="minorHAnsi" w:cstheme="minorHAnsi"/>
          <w:b/>
        </w:rPr>
        <w:t>Druhé kolo výzev k předložení ž</w:t>
      </w:r>
      <w:r w:rsidR="00B74A37">
        <w:rPr>
          <w:rFonts w:asciiTheme="minorHAnsi" w:hAnsiTheme="minorHAnsi" w:cstheme="minorHAnsi"/>
          <w:b/>
        </w:rPr>
        <w:t>ádostí o podporu v rámci SC 1.4</w:t>
      </w:r>
    </w:p>
    <w:tbl>
      <w:tblPr>
        <w:tblStyle w:val="Mkatabulky5"/>
        <w:tblW w:w="912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041"/>
        <w:gridCol w:w="1814"/>
        <w:gridCol w:w="1414"/>
        <w:gridCol w:w="1191"/>
        <w:gridCol w:w="1417"/>
        <w:gridCol w:w="1247"/>
      </w:tblGrid>
      <w:tr w:rsidR="00F371ED" w:rsidRPr="00F371ED" w14:paraId="2CBE4C79" w14:textId="77777777" w:rsidTr="00D42993">
        <w:trPr>
          <w:trHeight w:val="283"/>
          <w:jc w:val="center"/>
        </w:trPr>
        <w:tc>
          <w:tcPr>
            <w:tcW w:w="2041" w:type="dxa"/>
            <w:shd w:val="clear" w:color="auto" w:fill="E5F1FF"/>
            <w:vAlign w:val="center"/>
          </w:tcPr>
          <w:p w14:paraId="55CFCBBF" w14:textId="2357ADDC" w:rsidR="00F371ED" w:rsidRPr="00F371ED" w:rsidRDefault="00F371ED" w:rsidP="00F755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Město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aglomerační oblast</w:t>
            </w:r>
          </w:p>
        </w:tc>
        <w:tc>
          <w:tcPr>
            <w:tcW w:w="1814" w:type="dxa"/>
            <w:shd w:val="clear" w:color="auto" w:fill="E5F1FF"/>
            <w:vAlign w:val="center"/>
          </w:tcPr>
          <w:p w14:paraId="5E756280" w14:textId="2685A638" w:rsidR="00F371ED" w:rsidRPr="00F371ED" w:rsidRDefault="00F371ED" w:rsidP="00E87037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Druhé kolo výzev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−</w:t>
            </w:r>
            <w:r w:rsidR="00E87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461CD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říspěvek EU v Kč</w:t>
            </w:r>
          </w:p>
        </w:tc>
        <w:tc>
          <w:tcPr>
            <w:tcW w:w="1414" w:type="dxa"/>
            <w:shd w:val="clear" w:color="auto" w:fill="E5F1FF"/>
            <w:vAlign w:val="center"/>
          </w:tcPr>
          <w:p w14:paraId="5850B2F9" w14:textId="77777777" w:rsidR="00F371ED" w:rsidRPr="00F371ED" w:rsidRDefault="00F371ED" w:rsidP="00F755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Podané žádosti v Kč</w:t>
            </w:r>
          </w:p>
        </w:tc>
        <w:tc>
          <w:tcPr>
            <w:tcW w:w="1191" w:type="dxa"/>
            <w:shd w:val="clear" w:color="auto" w:fill="E5F1FF"/>
            <w:vAlign w:val="center"/>
          </w:tcPr>
          <w:p w14:paraId="27F711E9" w14:textId="3DB6DD1E" w:rsidR="00F371ED" w:rsidRPr="00F371ED" w:rsidRDefault="00F371ED" w:rsidP="00E87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Podané</w:t>
            </w:r>
            <w:r w:rsidR="00E87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žádosti v %</w:t>
            </w:r>
          </w:p>
        </w:tc>
        <w:tc>
          <w:tcPr>
            <w:tcW w:w="1417" w:type="dxa"/>
            <w:shd w:val="clear" w:color="auto" w:fill="E5F1FF"/>
            <w:vAlign w:val="center"/>
          </w:tcPr>
          <w:p w14:paraId="09549CA5" w14:textId="0B93692F" w:rsidR="00F371ED" w:rsidRPr="00F371ED" w:rsidRDefault="00F371ED" w:rsidP="00E87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Schválené</w:t>
            </w:r>
            <w:r w:rsidR="00E87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žádosti v Kč</w:t>
            </w:r>
          </w:p>
        </w:tc>
        <w:tc>
          <w:tcPr>
            <w:tcW w:w="1247" w:type="dxa"/>
            <w:shd w:val="clear" w:color="auto" w:fill="E5F1FF"/>
            <w:vAlign w:val="center"/>
          </w:tcPr>
          <w:p w14:paraId="36CB3508" w14:textId="704669DD" w:rsidR="00F371ED" w:rsidRPr="00F371ED" w:rsidRDefault="00F371ED" w:rsidP="00E8703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Schválené</w:t>
            </w:r>
            <w:r w:rsidR="00E870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42993"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ádosti v %</w:t>
            </w:r>
          </w:p>
        </w:tc>
      </w:tr>
      <w:tr w:rsidR="00F371ED" w:rsidRPr="00F371ED" w14:paraId="3A000362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1B888C42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Praha</w:t>
            </w:r>
          </w:p>
        </w:tc>
        <w:tc>
          <w:tcPr>
            <w:tcW w:w="1814" w:type="dxa"/>
            <w:vAlign w:val="center"/>
          </w:tcPr>
          <w:p w14:paraId="607992B2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3 400 000 000</w:t>
            </w:r>
          </w:p>
        </w:tc>
        <w:tc>
          <w:tcPr>
            <w:tcW w:w="1414" w:type="dxa"/>
            <w:vAlign w:val="center"/>
          </w:tcPr>
          <w:p w14:paraId="32FDA4E2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2 889 857 623</w:t>
            </w:r>
          </w:p>
        </w:tc>
        <w:tc>
          <w:tcPr>
            <w:tcW w:w="1191" w:type="dxa"/>
            <w:vAlign w:val="center"/>
          </w:tcPr>
          <w:p w14:paraId="47AB535C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85,00</w:t>
            </w:r>
          </w:p>
        </w:tc>
        <w:tc>
          <w:tcPr>
            <w:tcW w:w="1417" w:type="dxa"/>
            <w:vAlign w:val="center"/>
          </w:tcPr>
          <w:p w14:paraId="12A9C16C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1 310 965 973</w:t>
            </w:r>
          </w:p>
        </w:tc>
        <w:tc>
          <w:tcPr>
            <w:tcW w:w="1247" w:type="dxa"/>
            <w:vAlign w:val="center"/>
          </w:tcPr>
          <w:p w14:paraId="156E0D46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38,56</w:t>
            </w:r>
          </w:p>
        </w:tc>
      </w:tr>
      <w:tr w:rsidR="00F371ED" w:rsidRPr="00F371ED" w14:paraId="5035092F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2D8E8EFC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Brno</w:t>
            </w:r>
          </w:p>
        </w:tc>
        <w:tc>
          <w:tcPr>
            <w:tcW w:w="1814" w:type="dxa"/>
            <w:vAlign w:val="center"/>
          </w:tcPr>
          <w:p w14:paraId="51101EDB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1 732 937 769</w:t>
            </w:r>
          </w:p>
        </w:tc>
        <w:tc>
          <w:tcPr>
            <w:tcW w:w="1414" w:type="dxa"/>
            <w:vAlign w:val="center"/>
          </w:tcPr>
          <w:p w14:paraId="727C9212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1 729 790 502</w:t>
            </w:r>
          </w:p>
        </w:tc>
        <w:tc>
          <w:tcPr>
            <w:tcW w:w="1191" w:type="dxa"/>
            <w:vAlign w:val="center"/>
          </w:tcPr>
          <w:p w14:paraId="2FFCA690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99,82</w:t>
            </w:r>
          </w:p>
        </w:tc>
        <w:tc>
          <w:tcPr>
            <w:tcW w:w="1417" w:type="dxa"/>
            <w:vAlign w:val="center"/>
          </w:tcPr>
          <w:p w14:paraId="0A8EBD0E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1 581 040 503</w:t>
            </w:r>
          </w:p>
        </w:tc>
        <w:tc>
          <w:tcPr>
            <w:tcW w:w="1247" w:type="dxa"/>
            <w:vAlign w:val="center"/>
          </w:tcPr>
          <w:p w14:paraId="20F7744A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91,23</w:t>
            </w:r>
          </w:p>
        </w:tc>
      </w:tr>
      <w:tr w:rsidR="00F371ED" w:rsidRPr="00F371ED" w14:paraId="25C1F16D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1DAE22CC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Plzeň</w:t>
            </w:r>
          </w:p>
        </w:tc>
        <w:tc>
          <w:tcPr>
            <w:tcW w:w="1814" w:type="dxa"/>
            <w:vAlign w:val="center"/>
          </w:tcPr>
          <w:p w14:paraId="3C79B3F7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720 542 000</w:t>
            </w:r>
          </w:p>
        </w:tc>
        <w:tc>
          <w:tcPr>
            <w:tcW w:w="1414" w:type="dxa"/>
            <w:vAlign w:val="center"/>
          </w:tcPr>
          <w:p w14:paraId="23F9EBFD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720 542 000</w:t>
            </w:r>
          </w:p>
        </w:tc>
        <w:tc>
          <w:tcPr>
            <w:tcW w:w="1191" w:type="dxa"/>
            <w:vAlign w:val="center"/>
          </w:tcPr>
          <w:p w14:paraId="45DF19E8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100,00</w:t>
            </w:r>
          </w:p>
        </w:tc>
        <w:tc>
          <w:tcPr>
            <w:tcW w:w="1417" w:type="dxa"/>
            <w:vAlign w:val="center"/>
          </w:tcPr>
          <w:p w14:paraId="1AF1C0AF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720 542 000</w:t>
            </w:r>
          </w:p>
        </w:tc>
        <w:tc>
          <w:tcPr>
            <w:tcW w:w="1247" w:type="dxa"/>
            <w:vAlign w:val="center"/>
          </w:tcPr>
          <w:p w14:paraId="4779C687" w14:textId="223F73A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0C0991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</w:tr>
      <w:tr w:rsidR="00F371ED" w:rsidRPr="00F371ED" w14:paraId="237CA4BC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1C57A7E9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Olomouc</w:t>
            </w:r>
          </w:p>
        </w:tc>
        <w:tc>
          <w:tcPr>
            <w:tcW w:w="1814" w:type="dxa"/>
            <w:vAlign w:val="center"/>
          </w:tcPr>
          <w:p w14:paraId="69D149CB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812 634 345</w:t>
            </w:r>
          </w:p>
        </w:tc>
        <w:tc>
          <w:tcPr>
            <w:tcW w:w="1414" w:type="dxa"/>
            <w:vAlign w:val="center"/>
          </w:tcPr>
          <w:p w14:paraId="1D08DAC6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736 637 754</w:t>
            </w:r>
          </w:p>
        </w:tc>
        <w:tc>
          <w:tcPr>
            <w:tcW w:w="1191" w:type="dxa"/>
            <w:vAlign w:val="center"/>
          </w:tcPr>
          <w:p w14:paraId="77BD923A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90,65</w:t>
            </w:r>
          </w:p>
        </w:tc>
        <w:tc>
          <w:tcPr>
            <w:tcW w:w="1417" w:type="dxa"/>
            <w:vAlign w:val="center"/>
          </w:tcPr>
          <w:p w14:paraId="3E9FB308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736 637 754</w:t>
            </w:r>
          </w:p>
        </w:tc>
        <w:tc>
          <w:tcPr>
            <w:tcW w:w="1247" w:type="dxa"/>
            <w:vAlign w:val="center"/>
          </w:tcPr>
          <w:p w14:paraId="0FA40C68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90,65</w:t>
            </w:r>
          </w:p>
        </w:tc>
      </w:tr>
      <w:tr w:rsidR="00F371ED" w:rsidRPr="00F371ED" w14:paraId="6CFD0E18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7FC8878D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Ostravská aglomerace</w:t>
            </w:r>
          </w:p>
        </w:tc>
        <w:tc>
          <w:tcPr>
            <w:tcW w:w="1814" w:type="dxa"/>
            <w:vAlign w:val="center"/>
          </w:tcPr>
          <w:p w14:paraId="4B052276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658 497 316</w:t>
            </w:r>
          </w:p>
        </w:tc>
        <w:tc>
          <w:tcPr>
            <w:tcW w:w="1414" w:type="dxa"/>
            <w:vAlign w:val="center"/>
          </w:tcPr>
          <w:p w14:paraId="1F07D49F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715 895 494</w:t>
            </w:r>
          </w:p>
        </w:tc>
        <w:tc>
          <w:tcPr>
            <w:tcW w:w="1191" w:type="dxa"/>
            <w:vAlign w:val="center"/>
          </w:tcPr>
          <w:p w14:paraId="0A74A3BE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108,72</w:t>
            </w:r>
          </w:p>
        </w:tc>
        <w:tc>
          <w:tcPr>
            <w:tcW w:w="1417" w:type="dxa"/>
            <w:vAlign w:val="center"/>
          </w:tcPr>
          <w:p w14:paraId="37BA6A8B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683 443 111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962B05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103,79</w:t>
            </w:r>
          </w:p>
        </w:tc>
      </w:tr>
      <w:tr w:rsidR="00F371ED" w:rsidRPr="00F371ED" w14:paraId="313684AE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4312A029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Ústecko-chomutovská aglomerace</w:t>
            </w:r>
          </w:p>
        </w:tc>
        <w:tc>
          <w:tcPr>
            <w:tcW w:w="1814" w:type="dxa"/>
            <w:vAlign w:val="center"/>
          </w:tcPr>
          <w:p w14:paraId="3C971F09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542 900 000</w:t>
            </w:r>
          </w:p>
        </w:tc>
        <w:tc>
          <w:tcPr>
            <w:tcW w:w="1414" w:type="dxa"/>
            <w:vAlign w:val="center"/>
          </w:tcPr>
          <w:p w14:paraId="0C8E6374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542 899 117</w:t>
            </w:r>
          </w:p>
        </w:tc>
        <w:tc>
          <w:tcPr>
            <w:tcW w:w="1191" w:type="dxa"/>
            <w:vAlign w:val="center"/>
          </w:tcPr>
          <w:p w14:paraId="4D8A220C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99,99</w:t>
            </w:r>
          </w:p>
        </w:tc>
        <w:tc>
          <w:tcPr>
            <w:tcW w:w="1417" w:type="dxa"/>
            <w:vAlign w:val="center"/>
          </w:tcPr>
          <w:p w14:paraId="4748F615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542 899 117</w:t>
            </w:r>
          </w:p>
        </w:tc>
        <w:tc>
          <w:tcPr>
            <w:tcW w:w="1247" w:type="dxa"/>
            <w:vAlign w:val="center"/>
          </w:tcPr>
          <w:p w14:paraId="551567A8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99,99</w:t>
            </w:r>
          </w:p>
        </w:tc>
      </w:tr>
      <w:tr w:rsidR="00F371ED" w:rsidRPr="00F371ED" w14:paraId="6F69E165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138CC93A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Hradecko-pardubická aglomerace</w:t>
            </w:r>
          </w:p>
        </w:tc>
        <w:tc>
          <w:tcPr>
            <w:tcW w:w="1814" w:type="dxa"/>
            <w:vAlign w:val="center"/>
          </w:tcPr>
          <w:p w14:paraId="1B106A86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135 619 655</w:t>
            </w:r>
          </w:p>
        </w:tc>
        <w:tc>
          <w:tcPr>
            <w:tcW w:w="1414" w:type="dxa"/>
            <w:vAlign w:val="center"/>
          </w:tcPr>
          <w:p w14:paraId="5FD34FD9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99 539 604</w:t>
            </w:r>
          </w:p>
        </w:tc>
        <w:tc>
          <w:tcPr>
            <w:tcW w:w="1191" w:type="dxa"/>
            <w:vAlign w:val="center"/>
          </w:tcPr>
          <w:p w14:paraId="48AB2860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73,40</w:t>
            </w:r>
          </w:p>
        </w:tc>
        <w:tc>
          <w:tcPr>
            <w:tcW w:w="1417" w:type="dxa"/>
            <w:vAlign w:val="center"/>
          </w:tcPr>
          <w:p w14:paraId="6938BDF8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94 650 794</w:t>
            </w:r>
          </w:p>
        </w:tc>
        <w:tc>
          <w:tcPr>
            <w:tcW w:w="1247" w:type="dxa"/>
            <w:vAlign w:val="center"/>
          </w:tcPr>
          <w:p w14:paraId="40DCBDCB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69,79</w:t>
            </w:r>
          </w:p>
        </w:tc>
      </w:tr>
      <w:tr w:rsidR="00F371ED" w:rsidRPr="00F371ED" w14:paraId="7546AD0E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4BF8D8ED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Zlín</w:t>
            </w:r>
          </w:p>
        </w:tc>
        <w:tc>
          <w:tcPr>
            <w:tcW w:w="1814" w:type="dxa"/>
            <w:vAlign w:val="center"/>
          </w:tcPr>
          <w:p w14:paraId="24A6D20B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67 600 000</w:t>
            </w:r>
          </w:p>
        </w:tc>
        <w:tc>
          <w:tcPr>
            <w:tcW w:w="1414" w:type="dxa"/>
            <w:vAlign w:val="center"/>
          </w:tcPr>
          <w:p w14:paraId="2ED4B096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74 393 286</w:t>
            </w:r>
          </w:p>
        </w:tc>
        <w:tc>
          <w:tcPr>
            <w:tcW w:w="1191" w:type="dxa"/>
            <w:vAlign w:val="center"/>
          </w:tcPr>
          <w:p w14:paraId="30873400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110,05</w:t>
            </w:r>
          </w:p>
        </w:tc>
        <w:tc>
          <w:tcPr>
            <w:tcW w:w="1417" w:type="dxa"/>
            <w:vAlign w:val="center"/>
          </w:tcPr>
          <w:p w14:paraId="4DE29EBE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67 599 999</w:t>
            </w:r>
          </w:p>
        </w:tc>
        <w:tc>
          <w:tcPr>
            <w:tcW w:w="1247" w:type="dxa"/>
            <w:vAlign w:val="center"/>
          </w:tcPr>
          <w:p w14:paraId="09F0C873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99,99</w:t>
            </w:r>
          </w:p>
        </w:tc>
      </w:tr>
      <w:tr w:rsidR="00F371ED" w:rsidRPr="00F371ED" w14:paraId="4E34C18A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3369E4A7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Jihlava</w:t>
            </w:r>
          </w:p>
        </w:tc>
        <w:tc>
          <w:tcPr>
            <w:tcW w:w="1814" w:type="dxa"/>
            <w:vAlign w:val="center"/>
          </w:tcPr>
          <w:p w14:paraId="0075AA2C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105 949 291</w:t>
            </w:r>
          </w:p>
        </w:tc>
        <w:tc>
          <w:tcPr>
            <w:tcW w:w="1414" w:type="dxa"/>
            <w:vAlign w:val="center"/>
          </w:tcPr>
          <w:p w14:paraId="3D0E02BF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105 949 100</w:t>
            </w:r>
          </w:p>
        </w:tc>
        <w:tc>
          <w:tcPr>
            <w:tcW w:w="1191" w:type="dxa"/>
            <w:vAlign w:val="center"/>
          </w:tcPr>
          <w:p w14:paraId="5D8C2C08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99,99</w:t>
            </w:r>
          </w:p>
        </w:tc>
        <w:tc>
          <w:tcPr>
            <w:tcW w:w="1417" w:type="dxa"/>
            <w:vAlign w:val="center"/>
          </w:tcPr>
          <w:p w14:paraId="6582219F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105 949 100</w:t>
            </w:r>
          </w:p>
        </w:tc>
        <w:tc>
          <w:tcPr>
            <w:tcW w:w="1247" w:type="dxa"/>
            <w:vAlign w:val="center"/>
          </w:tcPr>
          <w:p w14:paraId="4C50AE1F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99,99</w:t>
            </w:r>
          </w:p>
        </w:tc>
      </w:tr>
      <w:tr w:rsidR="00F371ED" w:rsidRPr="00F371ED" w14:paraId="6B502FC5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58F1A2A6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České Budějovice</w:t>
            </w:r>
          </w:p>
        </w:tc>
        <w:tc>
          <w:tcPr>
            <w:tcW w:w="1814" w:type="dxa"/>
            <w:vAlign w:val="center"/>
          </w:tcPr>
          <w:p w14:paraId="48F99A23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198 500 000</w:t>
            </w:r>
          </w:p>
        </w:tc>
        <w:tc>
          <w:tcPr>
            <w:tcW w:w="1414" w:type="dxa"/>
            <w:vAlign w:val="center"/>
          </w:tcPr>
          <w:p w14:paraId="2A9B16C5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188 069 433</w:t>
            </w:r>
          </w:p>
        </w:tc>
        <w:tc>
          <w:tcPr>
            <w:tcW w:w="1191" w:type="dxa"/>
            <w:vAlign w:val="center"/>
          </w:tcPr>
          <w:p w14:paraId="1AC5462E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94,75</w:t>
            </w:r>
          </w:p>
        </w:tc>
        <w:tc>
          <w:tcPr>
            <w:tcW w:w="1417" w:type="dxa"/>
            <w:vAlign w:val="center"/>
          </w:tcPr>
          <w:p w14:paraId="1D22188C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188 069 433</w:t>
            </w:r>
          </w:p>
        </w:tc>
        <w:tc>
          <w:tcPr>
            <w:tcW w:w="1247" w:type="dxa"/>
            <w:vAlign w:val="center"/>
          </w:tcPr>
          <w:p w14:paraId="4014716D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94,75</w:t>
            </w:r>
          </w:p>
        </w:tc>
      </w:tr>
      <w:tr w:rsidR="00F371ED" w:rsidRPr="00F371ED" w14:paraId="55917114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7E459C36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Liberecká aglomerace</w:t>
            </w:r>
          </w:p>
        </w:tc>
        <w:tc>
          <w:tcPr>
            <w:tcW w:w="1814" w:type="dxa"/>
            <w:vAlign w:val="center"/>
          </w:tcPr>
          <w:p w14:paraId="4F86C95D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867 700 000</w:t>
            </w:r>
          </w:p>
        </w:tc>
        <w:tc>
          <w:tcPr>
            <w:tcW w:w="1414" w:type="dxa"/>
            <w:vAlign w:val="center"/>
          </w:tcPr>
          <w:p w14:paraId="00E7D778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668 988 442</w:t>
            </w:r>
          </w:p>
        </w:tc>
        <w:tc>
          <w:tcPr>
            <w:tcW w:w="1191" w:type="dxa"/>
            <w:vAlign w:val="center"/>
          </w:tcPr>
          <w:p w14:paraId="5941D289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77,10</w:t>
            </w:r>
          </w:p>
        </w:tc>
        <w:tc>
          <w:tcPr>
            <w:tcW w:w="1417" w:type="dxa"/>
            <w:vAlign w:val="center"/>
          </w:tcPr>
          <w:p w14:paraId="4D36B799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668 988 442</w:t>
            </w:r>
          </w:p>
        </w:tc>
        <w:tc>
          <w:tcPr>
            <w:tcW w:w="1247" w:type="dxa"/>
            <w:vAlign w:val="center"/>
          </w:tcPr>
          <w:p w14:paraId="472E481E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77,10</w:t>
            </w:r>
          </w:p>
        </w:tc>
      </w:tr>
      <w:tr w:rsidR="00F371ED" w:rsidRPr="00F371ED" w14:paraId="7DDAB6C2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47ABDF5C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Mariánské Lázně</w:t>
            </w:r>
          </w:p>
        </w:tc>
        <w:tc>
          <w:tcPr>
            <w:tcW w:w="1814" w:type="dxa"/>
            <w:vAlign w:val="center"/>
          </w:tcPr>
          <w:p w14:paraId="27A4B71F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45 000 000</w:t>
            </w:r>
          </w:p>
        </w:tc>
        <w:tc>
          <w:tcPr>
            <w:tcW w:w="1414" w:type="dxa"/>
            <w:vAlign w:val="center"/>
          </w:tcPr>
          <w:p w14:paraId="7511ECE9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44 988 963</w:t>
            </w:r>
          </w:p>
        </w:tc>
        <w:tc>
          <w:tcPr>
            <w:tcW w:w="1191" w:type="dxa"/>
            <w:vAlign w:val="center"/>
          </w:tcPr>
          <w:p w14:paraId="4BBA9FE1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99,98</w:t>
            </w:r>
          </w:p>
        </w:tc>
        <w:tc>
          <w:tcPr>
            <w:tcW w:w="1417" w:type="dxa"/>
            <w:vAlign w:val="center"/>
          </w:tcPr>
          <w:p w14:paraId="519450AE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44 988 963</w:t>
            </w:r>
          </w:p>
        </w:tc>
        <w:tc>
          <w:tcPr>
            <w:tcW w:w="1247" w:type="dxa"/>
            <w:vAlign w:val="center"/>
          </w:tcPr>
          <w:p w14:paraId="41E80A2A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sz w:val="20"/>
                <w:szCs w:val="20"/>
              </w:rPr>
              <w:t>99,98</w:t>
            </w:r>
          </w:p>
        </w:tc>
      </w:tr>
      <w:tr w:rsidR="00F371ED" w:rsidRPr="00F371ED" w14:paraId="5279F838" w14:textId="77777777" w:rsidTr="00D42993">
        <w:trPr>
          <w:trHeight w:val="283"/>
          <w:jc w:val="center"/>
        </w:trPr>
        <w:tc>
          <w:tcPr>
            <w:tcW w:w="2041" w:type="dxa"/>
            <w:vAlign w:val="center"/>
          </w:tcPr>
          <w:p w14:paraId="4AA237F2" w14:textId="77777777" w:rsidR="00F371ED" w:rsidRPr="00F371ED" w:rsidRDefault="00F371ED" w:rsidP="00F7557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814" w:type="dxa"/>
            <w:vAlign w:val="center"/>
          </w:tcPr>
          <w:p w14:paraId="4C492856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9 287 880 376</w:t>
            </w:r>
          </w:p>
        </w:tc>
        <w:tc>
          <w:tcPr>
            <w:tcW w:w="1414" w:type="dxa"/>
            <w:vAlign w:val="center"/>
          </w:tcPr>
          <w:p w14:paraId="2D9D5AE3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8 517 551 319</w:t>
            </w:r>
          </w:p>
        </w:tc>
        <w:tc>
          <w:tcPr>
            <w:tcW w:w="1191" w:type="dxa"/>
            <w:vAlign w:val="center"/>
          </w:tcPr>
          <w:p w14:paraId="08B482AC" w14:textId="77777777" w:rsidR="00F371ED" w:rsidRPr="00F371ED" w:rsidRDefault="00F371ED" w:rsidP="00CF2CE9">
            <w:pPr>
              <w:ind w:right="15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91,71</w:t>
            </w:r>
          </w:p>
        </w:tc>
        <w:tc>
          <w:tcPr>
            <w:tcW w:w="1417" w:type="dxa"/>
            <w:vAlign w:val="center"/>
          </w:tcPr>
          <w:p w14:paraId="1005A98C" w14:textId="77777777" w:rsidR="00F371ED" w:rsidRPr="00F371ED" w:rsidRDefault="00F371ED" w:rsidP="00F7557B">
            <w:pPr>
              <w:ind w:right="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6 745 775 189</w:t>
            </w:r>
          </w:p>
        </w:tc>
        <w:tc>
          <w:tcPr>
            <w:tcW w:w="1247" w:type="dxa"/>
            <w:vAlign w:val="center"/>
          </w:tcPr>
          <w:p w14:paraId="44462804" w14:textId="77777777" w:rsidR="00F371ED" w:rsidRPr="00F371ED" w:rsidRDefault="00F371ED" w:rsidP="00CF2CE9">
            <w:pPr>
              <w:ind w:right="17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71ED">
              <w:rPr>
                <w:rFonts w:asciiTheme="minorHAnsi" w:hAnsiTheme="minorHAnsi" w:cstheme="minorHAnsi"/>
                <w:b/>
                <w:sz w:val="20"/>
                <w:szCs w:val="20"/>
              </w:rPr>
              <w:t>72,63</w:t>
            </w:r>
          </w:p>
        </w:tc>
      </w:tr>
    </w:tbl>
    <w:p w14:paraId="2C346339" w14:textId="585833FA" w:rsidR="00F371ED" w:rsidRPr="00FC5182" w:rsidRDefault="00F371ED" w:rsidP="007D4267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FC5182">
        <w:rPr>
          <w:rFonts w:asciiTheme="minorHAnsi" w:hAnsiTheme="minorHAnsi" w:cstheme="minorHAnsi"/>
          <w:b/>
          <w:sz w:val="20"/>
          <w:szCs w:val="20"/>
        </w:rPr>
        <w:t>Zdroj:</w:t>
      </w:r>
      <w:r w:rsidRPr="00FC5182">
        <w:rPr>
          <w:rFonts w:asciiTheme="minorHAnsi" w:hAnsiTheme="minorHAnsi" w:cstheme="minorHAnsi"/>
          <w:sz w:val="20"/>
          <w:szCs w:val="20"/>
        </w:rPr>
        <w:t xml:space="preserve"> </w:t>
      </w:r>
      <w:r w:rsidR="00D42993">
        <w:rPr>
          <w:rFonts w:asciiTheme="minorHAnsi" w:hAnsiTheme="minorHAnsi" w:cstheme="minorHAnsi"/>
          <w:sz w:val="20"/>
          <w:szCs w:val="20"/>
        </w:rPr>
        <w:t>v</w:t>
      </w:r>
      <w:r w:rsidRPr="00FC5182">
        <w:rPr>
          <w:rFonts w:asciiTheme="minorHAnsi" w:hAnsiTheme="minorHAnsi" w:cstheme="minorHAnsi"/>
          <w:sz w:val="20"/>
          <w:szCs w:val="20"/>
        </w:rPr>
        <w:t>ýzvy k předložení žádosti o podporu v rámci SC 1.4, informace MD</w:t>
      </w:r>
      <w:r w:rsidR="00FC5182">
        <w:rPr>
          <w:rFonts w:asciiTheme="minorHAnsi" w:hAnsiTheme="minorHAnsi" w:cstheme="minorHAnsi"/>
          <w:sz w:val="20"/>
          <w:szCs w:val="20"/>
        </w:rPr>
        <w:t>.</w:t>
      </w:r>
    </w:p>
    <w:p w14:paraId="70CF443E" w14:textId="77777777" w:rsidR="00F371ED" w:rsidRPr="004077EF" w:rsidRDefault="00F371ED" w:rsidP="007D4267">
      <w:pPr>
        <w:jc w:val="left"/>
      </w:pPr>
      <w:bookmarkStart w:id="0" w:name="_GoBack"/>
      <w:bookmarkEnd w:id="0"/>
    </w:p>
    <w:sectPr w:rsidR="00F371ED" w:rsidRPr="004077EF" w:rsidSect="00E629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0B5A" w14:textId="77777777" w:rsidR="00E20A2B" w:rsidRDefault="00E20A2B" w:rsidP="00316C1B">
      <w:r>
        <w:separator/>
      </w:r>
    </w:p>
  </w:endnote>
  <w:endnote w:type="continuationSeparator" w:id="0">
    <w:p w14:paraId="40F0E034" w14:textId="77777777" w:rsidR="00E20A2B" w:rsidRDefault="00E20A2B" w:rsidP="00316C1B">
      <w:r>
        <w:continuationSeparator/>
      </w:r>
    </w:p>
  </w:endnote>
  <w:endnote w:type="continuationNotice" w:id="1">
    <w:p w14:paraId="768B7411" w14:textId="77777777" w:rsidR="00E20A2B" w:rsidRDefault="00E20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C382" w14:textId="77777777" w:rsidR="005B369F" w:rsidRDefault="005B3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561354"/>
      <w:docPartObj>
        <w:docPartGallery w:val="Page Numbers (Bottom of Page)"/>
        <w:docPartUnique/>
      </w:docPartObj>
    </w:sdtPr>
    <w:sdtEndPr/>
    <w:sdtContent>
      <w:p w14:paraId="2B873C88" w14:textId="1F52B0A5" w:rsidR="00E20A2B" w:rsidRDefault="00E20A2B" w:rsidP="00EF02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9F">
          <w:rPr>
            <w:noProof/>
          </w:rPr>
          <w:t>15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4E4C" w14:textId="77777777" w:rsidR="005B369F" w:rsidRDefault="005B3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0DB2B" w14:textId="77777777" w:rsidR="00E20A2B" w:rsidRDefault="00E20A2B" w:rsidP="00316C1B">
      <w:r>
        <w:separator/>
      </w:r>
    </w:p>
  </w:footnote>
  <w:footnote w:type="continuationSeparator" w:id="0">
    <w:p w14:paraId="1C153409" w14:textId="77777777" w:rsidR="00E20A2B" w:rsidRDefault="00E20A2B" w:rsidP="00316C1B">
      <w:r>
        <w:continuationSeparator/>
      </w:r>
    </w:p>
  </w:footnote>
  <w:footnote w:type="continuationNotice" w:id="1">
    <w:p w14:paraId="09BE8B64" w14:textId="77777777" w:rsidR="00E20A2B" w:rsidRDefault="00E20A2B"/>
  </w:footnote>
  <w:footnote w:id="2">
    <w:p w14:paraId="625E6FEA" w14:textId="1A3934BE" w:rsidR="00E20A2B" w:rsidRDefault="00E20A2B" w:rsidP="0008210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Městská a</w:t>
      </w:r>
      <w:r w:rsidRPr="00051E76">
        <w:t>glomerace je seskupení vzájemně blízkých sídel, kde jedno dominuje, tzn. město se svým okolím (předměstí, satelitní města) nebo několik srovnatelně velkých měst srostlých v jednu souvisle zastavěnou plochu</w:t>
      </w:r>
      <w:r>
        <w:t>.</w:t>
      </w:r>
    </w:p>
  </w:footnote>
  <w:footnote w:id="3">
    <w:p w14:paraId="5BF84D95" w14:textId="04A89313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Rámcová smlouva o financování projektu v rámci operačního programu Doprava 2014–2020 z rozpočtu Státního fondu dopravní infrastruktury uzavřená mezi Státním fondem dopravní infrastruktury a příjemcem.</w:t>
      </w:r>
    </w:p>
  </w:footnote>
  <w:footnote w:id="4">
    <w:p w14:paraId="5FC52458" w14:textId="77777777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Schvalovací protokol vydaný ministrem dopravy na daný projekt.</w:t>
      </w:r>
    </w:p>
  </w:footnote>
  <w:footnote w:id="5">
    <w:p w14:paraId="29102E4B" w14:textId="13E51757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ČR ze dne 9. 7. 2014 č. 558, </w:t>
      </w:r>
      <w:r w:rsidRPr="0023051D">
        <w:rPr>
          <w:i/>
        </w:rPr>
        <w:t>k Operačnímu programu Doprava 2014–2020</w:t>
      </w:r>
      <w:r>
        <w:t xml:space="preserve">. </w:t>
      </w:r>
    </w:p>
  </w:footnote>
  <w:footnote w:id="6">
    <w:p w14:paraId="6CCCC36B" w14:textId="65964751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ČR ze dne 28. 11. 2012 č. 867, </w:t>
      </w:r>
      <w:r w:rsidRPr="0023051D">
        <w:rPr>
          <w:i/>
        </w:rPr>
        <w:t>k přípravě programů spolufinancovaných z fondů Společného strategického rámce pro programové období let 2014 až 2020 v podmínkách České republiky</w:t>
      </w:r>
      <w:r>
        <w:t xml:space="preserve">. </w:t>
      </w:r>
    </w:p>
  </w:footnote>
  <w:footnote w:id="7">
    <w:p w14:paraId="0671C75A" w14:textId="521EF733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Intervencí se rozumí volitelný nástroj pro řídicí orgány k podrobnějšímu sledování charakteru a zaměření operací podporovaných z ESI fondů.</w:t>
      </w:r>
    </w:p>
  </w:footnote>
  <w:footnote w:id="8">
    <w:p w14:paraId="55F97553" w14:textId="77777777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Specifický cíl 1.2 – </w:t>
      </w:r>
      <w:r w:rsidRPr="0023051D">
        <w:rPr>
          <w:i/>
        </w:rPr>
        <w:t>Zlepšení infrastruktury pro vyšší konkurenceschopnost a větší využití vnitrozemské vodní dopravy</w:t>
      </w:r>
      <w:r>
        <w:t>.</w:t>
      </w:r>
    </w:p>
  </w:footnote>
  <w:footnote w:id="9">
    <w:p w14:paraId="5E16E2BE" w14:textId="318AB22E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Pr="008976B8">
        <w:t>č</w:t>
      </w:r>
      <w:r>
        <w:t>etně</w:t>
      </w:r>
      <w:r w:rsidRPr="008976B8">
        <w:t xml:space="preserve"> projektů, které splnily podmínky věcného hodnocení, </w:t>
      </w:r>
      <w:r>
        <w:t xml:space="preserve">avšak </w:t>
      </w:r>
      <w:r w:rsidRPr="008976B8">
        <w:t xml:space="preserve">do doby kontroly NKÚ </w:t>
      </w:r>
      <w:r>
        <w:t>pro ně nebyl</w:t>
      </w:r>
      <w:r w:rsidRPr="008976B8">
        <w:t xml:space="preserve"> </w:t>
      </w:r>
      <w:r>
        <w:t>vydán</w:t>
      </w:r>
      <w:r w:rsidRPr="008976B8">
        <w:t xml:space="preserve"> </w:t>
      </w:r>
      <w:r>
        <w:t>schvalovací protokol.</w:t>
      </w:r>
    </w:p>
  </w:footnote>
  <w:footnote w:id="10">
    <w:p w14:paraId="2F057AF3" w14:textId="77777777" w:rsidR="00E20A2B" w:rsidRDefault="00E20A2B" w:rsidP="0023030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 základě provedeného hodnocení přijatelnosti, formálních náležitostí a věcného hodnocení.</w:t>
      </w:r>
    </w:p>
  </w:footnote>
  <w:footnote w:id="11">
    <w:p w14:paraId="004A93A6" w14:textId="77777777" w:rsidR="00E20A2B" w:rsidRPr="00E028C4" w:rsidRDefault="00E20A2B" w:rsidP="00E028C4">
      <w:pPr>
        <w:pStyle w:val="Textpoznpodarou"/>
        <w:ind w:left="284" w:hanging="284"/>
        <w:rPr>
          <w:rFonts w:cs="Calibri"/>
        </w:rPr>
      </w:pPr>
      <w:r w:rsidRPr="00E028C4">
        <w:rPr>
          <w:rStyle w:val="Znakapoznpodarou"/>
          <w:rFonts w:cs="Calibri"/>
        </w:rPr>
        <w:footnoteRef/>
      </w:r>
      <w:r w:rsidRPr="00E028C4">
        <w:rPr>
          <w:rFonts w:cs="Calibri"/>
        </w:rPr>
        <w:t xml:space="preserve"> </w:t>
      </w:r>
      <w:r>
        <w:rPr>
          <w:rFonts w:cs="Calibri"/>
        </w:rPr>
        <w:tab/>
      </w:r>
      <w:r w:rsidRPr="00E028C4">
        <w:rPr>
          <w:rFonts w:cs="Calibri"/>
        </w:rPr>
        <w:t>V prvním kole výzev MD nevyhlásilo výzvu pro město Mariánské Lázně.</w:t>
      </w:r>
    </w:p>
  </w:footnote>
  <w:footnote w:id="12">
    <w:p w14:paraId="480EF2D6" w14:textId="77777777" w:rsidR="00E20A2B" w:rsidRPr="00E028C4" w:rsidRDefault="00E20A2B" w:rsidP="00E028C4">
      <w:pPr>
        <w:pStyle w:val="Textpoznpodarou"/>
        <w:ind w:left="284" w:hanging="284"/>
        <w:jc w:val="left"/>
        <w:rPr>
          <w:rFonts w:cs="Calibri"/>
        </w:rPr>
      </w:pPr>
      <w:r w:rsidRPr="00E028C4">
        <w:rPr>
          <w:rStyle w:val="Znakapoznpodarou"/>
          <w:rFonts w:cs="Calibri"/>
        </w:rPr>
        <w:footnoteRef/>
      </w:r>
      <w:r w:rsidRPr="00E028C4">
        <w:rPr>
          <w:rFonts w:cs="Calibri"/>
        </w:rPr>
        <w:t xml:space="preserve"> </w:t>
      </w:r>
      <w:r>
        <w:rPr>
          <w:rFonts w:cs="Calibri"/>
        </w:rPr>
        <w:tab/>
      </w:r>
      <w:r w:rsidRPr="00E028C4">
        <w:rPr>
          <w:rFonts w:cs="Calibri"/>
        </w:rPr>
        <w:t xml:space="preserve">Zdroj informací: </w:t>
      </w:r>
      <w:hyperlink r:id="rId1" w:history="1">
        <w:r w:rsidRPr="00107A12">
          <w:rPr>
            <w:rStyle w:val="Hypertextovodkaz"/>
            <w:rFonts w:cs="Calibri"/>
          </w:rPr>
          <w:t>https://www.opd.cz/stranka/Ridici-organ-OPD-zverejnuje-zmenu-konecneho-terminu-u-vyzev-v-ramci-SC-14</w:t>
        </w:r>
      </w:hyperlink>
      <w:r w:rsidRPr="00E028C4">
        <w:rPr>
          <w:rFonts w:cs="Calibri"/>
        </w:rPr>
        <w:t xml:space="preserve">, </w:t>
      </w:r>
      <w:hyperlink r:id="rId2" w:history="1">
        <w:r w:rsidRPr="00107A12">
          <w:rPr>
            <w:rStyle w:val="Hypertextovodkaz"/>
            <w:rFonts w:cs="Calibri"/>
          </w:rPr>
          <w:t>https://www.opd.cz/stranka/Zmeny-vyzev-ramci-specifickeho-cile-14-OPD</w:t>
        </w:r>
      </w:hyperlink>
      <w:r w:rsidRPr="00E028C4">
        <w:rPr>
          <w:rFonts w:cs="Calibri"/>
        </w:rPr>
        <w:t>.</w:t>
      </w:r>
    </w:p>
  </w:footnote>
  <w:footnote w:id="13">
    <w:p w14:paraId="0086EA0B" w14:textId="77777777" w:rsidR="00E20A2B" w:rsidRDefault="00E20A2B" w:rsidP="00FB442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Fond soudržnosti (FS) a Evropský fond</w:t>
      </w:r>
      <w:r w:rsidRPr="00B56F12">
        <w:t xml:space="preserve"> pro regionální rozvoj (ERDF</w:t>
      </w:r>
      <w:r>
        <w:t xml:space="preserve">). </w:t>
      </w:r>
    </w:p>
  </w:footnote>
  <w:footnote w:id="14">
    <w:p w14:paraId="52CD51E1" w14:textId="4B1FD09B" w:rsidR="00E20A2B" w:rsidRPr="00B56F12" w:rsidRDefault="00E20A2B" w:rsidP="00FB442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41ADF">
        <w:t xml:space="preserve">Důvodem ukončení žádosti ze strany ŘO byla skutečnost, </w:t>
      </w:r>
      <w:r w:rsidRPr="00B56F12">
        <w:t>že žadatel podal předběžnou žádost a již dále nepodal plnou žádost o podporu a domluvil se s ŘO na podání žádosti až v druhé výzvě.</w:t>
      </w:r>
    </w:p>
  </w:footnote>
  <w:footnote w:id="15">
    <w:p w14:paraId="29CB132F" w14:textId="5974719F" w:rsidR="00E20A2B" w:rsidRDefault="00E20A2B" w:rsidP="0001743C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S výjimkou stavby „Prodloužení tramvajové trati z Osové ke Kampusu MU v Bohunicích“, kde stavební objekty tramvajové trati představují cca 9 % stavebních nákladů; u této stavby tvoří 51 % stavebních nákladů tunelové stavby.</w:t>
      </w:r>
    </w:p>
  </w:footnote>
  <w:footnote w:id="16">
    <w:p w14:paraId="6EABCD56" w14:textId="6337CE15" w:rsidR="00E20A2B" w:rsidRDefault="00E20A2B" w:rsidP="0001743C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 xml:space="preserve">Na nových mostech nebyly v rámci tramvajového spodku provedeny žádné práce, mimo mosty byly provedeny jen drobné práce, jako např. dosypání </w:t>
      </w:r>
      <w:proofErr w:type="spellStart"/>
      <w:r>
        <w:t>štěrkodrti</w:t>
      </w:r>
      <w:proofErr w:type="spellEnd"/>
      <w:r>
        <w:t>, úprava pláně se zhutněním, nový trativod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B18B1" w14:textId="77777777" w:rsidR="005B369F" w:rsidRDefault="005B36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67B3" w14:textId="77777777" w:rsidR="00E20A2B" w:rsidRDefault="00E20A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8B6BE" w14:textId="77777777" w:rsidR="00E20A2B" w:rsidRPr="00E62916" w:rsidRDefault="00E20A2B" w:rsidP="00A0532D">
    <w:pPr>
      <w:pStyle w:val="Zhlav"/>
      <w:jc w:val="right"/>
      <w:rPr>
        <w:color w:val="FFFFFF" w:themeColor="background1"/>
      </w:rPr>
    </w:pPr>
  </w:p>
  <w:p w14:paraId="79A7622C" w14:textId="77777777" w:rsidR="00E20A2B" w:rsidRPr="00E62916" w:rsidRDefault="00E20A2B" w:rsidP="00A0532D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0B"/>
    <w:multiLevelType w:val="hybridMultilevel"/>
    <w:tmpl w:val="05921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06EEE"/>
    <w:multiLevelType w:val="hybridMultilevel"/>
    <w:tmpl w:val="F4E0DE26"/>
    <w:lvl w:ilvl="0" w:tplc="9F1A3016">
      <w:start w:val="1"/>
      <w:numFmt w:val="bullet"/>
      <w:lvlText w:val="-"/>
      <w:lvlJc w:val="left"/>
      <w:pPr>
        <w:ind w:left="1002" w:hanging="360"/>
      </w:pPr>
      <w:rPr>
        <w:rFonts w:ascii="Sitka Subheading" w:hAnsi="Sitka Subheading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47C63482"/>
    <w:multiLevelType w:val="hybridMultilevel"/>
    <w:tmpl w:val="59964A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D30998"/>
    <w:multiLevelType w:val="hybridMultilevel"/>
    <w:tmpl w:val="8F40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32EF8"/>
    <w:multiLevelType w:val="hybridMultilevel"/>
    <w:tmpl w:val="1C0671D8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750764E2"/>
    <w:multiLevelType w:val="hybridMultilevel"/>
    <w:tmpl w:val="17FEB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B3"/>
    <w:rsid w:val="00001274"/>
    <w:rsid w:val="0000153F"/>
    <w:rsid w:val="00005B7E"/>
    <w:rsid w:val="00006618"/>
    <w:rsid w:val="00006685"/>
    <w:rsid w:val="00007A6E"/>
    <w:rsid w:val="00007AFB"/>
    <w:rsid w:val="00007EAC"/>
    <w:rsid w:val="000132F5"/>
    <w:rsid w:val="00013A31"/>
    <w:rsid w:val="00013E20"/>
    <w:rsid w:val="0001419F"/>
    <w:rsid w:val="00014C7B"/>
    <w:rsid w:val="0001743C"/>
    <w:rsid w:val="000218E0"/>
    <w:rsid w:val="00023C56"/>
    <w:rsid w:val="0002474F"/>
    <w:rsid w:val="000254D3"/>
    <w:rsid w:val="00030D15"/>
    <w:rsid w:val="00031F00"/>
    <w:rsid w:val="00035960"/>
    <w:rsid w:val="00040D39"/>
    <w:rsid w:val="00041672"/>
    <w:rsid w:val="000416AD"/>
    <w:rsid w:val="00041820"/>
    <w:rsid w:val="00041ADF"/>
    <w:rsid w:val="00042938"/>
    <w:rsid w:val="000441BD"/>
    <w:rsid w:val="000451CA"/>
    <w:rsid w:val="00047C7B"/>
    <w:rsid w:val="000501B7"/>
    <w:rsid w:val="00051547"/>
    <w:rsid w:val="00051E76"/>
    <w:rsid w:val="00052632"/>
    <w:rsid w:val="00054E0B"/>
    <w:rsid w:val="00057B63"/>
    <w:rsid w:val="00060730"/>
    <w:rsid w:val="000618F9"/>
    <w:rsid w:val="00063814"/>
    <w:rsid w:val="00064B72"/>
    <w:rsid w:val="00066B0F"/>
    <w:rsid w:val="0006718A"/>
    <w:rsid w:val="000678E8"/>
    <w:rsid w:val="00071B40"/>
    <w:rsid w:val="00071EDF"/>
    <w:rsid w:val="000727E2"/>
    <w:rsid w:val="00074129"/>
    <w:rsid w:val="00075D6E"/>
    <w:rsid w:val="00075E54"/>
    <w:rsid w:val="0007701E"/>
    <w:rsid w:val="00077025"/>
    <w:rsid w:val="0008134C"/>
    <w:rsid w:val="00081BF2"/>
    <w:rsid w:val="0008210D"/>
    <w:rsid w:val="00083368"/>
    <w:rsid w:val="00085341"/>
    <w:rsid w:val="000853DD"/>
    <w:rsid w:val="00085756"/>
    <w:rsid w:val="000907D2"/>
    <w:rsid w:val="00091B5F"/>
    <w:rsid w:val="000944E7"/>
    <w:rsid w:val="00094E4C"/>
    <w:rsid w:val="0009655C"/>
    <w:rsid w:val="00096CD7"/>
    <w:rsid w:val="0009791E"/>
    <w:rsid w:val="000A03D2"/>
    <w:rsid w:val="000A2C4B"/>
    <w:rsid w:val="000A2F41"/>
    <w:rsid w:val="000A3B75"/>
    <w:rsid w:val="000A41B7"/>
    <w:rsid w:val="000A5FAE"/>
    <w:rsid w:val="000A6366"/>
    <w:rsid w:val="000B05B3"/>
    <w:rsid w:val="000B0DCF"/>
    <w:rsid w:val="000B1A3E"/>
    <w:rsid w:val="000B299D"/>
    <w:rsid w:val="000B38CD"/>
    <w:rsid w:val="000B3A4F"/>
    <w:rsid w:val="000B3C06"/>
    <w:rsid w:val="000B3D2D"/>
    <w:rsid w:val="000B5B39"/>
    <w:rsid w:val="000B686B"/>
    <w:rsid w:val="000C0991"/>
    <w:rsid w:val="000C0E84"/>
    <w:rsid w:val="000C3150"/>
    <w:rsid w:val="000C67B4"/>
    <w:rsid w:val="000C6ACA"/>
    <w:rsid w:val="000C79A1"/>
    <w:rsid w:val="000D0DA3"/>
    <w:rsid w:val="000D11F5"/>
    <w:rsid w:val="000D15E7"/>
    <w:rsid w:val="000D23B6"/>
    <w:rsid w:val="000D49E9"/>
    <w:rsid w:val="000D4B3C"/>
    <w:rsid w:val="000D4EA0"/>
    <w:rsid w:val="000D505F"/>
    <w:rsid w:val="000D5230"/>
    <w:rsid w:val="000D602D"/>
    <w:rsid w:val="000D6623"/>
    <w:rsid w:val="000D7033"/>
    <w:rsid w:val="000D7789"/>
    <w:rsid w:val="000D792F"/>
    <w:rsid w:val="000E0530"/>
    <w:rsid w:val="000E1501"/>
    <w:rsid w:val="000E22AD"/>
    <w:rsid w:val="000E3B2E"/>
    <w:rsid w:val="000E4606"/>
    <w:rsid w:val="000E4BDB"/>
    <w:rsid w:val="000E5941"/>
    <w:rsid w:val="000E6B35"/>
    <w:rsid w:val="000E6C67"/>
    <w:rsid w:val="000E6EAA"/>
    <w:rsid w:val="000F2D5F"/>
    <w:rsid w:val="000F3A68"/>
    <w:rsid w:val="000F4FF5"/>
    <w:rsid w:val="000F5DBE"/>
    <w:rsid w:val="000F72FB"/>
    <w:rsid w:val="00100777"/>
    <w:rsid w:val="001012F1"/>
    <w:rsid w:val="001018A6"/>
    <w:rsid w:val="00101F7D"/>
    <w:rsid w:val="001026CA"/>
    <w:rsid w:val="00103839"/>
    <w:rsid w:val="00103E10"/>
    <w:rsid w:val="00104445"/>
    <w:rsid w:val="0010504E"/>
    <w:rsid w:val="00105A3F"/>
    <w:rsid w:val="00105A91"/>
    <w:rsid w:val="00105AE6"/>
    <w:rsid w:val="00106F45"/>
    <w:rsid w:val="00107F3A"/>
    <w:rsid w:val="001105A3"/>
    <w:rsid w:val="001118D3"/>
    <w:rsid w:val="001126A1"/>
    <w:rsid w:val="00115215"/>
    <w:rsid w:val="00116AF3"/>
    <w:rsid w:val="00121AA0"/>
    <w:rsid w:val="001231DE"/>
    <w:rsid w:val="001244BC"/>
    <w:rsid w:val="001255D9"/>
    <w:rsid w:val="0012602F"/>
    <w:rsid w:val="00126A64"/>
    <w:rsid w:val="00127DB3"/>
    <w:rsid w:val="00130E15"/>
    <w:rsid w:val="0013199C"/>
    <w:rsid w:val="0013255F"/>
    <w:rsid w:val="00133CAA"/>
    <w:rsid w:val="00134106"/>
    <w:rsid w:val="00137330"/>
    <w:rsid w:val="001374C2"/>
    <w:rsid w:val="001413CE"/>
    <w:rsid w:val="001421CD"/>
    <w:rsid w:val="00142C55"/>
    <w:rsid w:val="001437D0"/>
    <w:rsid w:val="00143F5A"/>
    <w:rsid w:val="00145157"/>
    <w:rsid w:val="001472B7"/>
    <w:rsid w:val="001472E7"/>
    <w:rsid w:val="0015184F"/>
    <w:rsid w:val="00152A96"/>
    <w:rsid w:val="00152E9D"/>
    <w:rsid w:val="00153446"/>
    <w:rsid w:val="001539FF"/>
    <w:rsid w:val="00154F6A"/>
    <w:rsid w:val="001604BF"/>
    <w:rsid w:val="00162329"/>
    <w:rsid w:val="00163089"/>
    <w:rsid w:val="001640E2"/>
    <w:rsid w:val="001640FC"/>
    <w:rsid w:val="0016472B"/>
    <w:rsid w:val="001647F8"/>
    <w:rsid w:val="001655CE"/>
    <w:rsid w:val="001655ED"/>
    <w:rsid w:val="00170371"/>
    <w:rsid w:val="001704E1"/>
    <w:rsid w:val="00170871"/>
    <w:rsid w:val="00171D59"/>
    <w:rsid w:val="001722AE"/>
    <w:rsid w:val="0017423F"/>
    <w:rsid w:val="0017440A"/>
    <w:rsid w:val="001761E5"/>
    <w:rsid w:val="0017696B"/>
    <w:rsid w:val="00182628"/>
    <w:rsid w:val="00182A9E"/>
    <w:rsid w:val="001847FD"/>
    <w:rsid w:val="00185AC7"/>
    <w:rsid w:val="001864BB"/>
    <w:rsid w:val="00194386"/>
    <w:rsid w:val="00195542"/>
    <w:rsid w:val="00195E3B"/>
    <w:rsid w:val="00195F0A"/>
    <w:rsid w:val="001A0822"/>
    <w:rsid w:val="001A2A78"/>
    <w:rsid w:val="001A38F6"/>
    <w:rsid w:val="001A48D2"/>
    <w:rsid w:val="001A573E"/>
    <w:rsid w:val="001A6831"/>
    <w:rsid w:val="001A6FC2"/>
    <w:rsid w:val="001A711F"/>
    <w:rsid w:val="001A796E"/>
    <w:rsid w:val="001B0405"/>
    <w:rsid w:val="001B1789"/>
    <w:rsid w:val="001B1DAA"/>
    <w:rsid w:val="001B2923"/>
    <w:rsid w:val="001B2CB2"/>
    <w:rsid w:val="001B430A"/>
    <w:rsid w:val="001B4359"/>
    <w:rsid w:val="001B45BA"/>
    <w:rsid w:val="001B4827"/>
    <w:rsid w:val="001B5666"/>
    <w:rsid w:val="001B613C"/>
    <w:rsid w:val="001B647B"/>
    <w:rsid w:val="001B767B"/>
    <w:rsid w:val="001B7A79"/>
    <w:rsid w:val="001C06A5"/>
    <w:rsid w:val="001C149B"/>
    <w:rsid w:val="001C3575"/>
    <w:rsid w:val="001C359C"/>
    <w:rsid w:val="001C40D2"/>
    <w:rsid w:val="001C7E13"/>
    <w:rsid w:val="001D1616"/>
    <w:rsid w:val="001D1C43"/>
    <w:rsid w:val="001D22B2"/>
    <w:rsid w:val="001D2B02"/>
    <w:rsid w:val="001D341A"/>
    <w:rsid w:val="001D3D3A"/>
    <w:rsid w:val="001D3D6B"/>
    <w:rsid w:val="001D4097"/>
    <w:rsid w:val="001D4612"/>
    <w:rsid w:val="001D57A6"/>
    <w:rsid w:val="001D5866"/>
    <w:rsid w:val="001D6594"/>
    <w:rsid w:val="001D6919"/>
    <w:rsid w:val="001E0098"/>
    <w:rsid w:val="001E08F2"/>
    <w:rsid w:val="001E1428"/>
    <w:rsid w:val="001E2344"/>
    <w:rsid w:val="001E2D17"/>
    <w:rsid w:val="001E4405"/>
    <w:rsid w:val="001E450F"/>
    <w:rsid w:val="001E4C8D"/>
    <w:rsid w:val="001E5002"/>
    <w:rsid w:val="001E50FF"/>
    <w:rsid w:val="001E5ADF"/>
    <w:rsid w:val="001E6882"/>
    <w:rsid w:val="001F2048"/>
    <w:rsid w:val="001F4E13"/>
    <w:rsid w:val="001F6EF1"/>
    <w:rsid w:val="0020391E"/>
    <w:rsid w:val="00206854"/>
    <w:rsid w:val="00210C3D"/>
    <w:rsid w:val="00212349"/>
    <w:rsid w:val="00213F14"/>
    <w:rsid w:val="00214A37"/>
    <w:rsid w:val="002159D5"/>
    <w:rsid w:val="00215FC9"/>
    <w:rsid w:val="002177CF"/>
    <w:rsid w:val="002218B2"/>
    <w:rsid w:val="0022228E"/>
    <w:rsid w:val="002223CB"/>
    <w:rsid w:val="0022331B"/>
    <w:rsid w:val="00226197"/>
    <w:rsid w:val="002279D3"/>
    <w:rsid w:val="00227AAC"/>
    <w:rsid w:val="0023030F"/>
    <w:rsid w:val="0023051D"/>
    <w:rsid w:val="0023089D"/>
    <w:rsid w:val="00232787"/>
    <w:rsid w:val="00236261"/>
    <w:rsid w:val="0023721C"/>
    <w:rsid w:val="002423C0"/>
    <w:rsid w:val="00243718"/>
    <w:rsid w:val="00244DE0"/>
    <w:rsid w:val="00245275"/>
    <w:rsid w:val="002461CD"/>
    <w:rsid w:val="0024687F"/>
    <w:rsid w:val="00246B34"/>
    <w:rsid w:val="00247ABA"/>
    <w:rsid w:val="00252A9F"/>
    <w:rsid w:val="00253AAE"/>
    <w:rsid w:val="002571E9"/>
    <w:rsid w:val="00260467"/>
    <w:rsid w:val="00262496"/>
    <w:rsid w:val="00262504"/>
    <w:rsid w:val="00264271"/>
    <w:rsid w:val="00264B74"/>
    <w:rsid w:val="00264C4D"/>
    <w:rsid w:val="00265377"/>
    <w:rsid w:val="00265EBA"/>
    <w:rsid w:val="00267730"/>
    <w:rsid w:val="00267A23"/>
    <w:rsid w:val="00267B81"/>
    <w:rsid w:val="00271709"/>
    <w:rsid w:val="00273E3B"/>
    <w:rsid w:val="00274476"/>
    <w:rsid w:val="00274A7C"/>
    <w:rsid w:val="002750D8"/>
    <w:rsid w:val="002763B8"/>
    <w:rsid w:val="00277DA5"/>
    <w:rsid w:val="00281069"/>
    <w:rsid w:val="00281929"/>
    <w:rsid w:val="00281A18"/>
    <w:rsid w:val="00281DA5"/>
    <w:rsid w:val="00282842"/>
    <w:rsid w:val="002832D4"/>
    <w:rsid w:val="00285C8D"/>
    <w:rsid w:val="00287A9B"/>
    <w:rsid w:val="00287C91"/>
    <w:rsid w:val="00287DD8"/>
    <w:rsid w:val="0029163A"/>
    <w:rsid w:val="00292A43"/>
    <w:rsid w:val="0029604B"/>
    <w:rsid w:val="002A07C9"/>
    <w:rsid w:val="002A1255"/>
    <w:rsid w:val="002A13BA"/>
    <w:rsid w:val="002A1A4C"/>
    <w:rsid w:val="002A21B7"/>
    <w:rsid w:val="002A2314"/>
    <w:rsid w:val="002A2E02"/>
    <w:rsid w:val="002A3F22"/>
    <w:rsid w:val="002A4043"/>
    <w:rsid w:val="002A5158"/>
    <w:rsid w:val="002A5D73"/>
    <w:rsid w:val="002B0758"/>
    <w:rsid w:val="002B0B1A"/>
    <w:rsid w:val="002B4214"/>
    <w:rsid w:val="002B5133"/>
    <w:rsid w:val="002B52BC"/>
    <w:rsid w:val="002B6100"/>
    <w:rsid w:val="002B626B"/>
    <w:rsid w:val="002B6CC9"/>
    <w:rsid w:val="002B6F02"/>
    <w:rsid w:val="002C25A7"/>
    <w:rsid w:val="002C43A6"/>
    <w:rsid w:val="002C4B36"/>
    <w:rsid w:val="002C761B"/>
    <w:rsid w:val="002C7C58"/>
    <w:rsid w:val="002D02A0"/>
    <w:rsid w:val="002D0EF9"/>
    <w:rsid w:val="002D0FDB"/>
    <w:rsid w:val="002D3E63"/>
    <w:rsid w:val="002D4046"/>
    <w:rsid w:val="002D47BA"/>
    <w:rsid w:val="002D50D7"/>
    <w:rsid w:val="002D51DE"/>
    <w:rsid w:val="002D6459"/>
    <w:rsid w:val="002D78E8"/>
    <w:rsid w:val="002D7CA5"/>
    <w:rsid w:val="002E0248"/>
    <w:rsid w:val="002E0927"/>
    <w:rsid w:val="002E19EE"/>
    <w:rsid w:val="002E1DAD"/>
    <w:rsid w:val="002E25D4"/>
    <w:rsid w:val="002E273A"/>
    <w:rsid w:val="002E317D"/>
    <w:rsid w:val="002E39F8"/>
    <w:rsid w:val="002E42ED"/>
    <w:rsid w:val="002E6B3D"/>
    <w:rsid w:val="002E7FF0"/>
    <w:rsid w:val="002F0230"/>
    <w:rsid w:val="002F190C"/>
    <w:rsid w:val="002F23D3"/>
    <w:rsid w:val="002F2487"/>
    <w:rsid w:val="002F334C"/>
    <w:rsid w:val="002F342B"/>
    <w:rsid w:val="002F41ED"/>
    <w:rsid w:val="002F420B"/>
    <w:rsid w:val="002F6235"/>
    <w:rsid w:val="002F69CB"/>
    <w:rsid w:val="002F7963"/>
    <w:rsid w:val="002F7ECB"/>
    <w:rsid w:val="00301273"/>
    <w:rsid w:val="003020EF"/>
    <w:rsid w:val="00302F69"/>
    <w:rsid w:val="00303A20"/>
    <w:rsid w:val="00303ED9"/>
    <w:rsid w:val="00305804"/>
    <w:rsid w:val="00306DC5"/>
    <w:rsid w:val="00310161"/>
    <w:rsid w:val="00310B39"/>
    <w:rsid w:val="00310ED7"/>
    <w:rsid w:val="00311491"/>
    <w:rsid w:val="003138D3"/>
    <w:rsid w:val="00313916"/>
    <w:rsid w:val="003145BA"/>
    <w:rsid w:val="00316060"/>
    <w:rsid w:val="00316B1E"/>
    <w:rsid w:val="00316C1B"/>
    <w:rsid w:val="00317B10"/>
    <w:rsid w:val="00320F5A"/>
    <w:rsid w:val="00323FFC"/>
    <w:rsid w:val="003253BB"/>
    <w:rsid w:val="003300C5"/>
    <w:rsid w:val="003302F0"/>
    <w:rsid w:val="003315BC"/>
    <w:rsid w:val="00334E68"/>
    <w:rsid w:val="00340760"/>
    <w:rsid w:val="00341204"/>
    <w:rsid w:val="00341857"/>
    <w:rsid w:val="00343156"/>
    <w:rsid w:val="0034615A"/>
    <w:rsid w:val="003470B3"/>
    <w:rsid w:val="00347AAC"/>
    <w:rsid w:val="00350CFD"/>
    <w:rsid w:val="003511C0"/>
    <w:rsid w:val="0035138B"/>
    <w:rsid w:val="00351BB3"/>
    <w:rsid w:val="00352CD5"/>
    <w:rsid w:val="00352E52"/>
    <w:rsid w:val="00353C0E"/>
    <w:rsid w:val="00354686"/>
    <w:rsid w:val="00355D3E"/>
    <w:rsid w:val="003602A2"/>
    <w:rsid w:val="00360E66"/>
    <w:rsid w:val="0036163B"/>
    <w:rsid w:val="003619D0"/>
    <w:rsid w:val="00361A10"/>
    <w:rsid w:val="00361C34"/>
    <w:rsid w:val="00363C7A"/>
    <w:rsid w:val="00364C27"/>
    <w:rsid w:val="003656ED"/>
    <w:rsid w:val="00365D8D"/>
    <w:rsid w:val="0036657D"/>
    <w:rsid w:val="00367008"/>
    <w:rsid w:val="00370222"/>
    <w:rsid w:val="003731ED"/>
    <w:rsid w:val="00376BE4"/>
    <w:rsid w:val="00380D38"/>
    <w:rsid w:val="00381B96"/>
    <w:rsid w:val="00382500"/>
    <w:rsid w:val="00384A32"/>
    <w:rsid w:val="00384D5F"/>
    <w:rsid w:val="00387265"/>
    <w:rsid w:val="00390CF0"/>
    <w:rsid w:val="0039112E"/>
    <w:rsid w:val="00391D74"/>
    <w:rsid w:val="00392E29"/>
    <w:rsid w:val="00395858"/>
    <w:rsid w:val="00396040"/>
    <w:rsid w:val="00396B48"/>
    <w:rsid w:val="00397D83"/>
    <w:rsid w:val="003A04F3"/>
    <w:rsid w:val="003A08FF"/>
    <w:rsid w:val="003A1A4F"/>
    <w:rsid w:val="003A2A82"/>
    <w:rsid w:val="003A310A"/>
    <w:rsid w:val="003A4B5D"/>
    <w:rsid w:val="003A5069"/>
    <w:rsid w:val="003A52C8"/>
    <w:rsid w:val="003A75EF"/>
    <w:rsid w:val="003A7905"/>
    <w:rsid w:val="003A7DCE"/>
    <w:rsid w:val="003B1FDF"/>
    <w:rsid w:val="003B353B"/>
    <w:rsid w:val="003B3785"/>
    <w:rsid w:val="003B41B5"/>
    <w:rsid w:val="003B504D"/>
    <w:rsid w:val="003B64C6"/>
    <w:rsid w:val="003B6F0F"/>
    <w:rsid w:val="003B7CA1"/>
    <w:rsid w:val="003C046E"/>
    <w:rsid w:val="003C0857"/>
    <w:rsid w:val="003C2FAD"/>
    <w:rsid w:val="003C3A65"/>
    <w:rsid w:val="003C4709"/>
    <w:rsid w:val="003C7071"/>
    <w:rsid w:val="003C7417"/>
    <w:rsid w:val="003C778A"/>
    <w:rsid w:val="003C7D91"/>
    <w:rsid w:val="003D01BA"/>
    <w:rsid w:val="003D118C"/>
    <w:rsid w:val="003D142F"/>
    <w:rsid w:val="003D2081"/>
    <w:rsid w:val="003D28F8"/>
    <w:rsid w:val="003D2B7B"/>
    <w:rsid w:val="003D37C6"/>
    <w:rsid w:val="003D5DBE"/>
    <w:rsid w:val="003D757A"/>
    <w:rsid w:val="003D779B"/>
    <w:rsid w:val="003E008A"/>
    <w:rsid w:val="003E0529"/>
    <w:rsid w:val="003E3DCD"/>
    <w:rsid w:val="003E46EC"/>
    <w:rsid w:val="003E6D66"/>
    <w:rsid w:val="003E71BF"/>
    <w:rsid w:val="003F183E"/>
    <w:rsid w:val="003F26F5"/>
    <w:rsid w:val="003F35E0"/>
    <w:rsid w:val="003F5815"/>
    <w:rsid w:val="003F58C5"/>
    <w:rsid w:val="003F64F2"/>
    <w:rsid w:val="003F7518"/>
    <w:rsid w:val="00400225"/>
    <w:rsid w:val="00401AD7"/>
    <w:rsid w:val="00401DD9"/>
    <w:rsid w:val="004050A9"/>
    <w:rsid w:val="00405557"/>
    <w:rsid w:val="00406C53"/>
    <w:rsid w:val="0040755C"/>
    <w:rsid w:val="004076C4"/>
    <w:rsid w:val="004077EF"/>
    <w:rsid w:val="00413D05"/>
    <w:rsid w:val="00415518"/>
    <w:rsid w:val="004167EF"/>
    <w:rsid w:val="00416A15"/>
    <w:rsid w:val="00417351"/>
    <w:rsid w:val="00421642"/>
    <w:rsid w:val="00422071"/>
    <w:rsid w:val="004226E8"/>
    <w:rsid w:val="004269F5"/>
    <w:rsid w:val="00427922"/>
    <w:rsid w:val="00427ED5"/>
    <w:rsid w:val="00431F5F"/>
    <w:rsid w:val="00433382"/>
    <w:rsid w:val="004360C7"/>
    <w:rsid w:val="0043677F"/>
    <w:rsid w:val="00441DF4"/>
    <w:rsid w:val="00443487"/>
    <w:rsid w:val="00443AEA"/>
    <w:rsid w:val="0044429A"/>
    <w:rsid w:val="004454B6"/>
    <w:rsid w:val="00446067"/>
    <w:rsid w:val="004464B6"/>
    <w:rsid w:val="00446DE5"/>
    <w:rsid w:val="004475AD"/>
    <w:rsid w:val="00451B61"/>
    <w:rsid w:val="004532F6"/>
    <w:rsid w:val="00454C17"/>
    <w:rsid w:val="00455BD4"/>
    <w:rsid w:val="00461601"/>
    <w:rsid w:val="00461D67"/>
    <w:rsid w:val="0046219B"/>
    <w:rsid w:val="0046432C"/>
    <w:rsid w:val="00465AE2"/>
    <w:rsid w:val="00465DB4"/>
    <w:rsid w:val="00466227"/>
    <w:rsid w:val="00466D60"/>
    <w:rsid w:val="00466E50"/>
    <w:rsid w:val="00472447"/>
    <w:rsid w:val="00472E1A"/>
    <w:rsid w:val="00474242"/>
    <w:rsid w:val="004749B4"/>
    <w:rsid w:val="00475200"/>
    <w:rsid w:val="004756BD"/>
    <w:rsid w:val="00475D72"/>
    <w:rsid w:val="00476132"/>
    <w:rsid w:val="00477201"/>
    <w:rsid w:val="00477664"/>
    <w:rsid w:val="00480013"/>
    <w:rsid w:val="004812F7"/>
    <w:rsid w:val="00481C38"/>
    <w:rsid w:val="00482442"/>
    <w:rsid w:val="00482A3F"/>
    <w:rsid w:val="004853B8"/>
    <w:rsid w:val="0048736E"/>
    <w:rsid w:val="00493B7E"/>
    <w:rsid w:val="00494268"/>
    <w:rsid w:val="00494B13"/>
    <w:rsid w:val="00494CED"/>
    <w:rsid w:val="00495423"/>
    <w:rsid w:val="00495600"/>
    <w:rsid w:val="00497709"/>
    <w:rsid w:val="004A1688"/>
    <w:rsid w:val="004A20C5"/>
    <w:rsid w:val="004A362C"/>
    <w:rsid w:val="004A4C30"/>
    <w:rsid w:val="004A6BA6"/>
    <w:rsid w:val="004B099B"/>
    <w:rsid w:val="004B0AC0"/>
    <w:rsid w:val="004B249D"/>
    <w:rsid w:val="004B3A8C"/>
    <w:rsid w:val="004B3D19"/>
    <w:rsid w:val="004B5491"/>
    <w:rsid w:val="004B77C5"/>
    <w:rsid w:val="004C15D6"/>
    <w:rsid w:val="004C1BE9"/>
    <w:rsid w:val="004C27EC"/>
    <w:rsid w:val="004C2B68"/>
    <w:rsid w:val="004C6A06"/>
    <w:rsid w:val="004C6C94"/>
    <w:rsid w:val="004D09D0"/>
    <w:rsid w:val="004D1BC7"/>
    <w:rsid w:val="004D215E"/>
    <w:rsid w:val="004D2201"/>
    <w:rsid w:val="004D38EA"/>
    <w:rsid w:val="004E1E61"/>
    <w:rsid w:val="004E3B4B"/>
    <w:rsid w:val="004E53C5"/>
    <w:rsid w:val="004E6267"/>
    <w:rsid w:val="004F0F21"/>
    <w:rsid w:val="004F3486"/>
    <w:rsid w:val="004F7021"/>
    <w:rsid w:val="00500DBB"/>
    <w:rsid w:val="0050281B"/>
    <w:rsid w:val="0050493F"/>
    <w:rsid w:val="00506B4A"/>
    <w:rsid w:val="00506C25"/>
    <w:rsid w:val="0050720B"/>
    <w:rsid w:val="00510B38"/>
    <w:rsid w:val="00514CF1"/>
    <w:rsid w:val="0051540C"/>
    <w:rsid w:val="00517B14"/>
    <w:rsid w:val="00521296"/>
    <w:rsid w:val="00521A1F"/>
    <w:rsid w:val="005254CA"/>
    <w:rsid w:val="00525C2B"/>
    <w:rsid w:val="0052612A"/>
    <w:rsid w:val="00527BB1"/>
    <w:rsid w:val="00527E80"/>
    <w:rsid w:val="005311C5"/>
    <w:rsid w:val="005332F2"/>
    <w:rsid w:val="00533DF5"/>
    <w:rsid w:val="00534128"/>
    <w:rsid w:val="00534B75"/>
    <w:rsid w:val="00534E84"/>
    <w:rsid w:val="00534FAA"/>
    <w:rsid w:val="00535667"/>
    <w:rsid w:val="00537D82"/>
    <w:rsid w:val="005412B8"/>
    <w:rsid w:val="00544965"/>
    <w:rsid w:val="00544CEB"/>
    <w:rsid w:val="00546E29"/>
    <w:rsid w:val="005474C1"/>
    <w:rsid w:val="005502EB"/>
    <w:rsid w:val="0055076E"/>
    <w:rsid w:val="0055087D"/>
    <w:rsid w:val="005570C4"/>
    <w:rsid w:val="00557E8B"/>
    <w:rsid w:val="00560821"/>
    <w:rsid w:val="005609E7"/>
    <w:rsid w:val="0056167D"/>
    <w:rsid w:val="00562993"/>
    <w:rsid w:val="00562BA9"/>
    <w:rsid w:val="005644DB"/>
    <w:rsid w:val="00566811"/>
    <w:rsid w:val="00567402"/>
    <w:rsid w:val="005732CD"/>
    <w:rsid w:val="00575064"/>
    <w:rsid w:val="005750CF"/>
    <w:rsid w:val="005761EB"/>
    <w:rsid w:val="00576CC0"/>
    <w:rsid w:val="00577175"/>
    <w:rsid w:val="0058189C"/>
    <w:rsid w:val="00583663"/>
    <w:rsid w:val="00583C4B"/>
    <w:rsid w:val="00584FF5"/>
    <w:rsid w:val="00585270"/>
    <w:rsid w:val="0058620B"/>
    <w:rsid w:val="005863CD"/>
    <w:rsid w:val="00586B4A"/>
    <w:rsid w:val="00587044"/>
    <w:rsid w:val="00590C09"/>
    <w:rsid w:val="0059289D"/>
    <w:rsid w:val="00593095"/>
    <w:rsid w:val="00593A53"/>
    <w:rsid w:val="00594FC0"/>
    <w:rsid w:val="00595003"/>
    <w:rsid w:val="005953AF"/>
    <w:rsid w:val="00596673"/>
    <w:rsid w:val="00596BFC"/>
    <w:rsid w:val="005972AF"/>
    <w:rsid w:val="005A3091"/>
    <w:rsid w:val="005A3E0C"/>
    <w:rsid w:val="005A5EF4"/>
    <w:rsid w:val="005A7E6E"/>
    <w:rsid w:val="005B113F"/>
    <w:rsid w:val="005B1447"/>
    <w:rsid w:val="005B1C9F"/>
    <w:rsid w:val="005B23DD"/>
    <w:rsid w:val="005B369F"/>
    <w:rsid w:val="005B497E"/>
    <w:rsid w:val="005C010A"/>
    <w:rsid w:val="005C1073"/>
    <w:rsid w:val="005C21C9"/>
    <w:rsid w:val="005C29ED"/>
    <w:rsid w:val="005C40F2"/>
    <w:rsid w:val="005C5562"/>
    <w:rsid w:val="005C62B3"/>
    <w:rsid w:val="005C7150"/>
    <w:rsid w:val="005D061E"/>
    <w:rsid w:val="005D1281"/>
    <w:rsid w:val="005D2177"/>
    <w:rsid w:val="005D22BC"/>
    <w:rsid w:val="005D261F"/>
    <w:rsid w:val="005D4419"/>
    <w:rsid w:val="005D5B42"/>
    <w:rsid w:val="005D622F"/>
    <w:rsid w:val="005D65B9"/>
    <w:rsid w:val="005E0EEC"/>
    <w:rsid w:val="005E151A"/>
    <w:rsid w:val="005E311C"/>
    <w:rsid w:val="005E5045"/>
    <w:rsid w:val="005E5356"/>
    <w:rsid w:val="005E5ACF"/>
    <w:rsid w:val="005E61F5"/>
    <w:rsid w:val="005E7282"/>
    <w:rsid w:val="005E7824"/>
    <w:rsid w:val="005F0B37"/>
    <w:rsid w:val="005F3199"/>
    <w:rsid w:val="005F50B4"/>
    <w:rsid w:val="005F51C5"/>
    <w:rsid w:val="005F76BE"/>
    <w:rsid w:val="00601272"/>
    <w:rsid w:val="00602DD7"/>
    <w:rsid w:val="00603B15"/>
    <w:rsid w:val="00604C8E"/>
    <w:rsid w:val="0060549E"/>
    <w:rsid w:val="006055E8"/>
    <w:rsid w:val="00605E6D"/>
    <w:rsid w:val="006075E7"/>
    <w:rsid w:val="006077A2"/>
    <w:rsid w:val="00607851"/>
    <w:rsid w:val="00610938"/>
    <w:rsid w:val="00610F80"/>
    <w:rsid w:val="00614B3B"/>
    <w:rsid w:val="0061518F"/>
    <w:rsid w:val="006158E3"/>
    <w:rsid w:val="00615E9A"/>
    <w:rsid w:val="00616CA2"/>
    <w:rsid w:val="00617655"/>
    <w:rsid w:val="006176C6"/>
    <w:rsid w:val="00617B47"/>
    <w:rsid w:val="0062193D"/>
    <w:rsid w:val="0062231B"/>
    <w:rsid w:val="006237FF"/>
    <w:rsid w:val="0062480F"/>
    <w:rsid w:val="00624DE7"/>
    <w:rsid w:val="00630BD1"/>
    <w:rsid w:val="00630C21"/>
    <w:rsid w:val="00631589"/>
    <w:rsid w:val="00634F93"/>
    <w:rsid w:val="00644D7A"/>
    <w:rsid w:val="006453EC"/>
    <w:rsid w:val="00646794"/>
    <w:rsid w:val="00646F62"/>
    <w:rsid w:val="006502F7"/>
    <w:rsid w:val="00650824"/>
    <w:rsid w:val="00650B2A"/>
    <w:rsid w:val="006527A4"/>
    <w:rsid w:val="0065370B"/>
    <w:rsid w:val="00653A0D"/>
    <w:rsid w:val="00653D8A"/>
    <w:rsid w:val="00660065"/>
    <w:rsid w:val="00660A33"/>
    <w:rsid w:val="00661329"/>
    <w:rsid w:val="00665D91"/>
    <w:rsid w:val="00666172"/>
    <w:rsid w:val="006662D0"/>
    <w:rsid w:val="0066682B"/>
    <w:rsid w:val="00667501"/>
    <w:rsid w:val="00667A65"/>
    <w:rsid w:val="0067151E"/>
    <w:rsid w:val="00673343"/>
    <w:rsid w:val="006736FE"/>
    <w:rsid w:val="00676092"/>
    <w:rsid w:val="00680D62"/>
    <w:rsid w:val="00681AA5"/>
    <w:rsid w:val="00681B12"/>
    <w:rsid w:val="00682A1D"/>
    <w:rsid w:val="00683FF4"/>
    <w:rsid w:val="00685F35"/>
    <w:rsid w:val="006865FC"/>
    <w:rsid w:val="00687D36"/>
    <w:rsid w:val="0069157A"/>
    <w:rsid w:val="00693B6E"/>
    <w:rsid w:val="00694E5E"/>
    <w:rsid w:val="00697089"/>
    <w:rsid w:val="006A2C83"/>
    <w:rsid w:val="006A4A32"/>
    <w:rsid w:val="006A4E64"/>
    <w:rsid w:val="006A4FDA"/>
    <w:rsid w:val="006A52B5"/>
    <w:rsid w:val="006A56E0"/>
    <w:rsid w:val="006A6182"/>
    <w:rsid w:val="006A6E51"/>
    <w:rsid w:val="006A71E7"/>
    <w:rsid w:val="006A72A1"/>
    <w:rsid w:val="006A7464"/>
    <w:rsid w:val="006B058F"/>
    <w:rsid w:val="006B0D77"/>
    <w:rsid w:val="006B19C9"/>
    <w:rsid w:val="006B2713"/>
    <w:rsid w:val="006B2AE6"/>
    <w:rsid w:val="006B3361"/>
    <w:rsid w:val="006B36B0"/>
    <w:rsid w:val="006B3F88"/>
    <w:rsid w:val="006B648E"/>
    <w:rsid w:val="006B6DA7"/>
    <w:rsid w:val="006B7F04"/>
    <w:rsid w:val="006C0C9B"/>
    <w:rsid w:val="006C12F1"/>
    <w:rsid w:val="006C415A"/>
    <w:rsid w:val="006C5C8D"/>
    <w:rsid w:val="006C761E"/>
    <w:rsid w:val="006D26F5"/>
    <w:rsid w:val="006D529F"/>
    <w:rsid w:val="006E12C1"/>
    <w:rsid w:val="006E2671"/>
    <w:rsid w:val="006E2C2A"/>
    <w:rsid w:val="006E54F0"/>
    <w:rsid w:val="006E61F2"/>
    <w:rsid w:val="006E69AE"/>
    <w:rsid w:val="006E7B34"/>
    <w:rsid w:val="006F0A8D"/>
    <w:rsid w:val="006F0ECA"/>
    <w:rsid w:val="006F0F8B"/>
    <w:rsid w:val="006F41CF"/>
    <w:rsid w:val="006F44A7"/>
    <w:rsid w:val="006F488E"/>
    <w:rsid w:val="006F6164"/>
    <w:rsid w:val="006F6D6D"/>
    <w:rsid w:val="006F7C44"/>
    <w:rsid w:val="006F7D44"/>
    <w:rsid w:val="007020E5"/>
    <w:rsid w:val="0070257B"/>
    <w:rsid w:val="007040E6"/>
    <w:rsid w:val="00704DF9"/>
    <w:rsid w:val="00705017"/>
    <w:rsid w:val="00712EA3"/>
    <w:rsid w:val="00713679"/>
    <w:rsid w:val="007145CE"/>
    <w:rsid w:val="0071569B"/>
    <w:rsid w:val="00721616"/>
    <w:rsid w:val="0072168D"/>
    <w:rsid w:val="00721E2B"/>
    <w:rsid w:val="00722E9E"/>
    <w:rsid w:val="00723307"/>
    <w:rsid w:val="00723400"/>
    <w:rsid w:val="0072476A"/>
    <w:rsid w:val="00724B51"/>
    <w:rsid w:val="00724BD8"/>
    <w:rsid w:val="0072563B"/>
    <w:rsid w:val="0073043B"/>
    <w:rsid w:val="007326D8"/>
    <w:rsid w:val="00732ED4"/>
    <w:rsid w:val="007343B0"/>
    <w:rsid w:val="00734983"/>
    <w:rsid w:val="00734E07"/>
    <w:rsid w:val="00735A9D"/>
    <w:rsid w:val="007364EB"/>
    <w:rsid w:val="00737617"/>
    <w:rsid w:val="0074046E"/>
    <w:rsid w:val="007431C1"/>
    <w:rsid w:val="007432E8"/>
    <w:rsid w:val="00744C57"/>
    <w:rsid w:val="00745966"/>
    <w:rsid w:val="00746EDF"/>
    <w:rsid w:val="00747131"/>
    <w:rsid w:val="00750344"/>
    <w:rsid w:val="0075166D"/>
    <w:rsid w:val="0075247D"/>
    <w:rsid w:val="00752A2C"/>
    <w:rsid w:val="00753242"/>
    <w:rsid w:val="00753EF9"/>
    <w:rsid w:val="0075436B"/>
    <w:rsid w:val="00755D71"/>
    <w:rsid w:val="0075660E"/>
    <w:rsid w:val="00756750"/>
    <w:rsid w:val="00760828"/>
    <w:rsid w:val="00761F05"/>
    <w:rsid w:val="007634DF"/>
    <w:rsid w:val="007651EB"/>
    <w:rsid w:val="007656AB"/>
    <w:rsid w:val="007661E5"/>
    <w:rsid w:val="00766624"/>
    <w:rsid w:val="00767EE5"/>
    <w:rsid w:val="00770880"/>
    <w:rsid w:val="00772340"/>
    <w:rsid w:val="00773544"/>
    <w:rsid w:val="00773816"/>
    <w:rsid w:val="00774E8C"/>
    <w:rsid w:val="00775D14"/>
    <w:rsid w:val="00777260"/>
    <w:rsid w:val="00777A47"/>
    <w:rsid w:val="00777E0F"/>
    <w:rsid w:val="00780166"/>
    <w:rsid w:val="00782698"/>
    <w:rsid w:val="007847C1"/>
    <w:rsid w:val="00787157"/>
    <w:rsid w:val="007875CE"/>
    <w:rsid w:val="00787A46"/>
    <w:rsid w:val="00790D8A"/>
    <w:rsid w:val="00793402"/>
    <w:rsid w:val="00796BE3"/>
    <w:rsid w:val="00797498"/>
    <w:rsid w:val="00797801"/>
    <w:rsid w:val="00797E02"/>
    <w:rsid w:val="007A0351"/>
    <w:rsid w:val="007A1486"/>
    <w:rsid w:val="007A1823"/>
    <w:rsid w:val="007A1A02"/>
    <w:rsid w:val="007A2ED5"/>
    <w:rsid w:val="007A3BF1"/>
    <w:rsid w:val="007A3C7F"/>
    <w:rsid w:val="007A4A27"/>
    <w:rsid w:val="007A585B"/>
    <w:rsid w:val="007A6126"/>
    <w:rsid w:val="007A6ED1"/>
    <w:rsid w:val="007A79DC"/>
    <w:rsid w:val="007B08AF"/>
    <w:rsid w:val="007B1375"/>
    <w:rsid w:val="007B173F"/>
    <w:rsid w:val="007B1A6C"/>
    <w:rsid w:val="007B28DE"/>
    <w:rsid w:val="007B333E"/>
    <w:rsid w:val="007B34C5"/>
    <w:rsid w:val="007B470F"/>
    <w:rsid w:val="007B5ADE"/>
    <w:rsid w:val="007B786B"/>
    <w:rsid w:val="007C00F0"/>
    <w:rsid w:val="007C197D"/>
    <w:rsid w:val="007C3D6F"/>
    <w:rsid w:val="007C546A"/>
    <w:rsid w:val="007D0E5A"/>
    <w:rsid w:val="007D15C4"/>
    <w:rsid w:val="007D1614"/>
    <w:rsid w:val="007D23C9"/>
    <w:rsid w:val="007D4267"/>
    <w:rsid w:val="007D4F16"/>
    <w:rsid w:val="007D5955"/>
    <w:rsid w:val="007D69FA"/>
    <w:rsid w:val="007D703D"/>
    <w:rsid w:val="007D722F"/>
    <w:rsid w:val="007E007E"/>
    <w:rsid w:val="007E09A8"/>
    <w:rsid w:val="007E50C2"/>
    <w:rsid w:val="007E5148"/>
    <w:rsid w:val="007E5EDF"/>
    <w:rsid w:val="007E685B"/>
    <w:rsid w:val="007E6E76"/>
    <w:rsid w:val="007E7C3F"/>
    <w:rsid w:val="007F11A2"/>
    <w:rsid w:val="007F177E"/>
    <w:rsid w:val="007F19DD"/>
    <w:rsid w:val="007F1BBD"/>
    <w:rsid w:val="007F2312"/>
    <w:rsid w:val="007F31F0"/>
    <w:rsid w:val="007F3744"/>
    <w:rsid w:val="007F3D72"/>
    <w:rsid w:val="007F3DD8"/>
    <w:rsid w:val="007F5960"/>
    <w:rsid w:val="007F5FFF"/>
    <w:rsid w:val="007F6CB5"/>
    <w:rsid w:val="00800302"/>
    <w:rsid w:val="00801944"/>
    <w:rsid w:val="00801BEE"/>
    <w:rsid w:val="00803EA5"/>
    <w:rsid w:val="0080420A"/>
    <w:rsid w:val="008057F2"/>
    <w:rsid w:val="00805BCA"/>
    <w:rsid w:val="00806344"/>
    <w:rsid w:val="00806CFC"/>
    <w:rsid w:val="00810651"/>
    <w:rsid w:val="008114FB"/>
    <w:rsid w:val="00812F5E"/>
    <w:rsid w:val="00813880"/>
    <w:rsid w:val="00815929"/>
    <w:rsid w:val="00816BB4"/>
    <w:rsid w:val="00816C52"/>
    <w:rsid w:val="00821246"/>
    <w:rsid w:val="00821B62"/>
    <w:rsid w:val="0082383E"/>
    <w:rsid w:val="008238DA"/>
    <w:rsid w:val="00824FC1"/>
    <w:rsid w:val="0082577C"/>
    <w:rsid w:val="00826121"/>
    <w:rsid w:val="008267F4"/>
    <w:rsid w:val="00826FE9"/>
    <w:rsid w:val="00827DE5"/>
    <w:rsid w:val="00834461"/>
    <w:rsid w:val="00836D48"/>
    <w:rsid w:val="008370E3"/>
    <w:rsid w:val="00844B64"/>
    <w:rsid w:val="00845F1C"/>
    <w:rsid w:val="008462EA"/>
    <w:rsid w:val="00851148"/>
    <w:rsid w:val="00852E0B"/>
    <w:rsid w:val="0085475B"/>
    <w:rsid w:val="0085506A"/>
    <w:rsid w:val="00857445"/>
    <w:rsid w:val="00857846"/>
    <w:rsid w:val="00857D2D"/>
    <w:rsid w:val="00860114"/>
    <w:rsid w:val="00860698"/>
    <w:rsid w:val="00860D8F"/>
    <w:rsid w:val="008610D1"/>
    <w:rsid w:val="00861F2F"/>
    <w:rsid w:val="0086268D"/>
    <w:rsid w:val="00863DCF"/>
    <w:rsid w:val="00864C31"/>
    <w:rsid w:val="00865C57"/>
    <w:rsid w:val="00866965"/>
    <w:rsid w:val="00866AC2"/>
    <w:rsid w:val="00867183"/>
    <w:rsid w:val="00870C11"/>
    <w:rsid w:val="00871051"/>
    <w:rsid w:val="0087276B"/>
    <w:rsid w:val="00875019"/>
    <w:rsid w:val="00875051"/>
    <w:rsid w:val="00876A8C"/>
    <w:rsid w:val="00877CEC"/>
    <w:rsid w:val="00882592"/>
    <w:rsid w:val="008835D0"/>
    <w:rsid w:val="008841F0"/>
    <w:rsid w:val="00884372"/>
    <w:rsid w:val="00885F75"/>
    <w:rsid w:val="00886BBD"/>
    <w:rsid w:val="0089098B"/>
    <w:rsid w:val="00890FD5"/>
    <w:rsid w:val="00892962"/>
    <w:rsid w:val="00892963"/>
    <w:rsid w:val="0089339F"/>
    <w:rsid w:val="00896D43"/>
    <w:rsid w:val="008976B8"/>
    <w:rsid w:val="008A064C"/>
    <w:rsid w:val="008A0FC0"/>
    <w:rsid w:val="008A20CF"/>
    <w:rsid w:val="008A364E"/>
    <w:rsid w:val="008A6FDF"/>
    <w:rsid w:val="008B07D0"/>
    <w:rsid w:val="008B0AA5"/>
    <w:rsid w:val="008B1518"/>
    <w:rsid w:val="008B155D"/>
    <w:rsid w:val="008B2898"/>
    <w:rsid w:val="008B4654"/>
    <w:rsid w:val="008B544D"/>
    <w:rsid w:val="008B5833"/>
    <w:rsid w:val="008B70CC"/>
    <w:rsid w:val="008C0CE3"/>
    <w:rsid w:val="008C4D4B"/>
    <w:rsid w:val="008C7149"/>
    <w:rsid w:val="008C7861"/>
    <w:rsid w:val="008D0023"/>
    <w:rsid w:val="008D0235"/>
    <w:rsid w:val="008D0FF1"/>
    <w:rsid w:val="008D1603"/>
    <w:rsid w:val="008D25BF"/>
    <w:rsid w:val="008D2C25"/>
    <w:rsid w:val="008D35B4"/>
    <w:rsid w:val="008D5486"/>
    <w:rsid w:val="008D54D0"/>
    <w:rsid w:val="008D5678"/>
    <w:rsid w:val="008D6AB7"/>
    <w:rsid w:val="008D7136"/>
    <w:rsid w:val="008E000D"/>
    <w:rsid w:val="008E00D5"/>
    <w:rsid w:val="008E0AAA"/>
    <w:rsid w:val="008E1B36"/>
    <w:rsid w:val="008E2BCA"/>
    <w:rsid w:val="008E52EE"/>
    <w:rsid w:val="008E5B3D"/>
    <w:rsid w:val="008E620C"/>
    <w:rsid w:val="008F1F55"/>
    <w:rsid w:val="008F2B08"/>
    <w:rsid w:val="008F2B5C"/>
    <w:rsid w:val="008F3CD5"/>
    <w:rsid w:val="008F560F"/>
    <w:rsid w:val="008F6064"/>
    <w:rsid w:val="00902013"/>
    <w:rsid w:val="009022D8"/>
    <w:rsid w:val="009044B3"/>
    <w:rsid w:val="0090475E"/>
    <w:rsid w:val="00906F12"/>
    <w:rsid w:val="0091146E"/>
    <w:rsid w:val="009118B0"/>
    <w:rsid w:val="0091602C"/>
    <w:rsid w:val="00917333"/>
    <w:rsid w:val="00917C9E"/>
    <w:rsid w:val="00917EEC"/>
    <w:rsid w:val="00917F69"/>
    <w:rsid w:val="00920BF5"/>
    <w:rsid w:val="00921DE9"/>
    <w:rsid w:val="009229A5"/>
    <w:rsid w:val="00923F98"/>
    <w:rsid w:val="009245BC"/>
    <w:rsid w:val="009251A7"/>
    <w:rsid w:val="009258E9"/>
    <w:rsid w:val="0092622D"/>
    <w:rsid w:val="00926236"/>
    <w:rsid w:val="0092643B"/>
    <w:rsid w:val="00926DF7"/>
    <w:rsid w:val="00927A6D"/>
    <w:rsid w:val="0093155F"/>
    <w:rsid w:val="00931D05"/>
    <w:rsid w:val="00932ECD"/>
    <w:rsid w:val="00934B4E"/>
    <w:rsid w:val="009359F0"/>
    <w:rsid w:val="00936BF5"/>
    <w:rsid w:val="00942438"/>
    <w:rsid w:val="00943008"/>
    <w:rsid w:val="00943F51"/>
    <w:rsid w:val="00946E97"/>
    <w:rsid w:val="009526C5"/>
    <w:rsid w:val="00954D8D"/>
    <w:rsid w:val="00955BE9"/>
    <w:rsid w:val="00961AF0"/>
    <w:rsid w:val="0096238D"/>
    <w:rsid w:val="009635DA"/>
    <w:rsid w:val="009641E0"/>
    <w:rsid w:val="009650DC"/>
    <w:rsid w:val="0096530A"/>
    <w:rsid w:val="00966803"/>
    <w:rsid w:val="009669FF"/>
    <w:rsid w:val="009675BC"/>
    <w:rsid w:val="00967ABB"/>
    <w:rsid w:val="00967B3A"/>
    <w:rsid w:val="00972128"/>
    <w:rsid w:val="00972FB9"/>
    <w:rsid w:val="009738E6"/>
    <w:rsid w:val="00977251"/>
    <w:rsid w:val="0098017B"/>
    <w:rsid w:val="00984099"/>
    <w:rsid w:val="00984596"/>
    <w:rsid w:val="00985391"/>
    <w:rsid w:val="0099034A"/>
    <w:rsid w:val="00990896"/>
    <w:rsid w:val="0099388F"/>
    <w:rsid w:val="009946B9"/>
    <w:rsid w:val="009947B8"/>
    <w:rsid w:val="009A07B6"/>
    <w:rsid w:val="009A086E"/>
    <w:rsid w:val="009A1F23"/>
    <w:rsid w:val="009A254D"/>
    <w:rsid w:val="009A4AD5"/>
    <w:rsid w:val="009A6819"/>
    <w:rsid w:val="009B01FA"/>
    <w:rsid w:val="009B02E2"/>
    <w:rsid w:val="009B0804"/>
    <w:rsid w:val="009B1202"/>
    <w:rsid w:val="009B12F9"/>
    <w:rsid w:val="009B1BDC"/>
    <w:rsid w:val="009B2A29"/>
    <w:rsid w:val="009B4B7C"/>
    <w:rsid w:val="009C1439"/>
    <w:rsid w:val="009C3A0E"/>
    <w:rsid w:val="009C5900"/>
    <w:rsid w:val="009C6238"/>
    <w:rsid w:val="009C6C44"/>
    <w:rsid w:val="009C7779"/>
    <w:rsid w:val="009C77DE"/>
    <w:rsid w:val="009D07FA"/>
    <w:rsid w:val="009D1852"/>
    <w:rsid w:val="009D1F4D"/>
    <w:rsid w:val="009D26B4"/>
    <w:rsid w:val="009D5213"/>
    <w:rsid w:val="009D5D0B"/>
    <w:rsid w:val="009D673A"/>
    <w:rsid w:val="009D753D"/>
    <w:rsid w:val="009D7725"/>
    <w:rsid w:val="009D7C96"/>
    <w:rsid w:val="009E095F"/>
    <w:rsid w:val="009E1805"/>
    <w:rsid w:val="009E278F"/>
    <w:rsid w:val="009E384E"/>
    <w:rsid w:val="009E54F3"/>
    <w:rsid w:val="009E68EA"/>
    <w:rsid w:val="009E7513"/>
    <w:rsid w:val="009F11AF"/>
    <w:rsid w:val="009F1506"/>
    <w:rsid w:val="009F16E4"/>
    <w:rsid w:val="009F656E"/>
    <w:rsid w:val="009F7E63"/>
    <w:rsid w:val="00A008A4"/>
    <w:rsid w:val="00A00BAC"/>
    <w:rsid w:val="00A03637"/>
    <w:rsid w:val="00A0532D"/>
    <w:rsid w:val="00A05B65"/>
    <w:rsid w:val="00A06F36"/>
    <w:rsid w:val="00A07D10"/>
    <w:rsid w:val="00A07F89"/>
    <w:rsid w:val="00A10540"/>
    <w:rsid w:val="00A10740"/>
    <w:rsid w:val="00A10F9E"/>
    <w:rsid w:val="00A1278B"/>
    <w:rsid w:val="00A12932"/>
    <w:rsid w:val="00A1346D"/>
    <w:rsid w:val="00A160C0"/>
    <w:rsid w:val="00A172D2"/>
    <w:rsid w:val="00A17BA7"/>
    <w:rsid w:val="00A2057C"/>
    <w:rsid w:val="00A20978"/>
    <w:rsid w:val="00A212AB"/>
    <w:rsid w:val="00A232A0"/>
    <w:rsid w:val="00A236F1"/>
    <w:rsid w:val="00A24CCD"/>
    <w:rsid w:val="00A30DC1"/>
    <w:rsid w:val="00A3276D"/>
    <w:rsid w:val="00A3296D"/>
    <w:rsid w:val="00A32BAA"/>
    <w:rsid w:val="00A32E19"/>
    <w:rsid w:val="00A3324A"/>
    <w:rsid w:val="00A332EC"/>
    <w:rsid w:val="00A33C51"/>
    <w:rsid w:val="00A33F15"/>
    <w:rsid w:val="00A352AF"/>
    <w:rsid w:val="00A35529"/>
    <w:rsid w:val="00A35B6E"/>
    <w:rsid w:val="00A36315"/>
    <w:rsid w:val="00A36DA9"/>
    <w:rsid w:val="00A37A77"/>
    <w:rsid w:val="00A40519"/>
    <w:rsid w:val="00A40657"/>
    <w:rsid w:val="00A414C4"/>
    <w:rsid w:val="00A41EF8"/>
    <w:rsid w:val="00A427B6"/>
    <w:rsid w:val="00A4400E"/>
    <w:rsid w:val="00A46EDF"/>
    <w:rsid w:val="00A526E7"/>
    <w:rsid w:val="00A54CB9"/>
    <w:rsid w:val="00A54DBB"/>
    <w:rsid w:val="00A54FBB"/>
    <w:rsid w:val="00A555B2"/>
    <w:rsid w:val="00A57B20"/>
    <w:rsid w:val="00A57EEE"/>
    <w:rsid w:val="00A612D4"/>
    <w:rsid w:val="00A63015"/>
    <w:rsid w:val="00A64D69"/>
    <w:rsid w:val="00A64FF8"/>
    <w:rsid w:val="00A665E2"/>
    <w:rsid w:val="00A71BAC"/>
    <w:rsid w:val="00A7202C"/>
    <w:rsid w:val="00A72172"/>
    <w:rsid w:val="00A72767"/>
    <w:rsid w:val="00A72B42"/>
    <w:rsid w:val="00A73586"/>
    <w:rsid w:val="00A737E9"/>
    <w:rsid w:val="00A73D35"/>
    <w:rsid w:val="00A75359"/>
    <w:rsid w:val="00A75621"/>
    <w:rsid w:val="00A76160"/>
    <w:rsid w:val="00A80A6C"/>
    <w:rsid w:val="00A82DCD"/>
    <w:rsid w:val="00A849E8"/>
    <w:rsid w:val="00A85841"/>
    <w:rsid w:val="00A859AE"/>
    <w:rsid w:val="00A87A99"/>
    <w:rsid w:val="00A87CDF"/>
    <w:rsid w:val="00A915C5"/>
    <w:rsid w:val="00A91FCC"/>
    <w:rsid w:val="00A94406"/>
    <w:rsid w:val="00A947F0"/>
    <w:rsid w:val="00A94C91"/>
    <w:rsid w:val="00A957DF"/>
    <w:rsid w:val="00A97941"/>
    <w:rsid w:val="00AA14A5"/>
    <w:rsid w:val="00AA15F6"/>
    <w:rsid w:val="00AA2B9F"/>
    <w:rsid w:val="00AA2C86"/>
    <w:rsid w:val="00AA4D64"/>
    <w:rsid w:val="00AA50CA"/>
    <w:rsid w:val="00AA63E9"/>
    <w:rsid w:val="00AA73AF"/>
    <w:rsid w:val="00AA7FFB"/>
    <w:rsid w:val="00AB0AA5"/>
    <w:rsid w:val="00AB0D36"/>
    <w:rsid w:val="00AB0EDD"/>
    <w:rsid w:val="00AB11E1"/>
    <w:rsid w:val="00AB1FA6"/>
    <w:rsid w:val="00AB247E"/>
    <w:rsid w:val="00AB311E"/>
    <w:rsid w:val="00AB3C58"/>
    <w:rsid w:val="00AB3F0C"/>
    <w:rsid w:val="00AC0049"/>
    <w:rsid w:val="00AC0EB0"/>
    <w:rsid w:val="00AC23AF"/>
    <w:rsid w:val="00AC45E0"/>
    <w:rsid w:val="00AC589D"/>
    <w:rsid w:val="00AC6C18"/>
    <w:rsid w:val="00AC7F7C"/>
    <w:rsid w:val="00AD0BC0"/>
    <w:rsid w:val="00AD22C1"/>
    <w:rsid w:val="00AD3099"/>
    <w:rsid w:val="00AD554D"/>
    <w:rsid w:val="00AD6167"/>
    <w:rsid w:val="00AE4574"/>
    <w:rsid w:val="00AE4817"/>
    <w:rsid w:val="00AE6026"/>
    <w:rsid w:val="00AF000E"/>
    <w:rsid w:val="00AF1203"/>
    <w:rsid w:val="00AF1537"/>
    <w:rsid w:val="00AF170B"/>
    <w:rsid w:val="00AF4D5F"/>
    <w:rsid w:val="00B00278"/>
    <w:rsid w:val="00B03626"/>
    <w:rsid w:val="00B03C53"/>
    <w:rsid w:val="00B07001"/>
    <w:rsid w:val="00B11139"/>
    <w:rsid w:val="00B1114C"/>
    <w:rsid w:val="00B12969"/>
    <w:rsid w:val="00B129B4"/>
    <w:rsid w:val="00B1327E"/>
    <w:rsid w:val="00B14E86"/>
    <w:rsid w:val="00B179DE"/>
    <w:rsid w:val="00B200A3"/>
    <w:rsid w:val="00B211CD"/>
    <w:rsid w:val="00B215F7"/>
    <w:rsid w:val="00B219EA"/>
    <w:rsid w:val="00B2274F"/>
    <w:rsid w:val="00B23AA1"/>
    <w:rsid w:val="00B255DE"/>
    <w:rsid w:val="00B27B2D"/>
    <w:rsid w:val="00B30502"/>
    <w:rsid w:val="00B31778"/>
    <w:rsid w:val="00B31921"/>
    <w:rsid w:val="00B32405"/>
    <w:rsid w:val="00B32FD3"/>
    <w:rsid w:val="00B33302"/>
    <w:rsid w:val="00B36ED7"/>
    <w:rsid w:val="00B405BE"/>
    <w:rsid w:val="00B479A5"/>
    <w:rsid w:val="00B52F3A"/>
    <w:rsid w:val="00B55ED4"/>
    <w:rsid w:val="00B56D10"/>
    <w:rsid w:val="00B56F12"/>
    <w:rsid w:val="00B6170A"/>
    <w:rsid w:val="00B6237B"/>
    <w:rsid w:val="00B63DC6"/>
    <w:rsid w:val="00B6450A"/>
    <w:rsid w:val="00B6549C"/>
    <w:rsid w:val="00B65B80"/>
    <w:rsid w:val="00B67134"/>
    <w:rsid w:val="00B730BD"/>
    <w:rsid w:val="00B73668"/>
    <w:rsid w:val="00B74356"/>
    <w:rsid w:val="00B74A37"/>
    <w:rsid w:val="00B76459"/>
    <w:rsid w:val="00B76AA5"/>
    <w:rsid w:val="00B77608"/>
    <w:rsid w:val="00B77DDE"/>
    <w:rsid w:val="00B814E3"/>
    <w:rsid w:val="00B83BA0"/>
    <w:rsid w:val="00B84C83"/>
    <w:rsid w:val="00B84EEB"/>
    <w:rsid w:val="00B851A2"/>
    <w:rsid w:val="00B860C3"/>
    <w:rsid w:val="00B8763B"/>
    <w:rsid w:val="00B909C9"/>
    <w:rsid w:val="00B9334D"/>
    <w:rsid w:val="00B937D1"/>
    <w:rsid w:val="00B94A87"/>
    <w:rsid w:val="00B956DB"/>
    <w:rsid w:val="00B960E1"/>
    <w:rsid w:val="00BA1777"/>
    <w:rsid w:val="00BA2A04"/>
    <w:rsid w:val="00BA561B"/>
    <w:rsid w:val="00BA5CF2"/>
    <w:rsid w:val="00BA63E1"/>
    <w:rsid w:val="00BA7F60"/>
    <w:rsid w:val="00BB0EF6"/>
    <w:rsid w:val="00BB1BE1"/>
    <w:rsid w:val="00BB2D6D"/>
    <w:rsid w:val="00BB34F7"/>
    <w:rsid w:val="00BB3875"/>
    <w:rsid w:val="00BB44A0"/>
    <w:rsid w:val="00BB68F9"/>
    <w:rsid w:val="00BB6F0A"/>
    <w:rsid w:val="00BB73B9"/>
    <w:rsid w:val="00BC26F6"/>
    <w:rsid w:val="00BC2772"/>
    <w:rsid w:val="00BC3BFE"/>
    <w:rsid w:val="00BC45DB"/>
    <w:rsid w:val="00BC4B27"/>
    <w:rsid w:val="00BC5606"/>
    <w:rsid w:val="00BC6A62"/>
    <w:rsid w:val="00BC7962"/>
    <w:rsid w:val="00BD33EC"/>
    <w:rsid w:val="00BD456D"/>
    <w:rsid w:val="00BD5081"/>
    <w:rsid w:val="00BD747D"/>
    <w:rsid w:val="00BD7E7F"/>
    <w:rsid w:val="00BE0C0D"/>
    <w:rsid w:val="00BE1149"/>
    <w:rsid w:val="00BE21EA"/>
    <w:rsid w:val="00BE39A5"/>
    <w:rsid w:val="00BE445F"/>
    <w:rsid w:val="00BE4F98"/>
    <w:rsid w:val="00BE6469"/>
    <w:rsid w:val="00BE65F6"/>
    <w:rsid w:val="00BF0296"/>
    <w:rsid w:val="00BF08D4"/>
    <w:rsid w:val="00BF104E"/>
    <w:rsid w:val="00BF30A4"/>
    <w:rsid w:val="00BF3593"/>
    <w:rsid w:val="00BF3CCE"/>
    <w:rsid w:val="00BF41A1"/>
    <w:rsid w:val="00BF4EFD"/>
    <w:rsid w:val="00BF70AB"/>
    <w:rsid w:val="00BF76A7"/>
    <w:rsid w:val="00C014C7"/>
    <w:rsid w:val="00C02CEF"/>
    <w:rsid w:val="00C02F14"/>
    <w:rsid w:val="00C03300"/>
    <w:rsid w:val="00C035A3"/>
    <w:rsid w:val="00C03F90"/>
    <w:rsid w:val="00C0418E"/>
    <w:rsid w:val="00C04443"/>
    <w:rsid w:val="00C04D2B"/>
    <w:rsid w:val="00C10498"/>
    <w:rsid w:val="00C1225A"/>
    <w:rsid w:val="00C13128"/>
    <w:rsid w:val="00C1415D"/>
    <w:rsid w:val="00C200B1"/>
    <w:rsid w:val="00C20341"/>
    <w:rsid w:val="00C23722"/>
    <w:rsid w:val="00C23C36"/>
    <w:rsid w:val="00C252DE"/>
    <w:rsid w:val="00C25B25"/>
    <w:rsid w:val="00C261A5"/>
    <w:rsid w:val="00C271DC"/>
    <w:rsid w:val="00C27898"/>
    <w:rsid w:val="00C27909"/>
    <w:rsid w:val="00C3137D"/>
    <w:rsid w:val="00C321F2"/>
    <w:rsid w:val="00C34A12"/>
    <w:rsid w:val="00C3526A"/>
    <w:rsid w:val="00C368F2"/>
    <w:rsid w:val="00C36B31"/>
    <w:rsid w:val="00C36FD3"/>
    <w:rsid w:val="00C37471"/>
    <w:rsid w:val="00C37C34"/>
    <w:rsid w:val="00C40D27"/>
    <w:rsid w:val="00C42AEE"/>
    <w:rsid w:val="00C43401"/>
    <w:rsid w:val="00C43D3C"/>
    <w:rsid w:val="00C50CCD"/>
    <w:rsid w:val="00C50F66"/>
    <w:rsid w:val="00C51988"/>
    <w:rsid w:val="00C51CFF"/>
    <w:rsid w:val="00C51DC8"/>
    <w:rsid w:val="00C5271D"/>
    <w:rsid w:val="00C52DC6"/>
    <w:rsid w:val="00C5301B"/>
    <w:rsid w:val="00C5319A"/>
    <w:rsid w:val="00C54BD7"/>
    <w:rsid w:val="00C57EA0"/>
    <w:rsid w:val="00C62B63"/>
    <w:rsid w:val="00C635D1"/>
    <w:rsid w:val="00C64F80"/>
    <w:rsid w:val="00C65E95"/>
    <w:rsid w:val="00C65EB9"/>
    <w:rsid w:val="00C70AC7"/>
    <w:rsid w:val="00C71831"/>
    <w:rsid w:val="00C71CEB"/>
    <w:rsid w:val="00C72535"/>
    <w:rsid w:val="00C72EB8"/>
    <w:rsid w:val="00C73DF9"/>
    <w:rsid w:val="00C74086"/>
    <w:rsid w:val="00C8103A"/>
    <w:rsid w:val="00C81899"/>
    <w:rsid w:val="00C81A06"/>
    <w:rsid w:val="00C82197"/>
    <w:rsid w:val="00C87196"/>
    <w:rsid w:val="00C876DE"/>
    <w:rsid w:val="00C90811"/>
    <w:rsid w:val="00C91B51"/>
    <w:rsid w:val="00C91CC6"/>
    <w:rsid w:val="00C95289"/>
    <w:rsid w:val="00C957C8"/>
    <w:rsid w:val="00C95E7B"/>
    <w:rsid w:val="00C97AEA"/>
    <w:rsid w:val="00C97D41"/>
    <w:rsid w:val="00CA00A8"/>
    <w:rsid w:val="00CA07D6"/>
    <w:rsid w:val="00CA0E70"/>
    <w:rsid w:val="00CA1721"/>
    <w:rsid w:val="00CA36FF"/>
    <w:rsid w:val="00CA47D3"/>
    <w:rsid w:val="00CA4FFA"/>
    <w:rsid w:val="00CA570D"/>
    <w:rsid w:val="00CA5A39"/>
    <w:rsid w:val="00CA5D30"/>
    <w:rsid w:val="00CA5ED5"/>
    <w:rsid w:val="00CA609B"/>
    <w:rsid w:val="00CA6142"/>
    <w:rsid w:val="00CA6E34"/>
    <w:rsid w:val="00CA739F"/>
    <w:rsid w:val="00CB1247"/>
    <w:rsid w:val="00CB1AF8"/>
    <w:rsid w:val="00CB1F16"/>
    <w:rsid w:val="00CB3FF7"/>
    <w:rsid w:val="00CB4EA4"/>
    <w:rsid w:val="00CB4FFA"/>
    <w:rsid w:val="00CB5770"/>
    <w:rsid w:val="00CB6FE3"/>
    <w:rsid w:val="00CB7D41"/>
    <w:rsid w:val="00CC0AD6"/>
    <w:rsid w:val="00CC14BF"/>
    <w:rsid w:val="00CC15EF"/>
    <w:rsid w:val="00CC17A1"/>
    <w:rsid w:val="00CC304B"/>
    <w:rsid w:val="00CC3112"/>
    <w:rsid w:val="00CC41A5"/>
    <w:rsid w:val="00CC51A5"/>
    <w:rsid w:val="00CC7109"/>
    <w:rsid w:val="00CC7475"/>
    <w:rsid w:val="00CC7770"/>
    <w:rsid w:val="00CD0F8F"/>
    <w:rsid w:val="00CD10D6"/>
    <w:rsid w:val="00CD128A"/>
    <w:rsid w:val="00CD3E50"/>
    <w:rsid w:val="00CD48A3"/>
    <w:rsid w:val="00CD4F44"/>
    <w:rsid w:val="00CD71D5"/>
    <w:rsid w:val="00CE0D28"/>
    <w:rsid w:val="00CE24B2"/>
    <w:rsid w:val="00CE283E"/>
    <w:rsid w:val="00CE287D"/>
    <w:rsid w:val="00CE402A"/>
    <w:rsid w:val="00CE48DE"/>
    <w:rsid w:val="00CE4A2B"/>
    <w:rsid w:val="00CE5BA1"/>
    <w:rsid w:val="00CE5D08"/>
    <w:rsid w:val="00CE6B32"/>
    <w:rsid w:val="00CF0566"/>
    <w:rsid w:val="00CF1B8A"/>
    <w:rsid w:val="00CF2CE9"/>
    <w:rsid w:val="00CF3B72"/>
    <w:rsid w:val="00D03007"/>
    <w:rsid w:val="00D03E29"/>
    <w:rsid w:val="00D03E95"/>
    <w:rsid w:val="00D049E3"/>
    <w:rsid w:val="00D0592D"/>
    <w:rsid w:val="00D05F33"/>
    <w:rsid w:val="00D077BB"/>
    <w:rsid w:val="00D077DE"/>
    <w:rsid w:val="00D10D0C"/>
    <w:rsid w:val="00D1423B"/>
    <w:rsid w:val="00D14BE8"/>
    <w:rsid w:val="00D1543E"/>
    <w:rsid w:val="00D16D52"/>
    <w:rsid w:val="00D172F8"/>
    <w:rsid w:val="00D17AF6"/>
    <w:rsid w:val="00D2055F"/>
    <w:rsid w:val="00D2220A"/>
    <w:rsid w:val="00D25209"/>
    <w:rsid w:val="00D2673D"/>
    <w:rsid w:val="00D27432"/>
    <w:rsid w:val="00D27CCF"/>
    <w:rsid w:val="00D30C90"/>
    <w:rsid w:val="00D3101A"/>
    <w:rsid w:val="00D31098"/>
    <w:rsid w:val="00D310F6"/>
    <w:rsid w:val="00D3294F"/>
    <w:rsid w:val="00D34331"/>
    <w:rsid w:val="00D35399"/>
    <w:rsid w:val="00D37740"/>
    <w:rsid w:val="00D42993"/>
    <w:rsid w:val="00D441B5"/>
    <w:rsid w:val="00D452B0"/>
    <w:rsid w:val="00D46A3D"/>
    <w:rsid w:val="00D46D38"/>
    <w:rsid w:val="00D4715D"/>
    <w:rsid w:val="00D47281"/>
    <w:rsid w:val="00D477B9"/>
    <w:rsid w:val="00D47A3C"/>
    <w:rsid w:val="00D5042E"/>
    <w:rsid w:val="00D50C5C"/>
    <w:rsid w:val="00D51AB1"/>
    <w:rsid w:val="00D5401D"/>
    <w:rsid w:val="00D551C9"/>
    <w:rsid w:val="00D5759E"/>
    <w:rsid w:val="00D57AD6"/>
    <w:rsid w:val="00D611F6"/>
    <w:rsid w:val="00D6191E"/>
    <w:rsid w:val="00D62820"/>
    <w:rsid w:val="00D62B8B"/>
    <w:rsid w:val="00D62BAE"/>
    <w:rsid w:val="00D62D02"/>
    <w:rsid w:val="00D62D8C"/>
    <w:rsid w:val="00D631EB"/>
    <w:rsid w:val="00D65E53"/>
    <w:rsid w:val="00D71863"/>
    <w:rsid w:val="00D71A34"/>
    <w:rsid w:val="00D72E87"/>
    <w:rsid w:val="00D74A1E"/>
    <w:rsid w:val="00D74CE3"/>
    <w:rsid w:val="00D809E3"/>
    <w:rsid w:val="00D81ADB"/>
    <w:rsid w:val="00D81EB6"/>
    <w:rsid w:val="00D83066"/>
    <w:rsid w:val="00D8381C"/>
    <w:rsid w:val="00D86133"/>
    <w:rsid w:val="00D86431"/>
    <w:rsid w:val="00D94495"/>
    <w:rsid w:val="00DA0315"/>
    <w:rsid w:val="00DA1039"/>
    <w:rsid w:val="00DA222D"/>
    <w:rsid w:val="00DA23B4"/>
    <w:rsid w:val="00DA3D7A"/>
    <w:rsid w:val="00DA4731"/>
    <w:rsid w:val="00DA6BCC"/>
    <w:rsid w:val="00DA7851"/>
    <w:rsid w:val="00DA7D35"/>
    <w:rsid w:val="00DB04A7"/>
    <w:rsid w:val="00DB1805"/>
    <w:rsid w:val="00DB1D4B"/>
    <w:rsid w:val="00DB1E68"/>
    <w:rsid w:val="00DB2495"/>
    <w:rsid w:val="00DB309F"/>
    <w:rsid w:val="00DB3A81"/>
    <w:rsid w:val="00DB5D93"/>
    <w:rsid w:val="00DC1695"/>
    <w:rsid w:val="00DC28FF"/>
    <w:rsid w:val="00DC37FA"/>
    <w:rsid w:val="00DC3A90"/>
    <w:rsid w:val="00DC3DA1"/>
    <w:rsid w:val="00DC719D"/>
    <w:rsid w:val="00DD097A"/>
    <w:rsid w:val="00DD1FED"/>
    <w:rsid w:val="00DD5553"/>
    <w:rsid w:val="00DD6FE8"/>
    <w:rsid w:val="00DD7C81"/>
    <w:rsid w:val="00DE20DE"/>
    <w:rsid w:val="00DE232A"/>
    <w:rsid w:val="00DE2F27"/>
    <w:rsid w:val="00DE344A"/>
    <w:rsid w:val="00DE3550"/>
    <w:rsid w:val="00DE43E0"/>
    <w:rsid w:val="00DE5945"/>
    <w:rsid w:val="00DE7C4A"/>
    <w:rsid w:val="00DF031C"/>
    <w:rsid w:val="00DF2AF1"/>
    <w:rsid w:val="00DF36EB"/>
    <w:rsid w:val="00DF4F03"/>
    <w:rsid w:val="00DF514A"/>
    <w:rsid w:val="00DF524A"/>
    <w:rsid w:val="00DF5588"/>
    <w:rsid w:val="00DF5978"/>
    <w:rsid w:val="00DF5FC5"/>
    <w:rsid w:val="00E028C4"/>
    <w:rsid w:val="00E02AF6"/>
    <w:rsid w:val="00E053B2"/>
    <w:rsid w:val="00E054DA"/>
    <w:rsid w:val="00E05588"/>
    <w:rsid w:val="00E06BAE"/>
    <w:rsid w:val="00E06ECB"/>
    <w:rsid w:val="00E1009B"/>
    <w:rsid w:val="00E103A4"/>
    <w:rsid w:val="00E1315E"/>
    <w:rsid w:val="00E158EA"/>
    <w:rsid w:val="00E15B5C"/>
    <w:rsid w:val="00E15F65"/>
    <w:rsid w:val="00E16004"/>
    <w:rsid w:val="00E1665F"/>
    <w:rsid w:val="00E20A2B"/>
    <w:rsid w:val="00E217BC"/>
    <w:rsid w:val="00E21A2C"/>
    <w:rsid w:val="00E21D39"/>
    <w:rsid w:val="00E265AF"/>
    <w:rsid w:val="00E277CB"/>
    <w:rsid w:val="00E3185E"/>
    <w:rsid w:val="00E34969"/>
    <w:rsid w:val="00E35801"/>
    <w:rsid w:val="00E40298"/>
    <w:rsid w:val="00E409AD"/>
    <w:rsid w:val="00E4157F"/>
    <w:rsid w:val="00E41B63"/>
    <w:rsid w:val="00E42E1A"/>
    <w:rsid w:val="00E43C26"/>
    <w:rsid w:val="00E4629A"/>
    <w:rsid w:val="00E50C15"/>
    <w:rsid w:val="00E52FBB"/>
    <w:rsid w:val="00E53CCF"/>
    <w:rsid w:val="00E554B1"/>
    <w:rsid w:val="00E55AFE"/>
    <w:rsid w:val="00E568D3"/>
    <w:rsid w:val="00E57801"/>
    <w:rsid w:val="00E60167"/>
    <w:rsid w:val="00E6026F"/>
    <w:rsid w:val="00E610C1"/>
    <w:rsid w:val="00E627D6"/>
    <w:rsid w:val="00E62916"/>
    <w:rsid w:val="00E62A8D"/>
    <w:rsid w:val="00E62BB1"/>
    <w:rsid w:val="00E63757"/>
    <w:rsid w:val="00E66A22"/>
    <w:rsid w:val="00E675B3"/>
    <w:rsid w:val="00E676E8"/>
    <w:rsid w:val="00E7012F"/>
    <w:rsid w:val="00E73AB6"/>
    <w:rsid w:val="00E74991"/>
    <w:rsid w:val="00E776FF"/>
    <w:rsid w:val="00E77A10"/>
    <w:rsid w:val="00E85E7A"/>
    <w:rsid w:val="00E8636A"/>
    <w:rsid w:val="00E87037"/>
    <w:rsid w:val="00E87882"/>
    <w:rsid w:val="00E92B49"/>
    <w:rsid w:val="00E92BA6"/>
    <w:rsid w:val="00E94F7B"/>
    <w:rsid w:val="00E97062"/>
    <w:rsid w:val="00EA1AD3"/>
    <w:rsid w:val="00EA5B1A"/>
    <w:rsid w:val="00EB065B"/>
    <w:rsid w:val="00EB1326"/>
    <w:rsid w:val="00EB164E"/>
    <w:rsid w:val="00EB3A96"/>
    <w:rsid w:val="00EB3B65"/>
    <w:rsid w:val="00EB4B23"/>
    <w:rsid w:val="00EB6482"/>
    <w:rsid w:val="00EB70B9"/>
    <w:rsid w:val="00EC2E5C"/>
    <w:rsid w:val="00EC33EA"/>
    <w:rsid w:val="00EC4FE9"/>
    <w:rsid w:val="00EC5B97"/>
    <w:rsid w:val="00EC6A04"/>
    <w:rsid w:val="00EC78D1"/>
    <w:rsid w:val="00EC7CBC"/>
    <w:rsid w:val="00ED1E72"/>
    <w:rsid w:val="00ED2287"/>
    <w:rsid w:val="00ED2917"/>
    <w:rsid w:val="00ED2DF2"/>
    <w:rsid w:val="00ED402C"/>
    <w:rsid w:val="00ED42EF"/>
    <w:rsid w:val="00ED4FDA"/>
    <w:rsid w:val="00ED588F"/>
    <w:rsid w:val="00ED648F"/>
    <w:rsid w:val="00ED65F4"/>
    <w:rsid w:val="00ED688B"/>
    <w:rsid w:val="00ED6A67"/>
    <w:rsid w:val="00ED6E59"/>
    <w:rsid w:val="00ED73B8"/>
    <w:rsid w:val="00EE28F5"/>
    <w:rsid w:val="00EE2CB2"/>
    <w:rsid w:val="00EE564D"/>
    <w:rsid w:val="00EE5708"/>
    <w:rsid w:val="00EE5C61"/>
    <w:rsid w:val="00EE622B"/>
    <w:rsid w:val="00EE6742"/>
    <w:rsid w:val="00EE7C6C"/>
    <w:rsid w:val="00EF0245"/>
    <w:rsid w:val="00EF1487"/>
    <w:rsid w:val="00EF2B36"/>
    <w:rsid w:val="00EF47E7"/>
    <w:rsid w:val="00EF55CC"/>
    <w:rsid w:val="00EF56DC"/>
    <w:rsid w:val="00EF5753"/>
    <w:rsid w:val="00F011DC"/>
    <w:rsid w:val="00F03B2F"/>
    <w:rsid w:val="00F03DBD"/>
    <w:rsid w:val="00F07501"/>
    <w:rsid w:val="00F10478"/>
    <w:rsid w:val="00F1156A"/>
    <w:rsid w:val="00F117AC"/>
    <w:rsid w:val="00F11AFA"/>
    <w:rsid w:val="00F11E5E"/>
    <w:rsid w:val="00F12D62"/>
    <w:rsid w:val="00F130EF"/>
    <w:rsid w:val="00F139D4"/>
    <w:rsid w:val="00F14973"/>
    <w:rsid w:val="00F14B99"/>
    <w:rsid w:val="00F14CA4"/>
    <w:rsid w:val="00F16547"/>
    <w:rsid w:val="00F16B6D"/>
    <w:rsid w:val="00F2033F"/>
    <w:rsid w:val="00F20B3F"/>
    <w:rsid w:val="00F21624"/>
    <w:rsid w:val="00F223FC"/>
    <w:rsid w:val="00F22F6F"/>
    <w:rsid w:val="00F2369C"/>
    <w:rsid w:val="00F24FA3"/>
    <w:rsid w:val="00F27105"/>
    <w:rsid w:val="00F276FD"/>
    <w:rsid w:val="00F30011"/>
    <w:rsid w:val="00F31C40"/>
    <w:rsid w:val="00F32779"/>
    <w:rsid w:val="00F33661"/>
    <w:rsid w:val="00F338C0"/>
    <w:rsid w:val="00F33A5B"/>
    <w:rsid w:val="00F33AB7"/>
    <w:rsid w:val="00F33D7D"/>
    <w:rsid w:val="00F35A3C"/>
    <w:rsid w:val="00F371ED"/>
    <w:rsid w:val="00F40275"/>
    <w:rsid w:val="00F40C28"/>
    <w:rsid w:val="00F433E9"/>
    <w:rsid w:val="00F444BF"/>
    <w:rsid w:val="00F444C0"/>
    <w:rsid w:val="00F4496B"/>
    <w:rsid w:val="00F465B3"/>
    <w:rsid w:val="00F50E46"/>
    <w:rsid w:val="00F516EA"/>
    <w:rsid w:val="00F51A63"/>
    <w:rsid w:val="00F5388F"/>
    <w:rsid w:val="00F53901"/>
    <w:rsid w:val="00F557A9"/>
    <w:rsid w:val="00F55847"/>
    <w:rsid w:val="00F56190"/>
    <w:rsid w:val="00F57630"/>
    <w:rsid w:val="00F57CFB"/>
    <w:rsid w:val="00F60360"/>
    <w:rsid w:val="00F62047"/>
    <w:rsid w:val="00F63A96"/>
    <w:rsid w:val="00F64F4D"/>
    <w:rsid w:val="00F65A34"/>
    <w:rsid w:val="00F66BE5"/>
    <w:rsid w:val="00F70DF6"/>
    <w:rsid w:val="00F71E57"/>
    <w:rsid w:val="00F7298A"/>
    <w:rsid w:val="00F72E5B"/>
    <w:rsid w:val="00F7334B"/>
    <w:rsid w:val="00F7557B"/>
    <w:rsid w:val="00F76646"/>
    <w:rsid w:val="00F81C1F"/>
    <w:rsid w:val="00F8371F"/>
    <w:rsid w:val="00F84011"/>
    <w:rsid w:val="00F843B0"/>
    <w:rsid w:val="00F848C7"/>
    <w:rsid w:val="00F8557B"/>
    <w:rsid w:val="00F857AC"/>
    <w:rsid w:val="00F91FC3"/>
    <w:rsid w:val="00F940E5"/>
    <w:rsid w:val="00F941E3"/>
    <w:rsid w:val="00F951AD"/>
    <w:rsid w:val="00FA056B"/>
    <w:rsid w:val="00FA0FCD"/>
    <w:rsid w:val="00FA163A"/>
    <w:rsid w:val="00FA179F"/>
    <w:rsid w:val="00FA2111"/>
    <w:rsid w:val="00FA5C22"/>
    <w:rsid w:val="00FA657D"/>
    <w:rsid w:val="00FA67EB"/>
    <w:rsid w:val="00FA6B63"/>
    <w:rsid w:val="00FA7603"/>
    <w:rsid w:val="00FB18FA"/>
    <w:rsid w:val="00FB3F73"/>
    <w:rsid w:val="00FB4429"/>
    <w:rsid w:val="00FB4C60"/>
    <w:rsid w:val="00FB54A9"/>
    <w:rsid w:val="00FB702C"/>
    <w:rsid w:val="00FB7196"/>
    <w:rsid w:val="00FB71CE"/>
    <w:rsid w:val="00FB751C"/>
    <w:rsid w:val="00FB77BA"/>
    <w:rsid w:val="00FC0901"/>
    <w:rsid w:val="00FC11F3"/>
    <w:rsid w:val="00FC1E75"/>
    <w:rsid w:val="00FC1F74"/>
    <w:rsid w:val="00FC3281"/>
    <w:rsid w:val="00FC3B15"/>
    <w:rsid w:val="00FC5182"/>
    <w:rsid w:val="00FC5A01"/>
    <w:rsid w:val="00FC74BC"/>
    <w:rsid w:val="00FD2427"/>
    <w:rsid w:val="00FD25E1"/>
    <w:rsid w:val="00FD37E9"/>
    <w:rsid w:val="00FD43BB"/>
    <w:rsid w:val="00FD539E"/>
    <w:rsid w:val="00FD53AD"/>
    <w:rsid w:val="00FD6836"/>
    <w:rsid w:val="00FD7EF4"/>
    <w:rsid w:val="00FE01B6"/>
    <w:rsid w:val="00FE08AC"/>
    <w:rsid w:val="00FE6EE1"/>
    <w:rsid w:val="00FF261C"/>
    <w:rsid w:val="00FF3CE2"/>
    <w:rsid w:val="00FF3D8B"/>
    <w:rsid w:val="00FF3EE5"/>
    <w:rsid w:val="00FF56BF"/>
    <w:rsid w:val="00FF5980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F1873E"/>
  <w15:chartTrackingRefBased/>
  <w15:docId w15:val="{22A6AAF5-7FC7-4B48-911E-8FC4070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18A6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2D6D"/>
    <w:pPr>
      <w:keepNext/>
      <w:spacing w:before="240" w:after="120"/>
      <w:ind w:left="425" w:hanging="425"/>
      <w:outlineLvl w:val="0"/>
    </w:pPr>
    <w:rPr>
      <w:rFonts w:asciiTheme="minorHAnsi" w:hAnsiTheme="minorHAnsi" w:cs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pis pro KZ,odrážky,Odstavec_muj,List Paragraph_0,List Paragraph1,List Paragraph2,Nad,Nad1,Nad2,Odstavec_muj1,Odstavec_muj10,Odstavec_muj2,Odstavec_muj3,Odstavec_muj4,Odstavec_muj5,Odstavec_muj6,Odstavec_muj7,Odstavec_muj8,nad 1"/>
    <w:basedOn w:val="Normln"/>
    <w:link w:val="OdstavecseseznamemChar"/>
    <w:uiPriority w:val="34"/>
    <w:qFormat/>
    <w:rsid w:val="002C4B3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6C1B"/>
    <w:rPr>
      <w:rFonts w:ascii="Calibri" w:eastAsia="Times New Roman" w:hAnsi="Calibri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16C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6C1B"/>
    <w:rPr>
      <w:rFonts w:ascii="Calibri" w:eastAsia="Times New Roman" w:hAnsi="Calibri" w:cs="Times New Roman"/>
      <w:sz w:val="24"/>
      <w:szCs w:val="24"/>
    </w:rPr>
  </w:style>
  <w:style w:type="table" w:styleId="Mkatabulky">
    <w:name w:val="Table Grid"/>
    <w:basedOn w:val="Normlntabulka"/>
    <w:uiPriority w:val="39"/>
    <w:rsid w:val="008B0A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ektabulky">
    <w:name w:val="Titulek tabulky_"/>
    <w:basedOn w:val="Standardnpsmoodstavce"/>
    <w:link w:val="Titulektabulky0"/>
    <w:locked/>
    <w:rsid w:val="0086268D"/>
    <w:rPr>
      <w:rFonts w:ascii="Tahoma" w:eastAsia="Tahoma" w:hAnsi="Tahoma" w:cs="Tahoma"/>
      <w:color w:val="003365"/>
      <w:sz w:val="20"/>
      <w:szCs w:val="20"/>
      <w:u w:val="single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86268D"/>
    <w:pPr>
      <w:widowControl w:val="0"/>
      <w:shd w:val="clear" w:color="auto" w:fill="FFFFFF"/>
      <w:jc w:val="left"/>
    </w:pPr>
    <w:rPr>
      <w:rFonts w:ascii="Tahoma" w:eastAsia="Tahoma" w:hAnsi="Tahoma" w:cs="Tahoma"/>
      <w:color w:val="003365"/>
      <w:sz w:val="20"/>
      <w:szCs w:val="20"/>
      <w:u w:val="single"/>
    </w:rPr>
  </w:style>
  <w:style w:type="character" w:customStyle="1" w:styleId="OdstavecseseznamemChar">
    <w:name w:val="Odstavec se seznamem Char"/>
    <w:aliases w:val="Nadpis pro KZ Char,odrážky Char,Odstavec_muj Char,List Paragraph_0 Char,List Paragraph1 Char,List Paragraph2 Char,Nad Char,Nad1 Char,Nad2 Char,Odstavec_muj1 Char,Odstavec_muj10 Char,Odstavec_muj2 Char,Odstavec_muj3 Char"/>
    <w:link w:val="Odstavecseseznamem"/>
    <w:uiPriority w:val="34"/>
    <w:qFormat/>
    <w:locked/>
    <w:rsid w:val="00465AE2"/>
    <w:rPr>
      <w:rFonts w:ascii="Calibri" w:eastAsia="Times New Roman" w:hAnsi="Calibri" w:cs="Times New Roman"/>
      <w:sz w:val="24"/>
      <w:szCs w:val="24"/>
    </w:rPr>
  </w:style>
  <w:style w:type="paragraph" w:customStyle="1" w:styleId="MDSR">
    <w:name w:val="MDS ČR"/>
    <w:basedOn w:val="Normln"/>
    <w:rsid w:val="00801944"/>
    <w:pPr>
      <w:suppressAutoHyphens/>
      <w:overflowPunct w:val="0"/>
      <w:autoSpaceDE w:val="0"/>
      <w:autoSpaceDN w:val="0"/>
      <w:adjustRightInd w:val="0"/>
      <w:spacing w:before="120"/>
      <w:ind w:firstLine="567"/>
    </w:pPr>
    <w:rPr>
      <w:rFonts w:ascii="Times New Roman" w:hAnsi="Times New Roman"/>
      <w:szCs w:val="20"/>
      <w:lang w:eastAsia="cs-CZ"/>
    </w:rPr>
  </w:style>
  <w:style w:type="character" w:customStyle="1" w:styleId="Nadpis10">
    <w:name w:val="Nadpis #1_"/>
    <w:basedOn w:val="Standardnpsmoodstavce"/>
    <w:link w:val="Nadpis11"/>
    <w:locked/>
    <w:rsid w:val="00500DBB"/>
    <w:rPr>
      <w:rFonts w:ascii="Calibri" w:eastAsia="Calibri" w:hAnsi="Calibri" w:cs="Calibri"/>
      <w:b/>
      <w:bCs/>
      <w:sz w:val="28"/>
      <w:szCs w:val="28"/>
      <w:u w:val="single"/>
      <w:shd w:val="clear" w:color="auto" w:fill="FFFFFF"/>
    </w:rPr>
  </w:style>
  <w:style w:type="paragraph" w:customStyle="1" w:styleId="Nadpis11">
    <w:name w:val="Nadpis #1"/>
    <w:basedOn w:val="Normln"/>
    <w:link w:val="Nadpis10"/>
    <w:rsid w:val="00500DBB"/>
    <w:pPr>
      <w:widowControl w:val="0"/>
      <w:shd w:val="clear" w:color="auto" w:fill="FFFFFF"/>
      <w:spacing w:after="80"/>
      <w:outlineLvl w:val="0"/>
    </w:pPr>
    <w:rPr>
      <w:rFonts w:eastAsia="Calibri" w:cs="Calibri"/>
      <w:b/>
      <w:bCs/>
      <w:sz w:val="28"/>
      <w:szCs w:val="28"/>
      <w:u w:val="single"/>
    </w:rPr>
  </w:style>
  <w:style w:type="character" w:customStyle="1" w:styleId="Zkladntext">
    <w:name w:val="Základní text_"/>
    <w:basedOn w:val="Standardnpsmoodstavce"/>
    <w:link w:val="Zkladntext1"/>
    <w:locked/>
    <w:rsid w:val="00500DBB"/>
    <w:rPr>
      <w:rFonts w:ascii="Calibri" w:eastAsia="Calibri" w:hAnsi="Calibri" w:cs="Calibri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00DBB"/>
    <w:pPr>
      <w:widowControl w:val="0"/>
      <w:shd w:val="clear" w:color="auto" w:fill="FFFFFF"/>
    </w:pPr>
    <w:rPr>
      <w:rFonts w:eastAsia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6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65B"/>
    <w:rPr>
      <w:rFonts w:ascii="Segoe UI" w:eastAsia="Times New Roman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CA47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Podrozdzia3,Text poznámky pod čiarou 007,Fußnotentextf,Geneva 9,Font: Geneva 9,Boston 10,f,Footnote Text Char,Char1,Char,Text pozn. pod čarou1,fn,o"/>
    <w:basedOn w:val="Normln"/>
    <w:link w:val="TextpoznpodarouChar"/>
    <w:uiPriority w:val="99"/>
    <w:unhideWhenUsed/>
    <w:qFormat/>
    <w:rsid w:val="00163089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Podrozdzia3 Char,Text poznámky pod čiarou 007 Char,Fußnotentextf Char,Geneva 9 Char,Font: Geneva 9 Char,Boston 10 Char"/>
    <w:basedOn w:val="Standardnpsmoodstavce"/>
    <w:link w:val="Textpoznpodarou"/>
    <w:uiPriority w:val="99"/>
    <w:rsid w:val="00163089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aliases w:val="Footnote,PGI Fußnote Ziffer,BVI fnr,Footnote symbol,Footnote Reference Superscript,Appel note de bas de p,Appel note de bas de page,Légende,Char Car Car Car Car,Voetnootverwijzing,Légende;Char Car Car Car Car,12 b.,Zúžené o ...,fr"/>
    <w:basedOn w:val="Standardnpsmoodstavce"/>
    <w:uiPriority w:val="99"/>
    <w:unhideWhenUsed/>
    <w:rsid w:val="00163089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772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77201"/>
    <w:rPr>
      <w:rFonts w:ascii="Calibri" w:eastAsia="Times New Roman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744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44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440A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40A"/>
    <w:rPr>
      <w:rFonts w:ascii="Calibri" w:eastAsia="Times New Roman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F16E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B2D6D"/>
    <w:rPr>
      <w:rFonts w:eastAsia="Times New Roman" w:cs="Arial"/>
      <w:b/>
      <w:sz w:val="28"/>
      <w:szCs w:val="24"/>
    </w:rPr>
  </w:style>
  <w:style w:type="character" w:styleId="Hypertextovodkaz">
    <w:name w:val="Hyperlink"/>
    <w:basedOn w:val="Standardnpsmoodstavce"/>
    <w:uiPriority w:val="99"/>
    <w:unhideWhenUsed/>
    <w:rsid w:val="00BB2D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0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nhideWhenUsed/>
    <w:rsid w:val="001D3D3A"/>
    <w:pPr>
      <w:spacing w:before="100" w:beforeAutospacing="1" w:after="100" w:afterAutospacing="1"/>
      <w:jc w:val="left"/>
    </w:pPr>
    <w:rPr>
      <w:rFonts w:ascii="Times New Roman" w:hAnsi="Times New Roman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10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-normlntextChar">
    <w:name w:val="KP-normální text Char"/>
    <w:link w:val="KP-normlntext"/>
    <w:locked/>
    <w:rsid w:val="00D71863"/>
    <w:rPr>
      <w:rFonts w:ascii="Calibri" w:hAnsi="Calibri" w:cs="Arial"/>
      <w:color w:val="000000"/>
      <w:sz w:val="24"/>
      <w:szCs w:val="24"/>
    </w:rPr>
  </w:style>
  <w:style w:type="paragraph" w:customStyle="1" w:styleId="KP-normlntext">
    <w:name w:val="KP-normální text"/>
    <w:basedOn w:val="Normln"/>
    <w:link w:val="KP-normlntextChar"/>
    <w:qFormat/>
    <w:rsid w:val="00D71863"/>
    <w:pPr>
      <w:spacing w:after="120"/>
    </w:pPr>
    <w:rPr>
      <w:rFonts w:eastAsiaTheme="minorHAnsi" w:cs="Arial"/>
      <w:color w:val="000000"/>
    </w:rPr>
  </w:style>
  <w:style w:type="table" w:customStyle="1" w:styleId="Mkatabulky2">
    <w:name w:val="Mřížka tabulky2"/>
    <w:basedOn w:val="Normlntabulka"/>
    <w:next w:val="Mkatabulky"/>
    <w:uiPriority w:val="39"/>
    <w:rsid w:val="007B0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F371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F371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770880"/>
    <w:rPr>
      <w:color w:val="000000"/>
      <w:sz w:val="28"/>
      <w:szCs w:val="28"/>
    </w:rPr>
  </w:style>
  <w:style w:type="character" w:customStyle="1" w:styleId="A5">
    <w:name w:val="A5"/>
    <w:uiPriority w:val="99"/>
    <w:rsid w:val="00770880"/>
    <w:rPr>
      <w:b/>
      <w:bCs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2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82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4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5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8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d.cz/stranka/Zmeny-vyzev-ramci-specifickeho-cile-14-OPD" TargetMode="External"/><Relationship Id="rId1" Type="http://schemas.openxmlformats.org/officeDocument/2006/relationships/hyperlink" Target="https://www.opd.cz/stranka/Ridici-organ-OPD-zverejnuje-zmenu-konecneho-terminu-u-vyzev-v-ramci-SC-14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List_aplikac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chemeClr val="tx1"/>
                </a:solidFill>
              </a:rPr>
              <a:t>Přehled čerpání celkové alokace pro jednotlivá města / aglomerační oblasti (v %)</a:t>
            </a:r>
            <a:endParaRPr lang="cs-CZ"/>
          </a:p>
        </c:rich>
      </c:tx>
      <c:layout>
        <c:manualLayout>
          <c:xMode val="edge"/>
          <c:yMode val="edge"/>
          <c:x val="0.13601851851851851"/>
          <c:y val="1.55376009944064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5.5484106153397494E-2"/>
          <c:y val="0.21961481430731661"/>
          <c:w val="0.9190529308836396"/>
          <c:h val="0.37697816905888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Město / aglomerační oblast</c:v>
                </c:pt>
              </c:strCache>
            </c:strRef>
          </c:tx>
          <c:spPr>
            <a:solidFill>
              <a:srgbClr val="004595"/>
            </a:solidFill>
            <a:ln>
              <a:solidFill>
                <a:srgbClr val="004595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12"/>
            <c:invertIfNegative val="0"/>
            <c:bubble3D val="0"/>
            <c:spPr>
              <a:solidFill>
                <a:srgbClr val="BD2A33"/>
              </a:solidFill>
              <a:ln>
                <a:solidFill>
                  <a:srgbClr val="BD2A33"/>
                </a:solidFill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E77-4CB3-8FE7-E45804F635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List1!$A$2:$A$14</c:f>
              <c:strCache>
                <c:ptCount val="13"/>
                <c:pt idx="0">
                  <c:v>Brno</c:v>
                </c:pt>
                <c:pt idx="1">
                  <c:v>Praha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Liberecká aglomerace</c:v>
                </c:pt>
                <c:pt idx="6">
                  <c:v>Ústecko-chomutovská aglomerace</c:v>
                </c:pt>
                <c:pt idx="7">
                  <c:v>České Budějovice</c:v>
                </c:pt>
                <c:pt idx="8">
                  <c:v>Hradecko-pardubická aglomerace</c:v>
                </c:pt>
                <c:pt idx="9">
                  <c:v>Jihlava</c:v>
                </c:pt>
                <c:pt idx="10">
                  <c:v>Zlín</c:v>
                </c:pt>
                <c:pt idx="11">
                  <c:v>Mariánské Lázně</c:v>
                </c:pt>
                <c:pt idx="12">
                  <c:v>Nevyčerpáno</c:v>
                </c:pt>
              </c:strCache>
            </c:strRef>
          </c:cat>
          <c:val>
            <c:numRef>
              <c:f>List1!$B$2:$B$14</c:f>
              <c:numCache>
                <c:formatCode>General</c:formatCode>
                <c:ptCount val="13"/>
                <c:pt idx="0">
                  <c:v>16.7</c:v>
                </c:pt>
                <c:pt idx="1">
                  <c:v>11.2</c:v>
                </c:pt>
                <c:pt idx="2">
                  <c:v>9.8000000000000007</c:v>
                </c:pt>
                <c:pt idx="3">
                  <c:v>7.1</c:v>
                </c:pt>
                <c:pt idx="4">
                  <c:v>6.5</c:v>
                </c:pt>
                <c:pt idx="5">
                  <c:v>5.7</c:v>
                </c:pt>
                <c:pt idx="6">
                  <c:v>4.5999999999999996</c:v>
                </c:pt>
                <c:pt idx="7">
                  <c:v>1.6</c:v>
                </c:pt>
                <c:pt idx="8">
                  <c:v>1.1000000000000001</c:v>
                </c:pt>
                <c:pt idx="9">
                  <c:v>1</c:v>
                </c:pt>
                <c:pt idx="10">
                  <c:v>0.6</c:v>
                </c:pt>
                <c:pt idx="11">
                  <c:v>0.4</c:v>
                </c:pt>
                <c:pt idx="12">
                  <c:v>33.700000000000003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77-4CB3-8FE7-E45804F6353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List1!$A$2:$A$14</c:f>
              <c:strCache>
                <c:ptCount val="13"/>
                <c:pt idx="0">
                  <c:v>Brno</c:v>
                </c:pt>
                <c:pt idx="1">
                  <c:v>Praha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Liberecká aglomerace</c:v>
                </c:pt>
                <c:pt idx="6">
                  <c:v>Ústecko-chomutovská aglomerace</c:v>
                </c:pt>
                <c:pt idx="7">
                  <c:v>České Budějovice</c:v>
                </c:pt>
                <c:pt idx="8">
                  <c:v>Hradecko-pardubická aglomerace</c:v>
                </c:pt>
                <c:pt idx="9">
                  <c:v>Jihlava</c:v>
                </c:pt>
                <c:pt idx="10">
                  <c:v>Zlín</c:v>
                </c:pt>
                <c:pt idx="11">
                  <c:v>Mariánské Lázně</c:v>
                </c:pt>
                <c:pt idx="12">
                  <c:v>Nevyčerpáno</c:v>
                </c:pt>
              </c:strCache>
            </c:strRef>
          </c:cat>
          <c:val>
            <c:numRef>
              <c:f>List1!$C$2:$C$14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3-4E77-4CB3-8FE7-E45804F6353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List1!$A$2:$A$14</c:f>
              <c:strCache>
                <c:ptCount val="13"/>
                <c:pt idx="0">
                  <c:v>Brno</c:v>
                </c:pt>
                <c:pt idx="1">
                  <c:v>Praha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Liberecká aglomerace</c:v>
                </c:pt>
                <c:pt idx="6">
                  <c:v>Ústecko-chomutovská aglomerace</c:v>
                </c:pt>
                <c:pt idx="7">
                  <c:v>České Budějovice</c:v>
                </c:pt>
                <c:pt idx="8">
                  <c:v>Hradecko-pardubická aglomerace</c:v>
                </c:pt>
                <c:pt idx="9">
                  <c:v>Jihlava</c:v>
                </c:pt>
                <c:pt idx="10">
                  <c:v>Zlín</c:v>
                </c:pt>
                <c:pt idx="11">
                  <c:v>Mariánské Lázně</c:v>
                </c:pt>
                <c:pt idx="12">
                  <c:v>Nevyčerpáno</c:v>
                </c:pt>
              </c:strCache>
            </c:strRef>
          </c:cat>
          <c:val>
            <c:numRef>
              <c:f>List1!$D$2:$D$14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4-4E77-4CB3-8FE7-E45804F6353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16582719"/>
        <c:axId val="316579807"/>
      </c:barChart>
      <c:catAx>
        <c:axId val="3165827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6579807"/>
        <c:crosses val="autoZero"/>
        <c:auto val="1"/>
        <c:lblAlgn val="ctr"/>
        <c:lblOffset val="100"/>
        <c:noMultiLvlLbl val="0"/>
      </c:catAx>
      <c:valAx>
        <c:axId val="316579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6582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</c:legendEntry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5929603287778E-2"/>
          <c:y val="0.14567041379271639"/>
          <c:w val="0.94581280788177335"/>
          <c:h val="0.408518865647852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Podané žádosti 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List1!$A$2:$A$12</c:f>
              <c:strCache>
                <c:ptCount val="11"/>
                <c:pt idx="0">
                  <c:v>Praha</c:v>
                </c:pt>
                <c:pt idx="1">
                  <c:v>Brno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Ústecko-chomutovská aglomerace</c:v>
                </c:pt>
                <c:pt idx="6">
                  <c:v>Hradecko-pardubická aglomerace</c:v>
                </c:pt>
                <c:pt idx="7">
                  <c:v>Zlín</c:v>
                </c:pt>
                <c:pt idx="8">
                  <c:v>Jihlava</c:v>
                </c:pt>
                <c:pt idx="9">
                  <c:v>České Budějovice</c:v>
                </c:pt>
                <c:pt idx="10">
                  <c:v>Liberecká aglomerace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0</c:v>
                </c:pt>
                <c:pt idx="1">
                  <c:v>130.1</c:v>
                </c:pt>
                <c:pt idx="2">
                  <c:v>66.7</c:v>
                </c:pt>
                <c:pt idx="3">
                  <c:v>12.3</c:v>
                </c:pt>
                <c:pt idx="4">
                  <c:v>12.1</c:v>
                </c:pt>
                <c:pt idx="5">
                  <c:v>0</c:v>
                </c:pt>
                <c:pt idx="6">
                  <c:v>35.5</c:v>
                </c:pt>
                <c:pt idx="7">
                  <c:v>0</c:v>
                </c:pt>
                <c:pt idx="8">
                  <c:v>70.400000000000006</c:v>
                </c:pt>
                <c:pt idx="9">
                  <c:v>0</c:v>
                </c:pt>
                <c:pt idx="10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E3-4A6F-9FE4-069EF725F67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Schválené žádosti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List1!$A$2:$A$12</c:f>
              <c:strCache>
                <c:ptCount val="11"/>
                <c:pt idx="0">
                  <c:v>Praha</c:v>
                </c:pt>
                <c:pt idx="1">
                  <c:v>Brno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Ústecko-chomutovská aglomerace</c:v>
                </c:pt>
                <c:pt idx="6">
                  <c:v>Hradecko-pardubická aglomerace</c:v>
                </c:pt>
                <c:pt idx="7">
                  <c:v>Zlín</c:v>
                </c:pt>
                <c:pt idx="8">
                  <c:v>Jihlava</c:v>
                </c:pt>
                <c:pt idx="9">
                  <c:v>České Budějovice</c:v>
                </c:pt>
                <c:pt idx="10">
                  <c:v>Liberecká aglomerace</c:v>
                </c:pt>
              </c:strCache>
            </c:strRef>
          </c:cat>
          <c:val>
            <c:numRef>
              <c:f>List1!$C$2:$C$12</c:f>
              <c:numCache>
                <c:formatCode>General</c:formatCode>
                <c:ptCount val="11"/>
                <c:pt idx="0">
                  <c:v>0</c:v>
                </c:pt>
                <c:pt idx="1">
                  <c:v>23.3</c:v>
                </c:pt>
                <c:pt idx="2">
                  <c:v>66.7</c:v>
                </c:pt>
                <c:pt idx="3">
                  <c:v>12.3</c:v>
                </c:pt>
                <c:pt idx="4">
                  <c:v>7.7</c:v>
                </c:pt>
                <c:pt idx="5">
                  <c:v>0</c:v>
                </c:pt>
                <c:pt idx="6">
                  <c:v>29</c:v>
                </c:pt>
                <c:pt idx="7">
                  <c:v>0</c:v>
                </c:pt>
                <c:pt idx="8">
                  <c:v>70.400000000000006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E3-4A6F-9FE4-069EF725F6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63890064"/>
        <c:axId val="1063883408"/>
      </c:barChart>
      <c:catAx>
        <c:axId val="1063890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cs-CZ"/>
          </a:p>
        </c:txPr>
        <c:crossAx val="1063883408"/>
        <c:crosses val="autoZero"/>
        <c:auto val="1"/>
        <c:lblAlgn val="ctr"/>
        <c:lblOffset val="100"/>
        <c:noMultiLvlLbl val="0"/>
      </c:catAx>
      <c:valAx>
        <c:axId val="10638834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6389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8577398297653744"/>
          <c:y val="3.2074126870990732E-2"/>
          <c:w val="0.42030642721383965"/>
          <c:h val="6.01394088034077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  <a:p>
            <a:pPr>
              <a:defRPr/>
            </a:pPr>
            <a:endParaRPr lang="cs-CZ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3.9351851851851853E-2"/>
          <c:y val="0.15965798440510984"/>
          <c:w val="0.94907407407407407"/>
          <c:h val="0.414849857706198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Podané žádosti 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Praha</c:v>
                </c:pt>
                <c:pt idx="1">
                  <c:v>Brno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Ústecko-chomutovská aglomerace</c:v>
                </c:pt>
                <c:pt idx="6">
                  <c:v>Hradecko-pardubická aglomerace</c:v>
                </c:pt>
                <c:pt idx="7">
                  <c:v>Zlín</c:v>
                </c:pt>
                <c:pt idx="8">
                  <c:v>Jihlava</c:v>
                </c:pt>
                <c:pt idx="9">
                  <c:v>České Budějovice</c:v>
                </c:pt>
                <c:pt idx="10">
                  <c:v>Liberecká aglomerace</c:v>
                </c:pt>
                <c:pt idx="11">
                  <c:v>Mariánské Lázně</c:v>
                </c:pt>
              </c:strCache>
            </c:strRef>
          </c:cat>
          <c:val>
            <c:numRef>
              <c:f>List1!$B$2:$B$13</c:f>
              <c:numCache>
                <c:formatCode>General</c:formatCode>
                <c:ptCount val="12"/>
                <c:pt idx="0">
                  <c:v>85</c:v>
                </c:pt>
                <c:pt idx="1">
                  <c:v>99.8</c:v>
                </c:pt>
                <c:pt idx="2">
                  <c:v>100</c:v>
                </c:pt>
                <c:pt idx="3">
                  <c:v>90.7</c:v>
                </c:pt>
                <c:pt idx="4">
                  <c:v>108.7</c:v>
                </c:pt>
                <c:pt idx="5">
                  <c:v>99.9</c:v>
                </c:pt>
                <c:pt idx="6">
                  <c:v>73.400000000000006</c:v>
                </c:pt>
                <c:pt idx="7">
                  <c:v>110.1</c:v>
                </c:pt>
                <c:pt idx="8">
                  <c:v>99.9</c:v>
                </c:pt>
                <c:pt idx="9">
                  <c:v>94.8</c:v>
                </c:pt>
                <c:pt idx="10">
                  <c:v>77.099999999999994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2D-478D-BA1C-3567D8553C9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Schválené žádosti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Praha</c:v>
                </c:pt>
                <c:pt idx="1">
                  <c:v>Brno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Ústecko-chomutovská aglomerace</c:v>
                </c:pt>
                <c:pt idx="6">
                  <c:v>Hradecko-pardubická aglomerace</c:v>
                </c:pt>
                <c:pt idx="7">
                  <c:v>Zlín</c:v>
                </c:pt>
                <c:pt idx="8">
                  <c:v>Jihlava</c:v>
                </c:pt>
                <c:pt idx="9">
                  <c:v>České Budějovice</c:v>
                </c:pt>
                <c:pt idx="10">
                  <c:v>Liberecká aglomerace</c:v>
                </c:pt>
                <c:pt idx="11">
                  <c:v>Mariánské Lázně</c:v>
                </c:pt>
              </c:strCache>
            </c:strRef>
          </c:cat>
          <c:val>
            <c:numRef>
              <c:f>List1!$C$2:$C$13</c:f>
              <c:numCache>
                <c:formatCode>General</c:formatCode>
                <c:ptCount val="12"/>
                <c:pt idx="0">
                  <c:v>38.6</c:v>
                </c:pt>
                <c:pt idx="1">
                  <c:v>91.2</c:v>
                </c:pt>
                <c:pt idx="2">
                  <c:v>100</c:v>
                </c:pt>
                <c:pt idx="3">
                  <c:v>90.7</c:v>
                </c:pt>
                <c:pt idx="4" formatCode="0.00">
                  <c:v>103.8</c:v>
                </c:pt>
                <c:pt idx="5">
                  <c:v>99.9</c:v>
                </c:pt>
                <c:pt idx="6">
                  <c:v>69.8</c:v>
                </c:pt>
                <c:pt idx="7">
                  <c:v>99.9</c:v>
                </c:pt>
                <c:pt idx="8">
                  <c:v>99.9</c:v>
                </c:pt>
                <c:pt idx="9">
                  <c:v>94.8</c:v>
                </c:pt>
                <c:pt idx="10">
                  <c:v>77.099999999999994</c:v>
                </c:pt>
                <c:pt idx="1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2D-478D-BA1C-3567D8553C9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Sloupec1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12"/>
                <c:pt idx="0">
                  <c:v>Praha</c:v>
                </c:pt>
                <c:pt idx="1">
                  <c:v>Brno</c:v>
                </c:pt>
                <c:pt idx="2">
                  <c:v>Plzeň</c:v>
                </c:pt>
                <c:pt idx="3">
                  <c:v>Olomouc</c:v>
                </c:pt>
                <c:pt idx="4">
                  <c:v>Ostravská aglomerace</c:v>
                </c:pt>
                <c:pt idx="5">
                  <c:v>Ústecko-chomutovská aglomerace</c:v>
                </c:pt>
                <c:pt idx="6">
                  <c:v>Hradecko-pardubická aglomerace</c:v>
                </c:pt>
                <c:pt idx="7">
                  <c:v>Zlín</c:v>
                </c:pt>
                <c:pt idx="8">
                  <c:v>Jihlava</c:v>
                </c:pt>
                <c:pt idx="9">
                  <c:v>České Budějovice</c:v>
                </c:pt>
                <c:pt idx="10">
                  <c:v>Liberecká aglomerace</c:v>
                </c:pt>
                <c:pt idx="11">
                  <c:v>Mariánské Lázně</c:v>
                </c:pt>
              </c:strCache>
            </c:strRef>
          </c:cat>
          <c:val>
            <c:numRef>
              <c:f>List1!$D$2:$D$13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2-BE2D-478D-BA1C-3567D8553C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063890064"/>
        <c:axId val="1063883408"/>
      </c:barChart>
      <c:catAx>
        <c:axId val="1063890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+mn-ea"/>
                <a:cs typeface="+mn-cs"/>
              </a:defRPr>
            </a:pPr>
            <a:endParaRPr lang="cs-CZ"/>
          </a:p>
        </c:txPr>
        <c:crossAx val="1063883408"/>
        <c:crosses val="autoZero"/>
        <c:auto val="1"/>
        <c:lblAlgn val="ctr"/>
        <c:lblOffset val="100"/>
        <c:noMultiLvlLbl val="0"/>
      </c:catAx>
      <c:valAx>
        <c:axId val="10638834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6389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29786526684164477"/>
          <c:y val="2.540869587411778E-2"/>
          <c:w val="0.39501020705745116"/>
          <c:h val="7.2992619841748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06E8-547F-495A-BA68-A599CDAB2BD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FC69DA-2E89-4A66-858A-685CE3990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57573-A744-4547-8C5A-865FA0EF2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4E78C-A0EC-4304-8F5D-BDAE6E6F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C02B0084.dotm</Template>
  <TotalTime>5</TotalTime>
  <Pages>21</Pages>
  <Words>7337</Words>
  <Characters>43294</Characters>
  <Application>Microsoft Office Word</Application>
  <DocSecurity>0</DocSecurity>
  <Lines>360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20/14 - Podpora využívání veřejné hromadné dopravy ve městech v elektrické trakci z operačního programu Doprava 2014–2020</vt:lpstr>
    </vt:vector>
  </TitlesOfParts>
  <Company>NKU</Company>
  <LinksUpToDate>false</LinksUpToDate>
  <CharactersWithSpaces>50530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20/14 - Podpora využívání veřejné hromadné dopravy ve městech v elektrické trakci z operačního programu Doprava 2014–2020</dc:title>
  <dc:subject>Kontrolní závěr z kontrolní akce NKÚ č. 20/14 - Podpora využívání veřejné hromadné dopravy ve městech v elektrické trakci z operačního programu Doprava 2014–2020</dc:subject>
  <dc:creator>Nejvyšší kontrolní úřad</dc:creator>
  <cp:keywords>kontrolní závěr; tramvajové tratě; tramvaje; OP Doprava</cp:keywords>
  <dc:description/>
  <cp:lastModifiedBy>KOKRDA Daniel</cp:lastModifiedBy>
  <cp:revision>3</cp:revision>
  <cp:lastPrinted>2021-05-27T04:32:00Z</cp:lastPrinted>
  <dcterms:created xsi:type="dcterms:W3CDTF">2021-05-27T04:30:00Z</dcterms:created>
  <dcterms:modified xsi:type="dcterms:W3CDTF">2021-05-27T04:34:00Z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